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570" w:firstLineChars="800"/>
        <w:rPr>
          <w:rFonts w:hint="eastAsia" w:ascii="仿宋" w:hAnsi="仿宋" w:eastAsia="仿宋"/>
          <w:b/>
          <w:sz w:val="32"/>
          <w:szCs w:val="32"/>
        </w:rPr>
      </w:pPr>
    </w:p>
    <w:p>
      <w:pPr>
        <w:ind w:firstLine="1606" w:firstLineChars="500"/>
        <w:rPr>
          <w:rFonts w:hint="default" w:ascii="仿宋" w:hAnsi="仿宋" w:eastAsia="仿宋"/>
          <w:b/>
          <w:sz w:val="32"/>
          <w:szCs w:val="32"/>
          <w:lang w:val="en-US" w:eastAsia="zh-CN"/>
        </w:rPr>
      </w:pPr>
      <w:r>
        <w:rPr>
          <w:rFonts w:hint="eastAsia" w:ascii="仿宋" w:hAnsi="仿宋" w:eastAsia="仿宋"/>
          <w:b/>
          <w:sz w:val="32"/>
          <w:szCs w:val="32"/>
        </w:rPr>
        <w:t>招标编号：</w:t>
      </w:r>
      <w:r>
        <w:rPr>
          <w:rFonts w:hint="eastAsia" w:ascii="仿宋" w:hAnsi="仿宋" w:eastAsia="仿宋"/>
          <w:b/>
          <w:sz w:val="32"/>
          <w:szCs w:val="32"/>
          <w:lang w:val="en-US" w:eastAsia="zh-CN"/>
        </w:rPr>
        <w:t>54000023210200016261</w:t>
      </w:r>
    </w:p>
    <w:p>
      <w:pPr>
        <w:ind w:left="1566" w:hanging="1566" w:hangingChars="300"/>
        <w:jc w:val="center"/>
        <w:rPr>
          <w:rFonts w:hint="eastAsia" w:ascii="Calibri" w:hAnsi="Calibri" w:eastAsia="宋体"/>
          <w:b/>
          <w:bCs/>
          <w:sz w:val="52"/>
          <w:szCs w:val="72"/>
        </w:rPr>
      </w:pPr>
    </w:p>
    <w:p>
      <w:pPr>
        <w:spacing w:line="240" w:lineRule="auto"/>
        <w:ind w:left="1566" w:hanging="1566" w:hangingChars="300"/>
        <w:jc w:val="both"/>
        <w:rPr>
          <w:rFonts w:hint="eastAsia" w:ascii="Calibri" w:hAnsi="Calibri" w:eastAsia="宋体" w:cs="Times New Roman"/>
          <w:b/>
          <w:bCs/>
          <w:sz w:val="52"/>
          <w:szCs w:val="72"/>
          <w:u w:val="none"/>
          <w:lang w:eastAsia="zh-CN"/>
        </w:rPr>
      </w:pPr>
      <w:r>
        <w:rPr>
          <w:rFonts w:hint="eastAsia" w:ascii="Calibri" w:hAnsi="Calibri" w:eastAsia="宋体" w:cs="Times New Roman"/>
          <w:b/>
          <w:bCs/>
          <w:sz w:val="52"/>
          <w:szCs w:val="72"/>
          <w:u w:val="none"/>
          <w:lang w:eastAsia="zh-CN"/>
        </w:rPr>
        <w:t>西藏自治区妇产儿童医院（西藏自治区</w:t>
      </w:r>
    </w:p>
    <w:p>
      <w:pPr>
        <w:spacing w:after="0" w:line="240" w:lineRule="auto"/>
        <w:ind w:left="0" w:leftChars="0" w:firstLine="0" w:firstLineChars="0"/>
        <w:jc w:val="center"/>
        <w:rPr>
          <w:rFonts w:hint="eastAsia" w:ascii="Calibri" w:hAnsi="Calibri" w:eastAsia="宋体" w:cs="Times New Roman"/>
          <w:b/>
          <w:bCs/>
          <w:sz w:val="52"/>
          <w:szCs w:val="72"/>
          <w:u w:val="none"/>
          <w:lang w:eastAsia="zh-CN"/>
        </w:rPr>
      </w:pPr>
      <w:r>
        <w:rPr>
          <w:rFonts w:hint="eastAsia" w:ascii="Calibri" w:hAnsi="Calibri" w:eastAsia="宋体" w:cs="Times New Roman"/>
          <w:b/>
          <w:bCs/>
          <w:sz w:val="52"/>
          <w:szCs w:val="72"/>
          <w:u w:val="none"/>
          <w:lang w:eastAsia="zh-CN"/>
        </w:rPr>
        <w:t>妇幼保健院）</w:t>
      </w:r>
      <w:r>
        <w:rPr>
          <w:rFonts w:hint="eastAsia" w:ascii="Calibri" w:hAnsi="Calibri" w:eastAsia="宋体" w:cs="Times New Roman"/>
          <w:b/>
          <w:bCs/>
          <w:sz w:val="52"/>
          <w:szCs w:val="72"/>
          <w:u w:val="none"/>
        </w:rPr>
        <w:t>卫生医疗机构能力建设（病理科专用设备）项目</w:t>
      </w:r>
      <w:r>
        <w:rPr>
          <w:rFonts w:hint="eastAsia" w:cs="Times New Roman"/>
          <w:b/>
          <w:bCs/>
          <w:sz w:val="52"/>
          <w:szCs w:val="72"/>
          <w:u w:val="none"/>
          <w:lang w:eastAsia="zh-CN"/>
        </w:rPr>
        <w:t>（第二次）</w:t>
      </w:r>
    </w:p>
    <w:p>
      <w:pPr>
        <w:rPr>
          <w:rFonts w:ascii="仿宋" w:hAnsi="仿宋" w:eastAsia="仿宋"/>
          <w:b/>
          <w:sz w:val="52"/>
          <w:szCs w:val="52"/>
        </w:rPr>
      </w:pPr>
    </w:p>
    <w:p>
      <w:pPr>
        <w:tabs>
          <w:tab w:val="left" w:pos="2505"/>
          <w:tab w:val="center" w:pos="4204"/>
        </w:tabs>
        <w:jc w:val="center"/>
        <w:rPr>
          <w:rFonts w:ascii="仿宋" w:hAnsi="仿宋" w:eastAsia="仿宋"/>
          <w:b/>
          <w:sz w:val="52"/>
          <w:szCs w:val="52"/>
        </w:rPr>
      </w:pPr>
      <w:r>
        <w:rPr>
          <w:rFonts w:hint="eastAsia" w:ascii="仿宋" w:hAnsi="仿宋" w:eastAsia="仿宋"/>
          <w:b/>
          <w:sz w:val="52"/>
          <w:szCs w:val="52"/>
        </w:rPr>
        <w:t>招</w:t>
      </w:r>
    </w:p>
    <w:p>
      <w:pPr>
        <w:jc w:val="center"/>
        <w:rPr>
          <w:rFonts w:ascii="仿宋" w:hAnsi="仿宋" w:eastAsia="仿宋"/>
          <w:b/>
          <w:sz w:val="52"/>
          <w:szCs w:val="52"/>
        </w:rPr>
      </w:pPr>
      <w:r>
        <w:rPr>
          <w:rFonts w:hint="eastAsia" w:ascii="仿宋" w:hAnsi="仿宋" w:eastAsia="仿宋"/>
          <w:b/>
          <w:sz w:val="52"/>
          <w:szCs w:val="52"/>
        </w:rPr>
        <w:t>标</w:t>
      </w:r>
    </w:p>
    <w:p>
      <w:pPr>
        <w:jc w:val="center"/>
        <w:rPr>
          <w:rFonts w:ascii="仿宋" w:hAnsi="仿宋" w:eastAsia="仿宋"/>
          <w:b/>
          <w:sz w:val="52"/>
          <w:szCs w:val="52"/>
        </w:rPr>
      </w:pPr>
      <w:r>
        <w:rPr>
          <w:rFonts w:hint="eastAsia" w:ascii="仿宋" w:hAnsi="仿宋" w:eastAsia="仿宋"/>
          <w:b/>
          <w:sz w:val="52"/>
          <w:szCs w:val="52"/>
        </w:rPr>
        <w:t>文</w:t>
      </w:r>
    </w:p>
    <w:p>
      <w:pPr>
        <w:jc w:val="center"/>
        <w:rPr>
          <w:rFonts w:ascii="仿宋" w:hAnsi="仿宋" w:eastAsia="仿宋"/>
          <w:b/>
          <w:sz w:val="52"/>
          <w:szCs w:val="52"/>
        </w:rPr>
      </w:pPr>
      <w:r>
        <w:rPr>
          <w:rFonts w:hint="eastAsia" w:ascii="仿宋" w:hAnsi="仿宋" w:eastAsia="仿宋"/>
          <w:b/>
          <w:sz w:val="52"/>
          <w:szCs w:val="52"/>
        </w:rPr>
        <w:t>件</w:t>
      </w:r>
    </w:p>
    <w:p>
      <w:pPr>
        <w:spacing w:line="360" w:lineRule="auto"/>
        <w:rPr>
          <w:rFonts w:ascii="仿宋" w:hAnsi="仿宋" w:eastAsia="仿宋"/>
          <w:b/>
          <w:sz w:val="32"/>
          <w:szCs w:val="32"/>
        </w:rPr>
      </w:pPr>
    </w:p>
    <w:p>
      <w:pPr>
        <w:spacing w:line="360" w:lineRule="auto"/>
        <w:ind w:firstLine="2811" w:firstLineChars="1000"/>
        <w:jc w:val="left"/>
        <w:rPr>
          <w:rFonts w:hint="eastAsia"/>
          <w:b/>
          <w:bCs/>
          <w:sz w:val="28"/>
          <w:szCs w:val="36"/>
          <w:lang w:eastAsia="zh-CN"/>
        </w:rPr>
      </w:pPr>
    </w:p>
    <w:p>
      <w:pPr>
        <w:spacing w:line="360" w:lineRule="auto"/>
        <w:jc w:val="center"/>
        <w:rPr>
          <w:rFonts w:hint="eastAsia" w:asciiTheme="majorEastAsia" w:hAnsiTheme="majorEastAsia" w:eastAsiaTheme="majorEastAsia" w:cstheme="majorEastAsia"/>
          <w:b/>
          <w:sz w:val="40"/>
          <w:szCs w:val="40"/>
        </w:rPr>
      </w:pPr>
      <w:r>
        <w:rPr>
          <w:rFonts w:hint="eastAsia" w:asciiTheme="majorEastAsia" w:hAnsiTheme="majorEastAsia" w:eastAsiaTheme="majorEastAsia" w:cstheme="majorEastAsia"/>
          <w:b/>
          <w:sz w:val="40"/>
          <w:szCs w:val="40"/>
        </w:rPr>
        <w:t>西藏自治区妇产儿童医院</w:t>
      </w:r>
    </w:p>
    <w:p>
      <w:pPr>
        <w:spacing w:line="360" w:lineRule="auto"/>
        <w:jc w:val="center"/>
        <w:rPr>
          <w:rFonts w:hint="eastAsia" w:asciiTheme="majorEastAsia" w:hAnsiTheme="majorEastAsia" w:eastAsiaTheme="majorEastAsia" w:cstheme="majorEastAsia"/>
          <w:b/>
          <w:sz w:val="40"/>
          <w:szCs w:val="40"/>
        </w:rPr>
      </w:pPr>
      <w:r>
        <w:rPr>
          <w:rFonts w:hint="eastAsia" w:asciiTheme="majorEastAsia" w:hAnsiTheme="majorEastAsia" w:eastAsiaTheme="majorEastAsia" w:cstheme="majorEastAsia"/>
          <w:b/>
          <w:sz w:val="40"/>
          <w:szCs w:val="40"/>
        </w:rPr>
        <w:t>西藏泽润招标代理有限公司</w:t>
      </w:r>
    </w:p>
    <w:p>
      <w:pPr>
        <w:spacing w:line="360" w:lineRule="auto"/>
        <w:jc w:val="center"/>
        <w:rPr>
          <w:rFonts w:hint="eastAsia" w:asciiTheme="majorEastAsia" w:hAnsiTheme="majorEastAsia" w:eastAsiaTheme="majorEastAsia" w:cstheme="majorEastAsia"/>
          <w:b/>
          <w:sz w:val="40"/>
          <w:szCs w:val="40"/>
        </w:rPr>
      </w:pPr>
      <w:r>
        <w:rPr>
          <w:rFonts w:hint="eastAsia" w:asciiTheme="majorEastAsia" w:hAnsiTheme="majorEastAsia" w:eastAsiaTheme="majorEastAsia" w:cstheme="majorEastAsia"/>
          <w:b/>
          <w:sz w:val="40"/>
          <w:szCs w:val="40"/>
        </w:rPr>
        <w:t>共同编制</w:t>
      </w:r>
    </w:p>
    <w:p>
      <w:pPr>
        <w:spacing w:line="360" w:lineRule="auto"/>
        <w:jc w:val="center"/>
        <w:rPr>
          <w:rFonts w:hint="eastAsia" w:asciiTheme="majorEastAsia" w:hAnsiTheme="majorEastAsia" w:eastAsiaTheme="majorEastAsia" w:cstheme="majorEastAsia"/>
          <w:b/>
          <w:sz w:val="40"/>
          <w:szCs w:val="40"/>
          <w:lang w:val="zh-CN"/>
        </w:rPr>
      </w:pPr>
      <w:bookmarkStart w:id="0" w:name="_Hlt101843627"/>
      <w:bookmarkEnd w:id="0"/>
      <w:bookmarkStart w:id="1" w:name="_Hlt101233737"/>
      <w:bookmarkEnd w:id="1"/>
      <w:r>
        <w:rPr>
          <w:rFonts w:hint="eastAsia" w:asciiTheme="majorEastAsia" w:hAnsiTheme="majorEastAsia" w:eastAsiaTheme="majorEastAsia" w:cstheme="majorEastAsia"/>
          <w:b/>
          <w:sz w:val="40"/>
          <w:szCs w:val="40"/>
        </w:rPr>
        <w:t>2023</w:t>
      </w:r>
      <w:r>
        <w:rPr>
          <w:rFonts w:hint="eastAsia" w:asciiTheme="majorEastAsia" w:hAnsiTheme="majorEastAsia" w:eastAsiaTheme="majorEastAsia" w:cstheme="majorEastAsia"/>
          <w:b/>
          <w:sz w:val="40"/>
          <w:szCs w:val="40"/>
          <w:lang w:val="zh-CN"/>
        </w:rPr>
        <w:t>年</w:t>
      </w:r>
      <w:r>
        <w:rPr>
          <w:rFonts w:hint="eastAsia" w:asciiTheme="majorEastAsia" w:hAnsiTheme="majorEastAsia" w:eastAsiaTheme="majorEastAsia" w:cstheme="majorEastAsia"/>
          <w:b/>
          <w:sz w:val="40"/>
          <w:szCs w:val="40"/>
          <w:lang w:val="en-US" w:eastAsia="zh-CN"/>
        </w:rPr>
        <w:t xml:space="preserve"> 10 </w:t>
      </w:r>
      <w:r>
        <w:rPr>
          <w:rFonts w:hint="eastAsia" w:asciiTheme="majorEastAsia" w:hAnsiTheme="majorEastAsia" w:eastAsiaTheme="majorEastAsia" w:cstheme="majorEastAsia"/>
          <w:b/>
          <w:sz w:val="40"/>
          <w:szCs w:val="40"/>
          <w:lang w:val="zh-CN"/>
        </w:rPr>
        <w:t>月</w:t>
      </w:r>
    </w:p>
    <w:p>
      <w:pPr>
        <w:jc w:val="center"/>
        <w:rPr>
          <w:rFonts w:hint="eastAsia" w:ascii="仿宋" w:hAnsi="仿宋" w:eastAsia="仿宋"/>
          <w:b/>
          <w:bCs/>
          <w:sz w:val="36"/>
          <w:szCs w:val="36"/>
        </w:rPr>
      </w:pPr>
    </w:p>
    <w:p>
      <w:pPr>
        <w:jc w:val="center"/>
        <w:rPr>
          <w:rFonts w:hint="eastAsia" w:ascii="仿宋" w:hAnsi="仿宋" w:eastAsia="仿宋"/>
          <w:b/>
          <w:bCs/>
          <w:sz w:val="36"/>
          <w:szCs w:val="36"/>
        </w:rPr>
      </w:pPr>
    </w:p>
    <w:p>
      <w:pPr>
        <w:jc w:val="center"/>
        <w:rPr>
          <w:rFonts w:ascii="仿宋" w:hAnsi="仿宋" w:eastAsia="仿宋"/>
          <w:b/>
          <w:bCs/>
          <w:sz w:val="36"/>
          <w:szCs w:val="36"/>
        </w:rPr>
      </w:pPr>
      <w:r>
        <w:rPr>
          <w:rFonts w:hint="eastAsia" w:ascii="仿宋" w:hAnsi="仿宋" w:eastAsia="仿宋"/>
          <w:b/>
          <w:bCs/>
          <w:sz w:val="36"/>
          <w:szCs w:val="36"/>
        </w:rPr>
        <w:t>目    录</w:t>
      </w:r>
    </w:p>
    <w:p>
      <w:pPr>
        <w:jc w:val="center"/>
        <w:rPr>
          <w:rFonts w:ascii="仿宋" w:hAnsi="仿宋" w:eastAsia="仿宋"/>
          <w:b/>
          <w:bCs/>
          <w:sz w:val="36"/>
          <w:szCs w:val="36"/>
        </w:rPr>
      </w:pPr>
    </w:p>
    <w:p>
      <w:pPr>
        <w:pStyle w:val="17"/>
        <w:tabs>
          <w:tab w:val="right" w:leader="middleDot" w:pos="8959"/>
        </w:tabs>
        <w:spacing w:line="480" w:lineRule="auto"/>
        <w:rPr>
          <w:rFonts w:ascii="仿宋" w:hAnsi="仿宋" w:eastAsia="仿宋" w:cs="宋体"/>
          <w:sz w:val="28"/>
          <w:szCs w:val="28"/>
        </w:rPr>
      </w:pPr>
      <w:r>
        <w:rPr>
          <w:rFonts w:hint="eastAsia" w:ascii="仿宋" w:hAnsi="仿宋" w:eastAsia="仿宋" w:cs="宋体"/>
          <w:sz w:val="28"/>
          <w:szCs w:val="28"/>
        </w:rPr>
        <w:fldChar w:fldCharType="begin"/>
      </w:r>
      <w:r>
        <w:rPr>
          <w:rFonts w:hint="eastAsia" w:ascii="仿宋" w:hAnsi="仿宋" w:eastAsia="仿宋" w:cs="宋体"/>
          <w:sz w:val="28"/>
          <w:szCs w:val="28"/>
        </w:rPr>
        <w:instrText xml:space="preserve">TOC \o "1-1" \h \u </w:instrText>
      </w:r>
      <w:r>
        <w:rPr>
          <w:rFonts w:hint="eastAsia" w:ascii="仿宋" w:hAnsi="仿宋" w:eastAsia="仿宋" w:cs="宋体"/>
          <w:sz w:val="28"/>
          <w:szCs w:val="28"/>
        </w:rPr>
        <w:fldChar w:fldCharType="separate"/>
      </w:r>
      <w:r>
        <w:fldChar w:fldCharType="begin"/>
      </w:r>
      <w:r>
        <w:instrText xml:space="preserve"> HYPERLINK \l "_Toc6066" </w:instrText>
      </w:r>
      <w:r>
        <w:fldChar w:fldCharType="separate"/>
      </w:r>
      <w:r>
        <w:rPr>
          <w:rFonts w:hint="eastAsia" w:ascii="仿宋" w:hAnsi="仿宋" w:eastAsia="仿宋" w:cs="宋体"/>
          <w:sz w:val="28"/>
          <w:szCs w:val="28"/>
        </w:rPr>
        <w:t>第一章  投标</w:t>
      </w:r>
      <w:bookmarkStart w:id="2" w:name="_Hlt493498728"/>
      <w:bookmarkStart w:id="3" w:name="_Hlt493498729"/>
      <w:r>
        <w:rPr>
          <w:rFonts w:hint="eastAsia" w:ascii="仿宋" w:hAnsi="仿宋" w:eastAsia="仿宋" w:cs="宋体"/>
          <w:sz w:val="28"/>
          <w:szCs w:val="28"/>
        </w:rPr>
        <w:t>邀</w:t>
      </w:r>
      <w:bookmarkEnd w:id="2"/>
      <w:bookmarkEnd w:id="3"/>
      <w:r>
        <w:rPr>
          <w:rFonts w:hint="eastAsia" w:ascii="仿宋" w:hAnsi="仿宋" w:eastAsia="仿宋" w:cs="宋体"/>
          <w:sz w:val="28"/>
          <w:szCs w:val="28"/>
        </w:rPr>
        <w:t>请</w:t>
      </w:r>
      <w:r>
        <w:rPr>
          <w:rFonts w:hint="eastAsia" w:ascii="仿宋" w:hAnsi="仿宋" w:eastAsia="仿宋" w:cs="宋体"/>
          <w:sz w:val="28"/>
          <w:szCs w:val="28"/>
        </w:rPr>
        <w:tab/>
      </w:r>
      <w:r>
        <w:rPr>
          <w:rFonts w:hint="eastAsia" w:ascii="仿宋" w:hAnsi="仿宋" w:eastAsia="仿宋" w:cs="宋体"/>
          <w:sz w:val="28"/>
          <w:szCs w:val="28"/>
        </w:rPr>
        <w:fldChar w:fldCharType="begin"/>
      </w:r>
      <w:r>
        <w:rPr>
          <w:rFonts w:hint="eastAsia" w:ascii="仿宋" w:hAnsi="仿宋" w:eastAsia="仿宋" w:cs="宋体"/>
          <w:sz w:val="28"/>
          <w:szCs w:val="28"/>
        </w:rPr>
        <w:instrText xml:space="preserve"> PAGEREF _Toc6066 </w:instrText>
      </w:r>
      <w:r>
        <w:rPr>
          <w:rFonts w:hint="eastAsia" w:ascii="仿宋" w:hAnsi="仿宋" w:eastAsia="仿宋" w:cs="宋体"/>
          <w:sz w:val="28"/>
          <w:szCs w:val="28"/>
        </w:rPr>
        <w:fldChar w:fldCharType="separate"/>
      </w:r>
      <w:r>
        <w:rPr>
          <w:rFonts w:hint="eastAsia" w:ascii="仿宋" w:hAnsi="仿宋" w:eastAsia="仿宋" w:cs="宋体"/>
          <w:sz w:val="28"/>
          <w:szCs w:val="28"/>
        </w:rPr>
        <w:t>3</w:t>
      </w:r>
      <w:r>
        <w:rPr>
          <w:rFonts w:hint="eastAsia" w:ascii="仿宋" w:hAnsi="仿宋" w:eastAsia="仿宋" w:cs="宋体"/>
          <w:sz w:val="28"/>
          <w:szCs w:val="28"/>
        </w:rPr>
        <w:fldChar w:fldCharType="end"/>
      </w:r>
      <w:r>
        <w:rPr>
          <w:rFonts w:hint="eastAsia" w:ascii="仿宋" w:hAnsi="仿宋" w:eastAsia="仿宋" w:cs="宋体"/>
          <w:sz w:val="28"/>
          <w:szCs w:val="28"/>
        </w:rPr>
        <w:fldChar w:fldCharType="end"/>
      </w:r>
    </w:p>
    <w:p>
      <w:pPr>
        <w:pStyle w:val="17"/>
        <w:tabs>
          <w:tab w:val="right" w:leader="middleDot" w:pos="8959"/>
        </w:tabs>
        <w:spacing w:line="480" w:lineRule="auto"/>
        <w:rPr>
          <w:rFonts w:ascii="仿宋" w:hAnsi="仿宋" w:eastAsia="仿宋" w:cs="宋体"/>
          <w:sz w:val="28"/>
          <w:szCs w:val="28"/>
        </w:rPr>
      </w:pPr>
      <w:r>
        <w:fldChar w:fldCharType="begin"/>
      </w:r>
      <w:r>
        <w:instrText xml:space="preserve"> HYPERLINK \l "_Toc12420" </w:instrText>
      </w:r>
      <w:r>
        <w:fldChar w:fldCharType="separate"/>
      </w:r>
      <w:r>
        <w:rPr>
          <w:rFonts w:hint="eastAsia" w:ascii="仿宋" w:hAnsi="仿宋" w:eastAsia="仿宋" w:cs="宋体"/>
          <w:sz w:val="28"/>
          <w:szCs w:val="28"/>
        </w:rPr>
        <w:t>第二章  投标人须知</w:t>
      </w:r>
      <w:r>
        <w:rPr>
          <w:rFonts w:hint="eastAsia" w:ascii="仿宋" w:hAnsi="仿宋" w:eastAsia="仿宋" w:cs="宋体"/>
          <w:sz w:val="28"/>
          <w:szCs w:val="28"/>
        </w:rPr>
        <w:tab/>
      </w:r>
      <w:r>
        <w:rPr>
          <w:rFonts w:hint="eastAsia" w:ascii="仿宋" w:hAnsi="仿宋" w:eastAsia="仿宋" w:cs="宋体"/>
          <w:sz w:val="28"/>
          <w:szCs w:val="28"/>
        </w:rPr>
        <w:fldChar w:fldCharType="begin"/>
      </w:r>
      <w:r>
        <w:rPr>
          <w:rFonts w:hint="eastAsia" w:ascii="仿宋" w:hAnsi="仿宋" w:eastAsia="仿宋" w:cs="宋体"/>
          <w:sz w:val="28"/>
          <w:szCs w:val="28"/>
        </w:rPr>
        <w:instrText xml:space="preserve"> PAGEREF _Toc12420 </w:instrText>
      </w:r>
      <w:r>
        <w:rPr>
          <w:rFonts w:hint="eastAsia" w:ascii="仿宋" w:hAnsi="仿宋" w:eastAsia="仿宋" w:cs="宋体"/>
          <w:sz w:val="28"/>
          <w:szCs w:val="28"/>
        </w:rPr>
        <w:fldChar w:fldCharType="separate"/>
      </w:r>
      <w:r>
        <w:rPr>
          <w:rFonts w:hint="eastAsia" w:ascii="仿宋" w:hAnsi="仿宋" w:eastAsia="仿宋" w:cs="宋体"/>
          <w:sz w:val="28"/>
          <w:szCs w:val="28"/>
        </w:rPr>
        <w:t>5</w:t>
      </w:r>
      <w:r>
        <w:rPr>
          <w:rFonts w:hint="eastAsia" w:ascii="仿宋" w:hAnsi="仿宋" w:eastAsia="仿宋" w:cs="宋体"/>
          <w:sz w:val="28"/>
          <w:szCs w:val="28"/>
        </w:rPr>
        <w:fldChar w:fldCharType="end"/>
      </w:r>
      <w:r>
        <w:rPr>
          <w:rFonts w:hint="eastAsia" w:ascii="仿宋" w:hAnsi="仿宋" w:eastAsia="仿宋" w:cs="宋体"/>
          <w:sz w:val="28"/>
          <w:szCs w:val="28"/>
        </w:rPr>
        <w:fldChar w:fldCharType="end"/>
      </w:r>
    </w:p>
    <w:p>
      <w:pPr>
        <w:pStyle w:val="17"/>
        <w:tabs>
          <w:tab w:val="right" w:leader="middleDot" w:pos="8959"/>
        </w:tabs>
        <w:spacing w:line="480" w:lineRule="auto"/>
        <w:rPr>
          <w:rFonts w:ascii="仿宋" w:hAnsi="仿宋" w:eastAsia="仿宋" w:cs="宋体"/>
          <w:sz w:val="28"/>
          <w:szCs w:val="28"/>
        </w:rPr>
      </w:pPr>
      <w:r>
        <w:fldChar w:fldCharType="begin"/>
      </w:r>
      <w:r>
        <w:instrText xml:space="preserve"> HYPERLINK \l "_Toc24369" </w:instrText>
      </w:r>
      <w:r>
        <w:fldChar w:fldCharType="separate"/>
      </w:r>
      <w:r>
        <w:rPr>
          <w:rFonts w:hint="eastAsia" w:ascii="仿宋" w:hAnsi="仿宋" w:eastAsia="仿宋" w:cs="宋体"/>
          <w:sz w:val="28"/>
          <w:szCs w:val="28"/>
        </w:rPr>
        <w:t>第三章  投标文件格式</w:t>
      </w:r>
      <w:r>
        <w:rPr>
          <w:rFonts w:hint="eastAsia" w:ascii="仿宋" w:hAnsi="仿宋" w:eastAsia="仿宋" w:cs="宋体"/>
          <w:sz w:val="28"/>
          <w:szCs w:val="28"/>
        </w:rPr>
        <w:tab/>
      </w:r>
      <w:r>
        <w:rPr>
          <w:rFonts w:hint="eastAsia" w:ascii="仿宋" w:hAnsi="仿宋" w:eastAsia="仿宋" w:cs="宋体"/>
          <w:sz w:val="28"/>
          <w:szCs w:val="28"/>
        </w:rPr>
        <w:fldChar w:fldCharType="begin"/>
      </w:r>
      <w:r>
        <w:rPr>
          <w:rFonts w:hint="eastAsia" w:ascii="仿宋" w:hAnsi="仿宋" w:eastAsia="仿宋" w:cs="宋体"/>
          <w:sz w:val="28"/>
          <w:szCs w:val="28"/>
        </w:rPr>
        <w:instrText xml:space="preserve"> PAGEREF _Toc24369 </w:instrText>
      </w:r>
      <w:r>
        <w:rPr>
          <w:rFonts w:hint="eastAsia" w:ascii="仿宋" w:hAnsi="仿宋" w:eastAsia="仿宋" w:cs="宋体"/>
          <w:sz w:val="28"/>
          <w:szCs w:val="28"/>
        </w:rPr>
        <w:fldChar w:fldCharType="separate"/>
      </w:r>
      <w:r>
        <w:rPr>
          <w:rFonts w:hint="eastAsia" w:ascii="仿宋" w:hAnsi="仿宋" w:eastAsia="仿宋" w:cs="宋体"/>
          <w:sz w:val="28"/>
          <w:szCs w:val="28"/>
        </w:rPr>
        <w:t>24</w:t>
      </w:r>
      <w:r>
        <w:rPr>
          <w:rFonts w:hint="eastAsia" w:ascii="仿宋" w:hAnsi="仿宋" w:eastAsia="仿宋" w:cs="宋体"/>
          <w:sz w:val="28"/>
          <w:szCs w:val="28"/>
        </w:rPr>
        <w:fldChar w:fldCharType="end"/>
      </w:r>
      <w:r>
        <w:rPr>
          <w:rFonts w:hint="eastAsia" w:ascii="仿宋" w:hAnsi="仿宋" w:eastAsia="仿宋" w:cs="宋体"/>
          <w:sz w:val="28"/>
          <w:szCs w:val="28"/>
        </w:rPr>
        <w:fldChar w:fldCharType="end"/>
      </w:r>
    </w:p>
    <w:p>
      <w:pPr>
        <w:pStyle w:val="17"/>
        <w:tabs>
          <w:tab w:val="right" w:leader="middleDot" w:pos="8959"/>
        </w:tabs>
        <w:spacing w:line="480" w:lineRule="auto"/>
        <w:rPr>
          <w:rFonts w:ascii="仿宋" w:hAnsi="仿宋" w:eastAsia="仿宋" w:cs="宋体"/>
          <w:sz w:val="28"/>
          <w:szCs w:val="28"/>
        </w:rPr>
      </w:pPr>
      <w:r>
        <w:fldChar w:fldCharType="begin"/>
      </w:r>
      <w:r>
        <w:instrText xml:space="preserve"> HYPERLINK \l "_Toc28654" </w:instrText>
      </w:r>
      <w:r>
        <w:fldChar w:fldCharType="separate"/>
      </w:r>
      <w:r>
        <w:rPr>
          <w:rFonts w:hint="eastAsia" w:ascii="仿宋" w:hAnsi="仿宋" w:eastAsia="仿宋" w:cs="宋体"/>
          <w:sz w:val="28"/>
          <w:szCs w:val="28"/>
        </w:rPr>
        <w:t>第四章  投标人和投标产品的资格、资质性及其他类似效力要求</w:t>
      </w:r>
      <w:r>
        <w:rPr>
          <w:rFonts w:hint="eastAsia" w:ascii="仿宋" w:hAnsi="仿宋" w:eastAsia="仿宋" w:cs="宋体"/>
          <w:sz w:val="28"/>
          <w:szCs w:val="28"/>
        </w:rPr>
        <w:tab/>
      </w:r>
      <w:r>
        <w:rPr>
          <w:rFonts w:hint="eastAsia" w:ascii="仿宋" w:hAnsi="仿宋" w:eastAsia="仿宋" w:cs="宋体"/>
          <w:sz w:val="28"/>
          <w:szCs w:val="28"/>
        </w:rPr>
        <w:fldChar w:fldCharType="begin"/>
      </w:r>
      <w:r>
        <w:rPr>
          <w:rFonts w:hint="eastAsia" w:ascii="仿宋" w:hAnsi="仿宋" w:eastAsia="仿宋" w:cs="宋体"/>
          <w:sz w:val="28"/>
          <w:szCs w:val="28"/>
        </w:rPr>
        <w:instrText xml:space="preserve"> PAGEREF _Toc28654 </w:instrText>
      </w:r>
      <w:r>
        <w:rPr>
          <w:rFonts w:hint="eastAsia" w:ascii="仿宋" w:hAnsi="仿宋" w:eastAsia="仿宋" w:cs="宋体"/>
          <w:sz w:val="28"/>
          <w:szCs w:val="28"/>
        </w:rPr>
        <w:fldChar w:fldCharType="separate"/>
      </w:r>
      <w:r>
        <w:rPr>
          <w:rFonts w:hint="eastAsia" w:ascii="仿宋" w:hAnsi="仿宋" w:eastAsia="仿宋" w:cs="宋体"/>
          <w:sz w:val="28"/>
          <w:szCs w:val="28"/>
        </w:rPr>
        <w:t>42</w:t>
      </w:r>
      <w:r>
        <w:rPr>
          <w:rFonts w:hint="eastAsia" w:ascii="仿宋" w:hAnsi="仿宋" w:eastAsia="仿宋" w:cs="宋体"/>
          <w:sz w:val="28"/>
          <w:szCs w:val="28"/>
        </w:rPr>
        <w:fldChar w:fldCharType="end"/>
      </w:r>
      <w:r>
        <w:rPr>
          <w:rFonts w:hint="eastAsia" w:ascii="仿宋" w:hAnsi="仿宋" w:eastAsia="仿宋" w:cs="宋体"/>
          <w:sz w:val="28"/>
          <w:szCs w:val="28"/>
        </w:rPr>
        <w:fldChar w:fldCharType="end"/>
      </w:r>
    </w:p>
    <w:p>
      <w:pPr>
        <w:pStyle w:val="17"/>
        <w:tabs>
          <w:tab w:val="right" w:leader="middleDot" w:pos="8959"/>
        </w:tabs>
        <w:spacing w:line="480" w:lineRule="auto"/>
        <w:rPr>
          <w:rFonts w:ascii="仿宋" w:hAnsi="仿宋" w:eastAsia="仿宋" w:cs="宋体"/>
          <w:sz w:val="28"/>
          <w:szCs w:val="28"/>
        </w:rPr>
      </w:pPr>
      <w:r>
        <w:fldChar w:fldCharType="begin"/>
      </w:r>
      <w:r>
        <w:instrText xml:space="preserve"> HYPERLINK \l "_Toc3806" </w:instrText>
      </w:r>
      <w:r>
        <w:fldChar w:fldCharType="separate"/>
      </w:r>
      <w:r>
        <w:rPr>
          <w:rFonts w:hint="eastAsia" w:ascii="仿宋" w:hAnsi="仿宋" w:eastAsia="仿宋" w:cs="宋体"/>
          <w:sz w:val="28"/>
          <w:szCs w:val="28"/>
        </w:rPr>
        <w:t>第五章  投标人应当提供的资格、资质性及其他类似效力要求的相关证明材料</w:t>
      </w:r>
      <w:r>
        <w:rPr>
          <w:rFonts w:hint="eastAsia" w:ascii="仿宋" w:hAnsi="仿宋" w:eastAsia="仿宋" w:cs="宋体"/>
          <w:sz w:val="28"/>
          <w:szCs w:val="28"/>
        </w:rPr>
        <w:tab/>
      </w:r>
      <w:r>
        <w:rPr>
          <w:rFonts w:hint="eastAsia" w:ascii="仿宋" w:hAnsi="仿宋" w:eastAsia="仿宋" w:cs="宋体"/>
          <w:sz w:val="28"/>
          <w:szCs w:val="28"/>
        </w:rPr>
        <w:fldChar w:fldCharType="begin"/>
      </w:r>
      <w:r>
        <w:rPr>
          <w:rFonts w:hint="eastAsia" w:ascii="仿宋" w:hAnsi="仿宋" w:eastAsia="仿宋" w:cs="宋体"/>
          <w:sz w:val="28"/>
          <w:szCs w:val="28"/>
        </w:rPr>
        <w:instrText xml:space="preserve"> PAGEREF _Toc3806 </w:instrText>
      </w:r>
      <w:r>
        <w:rPr>
          <w:rFonts w:hint="eastAsia" w:ascii="仿宋" w:hAnsi="仿宋" w:eastAsia="仿宋" w:cs="宋体"/>
          <w:sz w:val="28"/>
          <w:szCs w:val="28"/>
        </w:rPr>
        <w:fldChar w:fldCharType="separate"/>
      </w:r>
      <w:r>
        <w:rPr>
          <w:rFonts w:hint="eastAsia" w:ascii="仿宋" w:hAnsi="仿宋" w:eastAsia="仿宋" w:cs="宋体"/>
          <w:sz w:val="28"/>
          <w:szCs w:val="28"/>
        </w:rPr>
        <w:t>47</w:t>
      </w:r>
      <w:r>
        <w:rPr>
          <w:rFonts w:hint="eastAsia" w:ascii="仿宋" w:hAnsi="仿宋" w:eastAsia="仿宋" w:cs="宋体"/>
          <w:sz w:val="28"/>
          <w:szCs w:val="28"/>
        </w:rPr>
        <w:fldChar w:fldCharType="end"/>
      </w:r>
      <w:r>
        <w:rPr>
          <w:rFonts w:hint="eastAsia" w:ascii="仿宋" w:hAnsi="仿宋" w:eastAsia="仿宋" w:cs="宋体"/>
          <w:sz w:val="28"/>
          <w:szCs w:val="28"/>
        </w:rPr>
        <w:fldChar w:fldCharType="end"/>
      </w:r>
    </w:p>
    <w:p>
      <w:pPr>
        <w:pStyle w:val="17"/>
        <w:tabs>
          <w:tab w:val="right" w:leader="middleDot" w:pos="8959"/>
        </w:tabs>
        <w:spacing w:line="480" w:lineRule="auto"/>
        <w:rPr>
          <w:rFonts w:ascii="仿宋" w:hAnsi="仿宋" w:eastAsia="仿宋" w:cs="宋体"/>
          <w:sz w:val="28"/>
          <w:szCs w:val="28"/>
        </w:rPr>
      </w:pPr>
      <w:r>
        <w:fldChar w:fldCharType="begin"/>
      </w:r>
      <w:r>
        <w:instrText xml:space="preserve"> HYPERLINK \l "_Toc2122" </w:instrText>
      </w:r>
      <w:r>
        <w:fldChar w:fldCharType="separate"/>
      </w:r>
      <w:r>
        <w:rPr>
          <w:rFonts w:hint="eastAsia" w:ascii="仿宋" w:hAnsi="仿宋" w:eastAsia="仿宋" w:cs="宋体"/>
          <w:sz w:val="28"/>
          <w:szCs w:val="28"/>
        </w:rPr>
        <w:t>第六章  招标项目技术、服务、商务及其他要求</w:t>
      </w:r>
      <w:r>
        <w:rPr>
          <w:rFonts w:hint="eastAsia" w:ascii="仿宋" w:hAnsi="仿宋" w:eastAsia="仿宋" w:cs="宋体"/>
          <w:sz w:val="28"/>
          <w:szCs w:val="28"/>
        </w:rPr>
        <w:tab/>
      </w:r>
      <w:r>
        <w:rPr>
          <w:rFonts w:hint="eastAsia" w:ascii="仿宋" w:hAnsi="仿宋" w:eastAsia="仿宋" w:cs="宋体"/>
          <w:sz w:val="28"/>
          <w:szCs w:val="28"/>
        </w:rPr>
        <w:fldChar w:fldCharType="begin"/>
      </w:r>
      <w:r>
        <w:rPr>
          <w:rFonts w:hint="eastAsia" w:ascii="仿宋" w:hAnsi="仿宋" w:eastAsia="仿宋" w:cs="宋体"/>
          <w:sz w:val="28"/>
          <w:szCs w:val="28"/>
        </w:rPr>
        <w:instrText xml:space="preserve"> PAGEREF _Toc2122 </w:instrText>
      </w:r>
      <w:r>
        <w:rPr>
          <w:rFonts w:hint="eastAsia" w:ascii="仿宋" w:hAnsi="仿宋" w:eastAsia="仿宋" w:cs="宋体"/>
          <w:sz w:val="28"/>
          <w:szCs w:val="28"/>
        </w:rPr>
        <w:fldChar w:fldCharType="separate"/>
      </w:r>
      <w:r>
        <w:rPr>
          <w:rFonts w:hint="eastAsia" w:ascii="仿宋" w:hAnsi="仿宋" w:eastAsia="仿宋" w:cs="宋体"/>
          <w:sz w:val="28"/>
          <w:szCs w:val="28"/>
        </w:rPr>
        <w:t>49</w:t>
      </w:r>
      <w:r>
        <w:rPr>
          <w:rFonts w:hint="eastAsia" w:ascii="仿宋" w:hAnsi="仿宋" w:eastAsia="仿宋" w:cs="宋体"/>
          <w:sz w:val="28"/>
          <w:szCs w:val="28"/>
        </w:rPr>
        <w:fldChar w:fldCharType="end"/>
      </w:r>
      <w:r>
        <w:rPr>
          <w:rFonts w:hint="eastAsia" w:ascii="仿宋" w:hAnsi="仿宋" w:eastAsia="仿宋" w:cs="宋体"/>
          <w:sz w:val="28"/>
          <w:szCs w:val="28"/>
        </w:rPr>
        <w:fldChar w:fldCharType="end"/>
      </w:r>
    </w:p>
    <w:p>
      <w:pPr>
        <w:pStyle w:val="17"/>
        <w:tabs>
          <w:tab w:val="right" w:leader="middleDot" w:pos="8959"/>
        </w:tabs>
        <w:spacing w:line="480" w:lineRule="auto"/>
        <w:rPr>
          <w:rFonts w:ascii="仿宋" w:hAnsi="仿宋" w:eastAsia="仿宋" w:cs="宋体"/>
          <w:sz w:val="28"/>
          <w:szCs w:val="28"/>
        </w:rPr>
      </w:pPr>
      <w:r>
        <w:fldChar w:fldCharType="begin"/>
      </w:r>
      <w:r>
        <w:instrText xml:space="preserve"> HYPERLINK \l "_Toc31810" </w:instrText>
      </w:r>
      <w:r>
        <w:fldChar w:fldCharType="separate"/>
      </w:r>
      <w:r>
        <w:rPr>
          <w:rFonts w:hint="eastAsia" w:ascii="仿宋" w:hAnsi="仿宋" w:eastAsia="仿宋" w:cs="宋体"/>
          <w:sz w:val="28"/>
          <w:szCs w:val="28"/>
        </w:rPr>
        <w:t>第七章  评标办法</w:t>
      </w:r>
      <w:r>
        <w:rPr>
          <w:rFonts w:hint="eastAsia" w:ascii="仿宋" w:hAnsi="仿宋" w:eastAsia="仿宋" w:cs="宋体"/>
          <w:sz w:val="28"/>
          <w:szCs w:val="28"/>
        </w:rPr>
        <w:tab/>
      </w:r>
      <w:r>
        <w:rPr>
          <w:rFonts w:hint="eastAsia" w:ascii="仿宋" w:hAnsi="仿宋" w:eastAsia="仿宋" w:cs="宋体"/>
          <w:sz w:val="28"/>
          <w:szCs w:val="28"/>
        </w:rPr>
        <w:fldChar w:fldCharType="begin"/>
      </w:r>
      <w:r>
        <w:rPr>
          <w:rFonts w:hint="eastAsia" w:ascii="仿宋" w:hAnsi="仿宋" w:eastAsia="仿宋" w:cs="宋体"/>
          <w:sz w:val="28"/>
          <w:szCs w:val="28"/>
        </w:rPr>
        <w:instrText xml:space="preserve"> PAGEREF _Toc31810 </w:instrText>
      </w:r>
      <w:r>
        <w:rPr>
          <w:rFonts w:hint="eastAsia" w:ascii="仿宋" w:hAnsi="仿宋" w:eastAsia="仿宋" w:cs="宋体"/>
          <w:sz w:val="28"/>
          <w:szCs w:val="28"/>
        </w:rPr>
        <w:fldChar w:fldCharType="separate"/>
      </w:r>
      <w:r>
        <w:rPr>
          <w:rFonts w:hint="eastAsia" w:ascii="仿宋" w:hAnsi="仿宋" w:eastAsia="仿宋" w:cs="宋体"/>
          <w:sz w:val="28"/>
          <w:szCs w:val="28"/>
        </w:rPr>
        <w:t>53</w:t>
      </w:r>
      <w:r>
        <w:rPr>
          <w:rFonts w:hint="eastAsia" w:ascii="仿宋" w:hAnsi="仿宋" w:eastAsia="仿宋" w:cs="宋体"/>
          <w:sz w:val="28"/>
          <w:szCs w:val="28"/>
        </w:rPr>
        <w:fldChar w:fldCharType="end"/>
      </w:r>
      <w:r>
        <w:rPr>
          <w:rFonts w:hint="eastAsia" w:ascii="仿宋" w:hAnsi="仿宋" w:eastAsia="仿宋" w:cs="宋体"/>
          <w:sz w:val="28"/>
          <w:szCs w:val="28"/>
        </w:rPr>
        <w:fldChar w:fldCharType="end"/>
      </w:r>
    </w:p>
    <w:p>
      <w:pPr>
        <w:pStyle w:val="17"/>
        <w:tabs>
          <w:tab w:val="right" w:leader="middleDot" w:pos="8959"/>
        </w:tabs>
        <w:spacing w:line="480" w:lineRule="auto"/>
        <w:rPr>
          <w:rFonts w:ascii="仿宋" w:hAnsi="仿宋" w:eastAsia="仿宋" w:cs="宋体"/>
          <w:sz w:val="28"/>
          <w:szCs w:val="28"/>
        </w:rPr>
      </w:pPr>
      <w:r>
        <w:fldChar w:fldCharType="begin"/>
      </w:r>
      <w:r>
        <w:instrText xml:space="preserve"> HYPERLINK \l "_Toc5845" </w:instrText>
      </w:r>
      <w:r>
        <w:fldChar w:fldCharType="separate"/>
      </w:r>
      <w:r>
        <w:rPr>
          <w:rFonts w:hint="eastAsia" w:ascii="仿宋" w:hAnsi="仿宋" w:eastAsia="仿宋" w:cs="宋体"/>
          <w:sz w:val="28"/>
          <w:szCs w:val="28"/>
        </w:rPr>
        <w:t>第八章  政府采购合同</w:t>
      </w:r>
      <w:r>
        <w:rPr>
          <w:rFonts w:hint="eastAsia" w:ascii="仿宋" w:hAnsi="仿宋" w:eastAsia="仿宋" w:cs="宋体"/>
          <w:sz w:val="28"/>
          <w:szCs w:val="28"/>
        </w:rPr>
        <w:tab/>
      </w:r>
      <w:r>
        <w:rPr>
          <w:rFonts w:hint="eastAsia" w:ascii="仿宋" w:hAnsi="仿宋" w:eastAsia="仿宋" w:cs="宋体"/>
          <w:sz w:val="28"/>
          <w:szCs w:val="28"/>
        </w:rPr>
        <w:fldChar w:fldCharType="begin"/>
      </w:r>
      <w:r>
        <w:rPr>
          <w:rFonts w:hint="eastAsia" w:ascii="仿宋" w:hAnsi="仿宋" w:eastAsia="仿宋" w:cs="宋体"/>
          <w:sz w:val="28"/>
          <w:szCs w:val="28"/>
        </w:rPr>
        <w:instrText xml:space="preserve"> PAGEREF _Toc5845 </w:instrText>
      </w:r>
      <w:r>
        <w:rPr>
          <w:rFonts w:hint="eastAsia" w:ascii="仿宋" w:hAnsi="仿宋" w:eastAsia="仿宋" w:cs="宋体"/>
          <w:sz w:val="28"/>
          <w:szCs w:val="28"/>
        </w:rPr>
        <w:fldChar w:fldCharType="separate"/>
      </w:r>
      <w:r>
        <w:rPr>
          <w:rFonts w:hint="eastAsia" w:ascii="仿宋" w:hAnsi="仿宋" w:eastAsia="仿宋" w:cs="宋体"/>
          <w:sz w:val="28"/>
          <w:szCs w:val="28"/>
        </w:rPr>
        <w:t>62</w:t>
      </w:r>
      <w:r>
        <w:rPr>
          <w:rFonts w:hint="eastAsia" w:ascii="仿宋" w:hAnsi="仿宋" w:eastAsia="仿宋" w:cs="宋体"/>
          <w:sz w:val="28"/>
          <w:szCs w:val="28"/>
        </w:rPr>
        <w:fldChar w:fldCharType="end"/>
      </w:r>
      <w:r>
        <w:rPr>
          <w:rFonts w:hint="eastAsia" w:ascii="仿宋" w:hAnsi="仿宋" w:eastAsia="仿宋" w:cs="宋体"/>
          <w:sz w:val="28"/>
          <w:szCs w:val="28"/>
        </w:rPr>
        <w:fldChar w:fldCharType="end"/>
      </w:r>
    </w:p>
    <w:p>
      <w:pPr>
        <w:spacing w:line="480" w:lineRule="auto"/>
        <w:rPr>
          <w:rFonts w:ascii="仿宋" w:hAnsi="仿宋" w:eastAsia="仿宋"/>
          <w:sz w:val="28"/>
          <w:szCs w:val="28"/>
        </w:rPr>
        <w:sectPr>
          <w:headerReference r:id="rId5" w:type="default"/>
          <w:footerReference r:id="rId6" w:type="default"/>
          <w:footerReference r:id="rId7" w:type="even"/>
          <w:pgSz w:w="11907" w:h="16840"/>
          <w:pgMar w:top="1440" w:right="1474" w:bottom="1440" w:left="1474" w:header="851" w:footer="992" w:gutter="0"/>
          <w:cols w:space="720" w:num="1"/>
          <w:docGrid w:linePitch="312" w:charSpace="0"/>
        </w:sectPr>
      </w:pPr>
      <w:r>
        <w:rPr>
          <w:rFonts w:hint="eastAsia" w:ascii="仿宋" w:hAnsi="仿宋" w:eastAsia="仿宋" w:cs="宋体"/>
          <w:sz w:val="28"/>
          <w:szCs w:val="28"/>
        </w:rPr>
        <w:fldChar w:fldCharType="end"/>
      </w:r>
      <w:bookmarkStart w:id="4" w:name="_Toc24584"/>
      <w:bookmarkStart w:id="5" w:name="_Toc6066"/>
    </w:p>
    <w:p>
      <w:pPr>
        <w:pStyle w:val="2"/>
        <w:spacing w:line="420" w:lineRule="exact"/>
        <w:jc w:val="center"/>
        <w:rPr>
          <w:rFonts w:hint="eastAsia" w:asciiTheme="majorEastAsia" w:hAnsiTheme="majorEastAsia" w:eastAsiaTheme="majorEastAsia" w:cstheme="majorEastAsia"/>
          <w:sz w:val="36"/>
          <w:szCs w:val="36"/>
        </w:rPr>
      </w:pPr>
      <w:r>
        <w:rPr>
          <w:rFonts w:hint="eastAsia" w:asciiTheme="majorEastAsia" w:hAnsiTheme="majorEastAsia" w:eastAsiaTheme="majorEastAsia" w:cstheme="majorEastAsia"/>
          <w:sz w:val="36"/>
          <w:szCs w:val="36"/>
        </w:rPr>
        <w:t>第一章  投标邀请</w:t>
      </w:r>
      <w:bookmarkEnd w:id="4"/>
      <w:bookmarkEnd w:id="5"/>
    </w:p>
    <w:p>
      <w:pPr>
        <w:tabs>
          <w:tab w:val="left" w:pos="7665"/>
        </w:tabs>
        <w:spacing w:line="360" w:lineRule="auto"/>
        <w:ind w:firstLine="600" w:firstLineChars="25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u w:val="single"/>
          <w:lang w:eastAsia="zh-CN"/>
        </w:rPr>
        <w:t>西藏泽润招标代理有限公司</w:t>
      </w:r>
      <w:r>
        <w:rPr>
          <w:rFonts w:hint="eastAsia" w:asciiTheme="majorEastAsia" w:hAnsiTheme="majorEastAsia" w:eastAsiaTheme="majorEastAsia" w:cstheme="majorEastAsia"/>
          <w:sz w:val="24"/>
        </w:rPr>
        <w:t>受</w:t>
      </w:r>
      <w:r>
        <w:rPr>
          <w:rFonts w:hint="eastAsia" w:asciiTheme="majorEastAsia" w:hAnsiTheme="majorEastAsia" w:eastAsiaTheme="majorEastAsia" w:cstheme="majorEastAsia"/>
          <w:sz w:val="24"/>
          <w:u w:val="single"/>
          <w:lang w:eastAsia="zh-CN"/>
        </w:rPr>
        <w:t>西藏自治区妇产儿童医院（西藏自治区妇幼保健院）</w:t>
      </w:r>
      <w:r>
        <w:rPr>
          <w:rFonts w:hint="eastAsia" w:asciiTheme="majorEastAsia" w:hAnsiTheme="majorEastAsia" w:eastAsiaTheme="majorEastAsia" w:cstheme="majorEastAsia"/>
          <w:sz w:val="24"/>
        </w:rPr>
        <w:t>委托，拟对</w:t>
      </w:r>
      <w:bookmarkStart w:id="6" w:name="PO_默认文件内容_4"/>
      <w:r>
        <w:rPr>
          <w:rFonts w:hint="eastAsia" w:asciiTheme="majorEastAsia" w:hAnsiTheme="majorEastAsia" w:eastAsiaTheme="majorEastAsia" w:cstheme="majorEastAsia"/>
          <w:sz w:val="24"/>
          <w:u w:val="single"/>
          <w:lang w:eastAsia="zh-CN"/>
        </w:rPr>
        <w:t>西藏自治区妇产儿童医院（西藏自治区妇幼保健院）卫生医疗机构能力建设（病理科专用设备）项目（第二次）</w:t>
      </w:r>
      <w:r>
        <w:rPr>
          <w:rFonts w:hint="eastAsia" w:asciiTheme="majorEastAsia" w:hAnsiTheme="majorEastAsia" w:eastAsiaTheme="majorEastAsia" w:cstheme="majorEastAsia"/>
          <w:sz w:val="24"/>
        </w:rPr>
        <w:t>进行国内公开招标，兹邀请符</w:t>
      </w:r>
      <w:r>
        <w:rPr>
          <w:rFonts w:hint="eastAsia" w:asciiTheme="majorEastAsia" w:hAnsiTheme="majorEastAsia" w:eastAsiaTheme="majorEastAsia" w:cstheme="majorEastAsia"/>
          <w:kern w:val="2"/>
          <w:sz w:val="24"/>
          <w:szCs w:val="24"/>
          <w:lang w:val="en-US" w:eastAsia="zh-CN" w:bidi="ar-SA"/>
        </w:rPr>
        <w:t>合本次招标要求的供应</w:t>
      </w:r>
      <w:r>
        <w:rPr>
          <w:rFonts w:hint="eastAsia" w:asciiTheme="majorEastAsia" w:hAnsiTheme="majorEastAsia" w:eastAsiaTheme="majorEastAsia" w:cstheme="majorEastAsia"/>
          <w:sz w:val="24"/>
        </w:rPr>
        <w:t>商参</w:t>
      </w:r>
      <w:r>
        <w:rPr>
          <w:rFonts w:hint="eastAsia" w:asciiTheme="majorEastAsia" w:hAnsiTheme="majorEastAsia" w:eastAsiaTheme="majorEastAsia" w:cstheme="majorEastAsia"/>
          <w:kern w:val="2"/>
          <w:sz w:val="24"/>
          <w:szCs w:val="24"/>
          <w:lang w:val="en-US" w:eastAsia="zh-CN" w:bidi="ar-SA"/>
        </w:rPr>
        <w:t>加投</w:t>
      </w:r>
      <w:r>
        <w:rPr>
          <w:rFonts w:hint="eastAsia" w:asciiTheme="majorEastAsia" w:hAnsiTheme="majorEastAsia" w:eastAsiaTheme="majorEastAsia" w:cstheme="majorEastAsia"/>
          <w:sz w:val="24"/>
        </w:rPr>
        <w:t>标。</w:t>
      </w:r>
      <w:bookmarkEnd w:id="6"/>
    </w:p>
    <w:p>
      <w:pPr>
        <w:spacing w:line="420" w:lineRule="exact"/>
        <w:ind w:firstLine="482"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sz w:val="24"/>
        </w:rPr>
        <w:t>一、招标编号：</w:t>
      </w:r>
      <w:r>
        <w:rPr>
          <w:rFonts w:hint="eastAsia" w:asciiTheme="majorEastAsia" w:hAnsiTheme="majorEastAsia" w:eastAsiaTheme="majorEastAsia" w:cstheme="majorEastAsia"/>
          <w:b w:val="0"/>
          <w:sz w:val="24"/>
          <w:szCs w:val="24"/>
          <w:u w:val="none"/>
          <w:lang w:val="en-US" w:eastAsia="zh-CN"/>
        </w:rPr>
        <w:t>54000023210200016261</w:t>
      </w:r>
    </w:p>
    <w:p>
      <w:pPr>
        <w:tabs>
          <w:tab w:val="left" w:pos="7665"/>
        </w:tabs>
        <w:spacing w:line="420" w:lineRule="exact"/>
        <w:ind w:firstLine="482"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bCs/>
          <w:sz w:val="24"/>
        </w:rPr>
        <w:t>二、招标项目</w:t>
      </w:r>
      <w:r>
        <w:rPr>
          <w:rFonts w:hint="eastAsia" w:asciiTheme="majorEastAsia" w:hAnsiTheme="majorEastAsia" w:eastAsiaTheme="majorEastAsia" w:cstheme="majorEastAsia"/>
          <w:sz w:val="24"/>
        </w:rPr>
        <w:t>：</w:t>
      </w:r>
      <w:r>
        <w:rPr>
          <w:rFonts w:hint="eastAsia" w:asciiTheme="majorEastAsia" w:hAnsiTheme="majorEastAsia" w:eastAsiaTheme="majorEastAsia" w:cstheme="majorEastAsia"/>
          <w:sz w:val="24"/>
          <w:u w:val="none"/>
          <w:lang w:eastAsia="zh-CN"/>
        </w:rPr>
        <w:t>西藏自治区妇产儿童医院（西藏自治区妇幼保健院）卫生医疗机构能力建设（病理科专用设备）项目（第二次）</w:t>
      </w:r>
    </w:p>
    <w:p>
      <w:pPr>
        <w:spacing w:line="420" w:lineRule="exact"/>
        <w:ind w:right="31" w:rightChars="15" w:firstLine="482"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sz w:val="24"/>
          <w:szCs w:val="28"/>
        </w:rPr>
        <w:t>三、资金来源：</w:t>
      </w:r>
      <w:r>
        <w:rPr>
          <w:rFonts w:hint="eastAsia" w:asciiTheme="majorEastAsia" w:hAnsiTheme="majorEastAsia" w:eastAsiaTheme="majorEastAsia" w:cstheme="majorEastAsia"/>
          <w:sz w:val="24"/>
        </w:rPr>
        <w:t>已落实</w:t>
      </w:r>
      <w:r>
        <w:rPr>
          <w:rFonts w:hint="eastAsia" w:asciiTheme="majorEastAsia" w:hAnsiTheme="majorEastAsia" w:eastAsiaTheme="majorEastAsia" w:cstheme="majorEastAsia"/>
          <w:sz w:val="24"/>
          <w:lang w:val="en-US" w:eastAsia="zh-CN"/>
        </w:rPr>
        <w:t xml:space="preserve">    </w:t>
      </w:r>
      <w:r>
        <w:rPr>
          <w:rFonts w:hint="eastAsia" w:asciiTheme="majorEastAsia" w:hAnsiTheme="majorEastAsia" w:eastAsiaTheme="majorEastAsia" w:cstheme="majorEastAsia"/>
          <w:b/>
          <w:bCs/>
          <w:sz w:val="24"/>
          <w:lang w:val="en-US" w:eastAsia="zh-CN"/>
        </w:rPr>
        <w:t>预算金额</w:t>
      </w:r>
      <w:r>
        <w:rPr>
          <w:rFonts w:hint="eastAsia" w:asciiTheme="majorEastAsia" w:hAnsiTheme="majorEastAsia" w:eastAsiaTheme="majorEastAsia" w:cstheme="majorEastAsia"/>
          <w:sz w:val="24"/>
          <w:lang w:val="en-US" w:eastAsia="zh-CN"/>
        </w:rPr>
        <w:t>：62万元</w:t>
      </w:r>
    </w:p>
    <w:p>
      <w:pPr>
        <w:spacing w:line="420" w:lineRule="exact"/>
        <w:ind w:firstLine="482"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sz w:val="24"/>
        </w:rPr>
        <w:t>四</w:t>
      </w:r>
      <w:r>
        <w:rPr>
          <w:rFonts w:hint="eastAsia" w:asciiTheme="majorEastAsia" w:hAnsiTheme="majorEastAsia" w:eastAsiaTheme="majorEastAsia" w:cstheme="majorEastAsia"/>
          <w:b/>
          <w:bCs/>
          <w:sz w:val="24"/>
        </w:rPr>
        <w:t>、</w:t>
      </w:r>
      <w:r>
        <w:rPr>
          <w:rFonts w:hint="eastAsia" w:asciiTheme="majorEastAsia" w:hAnsiTheme="majorEastAsia" w:eastAsiaTheme="majorEastAsia" w:cstheme="majorEastAsia"/>
          <w:b/>
          <w:sz w:val="24"/>
        </w:rPr>
        <w:t>招标项目简介：</w:t>
      </w:r>
    </w:p>
    <w:p>
      <w:pPr>
        <w:spacing w:after="120" w:afterLines="50" w:line="420" w:lineRule="exact"/>
        <w:ind w:firstLine="480" w:firstLineChars="200"/>
        <w:rPr>
          <w:rFonts w:hint="eastAsia" w:asciiTheme="majorEastAsia" w:hAnsiTheme="majorEastAsia" w:eastAsiaTheme="majorEastAsia" w:cstheme="majorEastAsia"/>
          <w:sz w:val="24"/>
          <w:szCs w:val="28"/>
        </w:rPr>
      </w:pPr>
      <w:bookmarkStart w:id="7" w:name="PO_默认文件内容_3"/>
      <w:r>
        <w:rPr>
          <w:rFonts w:hint="eastAsia" w:asciiTheme="majorEastAsia" w:hAnsiTheme="majorEastAsia" w:eastAsiaTheme="majorEastAsia" w:cstheme="majorEastAsia"/>
          <w:sz w:val="24"/>
        </w:rPr>
        <w:t>本项目共一个包，采购</w:t>
      </w:r>
      <w:r>
        <w:rPr>
          <w:rFonts w:hint="eastAsia" w:asciiTheme="majorEastAsia" w:hAnsiTheme="majorEastAsia" w:eastAsiaTheme="majorEastAsia" w:cstheme="majorEastAsia"/>
          <w:sz w:val="24"/>
          <w:lang w:val="en-US" w:eastAsia="zh-CN"/>
        </w:rPr>
        <w:t>医疗器械(</w:t>
      </w:r>
      <w:r>
        <w:rPr>
          <w:rFonts w:hint="eastAsia" w:asciiTheme="majorEastAsia" w:hAnsiTheme="majorEastAsia" w:eastAsiaTheme="majorEastAsia" w:cstheme="majorEastAsia"/>
          <w:sz w:val="24"/>
        </w:rPr>
        <w:t>病理科专用设备</w:t>
      </w:r>
      <w:r>
        <w:rPr>
          <w:rFonts w:hint="eastAsia" w:asciiTheme="majorEastAsia" w:hAnsiTheme="majorEastAsia" w:eastAsiaTheme="majorEastAsia" w:cstheme="majorEastAsia"/>
          <w:sz w:val="24"/>
          <w:lang w:val="en-US" w:eastAsia="zh-CN"/>
        </w:rPr>
        <w:t>)</w:t>
      </w:r>
      <w:r>
        <w:rPr>
          <w:rFonts w:hint="eastAsia" w:asciiTheme="majorEastAsia" w:hAnsiTheme="majorEastAsia" w:eastAsiaTheme="majorEastAsia" w:cstheme="majorEastAsia"/>
          <w:sz w:val="24"/>
        </w:rPr>
        <w:t>一批</w:t>
      </w:r>
      <w:r>
        <w:rPr>
          <w:rFonts w:hint="eastAsia" w:asciiTheme="majorEastAsia" w:hAnsiTheme="majorEastAsia" w:eastAsiaTheme="majorEastAsia" w:cstheme="majorEastAsia"/>
          <w:spacing w:val="-4"/>
          <w:sz w:val="24"/>
        </w:rPr>
        <w:t>。</w:t>
      </w:r>
      <w:r>
        <w:rPr>
          <w:rFonts w:hint="eastAsia" w:asciiTheme="majorEastAsia" w:hAnsiTheme="majorEastAsia" w:eastAsiaTheme="majorEastAsia" w:cstheme="majorEastAsia"/>
          <w:sz w:val="24"/>
          <w:szCs w:val="28"/>
        </w:rPr>
        <w:t>（具体详见招标文件第六章）。</w:t>
      </w:r>
      <w:bookmarkEnd w:id="7"/>
    </w:p>
    <w:p>
      <w:pPr>
        <w:spacing w:after="120" w:afterLines="50" w:line="420" w:lineRule="exact"/>
        <w:ind w:firstLine="482" w:firstLineChars="200"/>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五、供应商参加本次政府采购活动，应当在提交投标文件前具备下列条件：</w:t>
      </w:r>
    </w:p>
    <w:p>
      <w:pPr>
        <w:pStyle w:val="46"/>
        <w:spacing w:line="420" w:lineRule="exact"/>
        <w:ind w:firstLine="600" w:firstLineChars="250"/>
        <w:rPr>
          <w:rFonts w:hint="eastAsia" w:asciiTheme="majorEastAsia" w:hAnsiTheme="majorEastAsia" w:eastAsiaTheme="majorEastAsia" w:cstheme="majorEastAsia"/>
          <w:sz w:val="24"/>
        </w:rPr>
      </w:pPr>
      <w:bookmarkStart w:id="8" w:name="PO_供应商资格条件_1"/>
      <w:r>
        <w:rPr>
          <w:rFonts w:hint="eastAsia" w:asciiTheme="majorEastAsia" w:hAnsiTheme="majorEastAsia" w:eastAsiaTheme="majorEastAsia" w:cstheme="majorEastAsia"/>
          <w:sz w:val="24"/>
        </w:rPr>
        <w:t>1、满足《中华人民共和国政府采购法》第二十二条规定；</w:t>
      </w:r>
    </w:p>
    <w:p>
      <w:pPr>
        <w:tabs>
          <w:tab w:val="left" w:pos="7665"/>
        </w:tabs>
        <w:spacing w:line="400" w:lineRule="exact"/>
        <w:ind w:firstLine="600" w:firstLineChars="25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2、根据采购项目提出的特殊条件：</w:t>
      </w:r>
    </w:p>
    <w:p>
      <w:pPr>
        <w:pStyle w:val="46"/>
        <w:spacing w:line="440" w:lineRule="exact"/>
        <w:ind w:firstLine="600" w:firstLineChars="250"/>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2.1</w:t>
      </w:r>
      <w:r>
        <w:rPr>
          <w:rFonts w:ascii="宋体" w:hAnsi="宋体" w:eastAsia="宋体" w:cs="宋体"/>
          <w:sz w:val="24"/>
          <w:szCs w:val="24"/>
        </w:rPr>
        <w:t>若采购产品为医疗器械的，投标人须符合《医疗器械监督管理条例》要求并提供投标人经营该产品的经营许可/经营备案证明材料；投标产品须符合《医疗器械注册与备案管理办法》要求并提供产品的注册/备案证明材料</w:t>
      </w:r>
      <w:r>
        <w:rPr>
          <w:rFonts w:hint="eastAsia" w:asciiTheme="majorEastAsia" w:hAnsiTheme="majorEastAsia" w:eastAsiaTheme="majorEastAsia" w:cstheme="majorEastAsia"/>
          <w:kern w:val="2"/>
          <w:sz w:val="24"/>
          <w:szCs w:val="24"/>
          <w:lang w:val="en-US" w:eastAsia="zh-CN" w:bidi="ar-SA"/>
        </w:rPr>
        <w:t>。</w:t>
      </w:r>
    </w:p>
    <w:p>
      <w:pPr>
        <w:pStyle w:val="46"/>
        <w:spacing w:line="440" w:lineRule="exact"/>
        <w:ind w:firstLine="480" w:firstLineChars="200"/>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2.2供应商须提供“截至递交响应文件截止日未被列入失信被执行人、重大税收违法案件当事人名单、政府采购严重违法失信行为记录名单的承诺函”。</w:t>
      </w:r>
    </w:p>
    <w:p>
      <w:pPr>
        <w:pStyle w:val="46"/>
        <w:spacing w:line="440" w:lineRule="exact"/>
        <w:ind w:firstLine="600" w:firstLineChars="25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kern w:val="2"/>
          <w:sz w:val="24"/>
          <w:szCs w:val="24"/>
          <w:lang w:val="en-US" w:eastAsia="zh-CN" w:bidi="ar-SA"/>
        </w:rPr>
        <w:t>注：将于资格审查时在‘信用中国’网站、 ‘中国政府采购网’网站等渠道对供应商进行信用记录查询，并将查询记录存档。凡被列入失信被执行人、重大税收违法案件当事人名单、政府采购严重违法失信行为记录名单的，视为存在不良信用记录，参与本项目的将被视为无效响应。（两个以上的自然人、法人或者其他组织组成一个联合体，以一个供应商的身份共同参加政府采购活动的，将对所有联合体成员进行信用记录查询，联合体成员存在不良信用记录的，视同联合体存在不良信用记录）。</w:t>
      </w:r>
    </w:p>
    <w:p>
      <w:pPr>
        <w:pStyle w:val="46"/>
        <w:spacing w:line="420" w:lineRule="exact"/>
        <w:ind w:firstLine="720" w:firstLineChars="3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lang w:val="en-US" w:eastAsia="zh-CN"/>
        </w:rPr>
        <w:t>2</w:t>
      </w:r>
      <w:r>
        <w:rPr>
          <w:rFonts w:hint="eastAsia" w:asciiTheme="majorEastAsia" w:hAnsiTheme="majorEastAsia" w:eastAsiaTheme="majorEastAsia" w:cstheme="majorEastAsia"/>
          <w:sz w:val="24"/>
        </w:rPr>
        <w:t>.</w:t>
      </w:r>
      <w:r>
        <w:rPr>
          <w:rFonts w:hint="eastAsia" w:asciiTheme="majorEastAsia" w:hAnsiTheme="majorEastAsia" w:eastAsiaTheme="majorEastAsia" w:cstheme="majorEastAsia"/>
          <w:sz w:val="24"/>
          <w:lang w:val="en-US" w:eastAsia="zh-CN"/>
        </w:rPr>
        <w:t>3</w:t>
      </w:r>
      <w:r>
        <w:rPr>
          <w:rFonts w:hint="eastAsia" w:asciiTheme="majorEastAsia" w:hAnsiTheme="majorEastAsia" w:eastAsiaTheme="majorEastAsia" w:cstheme="majorEastAsia"/>
          <w:kern w:val="2"/>
          <w:sz w:val="24"/>
          <w:szCs w:val="24"/>
          <w:lang w:val="en-US" w:eastAsia="zh-CN" w:bidi="ar-SA"/>
        </w:rPr>
        <w:t>本项目不允许联合体参加</w:t>
      </w:r>
      <w:r>
        <w:rPr>
          <w:rFonts w:hint="eastAsia" w:asciiTheme="majorEastAsia" w:hAnsiTheme="majorEastAsia" w:eastAsiaTheme="majorEastAsia" w:cstheme="majorEastAsia"/>
          <w:sz w:val="24"/>
        </w:rPr>
        <w:t>。</w:t>
      </w:r>
    </w:p>
    <w:bookmarkEnd w:id="8"/>
    <w:p>
      <w:pPr>
        <w:spacing w:after="50" w:line="420" w:lineRule="exact"/>
        <w:ind w:firstLine="482" w:firstLineChars="200"/>
        <w:rPr>
          <w:rFonts w:hint="eastAsia" w:asciiTheme="majorEastAsia" w:hAnsiTheme="majorEastAsia" w:eastAsiaTheme="majorEastAsia" w:cstheme="majorEastAsia"/>
          <w:b/>
          <w:sz w:val="24"/>
        </w:rPr>
      </w:pPr>
      <w:r>
        <w:rPr>
          <w:rFonts w:hint="eastAsia" w:asciiTheme="majorEastAsia" w:hAnsiTheme="majorEastAsia" w:eastAsiaTheme="majorEastAsia" w:cstheme="majorEastAsia"/>
          <w:b/>
          <w:sz w:val="24"/>
        </w:rPr>
        <w:t>六、招标文件获取时间、地点：</w:t>
      </w:r>
    </w:p>
    <w:p>
      <w:pPr>
        <w:spacing w:after="50" w:line="420" w:lineRule="exact"/>
        <w:ind w:firstLine="480" w:firstLineChars="200"/>
        <w:rPr>
          <w:rFonts w:ascii="宋体" w:hAnsi="宋体" w:cs="宋体"/>
          <w:sz w:val="24"/>
        </w:rPr>
      </w:pPr>
      <w:r>
        <w:rPr>
          <w:rFonts w:hint="eastAsia" w:asciiTheme="majorEastAsia" w:hAnsiTheme="majorEastAsia" w:eastAsiaTheme="majorEastAsia" w:cstheme="majorEastAsia"/>
          <w:sz w:val="24"/>
        </w:rPr>
        <w:t>招标文件自</w:t>
      </w:r>
      <w:r>
        <w:rPr>
          <w:rFonts w:hint="eastAsia" w:asciiTheme="majorEastAsia" w:hAnsiTheme="majorEastAsia" w:eastAsiaTheme="majorEastAsia" w:cstheme="majorEastAsia"/>
          <w:b/>
          <w:bCs/>
          <w:sz w:val="24"/>
        </w:rPr>
        <w:t>202</w:t>
      </w:r>
      <w:r>
        <w:rPr>
          <w:rFonts w:hint="eastAsia" w:asciiTheme="majorEastAsia" w:hAnsiTheme="majorEastAsia" w:eastAsiaTheme="majorEastAsia" w:cstheme="majorEastAsia"/>
          <w:b/>
          <w:bCs/>
          <w:sz w:val="24"/>
          <w:lang w:val="en-US" w:eastAsia="zh-CN"/>
        </w:rPr>
        <w:t>3</w:t>
      </w:r>
      <w:r>
        <w:rPr>
          <w:rFonts w:hint="eastAsia" w:asciiTheme="majorEastAsia" w:hAnsiTheme="majorEastAsia" w:eastAsiaTheme="majorEastAsia" w:cstheme="majorEastAsia"/>
          <w:b/>
          <w:bCs/>
          <w:sz w:val="24"/>
        </w:rPr>
        <w:t>年</w:t>
      </w:r>
      <w:r>
        <w:rPr>
          <w:rFonts w:hint="eastAsia" w:asciiTheme="majorEastAsia" w:hAnsiTheme="majorEastAsia" w:eastAsiaTheme="majorEastAsia" w:cstheme="majorEastAsia"/>
          <w:b/>
          <w:bCs/>
          <w:sz w:val="24"/>
          <w:u w:val="single"/>
        </w:rPr>
        <w:t xml:space="preserve"> </w:t>
      </w:r>
      <w:r>
        <w:rPr>
          <w:rFonts w:hint="eastAsia" w:asciiTheme="majorEastAsia" w:hAnsiTheme="majorEastAsia" w:eastAsiaTheme="majorEastAsia" w:cstheme="majorEastAsia"/>
          <w:b/>
          <w:bCs/>
          <w:sz w:val="24"/>
          <w:u w:val="single"/>
          <w:lang w:val="en-US" w:eastAsia="zh-CN"/>
        </w:rPr>
        <w:t xml:space="preserve"> 10 </w:t>
      </w:r>
      <w:r>
        <w:rPr>
          <w:rFonts w:hint="eastAsia" w:asciiTheme="majorEastAsia" w:hAnsiTheme="majorEastAsia" w:eastAsiaTheme="majorEastAsia" w:cstheme="majorEastAsia"/>
          <w:b/>
          <w:bCs/>
          <w:sz w:val="24"/>
        </w:rPr>
        <w:t>月</w:t>
      </w:r>
      <w:r>
        <w:rPr>
          <w:rFonts w:hint="eastAsia" w:asciiTheme="majorEastAsia" w:hAnsiTheme="majorEastAsia" w:eastAsiaTheme="majorEastAsia" w:cstheme="majorEastAsia"/>
          <w:b/>
          <w:bCs/>
          <w:sz w:val="24"/>
          <w:u w:val="single"/>
          <w:lang w:val="en-US" w:eastAsia="zh-CN"/>
        </w:rPr>
        <w:t xml:space="preserve"> 18</w:t>
      </w:r>
      <w:r>
        <w:rPr>
          <w:rFonts w:hint="eastAsia" w:asciiTheme="majorEastAsia" w:hAnsiTheme="majorEastAsia" w:eastAsiaTheme="majorEastAsia" w:cstheme="majorEastAsia"/>
          <w:b/>
          <w:bCs/>
          <w:sz w:val="24"/>
        </w:rPr>
        <w:t>日至202</w:t>
      </w:r>
      <w:r>
        <w:rPr>
          <w:rFonts w:hint="eastAsia" w:asciiTheme="majorEastAsia" w:hAnsiTheme="majorEastAsia" w:eastAsiaTheme="majorEastAsia" w:cstheme="majorEastAsia"/>
          <w:b/>
          <w:bCs/>
          <w:sz w:val="24"/>
          <w:lang w:val="en-US" w:eastAsia="zh-CN"/>
        </w:rPr>
        <w:t>3</w:t>
      </w:r>
      <w:r>
        <w:rPr>
          <w:rFonts w:hint="eastAsia" w:asciiTheme="majorEastAsia" w:hAnsiTheme="majorEastAsia" w:eastAsiaTheme="majorEastAsia" w:cstheme="majorEastAsia"/>
          <w:b/>
          <w:bCs/>
          <w:sz w:val="24"/>
        </w:rPr>
        <w:t>年</w:t>
      </w:r>
      <w:r>
        <w:rPr>
          <w:rFonts w:hint="eastAsia" w:asciiTheme="majorEastAsia" w:hAnsiTheme="majorEastAsia" w:eastAsiaTheme="majorEastAsia" w:cstheme="majorEastAsia"/>
          <w:b/>
          <w:bCs/>
          <w:sz w:val="24"/>
          <w:u w:val="single"/>
          <w:lang w:val="en-US" w:eastAsia="zh-CN"/>
        </w:rPr>
        <w:t xml:space="preserve"> 10 </w:t>
      </w:r>
      <w:r>
        <w:rPr>
          <w:rFonts w:hint="eastAsia" w:asciiTheme="majorEastAsia" w:hAnsiTheme="majorEastAsia" w:eastAsiaTheme="majorEastAsia" w:cstheme="majorEastAsia"/>
          <w:b/>
          <w:bCs/>
          <w:sz w:val="24"/>
        </w:rPr>
        <w:t>月</w:t>
      </w:r>
      <w:r>
        <w:rPr>
          <w:rFonts w:hint="eastAsia" w:asciiTheme="majorEastAsia" w:hAnsiTheme="majorEastAsia" w:eastAsiaTheme="majorEastAsia" w:cstheme="majorEastAsia"/>
          <w:b/>
          <w:bCs/>
          <w:sz w:val="24"/>
          <w:u w:val="single"/>
          <w:lang w:val="en-US" w:eastAsia="zh-CN"/>
        </w:rPr>
        <w:t xml:space="preserve">24  </w:t>
      </w:r>
      <w:r>
        <w:rPr>
          <w:rFonts w:hint="eastAsia" w:asciiTheme="majorEastAsia" w:hAnsiTheme="majorEastAsia" w:eastAsiaTheme="majorEastAsia" w:cstheme="majorEastAsia"/>
          <w:b/>
          <w:bCs/>
          <w:sz w:val="24"/>
        </w:rPr>
        <w:t>日（节假日除外）每天</w:t>
      </w:r>
      <w:r>
        <w:rPr>
          <w:rFonts w:hint="eastAsia" w:asciiTheme="majorEastAsia" w:hAnsiTheme="majorEastAsia" w:eastAsiaTheme="majorEastAsia" w:cstheme="majorEastAsia"/>
          <w:b/>
          <w:bCs/>
          <w:sz w:val="24"/>
          <w:lang w:val="en-US" w:eastAsia="zh-CN"/>
        </w:rPr>
        <w:t>09</w:t>
      </w:r>
      <w:r>
        <w:rPr>
          <w:rFonts w:hint="eastAsia" w:asciiTheme="majorEastAsia" w:hAnsiTheme="majorEastAsia" w:eastAsiaTheme="majorEastAsia" w:cstheme="majorEastAsia"/>
          <w:b/>
          <w:bCs/>
          <w:sz w:val="24"/>
        </w:rPr>
        <w:t>:</w:t>
      </w:r>
      <w:r>
        <w:rPr>
          <w:rFonts w:hint="eastAsia" w:asciiTheme="majorEastAsia" w:hAnsiTheme="majorEastAsia" w:eastAsiaTheme="majorEastAsia" w:cstheme="majorEastAsia"/>
          <w:b/>
          <w:bCs/>
          <w:sz w:val="24"/>
          <w:lang w:val="en-US" w:eastAsia="zh-CN"/>
        </w:rPr>
        <w:t>3</w:t>
      </w:r>
      <w:r>
        <w:rPr>
          <w:rFonts w:hint="eastAsia" w:asciiTheme="majorEastAsia" w:hAnsiTheme="majorEastAsia" w:eastAsiaTheme="majorEastAsia" w:cstheme="majorEastAsia"/>
          <w:b/>
          <w:bCs/>
          <w:sz w:val="24"/>
        </w:rPr>
        <w:t>0-13：00，15:</w:t>
      </w:r>
      <w:r>
        <w:rPr>
          <w:rFonts w:hint="eastAsia" w:asciiTheme="majorEastAsia" w:hAnsiTheme="majorEastAsia" w:eastAsiaTheme="majorEastAsia" w:cstheme="majorEastAsia"/>
          <w:b/>
          <w:bCs/>
          <w:sz w:val="24"/>
          <w:lang w:val="en-US" w:eastAsia="zh-CN"/>
        </w:rPr>
        <w:t>0</w:t>
      </w:r>
      <w:r>
        <w:rPr>
          <w:rFonts w:hint="eastAsia" w:asciiTheme="majorEastAsia" w:hAnsiTheme="majorEastAsia" w:eastAsiaTheme="majorEastAsia" w:cstheme="majorEastAsia"/>
          <w:b/>
          <w:bCs/>
          <w:sz w:val="24"/>
        </w:rPr>
        <w:t>0-18:00</w:t>
      </w:r>
      <w:r>
        <w:rPr>
          <w:rFonts w:hint="eastAsia" w:asciiTheme="majorEastAsia" w:hAnsiTheme="majorEastAsia" w:eastAsiaTheme="majorEastAsia" w:cstheme="majorEastAsia"/>
          <w:sz w:val="24"/>
        </w:rPr>
        <w:t>（北京时间）在</w:t>
      </w:r>
      <w:r>
        <w:rPr>
          <w:rFonts w:hint="eastAsia" w:asciiTheme="majorEastAsia" w:hAnsiTheme="majorEastAsia" w:eastAsiaTheme="majorEastAsia" w:cstheme="majorEastAsia"/>
          <w:sz w:val="24"/>
          <w:lang w:eastAsia="zh-CN"/>
        </w:rPr>
        <w:t>西藏泽润招标代理有限公司</w:t>
      </w:r>
      <w:r>
        <w:rPr>
          <w:rFonts w:hint="eastAsia" w:asciiTheme="majorEastAsia" w:hAnsiTheme="majorEastAsia" w:eastAsiaTheme="majorEastAsia" w:cstheme="majorEastAsia"/>
          <w:sz w:val="24"/>
          <w:lang w:val="en-US" w:eastAsia="zh-CN"/>
        </w:rPr>
        <w:t>(</w:t>
      </w:r>
      <w:r>
        <w:rPr>
          <w:rFonts w:hint="eastAsia" w:asciiTheme="majorEastAsia" w:hAnsiTheme="majorEastAsia" w:eastAsiaTheme="majorEastAsia" w:cstheme="majorEastAsia"/>
          <w:sz w:val="24"/>
        </w:rPr>
        <w:t>西藏自治区拉萨市藏大东路科技大厦</w:t>
      </w:r>
      <w:r>
        <w:rPr>
          <w:rFonts w:hint="eastAsia" w:asciiTheme="majorEastAsia" w:hAnsiTheme="majorEastAsia" w:eastAsiaTheme="majorEastAsia" w:cstheme="majorEastAsia"/>
          <w:sz w:val="24"/>
          <w:lang w:val="en-US" w:eastAsia="zh-CN"/>
        </w:rPr>
        <w:t>2</w:t>
      </w:r>
      <w:r>
        <w:rPr>
          <w:rFonts w:hint="eastAsia" w:asciiTheme="majorEastAsia" w:hAnsiTheme="majorEastAsia" w:eastAsiaTheme="majorEastAsia" w:cstheme="majorEastAsia"/>
          <w:sz w:val="24"/>
        </w:rPr>
        <w:t>楼</w:t>
      </w:r>
      <w:r>
        <w:rPr>
          <w:rFonts w:hint="eastAsia" w:asciiTheme="majorEastAsia" w:hAnsiTheme="majorEastAsia" w:eastAsiaTheme="majorEastAsia" w:cstheme="majorEastAsia"/>
          <w:sz w:val="24"/>
          <w:lang w:val="en-US" w:eastAsia="zh-CN"/>
        </w:rPr>
        <w:t>)</w:t>
      </w:r>
      <w:r>
        <w:rPr>
          <w:rFonts w:hint="eastAsia" w:ascii="宋体" w:hAnsi="宋体" w:cs="宋体"/>
          <w:sz w:val="24"/>
        </w:rPr>
        <w:t>报名及购买招标文件，招标文件每份售价850元（人民币），售后不退。</w:t>
      </w:r>
    </w:p>
    <w:p>
      <w:pPr>
        <w:spacing w:after="50" w:line="420" w:lineRule="exact"/>
        <w:ind w:firstLine="480" w:firstLineChars="200"/>
        <w:rPr>
          <w:rFonts w:ascii="宋体" w:hAnsi="宋体" w:cs="宋体"/>
          <w:sz w:val="24"/>
        </w:rPr>
      </w:pPr>
      <w:r>
        <w:rPr>
          <w:rFonts w:hint="eastAsia" w:ascii="宋体" w:hAnsi="宋体" w:cs="宋体"/>
          <w:sz w:val="24"/>
        </w:rPr>
        <w:t>报名时须提交以下资料复印件并加盖单位公章</w:t>
      </w:r>
      <w:r>
        <w:rPr>
          <w:rFonts w:hint="eastAsia" w:ascii="宋体" w:hAnsi="宋体" w:cs="宋体"/>
          <w:sz w:val="24"/>
          <w:lang w:eastAsia="zh-CN"/>
        </w:rPr>
        <w:t>，</w:t>
      </w:r>
      <w:r>
        <w:rPr>
          <w:rFonts w:hint="eastAsia" w:ascii="宋体" w:hAnsi="宋体" w:cs="宋体"/>
          <w:sz w:val="24"/>
          <w:lang w:val="en-US" w:eastAsia="zh-CN"/>
        </w:rPr>
        <w:t>报名资料上需填写投标单位联系人、联系电话及电子邮箱</w:t>
      </w:r>
      <w:r>
        <w:rPr>
          <w:rFonts w:hint="eastAsia" w:ascii="宋体" w:hAnsi="宋体" w:cs="宋体"/>
          <w:sz w:val="24"/>
        </w:rPr>
        <w:t>（所提供资料必须在有效期内），无须装订成册，交采购代理公司留存：</w:t>
      </w:r>
    </w:p>
    <w:p>
      <w:pPr>
        <w:pStyle w:val="48"/>
        <w:numPr>
          <w:ilvl w:val="0"/>
          <w:numId w:val="2"/>
        </w:numPr>
        <w:spacing w:after="50" w:line="420" w:lineRule="exact"/>
        <w:ind w:left="420" w:firstLine="0" w:firstLineChars="0"/>
        <w:rPr>
          <w:rFonts w:ascii="宋体" w:hAnsi="宋体" w:cs="宋体"/>
          <w:b/>
          <w:bCs/>
          <w:sz w:val="24"/>
        </w:rPr>
      </w:pPr>
      <w:r>
        <w:rPr>
          <w:rFonts w:hint="eastAsia" w:ascii="宋体" w:hAnsi="宋体" w:cs="宋体"/>
          <w:b/>
          <w:bCs/>
          <w:sz w:val="24"/>
        </w:rPr>
        <w:t>授权人委托书原件；</w:t>
      </w:r>
    </w:p>
    <w:p>
      <w:pPr>
        <w:spacing w:after="50" w:line="420" w:lineRule="exact"/>
        <w:ind w:firstLine="482" w:firstLineChars="200"/>
        <w:rPr>
          <w:rFonts w:hint="eastAsia" w:asciiTheme="majorEastAsia" w:hAnsiTheme="majorEastAsia" w:eastAsiaTheme="majorEastAsia" w:cstheme="majorEastAsia"/>
          <w:sz w:val="24"/>
        </w:rPr>
      </w:pPr>
      <w:r>
        <w:rPr>
          <w:rFonts w:hint="eastAsia" w:ascii="宋体" w:hAnsi="宋体" w:cs="宋体"/>
          <w:b/>
          <w:bCs/>
          <w:sz w:val="24"/>
          <w:lang w:val="en-US" w:eastAsia="zh-CN"/>
        </w:rPr>
        <w:t>2、</w:t>
      </w:r>
      <w:r>
        <w:rPr>
          <w:rFonts w:hint="eastAsia" w:ascii="宋体" w:hAnsi="宋体" w:cs="宋体"/>
          <w:b/>
          <w:bCs/>
          <w:sz w:val="24"/>
        </w:rPr>
        <w:t>法定代表人身份证复印件及委托代理人的身份证复印件；</w:t>
      </w:r>
    </w:p>
    <w:p>
      <w:pPr>
        <w:spacing w:after="120" w:afterLines="50" w:line="420" w:lineRule="exact"/>
        <w:ind w:firstLine="482" w:firstLineChars="200"/>
        <w:rPr>
          <w:rFonts w:hint="eastAsia" w:asciiTheme="majorEastAsia" w:hAnsiTheme="majorEastAsia" w:eastAsiaTheme="majorEastAsia" w:cstheme="majorEastAsia"/>
          <w:b/>
          <w:sz w:val="24"/>
        </w:rPr>
      </w:pPr>
      <w:r>
        <w:rPr>
          <w:rFonts w:hint="eastAsia" w:asciiTheme="majorEastAsia" w:hAnsiTheme="majorEastAsia" w:eastAsiaTheme="majorEastAsia" w:cstheme="majorEastAsia"/>
          <w:b/>
          <w:sz w:val="24"/>
          <w:szCs w:val="28"/>
        </w:rPr>
        <w:t>七、</w:t>
      </w:r>
      <w:r>
        <w:rPr>
          <w:rFonts w:hint="eastAsia" w:asciiTheme="majorEastAsia" w:hAnsiTheme="majorEastAsia" w:eastAsiaTheme="majorEastAsia" w:cstheme="majorEastAsia"/>
          <w:b/>
          <w:sz w:val="24"/>
        </w:rPr>
        <w:t>投标截止时间和开标时间：</w:t>
      </w:r>
      <w:r>
        <w:rPr>
          <w:rFonts w:hint="eastAsia" w:asciiTheme="majorEastAsia" w:hAnsiTheme="majorEastAsia" w:eastAsiaTheme="majorEastAsia" w:cstheme="majorEastAsia"/>
          <w:b/>
          <w:bCs/>
          <w:sz w:val="24"/>
          <w:u w:val="single"/>
          <w:lang w:val="en-US" w:eastAsia="zh-CN"/>
        </w:rPr>
        <w:t>2023</w:t>
      </w:r>
      <w:r>
        <w:rPr>
          <w:rFonts w:hint="eastAsia" w:asciiTheme="majorEastAsia" w:hAnsiTheme="majorEastAsia" w:eastAsiaTheme="majorEastAsia" w:cstheme="majorEastAsia"/>
          <w:b/>
          <w:bCs/>
          <w:sz w:val="24"/>
          <w:lang w:val="en-US" w:eastAsia="zh-CN"/>
        </w:rPr>
        <w:t>年</w:t>
      </w:r>
      <w:r>
        <w:rPr>
          <w:rFonts w:hint="eastAsia" w:asciiTheme="majorEastAsia" w:hAnsiTheme="majorEastAsia" w:eastAsiaTheme="majorEastAsia" w:cstheme="majorEastAsia"/>
          <w:b/>
          <w:bCs/>
          <w:sz w:val="24"/>
          <w:u w:val="single"/>
          <w:lang w:val="en-US" w:eastAsia="zh-CN"/>
        </w:rPr>
        <w:t xml:space="preserve"> 11  </w:t>
      </w:r>
      <w:r>
        <w:rPr>
          <w:rFonts w:hint="eastAsia" w:asciiTheme="majorEastAsia" w:hAnsiTheme="majorEastAsia" w:eastAsiaTheme="majorEastAsia" w:cstheme="majorEastAsia"/>
          <w:b/>
          <w:bCs/>
          <w:sz w:val="24"/>
          <w:u w:val="none"/>
          <w:lang w:val="en-US" w:eastAsia="zh-CN"/>
        </w:rPr>
        <w:t>月</w:t>
      </w:r>
      <w:r>
        <w:rPr>
          <w:rFonts w:hint="eastAsia" w:asciiTheme="majorEastAsia" w:hAnsiTheme="majorEastAsia" w:eastAsiaTheme="majorEastAsia" w:cstheme="majorEastAsia"/>
          <w:b/>
          <w:bCs/>
          <w:sz w:val="24"/>
          <w:u w:val="single"/>
          <w:lang w:val="en-US" w:eastAsia="zh-CN"/>
        </w:rPr>
        <w:t xml:space="preserve"> 7 </w:t>
      </w:r>
      <w:r>
        <w:rPr>
          <w:rFonts w:hint="eastAsia" w:asciiTheme="majorEastAsia" w:hAnsiTheme="majorEastAsia" w:eastAsiaTheme="majorEastAsia" w:cstheme="majorEastAsia"/>
          <w:b/>
          <w:bCs/>
          <w:sz w:val="24"/>
          <w:u w:val="none"/>
          <w:lang w:val="en-US" w:eastAsia="zh-CN"/>
        </w:rPr>
        <w:t>日</w:t>
      </w:r>
      <w:r>
        <w:rPr>
          <w:rFonts w:hint="eastAsia" w:asciiTheme="majorEastAsia" w:hAnsiTheme="majorEastAsia" w:eastAsiaTheme="majorEastAsia" w:cstheme="majorEastAsia"/>
          <w:b/>
          <w:bCs/>
          <w:sz w:val="24"/>
          <w:u w:val="single"/>
          <w:lang w:val="en-US" w:eastAsia="zh-CN"/>
        </w:rPr>
        <w:t xml:space="preserve"> 11 </w:t>
      </w:r>
      <w:r>
        <w:rPr>
          <w:rFonts w:hint="eastAsia" w:asciiTheme="majorEastAsia" w:hAnsiTheme="majorEastAsia" w:eastAsiaTheme="majorEastAsia" w:cstheme="majorEastAsia"/>
          <w:b/>
          <w:bCs/>
          <w:sz w:val="24"/>
          <w:lang w:val="en-US" w:eastAsia="zh-CN"/>
        </w:rPr>
        <w:t>时</w:t>
      </w:r>
      <w:r>
        <w:rPr>
          <w:rFonts w:hint="eastAsia" w:asciiTheme="majorEastAsia" w:hAnsiTheme="majorEastAsia" w:eastAsiaTheme="majorEastAsia" w:cstheme="majorEastAsia"/>
          <w:b/>
          <w:bCs/>
          <w:sz w:val="24"/>
          <w:u w:val="single"/>
          <w:lang w:val="en-US" w:eastAsia="zh-CN"/>
        </w:rPr>
        <w:t xml:space="preserve"> 00 </w:t>
      </w:r>
      <w:r>
        <w:rPr>
          <w:rFonts w:hint="eastAsia" w:asciiTheme="majorEastAsia" w:hAnsiTheme="majorEastAsia" w:eastAsiaTheme="majorEastAsia" w:cstheme="majorEastAsia"/>
          <w:b/>
          <w:bCs/>
          <w:sz w:val="24"/>
          <w:lang w:val="en-US" w:eastAsia="zh-CN"/>
        </w:rPr>
        <w:t>分</w:t>
      </w:r>
      <w:r>
        <w:rPr>
          <w:rFonts w:hint="eastAsia" w:asciiTheme="majorEastAsia" w:hAnsiTheme="majorEastAsia" w:eastAsiaTheme="majorEastAsia" w:cstheme="majorEastAsia"/>
          <w:sz w:val="24"/>
          <w:szCs w:val="28"/>
        </w:rPr>
        <w:t>（北京时间）。</w:t>
      </w:r>
    </w:p>
    <w:p>
      <w:pPr>
        <w:pStyle w:val="10"/>
        <w:spacing w:after="120" w:afterLines="50" w:line="420" w:lineRule="exact"/>
        <w:ind w:firstLine="480"/>
        <w:rPr>
          <w:rFonts w:hint="eastAsia" w:asciiTheme="majorEastAsia" w:hAnsiTheme="majorEastAsia" w:eastAsiaTheme="majorEastAsia" w:cstheme="majorEastAsia"/>
          <w:sz w:val="24"/>
          <w:szCs w:val="28"/>
          <w:lang w:eastAsia="zh-CN"/>
        </w:rPr>
      </w:pPr>
      <w:bookmarkStart w:id="9" w:name="PO_默认文件内容_12"/>
      <w:r>
        <w:rPr>
          <w:rFonts w:hint="eastAsia" w:asciiTheme="majorEastAsia" w:hAnsiTheme="majorEastAsia" w:eastAsiaTheme="majorEastAsia" w:cstheme="majorEastAsia"/>
          <w:sz w:val="24"/>
          <w:szCs w:val="28"/>
        </w:rPr>
        <w:t>投标文件必须在投标截止时间前送达开标地点。逾期送达或没有密封的投标文件不予接收。本次招标不接受邮寄的投标文件</w:t>
      </w:r>
      <w:bookmarkEnd w:id="9"/>
      <w:r>
        <w:rPr>
          <w:rFonts w:hint="eastAsia" w:asciiTheme="majorEastAsia" w:hAnsiTheme="majorEastAsia" w:eastAsiaTheme="majorEastAsia" w:cstheme="majorEastAsia"/>
          <w:b/>
          <w:bCs/>
          <w:sz w:val="24"/>
        </w:rPr>
        <w:t>（文件接收时间：</w:t>
      </w:r>
      <w:r>
        <w:rPr>
          <w:rFonts w:hint="eastAsia" w:asciiTheme="majorEastAsia" w:hAnsiTheme="majorEastAsia" w:eastAsiaTheme="majorEastAsia" w:cstheme="majorEastAsia"/>
          <w:b/>
          <w:bCs/>
          <w:sz w:val="24"/>
          <w:u w:val="single"/>
        </w:rPr>
        <w:t>202</w:t>
      </w:r>
      <w:r>
        <w:rPr>
          <w:rFonts w:hint="eastAsia" w:asciiTheme="majorEastAsia" w:hAnsiTheme="majorEastAsia" w:eastAsiaTheme="majorEastAsia" w:cstheme="majorEastAsia"/>
          <w:b/>
          <w:bCs/>
          <w:sz w:val="24"/>
          <w:u w:val="single"/>
          <w:lang w:val="en-US" w:eastAsia="zh-CN"/>
        </w:rPr>
        <w:t>3</w:t>
      </w:r>
      <w:r>
        <w:rPr>
          <w:rFonts w:hint="eastAsia" w:asciiTheme="majorEastAsia" w:hAnsiTheme="majorEastAsia" w:eastAsiaTheme="majorEastAsia" w:cstheme="majorEastAsia"/>
          <w:b/>
          <w:bCs/>
          <w:sz w:val="24"/>
        </w:rPr>
        <w:t>年</w:t>
      </w:r>
      <w:r>
        <w:rPr>
          <w:rFonts w:hint="eastAsia" w:asciiTheme="majorEastAsia" w:hAnsiTheme="majorEastAsia" w:eastAsiaTheme="majorEastAsia" w:cstheme="majorEastAsia"/>
          <w:b/>
          <w:bCs/>
          <w:sz w:val="24"/>
          <w:u w:val="single"/>
          <w:lang w:val="en-US" w:eastAsia="zh-CN"/>
        </w:rPr>
        <w:t xml:space="preserve"> 11</w:t>
      </w:r>
      <w:r>
        <w:rPr>
          <w:rFonts w:hint="eastAsia" w:asciiTheme="majorEastAsia" w:hAnsiTheme="majorEastAsia" w:eastAsiaTheme="majorEastAsia" w:cstheme="majorEastAsia"/>
          <w:b/>
          <w:bCs/>
          <w:sz w:val="24"/>
          <w:u w:val="single"/>
        </w:rPr>
        <w:t xml:space="preserve"> </w:t>
      </w:r>
      <w:r>
        <w:rPr>
          <w:rFonts w:hint="eastAsia" w:asciiTheme="majorEastAsia" w:hAnsiTheme="majorEastAsia" w:eastAsiaTheme="majorEastAsia" w:cstheme="majorEastAsia"/>
          <w:b/>
          <w:bCs/>
          <w:sz w:val="24"/>
        </w:rPr>
        <w:t>月</w:t>
      </w:r>
      <w:r>
        <w:rPr>
          <w:rFonts w:hint="eastAsia" w:asciiTheme="majorEastAsia" w:hAnsiTheme="majorEastAsia" w:eastAsiaTheme="majorEastAsia" w:cstheme="majorEastAsia"/>
          <w:b/>
          <w:bCs/>
          <w:sz w:val="24"/>
          <w:u w:val="single"/>
          <w:lang w:val="en-US" w:eastAsia="zh-CN"/>
        </w:rPr>
        <w:t xml:space="preserve">  7 </w:t>
      </w:r>
      <w:r>
        <w:rPr>
          <w:rFonts w:hint="eastAsia" w:asciiTheme="majorEastAsia" w:hAnsiTheme="majorEastAsia" w:eastAsiaTheme="majorEastAsia" w:cstheme="majorEastAsia"/>
          <w:b/>
          <w:bCs/>
          <w:sz w:val="24"/>
        </w:rPr>
        <w:t>日</w:t>
      </w:r>
      <w:r>
        <w:rPr>
          <w:rFonts w:hint="eastAsia" w:asciiTheme="majorEastAsia" w:hAnsiTheme="majorEastAsia" w:eastAsiaTheme="majorEastAsia" w:cstheme="majorEastAsia"/>
          <w:b/>
          <w:bCs/>
          <w:sz w:val="24"/>
          <w:lang w:val="en-US" w:eastAsia="zh-CN"/>
        </w:rPr>
        <w:t xml:space="preserve"> 10时30 分-11 时 00 分</w:t>
      </w:r>
      <w:r>
        <w:rPr>
          <w:rFonts w:hint="eastAsia" w:asciiTheme="majorEastAsia" w:hAnsiTheme="majorEastAsia" w:eastAsiaTheme="majorEastAsia" w:cstheme="majorEastAsia"/>
          <w:b/>
          <w:bCs/>
          <w:sz w:val="24"/>
        </w:rPr>
        <w:t>（北京时间）</w:t>
      </w:r>
      <w:r>
        <w:rPr>
          <w:rFonts w:hint="eastAsia" w:asciiTheme="majorEastAsia" w:hAnsiTheme="majorEastAsia" w:eastAsiaTheme="majorEastAsia" w:cstheme="majorEastAsia"/>
          <w:b/>
          <w:bCs/>
          <w:sz w:val="24"/>
          <w:lang w:eastAsia="zh-CN"/>
        </w:rPr>
        <w:t>。</w:t>
      </w:r>
    </w:p>
    <w:p>
      <w:pPr>
        <w:spacing w:after="50" w:line="420" w:lineRule="exact"/>
        <w:ind w:firstLine="489" w:firstLineChars="203"/>
        <w:rPr>
          <w:rFonts w:hint="eastAsia" w:asciiTheme="majorEastAsia" w:hAnsiTheme="majorEastAsia" w:eastAsiaTheme="majorEastAsia" w:cstheme="majorEastAsia"/>
          <w:sz w:val="24"/>
          <w:szCs w:val="28"/>
        </w:rPr>
      </w:pPr>
      <w:r>
        <w:rPr>
          <w:rFonts w:hint="eastAsia" w:asciiTheme="majorEastAsia" w:hAnsiTheme="majorEastAsia" w:eastAsiaTheme="majorEastAsia" w:cstheme="majorEastAsia"/>
          <w:b/>
          <w:sz w:val="24"/>
          <w:szCs w:val="28"/>
        </w:rPr>
        <w:t>八、</w:t>
      </w:r>
      <w:r>
        <w:rPr>
          <w:rFonts w:hint="eastAsia" w:asciiTheme="majorEastAsia" w:hAnsiTheme="majorEastAsia" w:eastAsiaTheme="majorEastAsia" w:cstheme="majorEastAsia"/>
          <w:sz w:val="24"/>
          <w:szCs w:val="28"/>
        </w:rPr>
        <w:t>开标地点：</w:t>
      </w:r>
      <w:r>
        <w:rPr>
          <w:rFonts w:hint="eastAsia" w:asciiTheme="majorEastAsia" w:hAnsiTheme="majorEastAsia" w:eastAsiaTheme="majorEastAsia" w:cstheme="majorEastAsia"/>
          <w:kern w:val="2"/>
          <w:sz w:val="24"/>
          <w:szCs w:val="24"/>
          <w:lang w:val="en-US" w:eastAsia="zh-CN" w:bidi="ar-SA"/>
        </w:rPr>
        <w:t>西藏泽润招标代理有限公司开标室（西藏自治区拉萨市藏大东路科技大厦2楼）</w:t>
      </w:r>
      <w:r>
        <w:rPr>
          <w:rFonts w:hint="eastAsia" w:asciiTheme="majorEastAsia" w:hAnsiTheme="majorEastAsia" w:eastAsiaTheme="majorEastAsia" w:cstheme="majorEastAsia"/>
          <w:sz w:val="24"/>
          <w:szCs w:val="28"/>
        </w:rPr>
        <w:t>。</w:t>
      </w:r>
    </w:p>
    <w:p>
      <w:pPr>
        <w:pStyle w:val="46"/>
        <w:spacing w:line="420" w:lineRule="exact"/>
        <w:ind w:firstLine="482"/>
        <w:rPr>
          <w:rFonts w:hint="eastAsia" w:asciiTheme="majorEastAsia" w:hAnsiTheme="majorEastAsia" w:eastAsiaTheme="majorEastAsia" w:cstheme="majorEastAsia"/>
          <w:sz w:val="24"/>
        </w:rPr>
      </w:pPr>
      <w:bookmarkStart w:id="10" w:name="PO_默认文件内容_13"/>
      <w:r>
        <w:rPr>
          <w:rFonts w:hint="eastAsia" w:asciiTheme="majorEastAsia" w:hAnsiTheme="majorEastAsia" w:eastAsiaTheme="majorEastAsia" w:cstheme="majorEastAsia"/>
          <w:b/>
          <w:sz w:val="24"/>
        </w:rPr>
        <w:t>九、</w:t>
      </w:r>
      <w:r>
        <w:rPr>
          <w:rFonts w:hint="eastAsia" w:asciiTheme="majorEastAsia" w:hAnsiTheme="majorEastAsia" w:eastAsiaTheme="majorEastAsia" w:cstheme="majorEastAsia"/>
          <w:sz w:val="24"/>
        </w:rPr>
        <w:t>本投标邀请在</w:t>
      </w:r>
      <w:r>
        <w:rPr>
          <w:rFonts w:hint="eastAsia" w:asciiTheme="majorEastAsia" w:hAnsiTheme="majorEastAsia" w:eastAsiaTheme="majorEastAsia" w:cstheme="majorEastAsia"/>
          <w:sz w:val="24"/>
          <w:lang w:eastAsia="zh-CN"/>
        </w:rPr>
        <w:t>西藏自治区</w:t>
      </w:r>
      <w:r>
        <w:rPr>
          <w:rFonts w:hint="eastAsia" w:asciiTheme="majorEastAsia" w:hAnsiTheme="majorEastAsia" w:eastAsiaTheme="majorEastAsia" w:cstheme="majorEastAsia"/>
          <w:sz w:val="24"/>
        </w:rPr>
        <w:t>政府采购网上以公告形式发布。</w:t>
      </w:r>
      <w:bookmarkEnd w:id="10"/>
    </w:p>
    <w:p>
      <w:pPr>
        <w:pStyle w:val="46"/>
        <w:spacing w:line="420" w:lineRule="exact"/>
        <w:ind w:firstLine="482"/>
        <w:rPr>
          <w:rFonts w:hint="eastAsia" w:asciiTheme="majorEastAsia" w:hAnsiTheme="majorEastAsia" w:eastAsiaTheme="majorEastAsia" w:cstheme="majorEastAsia"/>
          <w:b/>
          <w:sz w:val="24"/>
        </w:rPr>
      </w:pPr>
      <w:r>
        <w:rPr>
          <w:rFonts w:hint="eastAsia" w:asciiTheme="majorEastAsia" w:hAnsiTheme="majorEastAsia" w:eastAsiaTheme="majorEastAsia" w:cstheme="majorEastAsia"/>
          <w:b/>
          <w:sz w:val="24"/>
        </w:rPr>
        <w:t>十、联系方式</w:t>
      </w:r>
    </w:p>
    <w:p>
      <w:pPr>
        <w:pStyle w:val="46"/>
        <w:spacing w:line="360" w:lineRule="auto"/>
        <w:ind w:firstLine="1446" w:firstLineChars="600"/>
        <w:rPr>
          <w:rFonts w:hint="eastAsia" w:asciiTheme="minorEastAsia" w:hAnsiTheme="minorEastAsia" w:eastAsiaTheme="minorEastAsia" w:cstheme="minorEastAsia"/>
          <w:b/>
          <w:bCs/>
          <w:sz w:val="28"/>
          <w:szCs w:val="28"/>
          <w:lang w:eastAsia="zh-CN"/>
        </w:rPr>
      </w:pPr>
      <w:r>
        <w:rPr>
          <w:rFonts w:hint="eastAsia" w:asciiTheme="majorEastAsia" w:hAnsiTheme="majorEastAsia" w:eastAsiaTheme="majorEastAsia" w:cstheme="majorEastAsia"/>
          <w:b/>
          <w:bCs/>
          <w:kern w:val="2"/>
          <w:sz w:val="24"/>
          <w:szCs w:val="24"/>
          <w:lang w:val="en-US" w:eastAsia="zh-CN" w:bidi="ar-SA"/>
        </w:rPr>
        <w:t>采购人：西藏自治区妇产儿童医院（西藏自治区妇幼保健院）</w:t>
      </w:r>
    </w:p>
    <w:p>
      <w:pPr>
        <w:widowControl/>
        <w:wordWrap w:val="0"/>
        <w:spacing w:line="360" w:lineRule="auto"/>
        <w:ind w:firstLine="1440" w:firstLineChars="600"/>
        <w:jc w:val="left"/>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通讯地址：</w:t>
      </w:r>
      <w:bookmarkStart w:id="11" w:name="OLE_LINK1"/>
      <w:bookmarkStart w:id="12" w:name="OLE_LINK2"/>
      <w:r>
        <w:rPr>
          <w:rFonts w:hint="eastAsia" w:asciiTheme="majorEastAsia" w:hAnsiTheme="majorEastAsia" w:eastAsiaTheme="majorEastAsia" w:cstheme="majorEastAsia"/>
          <w:kern w:val="2"/>
          <w:sz w:val="24"/>
          <w:szCs w:val="24"/>
          <w:lang w:val="en-US" w:eastAsia="zh-CN" w:bidi="ar-SA"/>
        </w:rPr>
        <w:t>西藏自治区拉萨市柳梧新区察古大道10号</w:t>
      </w:r>
      <w:bookmarkEnd w:id="11"/>
      <w:bookmarkEnd w:id="12"/>
    </w:p>
    <w:p>
      <w:pPr>
        <w:pStyle w:val="46"/>
        <w:spacing w:line="360" w:lineRule="auto"/>
        <w:ind w:firstLine="1440" w:firstLineChars="600"/>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联 系 人：  张老师     联系电话：0891-6629040</w:t>
      </w:r>
    </w:p>
    <w:p>
      <w:pPr>
        <w:pStyle w:val="46"/>
        <w:spacing w:line="420" w:lineRule="exact"/>
        <w:ind w:firstLine="1506" w:firstLineChars="625"/>
        <w:rPr>
          <w:rFonts w:hint="eastAsia" w:asciiTheme="majorEastAsia" w:hAnsiTheme="majorEastAsia" w:eastAsiaTheme="majorEastAsia" w:cstheme="majorEastAsia"/>
          <w:b/>
          <w:bCs/>
          <w:kern w:val="2"/>
          <w:sz w:val="24"/>
          <w:szCs w:val="24"/>
          <w:lang w:val="en-US" w:eastAsia="zh-CN" w:bidi="ar-SA"/>
        </w:rPr>
      </w:pPr>
      <w:r>
        <w:rPr>
          <w:rFonts w:hint="eastAsia" w:asciiTheme="majorEastAsia" w:hAnsiTheme="majorEastAsia" w:eastAsiaTheme="majorEastAsia" w:cstheme="majorEastAsia"/>
          <w:b/>
          <w:bCs/>
          <w:kern w:val="2"/>
          <w:sz w:val="24"/>
          <w:szCs w:val="24"/>
          <w:lang w:val="en-US" w:eastAsia="zh-CN" w:bidi="ar-SA"/>
        </w:rPr>
        <w:t>采购代理机构</w:t>
      </w:r>
      <w:r>
        <w:rPr>
          <w:rFonts w:hint="eastAsia" w:asciiTheme="majorEastAsia" w:hAnsiTheme="majorEastAsia" w:eastAsiaTheme="majorEastAsia" w:cstheme="majorEastAsia"/>
          <w:kern w:val="2"/>
          <w:sz w:val="24"/>
          <w:szCs w:val="24"/>
          <w:lang w:val="en-US" w:eastAsia="zh-CN" w:bidi="ar-SA"/>
        </w:rPr>
        <w:t>：</w:t>
      </w:r>
      <w:r>
        <w:rPr>
          <w:rFonts w:hint="eastAsia" w:asciiTheme="majorEastAsia" w:hAnsiTheme="majorEastAsia" w:eastAsiaTheme="majorEastAsia" w:cstheme="majorEastAsia"/>
          <w:b/>
          <w:bCs/>
          <w:kern w:val="2"/>
          <w:sz w:val="24"/>
          <w:szCs w:val="24"/>
          <w:lang w:val="en-US" w:eastAsia="zh-CN" w:bidi="ar-SA"/>
        </w:rPr>
        <w:t>西藏泽润招标代理有限公司</w:t>
      </w:r>
    </w:p>
    <w:p>
      <w:pPr>
        <w:pStyle w:val="46"/>
        <w:spacing w:line="420" w:lineRule="exact"/>
        <w:ind w:firstLine="1500" w:firstLineChars="625"/>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地    址：西藏自治区拉萨市藏大东路科技大厦2楼</w:t>
      </w:r>
    </w:p>
    <w:p>
      <w:pPr>
        <w:pStyle w:val="46"/>
        <w:spacing w:line="420" w:lineRule="exact"/>
        <w:ind w:firstLine="1500" w:firstLineChars="625"/>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邮    编：850000</w:t>
      </w:r>
    </w:p>
    <w:p>
      <w:pPr>
        <w:pStyle w:val="46"/>
        <w:spacing w:line="420" w:lineRule="exact"/>
        <w:ind w:firstLine="1500" w:firstLineChars="625"/>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联 系 人：滕先生</w:t>
      </w:r>
    </w:p>
    <w:p>
      <w:pPr>
        <w:pStyle w:val="46"/>
        <w:spacing w:line="420" w:lineRule="exact"/>
        <w:ind w:firstLine="1500" w:firstLineChars="625"/>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联系电话：0891-6323399</w:t>
      </w:r>
    </w:p>
    <w:p>
      <w:pPr>
        <w:pStyle w:val="46"/>
        <w:spacing w:line="420" w:lineRule="exact"/>
        <w:ind w:firstLine="1260" w:firstLineChars="525"/>
        <w:rPr>
          <w:rFonts w:hint="eastAsia" w:asciiTheme="majorEastAsia" w:hAnsiTheme="majorEastAsia" w:eastAsiaTheme="majorEastAsia" w:cstheme="majorEastAsia"/>
          <w:kern w:val="2"/>
          <w:sz w:val="24"/>
          <w:szCs w:val="24"/>
          <w:lang w:val="en-US" w:eastAsia="zh-CN" w:bidi="ar-SA"/>
        </w:rPr>
        <w:sectPr>
          <w:pgSz w:w="11907" w:h="16840"/>
          <w:pgMar w:top="1440" w:right="1474" w:bottom="1440" w:left="1474" w:header="851" w:footer="992" w:gutter="0"/>
          <w:cols w:space="720" w:num="1"/>
          <w:docGrid w:linePitch="312" w:charSpace="0"/>
        </w:sectPr>
      </w:pPr>
      <w:bookmarkStart w:id="13" w:name="_Toc12497"/>
      <w:bookmarkStart w:id="14" w:name="_Toc12420"/>
      <w:bookmarkStart w:id="15" w:name="_Toc217446031"/>
      <w:bookmarkStart w:id="16" w:name="_Toc213396945"/>
      <w:bookmarkStart w:id="17" w:name="_Toc213397009"/>
      <w:bookmarkStart w:id="18" w:name="_Toc213396759"/>
      <w:bookmarkStart w:id="19" w:name="_Toc213496267"/>
    </w:p>
    <w:p>
      <w:pPr>
        <w:pStyle w:val="2"/>
        <w:jc w:val="center"/>
        <w:rPr>
          <w:rFonts w:hint="eastAsia" w:asciiTheme="majorEastAsia" w:hAnsiTheme="majorEastAsia" w:eastAsiaTheme="majorEastAsia" w:cstheme="majorEastAsia"/>
          <w:sz w:val="36"/>
          <w:szCs w:val="36"/>
        </w:rPr>
      </w:pPr>
      <w:r>
        <w:rPr>
          <w:rFonts w:hint="eastAsia" w:asciiTheme="majorEastAsia" w:hAnsiTheme="majorEastAsia" w:eastAsiaTheme="majorEastAsia" w:cstheme="majorEastAsia"/>
          <w:sz w:val="36"/>
          <w:szCs w:val="36"/>
        </w:rPr>
        <w:t>第二章  投标人须知</w:t>
      </w:r>
      <w:bookmarkEnd w:id="13"/>
      <w:bookmarkEnd w:id="14"/>
    </w:p>
    <w:p>
      <w:pPr>
        <w:pStyle w:val="3"/>
        <w:spacing w:line="240" w:lineRule="atLeast"/>
        <w:jc w:val="center"/>
        <w:rPr>
          <w:rFonts w:hint="eastAsia" w:asciiTheme="majorEastAsia" w:hAnsiTheme="majorEastAsia" w:eastAsiaTheme="majorEastAsia" w:cstheme="majorEastAsia"/>
        </w:rPr>
      </w:pPr>
      <w:r>
        <w:rPr>
          <w:rFonts w:hint="eastAsia" w:asciiTheme="majorEastAsia" w:hAnsiTheme="majorEastAsia" w:eastAsiaTheme="majorEastAsia" w:cstheme="majorEastAsia"/>
        </w:rPr>
        <w:t>一、投标人须知附表</w:t>
      </w:r>
    </w:p>
    <w:bookmarkEnd w:id="15"/>
    <w:bookmarkEnd w:id="16"/>
    <w:bookmarkEnd w:id="17"/>
    <w:bookmarkEnd w:id="18"/>
    <w:bookmarkEnd w:id="19"/>
    <w:tbl>
      <w:tblPr>
        <w:tblStyle w:val="25"/>
        <w:tblW w:w="9638" w:type="dxa"/>
        <w:jc w:val="center"/>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
      <w:tblGrid>
        <w:gridCol w:w="838"/>
        <w:gridCol w:w="2003"/>
        <w:gridCol w:w="6797"/>
      </w:tblGrid>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tblHeader/>
          <w:jc w:val="center"/>
        </w:trPr>
        <w:tc>
          <w:tcPr>
            <w:tcW w:w="838" w:type="dxa"/>
            <w:vAlign w:val="center"/>
          </w:tcPr>
          <w:p>
            <w:pPr>
              <w:pStyle w:val="45"/>
              <w:ind w:left="9"/>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序号</w:t>
            </w:r>
          </w:p>
        </w:tc>
        <w:tc>
          <w:tcPr>
            <w:tcW w:w="2003" w:type="dxa"/>
            <w:vAlign w:val="center"/>
          </w:tcPr>
          <w:p>
            <w:pPr>
              <w:pStyle w:val="45"/>
              <w:ind w:left="38"/>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条款名称</w:t>
            </w:r>
          </w:p>
        </w:tc>
        <w:tc>
          <w:tcPr>
            <w:tcW w:w="6797" w:type="dxa"/>
            <w:vAlign w:val="center"/>
          </w:tcPr>
          <w:p>
            <w:pPr>
              <w:pStyle w:val="45"/>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说明和要求</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vMerge w:val="restart"/>
            <w:vAlign w:val="center"/>
          </w:tcPr>
          <w:p>
            <w:pPr>
              <w:pStyle w:val="45"/>
              <w:ind w:right="230"/>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1</w:t>
            </w:r>
          </w:p>
        </w:tc>
        <w:tc>
          <w:tcPr>
            <w:tcW w:w="2003" w:type="dxa"/>
            <w:tcBorders>
              <w:bottom w:val="single" w:color="auto" w:sz="4" w:space="0"/>
            </w:tcBorders>
            <w:vAlign w:val="center"/>
          </w:tcPr>
          <w:p>
            <w:pPr>
              <w:pStyle w:val="45"/>
              <w:ind w:left="38"/>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采购预算</w:t>
            </w:r>
          </w:p>
          <w:p>
            <w:pPr>
              <w:pStyle w:val="45"/>
              <w:ind w:left="38"/>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sz w:val="24"/>
                <w:szCs w:val="24"/>
              </w:rPr>
              <w:t>（实质性要求）</w:t>
            </w:r>
          </w:p>
        </w:tc>
        <w:tc>
          <w:tcPr>
            <w:tcW w:w="6797" w:type="dxa"/>
            <w:tcBorders>
              <w:bottom w:val="single" w:color="auto" w:sz="4" w:space="0"/>
            </w:tcBorders>
          </w:tcPr>
          <w:p>
            <w:pPr>
              <w:pStyle w:val="45"/>
              <w:jc w:val="both"/>
              <w:rPr>
                <w:rFonts w:hint="eastAsia" w:asciiTheme="majorEastAsia" w:hAnsiTheme="majorEastAsia" w:eastAsiaTheme="majorEastAsia" w:cstheme="majorEastAsia"/>
                <w:sz w:val="32"/>
                <w:szCs w:val="32"/>
              </w:rPr>
            </w:pPr>
            <w:r>
              <w:rPr>
                <w:rFonts w:hint="eastAsia" w:asciiTheme="majorEastAsia" w:hAnsiTheme="majorEastAsia" w:eastAsiaTheme="majorEastAsia" w:cstheme="majorEastAsia"/>
                <w:sz w:val="24"/>
                <w:szCs w:val="24"/>
                <w:lang w:val="en-US" w:eastAsia="zh-CN"/>
              </w:rPr>
              <w:t>62</w:t>
            </w:r>
            <w:r>
              <w:rPr>
                <w:rFonts w:hint="eastAsia" w:asciiTheme="majorEastAsia" w:hAnsiTheme="majorEastAsia" w:eastAsiaTheme="majorEastAsia" w:cstheme="majorEastAsia"/>
                <w:sz w:val="24"/>
                <w:szCs w:val="24"/>
              </w:rPr>
              <w:t>万元</w:t>
            </w:r>
          </w:p>
          <w:p>
            <w:pPr>
              <w:pStyle w:val="45"/>
              <w:jc w:val="both"/>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sz w:val="24"/>
                <w:szCs w:val="24"/>
              </w:rPr>
              <w:t>超过采购预算的投标为无效投标。</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vMerge w:val="continue"/>
            <w:vAlign w:val="center"/>
          </w:tcPr>
          <w:p>
            <w:pPr>
              <w:rPr>
                <w:rFonts w:hint="eastAsia" w:asciiTheme="majorEastAsia" w:hAnsiTheme="majorEastAsia" w:eastAsiaTheme="majorEastAsia" w:cstheme="majorEastAsia"/>
                <w:sz w:val="24"/>
                <w:szCs w:val="24"/>
              </w:rPr>
            </w:pPr>
          </w:p>
        </w:tc>
        <w:tc>
          <w:tcPr>
            <w:tcW w:w="2003" w:type="dxa"/>
            <w:tcBorders>
              <w:top w:val="single" w:color="auto" w:sz="4" w:space="0"/>
            </w:tcBorders>
            <w:vAlign w:val="center"/>
          </w:tcPr>
          <w:p>
            <w:pPr>
              <w:pStyle w:val="45"/>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最高限价</w:t>
            </w:r>
          </w:p>
          <w:p>
            <w:pPr>
              <w:pStyle w:val="45"/>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sz w:val="24"/>
                <w:szCs w:val="24"/>
              </w:rPr>
              <w:t>（实质性要求）</w:t>
            </w:r>
          </w:p>
        </w:tc>
        <w:tc>
          <w:tcPr>
            <w:tcW w:w="6797" w:type="dxa"/>
            <w:tcBorders>
              <w:top w:val="single" w:color="auto" w:sz="4" w:space="0"/>
            </w:tcBorders>
          </w:tcPr>
          <w:p>
            <w:pPr>
              <w:pStyle w:val="45"/>
              <w:jc w:val="both"/>
              <w:rPr>
                <w:rFonts w:hint="eastAsia" w:asciiTheme="majorEastAsia" w:hAnsiTheme="majorEastAsia" w:eastAsiaTheme="majorEastAsia" w:cstheme="majorEastAsia"/>
                <w:sz w:val="24"/>
                <w:szCs w:val="24"/>
              </w:rPr>
            </w:pPr>
            <w:bookmarkStart w:id="20" w:name="PO_默认文件内容_27"/>
            <w:r>
              <w:rPr>
                <w:rFonts w:hint="eastAsia" w:asciiTheme="majorEastAsia" w:hAnsiTheme="majorEastAsia" w:eastAsiaTheme="majorEastAsia" w:cstheme="majorEastAsia"/>
                <w:sz w:val="24"/>
                <w:szCs w:val="24"/>
                <w:lang w:val="en-US" w:eastAsia="zh-CN"/>
              </w:rPr>
              <w:t>62</w:t>
            </w:r>
            <w:r>
              <w:rPr>
                <w:rFonts w:hint="eastAsia" w:asciiTheme="majorEastAsia" w:hAnsiTheme="majorEastAsia" w:eastAsiaTheme="majorEastAsia" w:cstheme="majorEastAsia"/>
                <w:sz w:val="24"/>
                <w:szCs w:val="24"/>
              </w:rPr>
              <w:t>万元</w:t>
            </w:r>
          </w:p>
          <w:p>
            <w:pPr>
              <w:pStyle w:val="45"/>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超过最高限价的报价为无效投标。</w:t>
            </w:r>
            <w:bookmarkEnd w:id="20"/>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vAlign w:val="center"/>
          </w:tcPr>
          <w:p>
            <w:pPr>
              <w:pStyle w:val="45"/>
              <w:ind w:right="230"/>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2</w:t>
            </w:r>
          </w:p>
        </w:tc>
        <w:tc>
          <w:tcPr>
            <w:tcW w:w="2003" w:type="dxa"/>
            <w:vAlign w:val="center"/>
          </w:tcPr>
          <w:p>
            <w:pPr>
              <w:pStyle w:val="45"/>
              <w:ind w:left="38"/>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不正当竞争预防措施</w:t>
            </w:r>
          </w:p>
          <w:p>
            <w:pPr>
              <w:pStyle w:val="45"/>
              <w:ind w:left="38"/>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sz w:val="24"/>
                <w:szCs w:val="24"/>
              </w:rPr>
              <w:t>（实质性要求）</w:t>
            </w:r>
          </w:p>
        </w:tc>
        <w:tc>
          <w:tcPr>
            <w:tcW w:w="6797" w:type="dxa"/>
            <w:vAlign w:val="center"/>
          </w:tcPr>
          <w:p>
            <w:pPr>
              <w:pStyle w:val="45"/>
              <w:jc w:val="both"/>
              <w:rPr>
                <w:rFonts w:hint="eastAsia" w:asciiTheme="majorEastAsia" w:hAnsiTheme="majorEastAsia" w:eastAsiaTheme="majorEastAsia" w:cstheme="majorEastAsia"/>
                <w:kern w:val="2"/>
                <w:sz w:val="24"/>
                <w:szCs w:val="24"/>
              </w:rPr>
            </w:pPr>
            <w:bookmarkStart w:id="21" w:name="PO_默认文件内容_1"/>
            <w:r>
              <w:rPr>
                <w:rFonts w:hint="eastAsia" w:asciiTheme="majorEastAsia" w:hAnsiTheme="majorEastAsia" w:eastAsiaTheme="majorEastAsia" w:cstheme="majorEastAsia"/>
                <w:sz w:val="24"/>
                <w:szCs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bookmarkEnd w:id="21"/>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vAlign w:val="center"/>
          </w:tcPr>
          <w:p>
            <w:pPr>
              <w:pStyle w:val="45"/>
              <w:ind w:right="230"/>
              <w:jc w:val="center"/>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3</w:t>
            </w:r>
          </w:p>
        </w:tc>
        <w:tc>
          <w:tcPr>
            <w:tcW w:w="2003" w:type="dxa"/>
            <w:vAlign w:val="center"/>
          </w:tcPr>
          <w:p>
            <w:pPr>
              <w:pStyle w:val="45"/>
              <w:ind w:left="38"/>
              <w:jc w:val="center"/>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进口产品（实质性要求）</w:t>
            </w:r>
          </w:p>
        </w:tc>
        <w:tc>
          <w:tcPr>
            <w:tcW w:w="6797" w:type="dxa"/>
            <w:vAlign w:val="center"/>
          </w:tcPr>
          <w:p>
            <w:pPr>
              <w:pStyle w:val="45"/>
              <w:jc w:val="both"/>
              <w:rPr>
                <w:rFonts w:hint="eastAsia" w:asciiTheme="majorEastAsia" w:hAnsiTheme="majorEastAsia" w:eastAsiaTheme="majorEastAsia" w:cstheme="majorEastAsia"/>
                <w:sz w:val="24"/>
                <w:szCs w:val="24"/>
                <w:lang w:val="zh-CN"/>
              </w:rPr>
            </w:pPr>
            <w:bookmarkStart w:id="22" w:name="PO_默认文件内容_15"/>
            <w:r>
              <w:rPr>
                <w:rFonts w:hint="eastAsia" w:asciiTheme="majorEastAsia" w:hAnsiTheme="majorEastAsia" w:eastAsiaTheme="majorEastAsia" w:cstheme="majorEastAsia"/>
                <w:sz w:val="24"/>
                <w:szCs w:val="24"/>
              </w:rPr>
              <w:t>本项目招标文件中未载明“允许采购进口产品”的产品，视为拒绝进口产品参与竞争，供应商以进口产品投标时，将按无效投标处理。载明“允许采购进口产品”的产品，不限制国产产品参与竞争。</w:t>
            </w:r>
            <w:bookmarkEnd w:id="22"/>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vAlign w:val="center"/>
          </w:tcPr>
          <w:p>
            <w:pPr>
              <w:pStyle w:val="45"/>
              <w:ind w:right="230"/>
              <w:jc w:val="center"/>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4</w:t>
            </w:r>
          </w:p>
        </w:tc>
        <w:tc>
          <w:tcPr>
            <w:tcW w:w="2003" w:type="dxa"/>
            <w:vAlign w:val="center"/>
          </w:tcPr>
          <w:p>
            <w:pPr>
              <w:pStyle w:val="45"/>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小微企业（监狱企业、残疾人福利性单位</w:t>
            </w:r>
            <w:r>
              <w:rPr>
                <w:rFonts w:hint="eastAsia" w:asciiTheme="majorEastAsia" w:hAnsiTheme="majorEastAsia" w:eastAsiaTheme="majorEastAsia" w:cstheme="majorEastAsia"/>
                <w:sz w:val="24"/>
                <w:szCs w:val="24"/>
              </w:rPr>
              <w:t>视同小微企业</w:t>
            </w:r>
            <w:r>
              <w:rPr>
                <w:rFonts w:hint="eastAsia" w:asciiTheme="majorEastAsia" w:hAnsiTheme="majorEastAsia" w:eastAsiaTheme="majorEastAsia" w:cstheme="majorEastAsia"/>
                <w:kern w:val="2"/>
                <w:sz w:val="24"/>
                <w:szCs w:val="24"/>
              </w:rPr>
              <w:t>）价格扣除</w:t>
            </w:r>
          </w:p>
        </w:tc>
        <w:tc>
          <w:tcPr>
            <w:tcW w:w="6797" w:type="dxa"/>
            <w:vAlign w:val="center"/>
          </w:tcPr>
          <w:p>
            <w:pPr>
              <w:widowControl/>
              <w:jc w:val="left"/>
              <w:rPr>
                <w:rFonts w:hint="eastAsia" w:asciiTheme="majorEastAsia" w:hAnsiTheme="majorEastAsia" w:eastAsiaTheme="majorEastAsia" w:cstheme="majorEastAsia"/>
                <w:kern w:val="0"/>
                <w:sz w:val="24"/>
                <w:szCs w:val="24"/>
              </w:rPr>
            </w:pPr>
            <w:bookmarkStart w:id="23" w:name="PO_默认文件内容_2"/>
            <w:r>
              <w:rPr>
                <w:rFonts w:hint="eastAsia" w:asciiTheme="majorEastAsia" w:hAnsiTheme="majorEastAsia" w:eastAsiaTheme="majorEastAsia" w:cstheme="majorEastAsia"/>
                <w:kern w:val="0"/>
                <w:sz w:val="24"/>
                <w:szCs w:val="24"/>
              </w:rPr>
              <w:t>一、小微企业（监狱企业、残疾人福利性单位均视同小微企业）价格扣除</w:t>
            </w:r>
          </w:p>
          <w:p>
            <w:pPr>
              <w:widowControl/>
              <w:jc w:val="left"/>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1、根据《政府采购促进中小企业发展管理办法》（财库〔2020〕46号）</w:t>
            </w:r>
            <w:r>
              <w:rPr>
                <w:rFonts w:hint="eastAsia" w:asciiTheme="majorEastAsia" w:hAnsiTheme="majorEastAsia" w:eastAsiaTheme="majorEastAsia" w:cstheme="majorEastAsia"/>
                <w:color w:val="auto"/>
                <w:kern w:val="0"/>
                <w:sz w:val="24"/>
                <w:szCs w:val="24"/>
                <w:lang w:val="en-US" w:eastAsia="zh-CN"/>
              </w:rPr>
              <w:t>和《财政部关于进一步加大政府采购支持中小企业力度的通知》（财库〔2022〕19号）</w:t>
            </w:r>
            <w:r>
              <w:rPr>
                <w:rFonts w:hint="eastAsia" w:asciiTheme="majorEastAsia" w:hAnsiTheme="majorEastAsia" w:eastAsiaTheme="majorEastAsia" w:cstheme="majorEastAsia"/>
                <w:kern w:val="0"/>
                <w:sz w:val="24"/>
                <w:szCs w:val="24"/>
              </w:rPr>
              <w:t>的规定，对于经主管预算单位统筹后未预留份额专门面向中小企业采购的采购项目，以及预留份额项目中的非预留部分采购包，采购人、采购代理机构应当对符合本办法规定的小微企业报价给予</w:t>
            </w:r>
            <w:r>
              <w:rPr>
                <w:rFonts w:hint="eastAsia" w:asciiTheme="majorEastAsia" w:hAnsiTheme="majorEastAsia" w:eastAsiaTheme="majorEastAsia" w:cstheme="majorEastAsia"/>
                <w:kern w:val="0"/>
                <w:sz w:val="24"/>
                <w:szCs w:val="24"/>
                <w:u w:val="single"/>
              </w:rPr>
              <w:t xml:space="preserve">  </w:t>
            </w:r>
            <w:r>
              <w:rPr>
                <w:rFonts w:hint="eastAsia" w:asciiTheme="majorEastAsia" w:hAnsiTheme="majorEastAsia" w:eastAsiaTheme="majorEastAsia" w:cstheme="majorEastAsia"/>
                <w:kern w:val="0"/>
                <w:sz w:val="24"/>
                <w:szCs w:val="24"/>
                <w:u w:val="single"/>
                <w:lang w:val="en-US" w:eastAsia="zh-CN"/>
              </w:rPr>
              <w:t>10%</w:t>
            </w:r>
            <w:r>
              <w:rPr>
                <w:rFonts w:hint="eastAsia" w:asciiTheme="majorEastAsia" w:hAnsiTheme="majorEastAsia" w:eastAsiaTheme="majorEastAsia" w:cstheme="majorEastAsia"/>
                <w:kern w:val="0"/>
                <w:sz w:val="24"/>
                <w:szCs w:val="24"/>
                <w:u w:val="single"/>
              </w:rPr>
              <w:t xml:space="preserve">  </w:t>
            </w:r>
            <w:r>
              <w:rPr>
                <w:rFonts w:hint="eastAsia" w:asciiTheme="majorEastAsia" w:hAnsiTheme="majorEastAsia" w:eastAsiaTheme="majorEastAsia" w:cstheme="majorEastAsia"/>
                <w:kern w:val="0"/>
                <w:sz w:val="24"/>
                <w:szCs w:val="24"/>
              </w:rPr>
              <w:t>的扣除，用扣除后的价格参加评审。</w:t>
            </w:r>
          </w:p>
          <w:p>
            <w:pPr>
              <w:widowControl/>
              <w:jc w:val="left"/>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2、参加政府采购活动的中小企业提供《中小企业声明函》原件，未提供的，视为放弃享受小微企业价格扣除优惠政策。</w:t>
            </w:r>
          </w:p>
          <w:p>
            <w:pPr>
              <w:widowControl/>
              <w:jc w:val="left"/>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3、接受大中型企业与小微企业组成联合体或者允许大中型企业向一家或者多家小微企业分包的采购项目，对于联合协议或者分包意向协议约定小微企业的合同份额占到合同总金额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w:t>
            </w:r>
            <w:r>
              <w:rPr>
                <w:rFonts w:hint="eastAsia" w:asciiTheme="majorEastAsia" w:hAnsiTheme="majorEastAsia" w:eastAsiaTheme="majorEastAsia" w:cstheme="majorEastAsia"/>
                <w:kern w:val="0"/>
                <w:sz w:val="24"/>
                <w:szCs w:val="24"/>
                <w:u w:val="single"/>
              </w:rPr>
              <w:t xml:space="preserve">  </w:t>
            </w:r>
            <w:r>
              <w:rPr>
                <w:rFonts w:hint="eastAsia" w:asciiTheme="majorEastAsia" w:hAnsiTheme="majorEastAsia" w:eastAsiaTheme="majorEastAsia" w:cstheme="majorEastAsia"/>
                <w:color w:val="000000" w:themeColor="text1"/>
                <w:kern w:val="0"/>
                <w:sz w:val="24"/>
                <w:szCs w:val="24"/>
                <w:u w:val="single"/>
                <w:lang w:val="en-US" w:eastAsia="zh-CN"/>
              </w:rPr>
              <w:t>4%</w:t>
            </w:r>
            <w:r>
              <w:rPr>
                <w:rFonts w:hint="eastAsia" w:asciiTheme="majorEastAsia" w:hAnsiTheme="majorEastAsia" w:eastAsiaTheme="majorEastAsia" w:cstheme="majorEastAsia"/>
                <w:color w:val="000000" w:themeColor="text1"/>
                <w:kern w:val="0"/>
                <w:sz w:val="24"/>
                <w:szCs w:val="24"/>
                <w:u w:val="single"/>
              </w:rPr>
              <w:t xml:space="preserve">  </w:t>
            </w:r>
            <w:r>
              <w:rPr>
                <w:rFonts w:hint="eastAsia" w:asciiTheme="majorEastAsia" w:hAnsiTheme="majorEastAsia" w:eastAsiaTheme="majorEastAsia" w:cstheme="majorEastAsia"/>
                <w:color w:val="000000" w:themeColor="text1"/>
                <w:kern w:val="0"/>
                <w:sz w:val="24"/>
                <w:szCs w:val="24"/>
              </w:rPr>
              <w:t>的</w:t>
            </w:r>
            <w:r>
              <w:rPr>
                <w:rFonts w:hint="eastAsia" w:asciiTheme="majorEastAsia" w:hAnsiTheme="majorEastAsia" w:eastAsiaTheme="majorEastAsia" w:cstheme="majorEastAsia"/>
                <w:kern w:val="0"/>
                <w:sz w:val="24"/>
                <w:szCs w:val="24"/>
              </w:rPr>
              <w:t>扣除，用扣除后的价格参加评审。</w:t>
            </w:r>
          </w:p>
          <w:p>
            <w:pPr>
              <w:widowControl/>
              <w:jc w:val="left"/>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联合体各方均为小型、微型企业的，联合体视同为小型、微型企业享受规定的扶持政策。组成联合体的大中型企业和其他自然人、法人或者其他组织，与小型、微型企业之间不得存在投资关系。</w:t>
            </w:r>
          </w:p>
          <w:p>
            <w:pPr>
              <w:widowControl/>
              <w:jc w:val="left"/>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4、参加政府采购活动的残疾人福利性单位应当提供《残疾人福利性单位声明函》原件，未提供的，视为放弃享受小微企业价格扣除优惠政策。</w:t>
            </w:r>
            <w:bookmarkEnd w:id="23"/>
          </w:p>
          <w:p>
            <w:pPr>
              <w:widowControl/>
              <w:spacing w:after="120"/>
              <w:jc w:val="left"/>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5、参加政府采购活动的监狱企业提供由省级以上监狱管理局、戒毒管理局(含新疆生产建设兵团)出具的属于监狱企业的证明文件，未提供的，视为放弃享受小微企业价格扣除优惠政策。</w:t>
            </w:r>
          </w:p>
          <w:p>
            <w:pPr>
              <w:widowControl/>
              <w:spacing w:after="120"/>
              <w:jc w:val="left"/>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6、符合中小企业划分标准的个体工商户，在政府采购活动中视同中小企业。</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vAlign w:val="center"/>
          </w:tcPr>
          <w:p>
            <w:pPr>
              <w:pStyle w:val="45"/>
              <w:spacing w:before="72" w:after="72"/>
              <w:ind w:right="264"/>
              <w:jc w:val="center"/>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kern w:val="2"/>
                <w:sz w:val="24"/>
                <w:szCs w:val="24"/>
              </w:rPr>
              <w:t>5</w:t>
            </w:r>
          </w:p>
        </w:tc>
        <w:tc>
          <w:tcPr>
            <w:tcW w:w="2003" w:type="dxa"/>
            <w:vAlign w:val="center"/>
          </w:tcPr>
          <w:p>
            <w:pPr>
              <w:spacing w:line="340" w:lineRule="exact"/>
              <w:ind w:left="105" w:leftChars="50" w:right="105" w:rightChars="50"/>
              <w:jc w:val="center"/>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节能、环保及无线局域网产品政府采购政策</w:t>
            </w:r>
          </w:p>
        </w:tc>
        <w:tc>
          <w:tcPr>
            <w:tcW w:w="6797" w:type="dxa"/>
            <w:vAlign w:val="center"/>
          </w:tcPr>
          <w:p>
            <w:pPr>
              <w:spacing w:after="0" w:line="340" w:lineRule="exact"/>
              <w:ind w:right="105" w:rightChars="50"/>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无线局域网产品政府采购政策：</w:t>
            </w:r>
          </w:p>
          <w:p>
            <w:pPr>
              <w:spacing w:line="420" w:lineRule="exact"/>
              <w:rPr>
                <w:rFonts w:ascii="宋体" w:hAnsi="宋体" w:cs="宋体"/>
                <w:sz w:val="24"/>
                <w:szCs w:val="24"/>
              </w:rPr>
            </w:pPr>
            <w:r>
              <w:rPr>
                <w:rFonts w:hint="eastAsia" w:ascii="宋体" w:hAnsi="宋体" w:cs="宋体"/>
                <w:sz w:val="24"/>
                <w:szCs w:val="24"/>
              </w:rPr>
              <w:t>一、节能、环保产品政府采购政策：</w:t>
            </w:r>
          </w:p>
          <w:p>
            <w:pPr>
              <w:spacing w:line="420" w:lineRule="exact"/>
              <w:rPr>
                <w:rFonts w:ascii="宋体" w:hAnsi="宋体" w:cs="宋体"/>
                <w:sz w:val="24"/>
                <w:szCs w:val="24"/>
              </w:rPr>
            </w:pPr>
            <w:r>
              <w:rPr>
                <w:rFonts w:hint="eastAsia" w:ascii="宋体" w:hAnsi="宋体" w:cs="宋体"/>
                <w:sz w:val="24"/>
                <w:szCs w:val="24"/>
              </w:rPr>
              <w:t>根据《财政部 发展改革委 生态环境部 市场监管总局关于调整优化节能产品、环境标志产品政府采购执行机制的通知》（财库〔2019〕9号）相关要求，依据品目清单和认证证书实施政府优先采购和强制采购。本项目采购的产品属于品目清单范围的，依据国家确定的认证机构出具的、处于有效期之内的节能产品、环境标志产品认证证书，对获得证书的产品实施政府优先采购或强制采购。</w:t>
            </w:r>
          </w:p>
          <w:p>
            <w:pPr>
              <w:spacing w:line="420" w:lineRule="exact"/>
              <w:rPr>
                <w:rFonts w:ascii="宋体" w:hAnsi="宋体" w:cs="宋体"/>
                <w:sz w:val="24"/>
                <w:szCs w:val="24"/>
              </w:rPr>
            </w:pPr>
            <w:r>
              <w:rPr>
                <w:rFonts w:hint="eastAsia" w:ascii="宋体" w:hAnsi="宋体" w:cs="宋体"/>
                <w:sz w:val="24"/>
                <w:szCs w:val="24"/>
              </w:rPr>
              <w:t>本项目采购的产品属于品目清单强制采购范围的，供应商应按上述要求提供产品认证证书复印件并加盖供应商单位公章（鲜章），否则投标无效。（实质性要求）</w:t>
            </w:r>
          </w:p>
          <w:p>
            <w:pPr>
              <w:spacing w:line="420" w:lineRule="exact"/>
              <w:rPr>
                <w:rFonts w:ascii="宋体" w:hAnsi="宋体" w:cs="宋体"/>
                <w:sz w:val="24"/>
                <w:szCs w:val="24"/>
              </w:rPr>
            </w:pPr>
            <w:r>
              <w:rPr>
                <w:rFonts w:hint="eastAsia" w:ascii="宋体" w:hAnsi="宋体" w:cs="宋体"/>
                <w:sz w:val="24"/>
                <w:szCs w:val="24"/>
              </w:rPr>
              <w:t>本项目采购的产品属于品目清单优先采购范围的，按照第七章《综合评分明细表》的规则进行加分。</w:t>
            </w:r>
          </w:p>
          <w:p>
            <w:pPr>
              <w:spacing w:line="420" w:lineRule="exact"/>
              <w:rPr>
                <w:rFonts w:ascii="宋体" w:hAnsi="宋体" w:cs="宋体"/>
                <w:sz w:val="24"/>
                <w:szCs w:val="24"/>
              </w:rPr>
            </w:pPr>
            <w:r>
              <w:rPr>
                <w:rFonts w:hint="eastAsia" w:ascii="宋体" w:hAnsi="宋体" w:cs="宋体"/>
                <w:sz w:val="24"/>
                <w:szCs w:val="24"/>
              </w:rPr>
              <w:t>注：对政府采购节能产品、环境标志产品实施品目清单管理。财政部、发展改革委、生态环境部等部门确定实施政府优先采购和强制采购的产品类别，以品目清单的形式发布并适时调整。</w:t>
            </w:r>
          </w:p>
          <w:p>
            <w:pPr>
              <w:spacing w:line="420" w:lineRule="exact"/>
              <w:rPr>
                <w:rFonts w:ascii="宋体" w:hAnsi="宋体" w:cs="宋体"/>
                <w:sz w:val="24"/>
                <w:szCs w:val="24"/>
              </w:rPr>
            </w:pPr>
            <w:r>
              <w:rPr>
                <w:rFonts w:hint="eastAsia" w:ascii="宋体" w:hAnsi="宋体" w:cs="宋体"/>
                <w:sz w:val="24"/>
                <w:szCs w:val="24"/>
              </w:rPr>
              <w:t>二、无线局域网产品政府采购政策：</w:t>
            </w:r>
          </w:p>
          <w:p>
            <w:pPr>
              <w:spacing w:line="340" w:lineRule="exact"/>
              <w:ind w:left="105" w:leftChars="50" w:right="105" w:rightChars="50"/>
              <w:rPr>
                <w:rFonts w:hint="eastAsia" w:ascii="宋体" w:hAnsi="宋体" w:cs="宋体"/>
                <w:sz w:val="24"/>
                <w:szCs w:val="24"/>
              </w:rPr>
            </w:pPr>
            <w:r>
              <w:rPr>
                <w:rFonts w:hint="eastAsia" w:ascii="宋体" w:hAnsi="宋体" w:cs="宋体"/>
                <w:sz w:val="24"/>
                <w:szCs w:val="24"/>
              </w:rPr>
              <w:t>本项目采购的产品属于中国政府采购网公布的《无线局域网认证产品政府采购清单》的，按照第七章《综合评分明细表》的规</w:t>
            </w:r>
            <w:r>
              <w:rPr>
                <w:rFonts w:hint="eastAsia" w:asciiTheme="minorEastAsia" w:hAnsiTheme="minorEastAsia" w:eastAsiaTheme="minorEastAsia" w:cstheme="minorEastAsia"/>
                <w:kern w:val="0"/>
                <w:sz w:val="24"/>
                <w:szCs w:val="24"/>
                <w:lang w:val="zh-CN"/>
              </w:rPr>
              <w:t>则进行</w:t>
            </w:r>
            <w:r>
              <w:rPr>
                <w:rFonts w:hint="eastAsia" w:ascii="宋体" w:hAnsi="宋体" w:cs="宋体"/>
                <w:sz w:val="24"/>
                <w:szCs w:val="24"/>
              </w:rPr>
              <w:t>加分。</w:t>
            </w:r>
          </w:p>
          <w:p>
            <w:pPr>
              <w:spacing w:line="340" w:lineRule="exact"/>
              <w:ind w:left="105" w:leftChars="50" w:right="105" w:rightChars="50"/>
              <w:rPr>
                <w:rFonts w:hint="default" w:eastAsia="宋体" w:asciiTheme="majorEastAsia" w:hAnsiTheme="majorEastAsia" w:cstheme="majorEastAsia"/>
                <w:kern w:val="0"/>
                <w:sz w:val="24"/>
                <w:szCs w:val="24"/>
                <w:lang w:val="en-US" w:eastAsia="zh-CN"/>
              </w:rPr>
            </w:pPr>
            <w:r>
              <w:rPr>
                <w:rFonts w:hint="eastAsia" w:ascii="宋体" w:hAnsi="宋体" w:cs="宋体"/>
                <w:b/>
                <w:bCs/>
                <w:sz w:val="24"/>
                <w:szCs w:val="24"/>
                <w:lang w:val="en-US" w:eastAsia="zh-CN"/>
              </w:rPr>
              <w:t>(</w:t>
            </w:r>
            <w:r>
              <w:rPr>
                <w:rFonts w:hint="eastAsia"/>
                <w:b/>
                <w:bCs/>
              </w:rPr>
              <w:t>本项目不适用</w:t>
            </w:r>
            <w:r>
              <w:rPr>
                <w:rFonts w:hint="eastAsia" w:ascii="宋体" w:hAnsi="宋体" w:cs="宋体"/>
                <w:b/>
                <w:bCs/>
                <w:sz w:val="24"/>
                <w:szCs w:val="24"/>
                <w:lang w:val="en-US" w:eastAsia="zh-CN"/>
              </w:rPr>
              <w:t>)</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573" w:hRule="atLeast"/>
          <w:jc w:val="center"/>
        </w:trPr>
        <w:tc>
          <w:tcPr>
            <w:tcW w:w="838" w:type="dxa"/>
            <w:vAlign w:val="center"/>
          </w:tcPr>
          <w:p>
            <w:pPr>
              <w:pStyle w:val="45"/>
              <w:ind w:right="230"/>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6</w:t>
            </w:r>
          </w:p>
        </w:tc>
        <w:tc>
          <w:tcPr>
            <w:tcW w:w="2003" w:type="dxa"/>
            <w:vAlign w:val="center"/>
          </w:tcPr>
          <w:p>
            <w:pPr>
              <w:pStyle w:val="45"/>
              <w:ind w:left="96"/>
              <w:jc w:val="center"/>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投标保证金</w:t>
            </w:r>
          </w:p>
        </w:tc>
        <w:tc>
          <w:tcPr>
            <w:tcW w:w="6797" w:type="dxa"/>
            <w:vAlign w:val="center"/>
          </w:tcPr>
          <w:p>
            <w:pPr>
              <w:pStyle w:val="45"/>
              <w:spacing w:after="120" w:afterLines="50"/>
              <w:jc w:val="both"/>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1.金    额：</w:t>
            </w:r>
            <w:r>
              <w:rPr>
                <w:rFonts w:hint="eastAsia" w:asciiTheme="majorEastAsia" w:hAnsiTheme="majorEastAsia" w:eastAsiaTheme="majorEastAsia" w:cstheme="majorEastAsia"/>
                <w:sz w:val="24"/>
                <w:szCs w:val="24"/>
                <w:lang w:val="en-US" w:eastAsia="zh-CN"/>
              </w:rPr>
              <w:t>10000</w:t>
            </w:r>
            <w:bookmarkStart w:id="24" w:name="PO_默认文件内容_10"/>
            <w:r>
              <w:rPr>
                <w:rFonts w:hint="eastAsia" w:asciiTheme="majorEastAsia" w:hAnsiTheme="majorEastAsia" w:eastAsiaTheme="majorEastAsia" w:cstheme="majorEastAsia"/>
                <w:sz w:val="24"/>
                <w:szCs w:val="24"/>
                <w:lang w:val="en-US" w:eastAsia="zh-CN"/>
              </w:rPr>
              <w:t xml:space="preserve">元  </w:t>
            </w:r>
            <w:r>
              <w:rPr>
                <w:rFonts w:hint="eastAsia" w:asciiTheme="majorEastAsia" w:hAnsiTheme="majorEastAsia" w:eastAsiaTheme="majorEastAsia" w:cstheme="majorEastAsia"/>
                <w:sz w:val="24"/>
                <w:szCs w:val="24"/>
                <w:lang w:val="zh-CN"/>
              </w:rPr>
              <w:t>投标人必须以人民币足额缴纳。供应商必须以人民币足额缴纳</w:t>
            </w:r>
          </w:p>
          <w:p>
            <w:pPr>
              <w:pStyle w:val="45"/>
              <w:spacing w:after="120" w:afterLines="50"/>
              <w:jc w:val="both"/>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2.交款方式：投标保证金可以以支票、汇票、本票或者金融机构出具的保函等非现金形式提交（包括网银转账，电汇等方式）。</w:t>
            </w:r>
          </w:p>
          <w:bookmarkEnd w:id="24"/>
          <w:p>
            <w:pPr>
              <w:pStyle w:val="45"/>
              <w:spacing w:after="120" w:afterLines="50"/>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3.收款单位：西藏泽润招标代理有限公司</w:t>
            </w:r>
          </w:p>
          <w:p>
            <w:pPr>
              <w:pStyle w:val="45"/>
              <w:spacing w:after="120" w:afterLines="50"/>
              <w:ind w:firstLine="240" w:firstLineChars="100"/>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开 户 行：中国民生银行拉萨分行</w:t>
            </w:r>
          </w:p>
          <w:p>
            <w:pPr>
              <w:pStyle w:val="45"/>
              <w:spacing w:after="120" w:afterLines="50"/>
              <w:ind w:firstLine="240" w:firstLineChars="100"/>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银行账号：9902001789598123</w:t>
            </w:r>
          </w:p>
          <w:p>
            <w:pPr>
              <w:pStyle w:val="45"/>
              <w:spacing w:after="120" w:afterLines="50"/>
              <w:jc w:val="both"/>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4.交款截止时间：本项目</w:t>
            </w:r>
            <w:r>
              <w:rPr>
                <w:rFonts w:hint="eastAsia" w:asciiTheme="majorEastAsia" w:hAnsiTheme="majorEastAsia" w:eastAsiaTheme="majorEastAsia" w:cstheme="majorEastAsia"/>
                <w:kern w:val="2"/>
                <w:sz w:val="24"/>
                <w:szCs w:val="24"/>
                <w:lang w:val="zh-CN"/>
              </w:rPr>
              <w:t>投标截止时间</w:t>
            </w:r>
            <w:r>
              <w:rPr>
                <w:rFonts w:hint="eastAsia" w:asciiTheme="majorEastAsia" w:hAnsiTheme="majorEastAsia" w:eastAsiaTheme="majorEastAsia" w:cstheme="majorEastAsia"/>
                <w:sz w:val="24"/>
                <w:szCs w:val="24"/>
                <w:lang w:val="zh-CN"/>
              </w:rPr>
              <w:t>前（投标保证金的交纳以到账时间为准，若以保函方式提交的，须在递交投标文件截止时间前提交保函原件到采购代理机构财务室）。</w:t>
            </w:r>
          </w:p>
          <w:p>
            <w:pPr>
              <w:pStyle w:val="45"/>
              <w:spacing w:after="120" w:afterLines="50"/>
              <w:jc w:val="both"/>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5.供应商应将保函复印件或银行转账凭证复印件或电汇凭证复印件或采购代理机构出具的收据复印件或加盖采购代理机构财务专用章的保证金交纳证明材料原件放入投标文件中。</w:t>
            </w:r>
          </w:p>
          <w:p>
            <w:pPr>
              <w:ind w:firstLine="241" w:firstLineChars="100"/>
              <w:rPr>
                <w:rFonts w:hint="eastAsia" w:asciiTheme="majorEastAsia" w:hAnsiTheme="majorEastAsia" w:eastAsiaTheme="majorEastAsia" w:cstheme="majorEastAsia"/>
                <w:b/>
                <w:sz w:val="24"/>
                <w:szCs w:val="24"/>
                <w:lang w:val="zh-CN"/>
              </w:rPr>
            </w:pPr>
            <w:r>
              <w:rPr>
                <w:rFonts w:hint="eastAsia" w:asciiTheme="majorEastAsia" w:hAnsiTheme="majorEastAsia" w:eastAsiaTheme="majorEastAsia" w:cstheme="majorEastAsia"/>
                <w:b/>
                <w:sz w:val="24"/>
                <w:szCs w:val="24"/>
                <w:lang w:val="zh-CN"/>
              </w:rPr>
              <w:t>注：不满足以上1.2.3.4.5投标保证金要求的，将在资格审查时作无效投标。</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11" w:hRule="atLeast"/>
          <w:jc w:val="center"/>
        </w:trPr>
        <w:tc>
          <w:tcPr>
            <w:tcW w:w="838" w:type="dxa"/>
            <w:vAlign w:val="center"/>
          </w:tcPr>
          <w:p>
            <w:pPr>
              <w:pStyle w:val="45"/>
              <w:ind w:right="264"/>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7</w:t>
            </w:r>
          </w:p>
        </w:tc>
        <w:tc>
          <w:tcPr>
            <w:tcW w:w="2003" w:type="dxa"/>
            <w:vAlign w:val="center"/>
          </w:tcPr>
          <w:p>
            <w:pPr>
              <w:pStyle w:val="45"/>
              <w:ind w:firstLine="480" w:firstLineChars="200"/>
              <w:jc w:val="both"/>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履约保证金</w:t>
            </w:r>
          </w:p>
        </w:tc>
        <w:tc>
          <w:tcPr>
            <w:tcW w:w="6797" w:type="dxa"/>
            <w:vAlign w:val="center"/>
          </w:tcPr>
          <w:p>
            <w:pPr>
              <w:pStyle w:val="45"/>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b/>
                <w:bCs/>
                <w:sz w:val="28"/>
                <w:szCs w:val="28"/>
                <w:lang w:val="zh-CN"/>
              </w:rPr>
              <w:t>本项目不收取履约保证金</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53" w:hRule="atLeast"/>
          <w:jc w:val="center"/>
        </w:trPr>
        <w:tc>
          <w:tcPr>
            <w:tcW w:w="838" w:type="dxa"/>
            <w:tcBorders>
              <w:top w:val="single" w:color="auto" w:sz="4" w:space="0"/>
              <w:bottom w:val="single" w:color="auto" w:sz="4" w:space="0"/>
            </w:tcBorders>
            <w:vAlign w:val="center"/>
          </w:tcPr>
          <w:p>
            <w:pPr>
              <w:pStyle w:val="45"/>
              <w:ind w:right="264"/>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8</w:t>
            </w:r>
          </w:p>
        </w:tc>
        <w:tc>
          <w:tcPr>
            <w:tcW w:w="2003" w:type="dxa"/>
            <w:vAlign w:val="center"/>
          </w:tcPr>
          <w:p>
            <w:pPr>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合同分包</w:t>
            </w:r>
          </w:p>
          <w:p>
            <w:pPr>
              <w:pStyle w:val="45"/>
              <w:jc w:val="center"/>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kern w:val="2"/>
                <w:sz w:val="24"/>
                <w:szCs w:val="24"/>
              </w:rPr>
              <w:t>（实质性要求）</w:t>
            </w:r>
          </w:p>
        </w:tc>
        <w:tc>
          <w:tcPr>
            <w:tcW w:w="6797" w:type="dxa"/>
            <w:vAlign w:val="center"/>
          </w:tcPr>
          <w:p>
            <w:pPr>
              <w:pStyle w:val="45"/>
              <w:spacing w:line="360" w:lineRule="auto"/>
              <w:ind w:firstLine="320" w:firstLineChars="100"/>
              <w:jc w:val="both"/>
              <w:rPr>
                <w:rFonts w:hint="eastAsia" w:asciiTheme="majorEastAsia" w:hAnsiTheme="majorEastAsia" w:eastAsiaTheme="majorEastAsia" w:cstheme="majorEastAsia"/>
                <w:b/>
                <w:kern w:val="2"/>
                <w:sz w:val="24"/>
                <w:szCs w:val="24"/>
              </w:rPr>
            </w:pPr>
            <w:r>
              <w:rPr>
                <w:rFonts w:hint="eastAsia" w:asciiTheme="majorEastAsia" w:hAnsiTheme="majorEastAsia" w:eastAsiaTheme="majorEastAsia" w:cstheme="majorEastAsia"/>
                <w:kern w:val="2"/>
                <w:sz w:val="32"/>
                <w:szCs w:val="32"/>
              </w:rPr>
              <w:t>☑</w:t>
            </w:r>
            <w:r>
              <w:rPr>
                <w:rFonts w:hint="eastAsia" w:asciiTheme="majorEastAsia" w:hAnsiTheme="majorEastAsia" w:eastAsiaTheme="majorEastAsia" w:cstheme="majorEastAsia"/>
                <w:b/>
                <w:kern w:val="2"/>
                <w:sz w:val="24"/>
                <w:szCs w:val="24"/>
              </w:rPr>
              <w:t>本项目不接受合同分包。</w:t>
            </w:r>
          </w:p>
          <w:p>
            <w:pPr>
              <w:pStyle w:val="45"/>
              <w:spacing w:line="360" w:lineRule="auto"/>
              <w:ind w:firstLine="240" w:firstLineChars="100"/>
              <w:jc w:val="both"/>
              <w:rPr>
                <w:rFonts w:hint="eastAsia" w:asciiTheme="majorEastAsia" w:hAnsiTheme="majorEastAsia" w:eastAsiaTheme="majorEastAsia" w:cstheme="majorEastAsia"/>
                <w:b/>
                <w:kern w:val="2"/>
                <w:sz w:val="24"/>
                <w:szCs w:val="24"/>
              </w:rPr>
            </w:pPr>
            <w:r>
              <w:rPr>
                <w:rFonts w:hint="eastAsia" w:asciiTheme="majorEastAsia" w:hAnsiTheme="majorEastAsia" w:eastAsiaTheme="majorEastAsia" w:cstheme="majorEastAsia"/>
                <w:kern w:val="2"/>
                <w:sz w:val="24"/>
                <w:szCs w:val="24"/>
              </w:rPr>
              <w:t>□</w:t>
            </w:r>
            <w:r>
              <w:rPr>
                <w:rFonts w:hint="eastAsia" w:asciiTheme="majorEastAsia" w:hAnsiTheme="majorEastAsia" w:eastAsiaTheme="majorEastAsia" w:cstheme="majorEastAsia"/>
                <w:b/>
                <w:kern w:val="2"/>
                <w:sz w:val="24"/>
                <w:szCs w:val="24"/>
              </w:rPr>
              <w:t>本项目接受合同分包，具体要求如下：</w:t>
            </w:r>
          </w:p>
          <w:p>
            <w:pPr>
              <w:pStyle w:val="45"/>
              <w:spacing w:line="360" w:lineRule="auto"/>
              <w:ind w:firstLine="240" w:firstLineChars="100"/>
              <w:jc w:val="both"/>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1.投标人根据招标文件的规定和采购项目的实际情况，拟在中标后将中标项目的非主体、非关键性工作分包的，应当在投标文件中载明分包承担主体，分包承担主体应当具备相应资质条件且不得再次分包。分包供应商履行的分包项目的品牌、规格型号及技术要求等，必须与中标的一致。</w:t>
            </w:r>
          </w:p>
          <w:p>
            <w:pPr>
              <w:spacing w:line="340" w:lineRule="exact"/>
              <w:ind w:right="105" w:rightChars="50"/>
              <w:jc w:val="lef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2.分包履行合同的部分应当为采购项目的非主体、非关键性工作，不属于中标人的主要合同义务。本项目可以分包履行的具体内容、金额或者比例：</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026" w:hRule="atLeast"/>
          <w:jc w:val="center"/>
        </w:trPr>
        <w:tc>
          <w:tcPr>
            <w:tcW w:w="838" w:type="dxa"/>
            <w:tcBorders>
              <w:top w:val="single" w:color="auto" w:sz="4" w:space="0"/>
              <w:bottom w:val="single" w:color="auto" w:sz="4" w:space="0"/>
            </w:tcBorders>
            <w:vAlign w:val="center"/>
          </w:tcPr>
          <w:p>
            <w:pPr>
              <w:pStyle w:val="45"/>
              <w:ind w:right="264"/>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9</w:t>
            </w:r>
          </w:p>
        </w:tc>
        <w:tc>
          <w:tcPr>
            <w:tcW w:w="2003" w:type="dxa"/>
            <w:tcBorders>
              <w:top w:val="single" w:color="auto" w:sz="4" w:space="0"/>
              <w:bottom w:val="single" w:color="auto" w:sz="4" w:space="0"/>
            </w:tcBorders>
            <w:vAlign w:val="center"/>
          </w:tcPr>
          <w:p>
            <w:pPr>
              <w:pStyle w:val="45"/>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b/>
                <w:bCs/>
                <w:kern w:val="2"/>
                <w:sz w:val="24"/>
                <w:szCs w:val="24"/>
              </w:rPr>
              <w:t>采购项目具体事项/采购文件内容咨询</w:t>
            </w:r>
          </w:p>
        </w:tc>
        <w:tc>
          <w:tcPr>
            <w:tcW w:w="6797" w:type="dxa"/>
            <w:tcBorders>
              <w:top w:val="single" w:color="auto" w:sz="4" w:space="0"/>
              <w:bottom w:val="single" w:color="auto" w:sz="4" w:space="0"/>
            </w:tcBorders>
            <w:vAlign w:val="center"/>
          </w:tcPr>
          <w:p>
            <w:pPr>
              <w:pStyle w:val="45"/>
              <w:rPr>
                <w:rFonts w:hint="eastAsia" w:asciiTheme="majorEastAsia" w:hAnsiTheme="majorEastAsia" w:eastAsiaTheme="majorEastAsia" w:cstheme="majorEastAsia"/>
                <w:kern w:val="2"/>
                <w:sz w:val="24"/>
                <w:szCs w:val="24"/>
                <w:lang w:val="zh-CN" w:eastAsia="zh-CN" w:bidi="ar-SA"/>
              </w:rPr>
            </w:pPr>
            <w:r>
              <w:rPr>
                <w:rFonts w:hint="eastAsia" w:asciiTheme="majorEastAsia" w:hAnsiTheme="majorEastAsia" w:eastAsiaTheme="majorEastAsia" w:cstheme="majorEastAsia"/>
                <w:kern w:val="2"/>
                <w:sz w:val="24"/>
                <w:szCs w:val="24"/>
                <w:lang w:val="en-US" w:eastAsia="zh-CN" w:bidi="ar-SA"/>
              </w:rPr>
              <w:t>联系人：</w:t>
            </w:r>
            <w:r>
              <w:rPr>
                <w:rFonts w:hint="eastAsia" w:asciiTheme="majorEastAsia" w:hAnsiTheme="majorEastAsia" w:eastAsiaTheme="majorEastAsia" w:cstheme="majorEastAsia"/>
                <w:kern w:val="2"/>
                <w:sz w:val="24"/>
                <w:szCs w:val="24"/>
                <w:lang w:val="zh-CN" w:eastAsia="zh-CN" w:bidi="ar-SA"/>
              </w:rPr>
              <w:t>达哇</w:t>
            </w:r>
          </w:p>
          <w:p>
            <w:pPr>
              <w:spacing w:line="340" w:lineRule="exact"/>
              <w:ind w:right="105" w:rightChars="50"/>
              <w:jc w:val="lef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kern w:val="2"/>
                <w:sz w:val="24"/>
                <w:szCs w:val="24"/>
                <w:lang w:val="zh-CN" w:eastAsia="zh-CN" w:bidi="ar-SA"/>
              </w:rPr>
              <w:t>联系电话：18889085537</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834" w:hRule="atLeast"/>
          <w:jc w:val="center"/>
        </w:trPr>
        <w:tc>
          <w:tcPr>
            <w:tcW w:w="838" w:type="dxa"/>
            <w:tcBorders>
              <w:top w:val="single" w:color="auto" w:sz="4" w:space="0"/>
              <w:bottom w:val="single" w:color="auto" w:sz="4" w:space="0"/>
            </w:tcBorders>
            <w:vAlign w:val="center"/>
          </w:tcPr>
          <w:p>
            <w:pPr>
              <w:pStyle w:val="45"/>
              <w:spacing w:before="72" w:after="72"/>
              <w:ind w:right="264"/>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10</w:t>
            </w:r>
          </w:p>
        </w:tc>
        <w:tc>
          <w:tcPr>
            <w:tcW w:w="2003" w:type="dxa"/>
            <w:tcBorders>
              <w:top w:val="single" w:color="auto" w:sz="4" w:space="0"/>
              <w:bottom w:val="single" w:color="auto" w:sz="4" w:space="0"/>
            </w:tcBorders>
            <w:vAlign w:val="center"/>
          </w:tcPr>
          <w:p>
            <w:pPr>
              <w:pStyle w:val="45"/>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开标、评标工作咨询</w:t>
            </w:r>
          </w:p>
        </w:tc>
        <w:tc>
          <w:tcPr>
            <w:tcW w:w="6797" w:type="dxa"/>
            <w:tcBorders>
              <w:top w:val="single" w:color="auto" w:sz="4" w:space="0"/>
              <w:bottom w:val="single" w:color="auto" w:sz="4" w:space="0"/>
            </w:tcBorders>
            <w:vAlign w:val="center"/>
          </w:tcPr>
          <w:p>
            <w:pPr>
              <w:pStyle w:val="45"/>
              <w:rPr>
                <w:rFonts w:hint="eastAsia" w:asciiTheme="majorEastAsia" w:hAnsiTheme="majorEastAsia" w:eastAsiaTheme="majorEastAsia" w:cstheme="majorEastAsia"/>
                <w:kern w:val="2"/>
                <w:sz w:val="24"/>
                <w:szCs w:val="24"/>
                <w:lang w:val="zh-CN" w:eastAsia="zh-CN" w:bidi="ar-SA"/>
              </w:rPr>
            </w:pPr>
            <w:r>
              <w:rPr>
                <w:rFonts w:hint="eastAsia" w:asciiTheme="majorEastAsia" w:hAnsiTheme="majorEastAsia" w:eastAsiaTheme="majorEastAsia" w:cstheme="majorEastAsia"/>
                <w:kern w:val="2"/>
                <w:sz w:val="24"/>
                <w:szCs w:val="24"/>
                <w:lang w:val="zh-CN" w:eastAsia="zh-CN" w:bidi="ar-SA"/>
              </w:rPr>
              <w:t>联系人：达哇</w:t>
            </w:r>
          </w:p>
          <w:p>
            <w:pPr>
              <w:pStyle w:val="45"/>
              <w:rPr>
                <w:rFonts w:hint="eastAsia" w:asciiTheme="majorEastAsia" w:hAnsiTheme="majorEastAsia" w:eastAsiaTheme="majorEastAsia" w:cstheme="majorEastAsia"/>
                <w:sz w:val="32"/>
                <w:szCs w:val="24"/>
              </w:rPr>
            </w:pPr>
            <w:r>
              <w:rPr>
                <w:rFonts w:hint="eastAsia" w:asciiTheme="majorEastAsia" w:hAnsiTheme="majorEastAsia" w:eastAsiaTheme="majorEastAsia" w:cstheme="majorEastAsia"/>
                <w:kern w:val="2"/>
                <w:sz w:val="24"/>
                <w:szCs w:val="24"/>
                <w:lang w:val="zh-CN" w:eastAsia="zh-CN" w:bidi="ar-SA"/>
              </w:rPr>
              <w:t>联系电话：18889085537</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tcBorders>
              <w:top w:val="single" w:color="auto" w:sz="4" w:space="0"/>
            </w:tcBorders>
            <w:vAlign w:val="center"/>
          </w:tcPr>
          <w:p>
            <w:pPr>
              <w:pStyle w:val="45"/>
              <w:ind w:right="264"/>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11</w:t>
            </w:r>
          </w:p>
        </w:tc>
        <w:tc>
          <w:tcPr>
            <w:tcW w:w="2003" w:type="dxa"/>
            <w:tcBorders>
              <w:top w:val="single" w:color="auto" w:sz="4" w:space="0"/>
            </w:tcBorders>
            <w:vAlign w:val="center"/>
          </w:tcPr>
          <w:p>
            <w:pPr>
              <w:spacing w:line="340" w:lineRule="exact"/>
              <w:ind w:left="105" w:leftChars="50" w:right="105" w:right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中标通知书领取</w:t>
            </w:r>
          </w:p>
        </w:tc>
        <w:tc>
          <w:tcPr>
            <w:tcW w:w="6797" w:type="dxa"/>
            <w:tcBorders>
              <w:top w:val="single" w:color="auto" w:sz="4" w:space="0"/>
            </w:tcBorders>
            <w:vAlign w:val="center"/>
          </w:tcPr>
          <w:p>
            <w:pPr>
              <w:tabs>
                <w:tab w:val="left" w:pos="7665"/>
              </w:tabs>
              <w:spacing w:line="400" w:lineRule="exac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中标公告在</w:t>
            </w:r>
            <w:r>
              <w:rPr>
                <w:rFonts w:hint="eastAsia" w:asciiTheme="majorEastAsia" w:hAnsiTheme="majorEastAsia" w:eastAsiaTheme="majorEastAsia" w:cstheme="majorEastAsia"/>
                <w:sz w:val="24"/>
                <w:szCs w:val="24"/>
                <w:lang w:eastAsia="zh-CN"/>
              </w:rPr>
              <w:t>西藏自治区</w:t>
            </w:r>
            <w:r>
              <w:rPr>
                <w:rFonts w:hint="eastAsia" w:asciiTheme="majorEastAsia" w:hAnsiTheme="majorEastAsia" w:eastAsiaTheme="majorEastAsia" w:cstheme="majorEastAsia"/>
                <w:sz w:val="24"/>
                <w:szCs w:val="24"/>
              </w:rPr>
              <w:t>政府采购网上公告后，请</w:t>
            </w:r>
            <w:r>
              <w:rPr>
                <w:rFonts w:hint="eastAsia" w:asciiTheme="majorEastAsia" w:hAnsiTheme="majorEastAsia" w:eastAsiaTheme="majorEastAsia" w:cstheme="majorEastAsia"/>
                <w:sz w:val="24"/>
                <w:szCs w:val="24"/>
                <w:lang w:eastAsia="zh-CN"/>
              </w:rPr>
              <w:t>到</w:t>
            </w:r>
            <w:r>
              <w:rPr>
                <w:rFonts w:hint="eastAsia" w:asciiTheme="majorEastAsia" w:hAnsiTheme="majorEastAsia" w:eastAsiaTheme="majorEastAsia" w:cstheme="majorEastAsia"/>
                <w:sz w:val="24"/>
                <w:szCs w:val="24"/>
              </w:rPr>
              <w:t>西藏自治区拉萨市藏大东路科技大厦</w:t>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t>楼办理代理服务费缴纳及中标通知书领取的事宜。</w:t>
            </w:r>
          </w:p>
          <w:p>
            <w:pPr>
              <w:tabs>
                <w:tab w:val="left" w:pos="7665"/>
              </w:tabs>
              <w:spacing w:line="400" w:lineRule="exact"/>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联系人：达哇</w:t>
            </w:r>
          </w:p>
          <w:p>
            <w:pPr>
              <w:tabs>
                <w:tab w:val="left" w:pos="7665"/>
              </w:tabs>
              <w:spacing w:line="400" w:lineRule="exact"/>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联系电话：18889085537</w:t>
            </w:r>
          </w:p>
          <w:p>
            <w:pPr>
              <w:tabs>
                <w:tab w:val="left" w:pos="7665"/>
              </w:tabs>
              <w:spacing w:line="400" w:lineRule="exact"/>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rPr>
              <w:t>地址：西藏自治区拉萨市藏大东路科技大厦</w:t>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t>楼</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tcBorders>
              <w:top w:val="single" w:color="auto" w:sz="4" w:space="0"/>
            </w:tcBorders>
            <w:vAlign w:val="center"/>
          </w:tcPr>
          <w:p>
            <w:pPr>
              <w:pStyle w:val="45"/>
              <w:ind w:right="264"/>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12</w:t>
            </w:r>
          </w:p>
        </w:tc>
        <w:tc>
          <w:tcPr>
            <w:tcW w:w="2003" w:type="dxa"/>
            <w:tcBorders>
              <w:top w:val="single" w:color="auto" w:sz="4" w:space="0"/>
            </w:tcBorders>
            <w:vAlign w:val="center"/>
          </w:tcPr>
          <w:p>
            <w:pPr>
              <w:pStyle w:val="45"/>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供应商询问</w:t>
            </w:r>
          </w:p>
        </w:tc>
        <w:tc>
          <w:tcPr>
            <w:tcW w:w="6797" w:type="dxa"/>
            <w:tcBorders>
              <w:top w:val="single" w:color="auto" w:sz="4" w:space="0"/>
            </w:tcBorders>
          </w:tcPr>
          <w:p>
            <w:pPr>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根据委托代理协议约定，供应商询问由采购代理机构负责统一答复。</w:t>
            </w:r>
          </w:p>
          <w:p>
            <w:pPr>
              <w:rPr>
                <w:rFonts w:hint="eastAsia" w:asciiTheme="majorEastAsia" w:hAnsiTheme="majorEastAsia" w:eastAsiaTheme="majorEastAsia" w:cstheme="majorEastAsia"/>
                <w:sz w:val="24"/>
                <w:szCs w:val="32"/>
                <w:lang w:val="zh-CN"/>
              </w:rPr>
            </w:pPr>
            <w:r>
              <w:rPr>
                <w:rFonts w:hint="eastAsia" w:asciiTheme="majorEastAsia" w:hAnsiTheme="majorEastAsia" w:eastAsiaTheme="majorEastAsia" w:cstheme="majorEastAsia"/>
                <w:sz w:val="24"/>
                <w:szCs w:val="24"/>
                <w:lang w:val="zh-CN"/>
              </w:rPr>
              <w:t>联系人：</w:t>
            </w:r>
            <w:r>
              <w:rPr>
                <w:rFonts w:hint="eastAsia" w:asciiTheme="majorEastAsia" w:hAnsiTheme="majorEastAsia" w:eastAsiaTheme="majorEastAsia" w:cstheme="majorEastAsia"/>
                <w:sz w:val="24"/>
                <w:szCs w:val="32"/>
                <w:lang w:val="zh-CN"/>
              </w:rPr>
              <w:t>达哇</w:t>
            </w:r>
          </w:p>
          <w:p>
            <w:pPr>
              <w:rPr>
                <w:rFonts w:hint="eastAsia" w:asciiTheme="majorEastAsia" w:hAnsiTheme="majorEastAsia" w:eastAsiaTheme="majorEastAsia" w:cstheme="majorEastAsia"/>
                <w:sz w:val="24"/>
                <w:szCs w:val="32"/>
                <w:lang w:val="zh-CN"/>
              </w:rPr>
            </w:pPr>
            <w:r>
              <w:rPr>
                <w:rFonts w:hint="eastAsia" w:asciiTheme="majorEastAsia" w:hAnsiTheme="majorEastAsia" w:eastAsiaTheme="majorEastAsia" w:cstheme="majorEastAsia"/>
                <w:sz w:val="24"/>
                <w:szCs w:val="24"/>
                <w:lang w:val="zh-CN"/>
              </w:rPr>
              <w:t>联系电话：</w:t>
            </w:r>
            <w:r>
              <w:rPr>
                <w:rFonts w:hint="eastAsia" w:asciiTheme="majorEastAsia" w:hAnsiTheme="majorEastAsia" w:eastAsiaTheme="majorEastAsia" w:cstheme="majorEastAsia"/>
                <w:sz w:val="24"/>
                <w:szCs w:val="32"/>
                <w:lang w:val="zh-CN"/>
              </w:rPr>
              <w:t>18889085537</w:t>
            </w:r>
          </w:p>
          <w:p>
            <w:pPr>
              <w:rPr>
                <w:rFonts w:hint="eastAsia" w:asciiTheme="majorEastAsia" w:hAnsiTheme="majorEastAsia" w:eastAsiaTheme="majorEastAsia" w:cstheme="majorEastAsia"/>
                <w:sz w:val="24"/>
                <w:szCs w:val="24"/>
                <w:lang w:eastAsia="zh-CN"/>
              </w:rPr>
            </w:pPr>
            <w:r>
              <w:rPr>
                <w:rFonts w:hint="eastAsia" w:asciiTheme="majorEastAsia" w:hAnsiTheme="majorEastAsia" w:eastAsiaTheme="majorEastAsia" w:cstheme="majorEastAsia"/>
                <w:sz w:val="24"/>
                <w:szCs w:val="24"/>
                <w:lang w:val="zh-CN"/>
              </w:rPr>
              <w:t>联系地址：</w:t>
            </w:r>
            <w:r>
              <w:rPr>
                <w:rFonts w:hint="eastAsia" w:asciiTheme="majorEastAsia" w:hAnsiTheme="majorEastAsia" w:eastAsiaTheme="majorEastAsia" w:cstheme="majorEastAsia"/>
                <w:sz w:val="24"/>
                <w:szCs w:val="24"/>
              </w:rPr>
              <w:t>西藏自治区拉萨市藏大东路科技大厦</w:t>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t>楼</w:t>
            </w:r>
            <w:r>
              <w:rPr>
                <w:rFonts w:hint="eastAsia" w:asciiTheme="majorEastAsia" w:hAnsiTheme="majorEastAsia" w:eastAsiaTheme="majorEastAsia" w:cstheme="majorEastAsia"/>
                <w:sz w:val="24"/>
                <w:szCs w:val="24"/>
                <w:lang w:eastAsia="zh-CN"/>
              </w:rPr>
              <w:t>。</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vAlign w:val="center"/>
          </w:tcPr>
          <w:p>
            <w:pPr>
              <w:pStyle w:val="45"/>
              <w:ind w:right="264"/>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13</w:t>
            </w:r>
          </w:p>
        </w:tc>
        <w:tc>
          <w:tcPr>
            <w:tcW w:w="2003" w:type="dxa"/>
            <w:vAlign w:val="center"/>
          </w:tcPr>
          <w:p>
            <w:pPr>
              <w:pStyle w:val="45"/>
              <w:jc w:val="center"/>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供应商质疑</w:t>
            </w:r>
          </w:p>
        </w:tc>
        <w:tc>
          <w:tcPr>
            <w:tcW w:w="6797" w:type="dxa"/>
            <w:vAlign w:val="center"/>
          </w:tcPr>
          <w:p>
            <w:pPr>
              <w:spacing w:line="340" w:lineRule="exact"/>
              <w:ind w:right="105" w:rightChars="50"/>
              <w:jc w:val="lef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根据委托代理协议约定，供应商质疑由采购代理机构负责统一接收、答复。</w:t>
            </w:r>
          </w:p>
          <w:p>
            <w:pPr>
              <w:pStyle w:val="46"/>
              <w:spacing w:line="420" w:lineRule="exact"/>
              <w:ind w:left="0" w:leftChars="0" w:firstLine="0" w:firstLineChars="0"/>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sz w:val="24"/>
                <w:szCs w:val="18"/>
              </w:rPr>
              <w:t>联</w:t>
            </w:r>
            <w:r>
              <w:rPr>
                <w:rFonts w:hint="eastAsia" w:asciiTheme="majorEastAsia" w:hAnsiTheme="majorEastAsia" w:eastAsiaTheme="majorEastAsia" w:cstheme="majorEastAsia"/>
                <w:kern w:val="2"/>
                <w:sz w:val="24"/>
                <w:szCs w:val="24"/>
                <w:lang w:val="en-US" w:eastAsia="zh-CN" w:bidi="ar-SA"/>
              </w:rPr>
              <w:t>系人：滕先生</w:t>
            </w:r>
          </w:p>
          <w:p>
            <w:pPr>
              <w:pStyle w:val="46"/>
              <w:spacing w:line="420" w:lineRule="exact"/>
              <w:ind w:left="0" w:leftChars="0" w:firstLine="0" w:firstLineChars="0"/>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联系电话：13880023210</w:t>
            </w:r>
          </w:p>
          <w:p>
            <w:pPr>
              <w:spacing w:line="340" w:lineRule="exact"/>
              <w:ind w:right="105" w:rightChars="50"/>
              <w:jc w:val="left"/>
              <w:rPr>
                <w:rFonts w:hint="eastAsia" w:asciiTheme="majorEastAsia" w:hAnsiTheme="majorEastAsia" w:eastAsiaTheme="majorEastAsia" w:cstheme="majorEastAsia"/>
                <w:sz w:val="24"/>
                <w:szCs w:val="24"/>
                <w:lang w:eastAsia="zh-CN"/>
              </w:rPr>
            </w:pPr>
            <w:r>
              <w:rPr>
                <w:rFonts w:hint="eastAsia" w:asciiTheme="majorEastAsia" w:hAnsiTheme="majorEastAsia" w:eastAsiaTheme="majorEastAsia" w:cstheme="majorEastAsia"/>
                <w:sz w:val="24"/>
                <w:szCs w:val="24"/>
              </w:rPr>
              <w:t>递交地址：西藏自治区拉萨市藏大东路科技大厦</w:t>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t>楼</w:t>
            </w:r>
            <w:r>
              <w:rPr>
                <w:rFonts w:hint="eastAsia" w:asciiTheme="majorEastAsia" w:hAnsiTheme="majorEastAsia" w:eastAsiaTheme="majorEastAsia" w:cstheme="majorEastAsia"/>
                <w:sz w:val="24"/>
                <w:szCs w:val="24"/>
                <w:lang w:eastAsia="zh-CN"/>
              </w:rPr>
              <w:t>。</w:t>
            </w:r>
          </w:p>
          <w:p>
            <w:pPr>
              <w:spacing w:line="340" w:lineRule="exact"/>
              <w:ind w:right="105" w:rightChars="50"/>
              <w:jc w:val="lef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注：根据《中华人民共和国政府采购法》等规定，供应商质疑不得超出采购文件、采购过程、采购结果的范围, 供应商针对同一采购程序环节的质疑应在法定质疑期内一次性提出。</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vAlign w:val="center"/>
          </w:tcPr>
          <w:p>
            <w:pPr>
              <w:ind w:firstLine="120" w:firstLineChars="50"/>
              <w:rPr>
                <w:rFonts w:hint="eastAsia" w:asciiTheme="majorEastAsia" w:hAnsiTheme="majorEastAsia" w:eastAsiaTheme="majorEastAsia" w:cstheme="majorEastAsia"/>
                <w:sz w:val="24"/>
                <w:szCs w:val="24"/>
                <w:lang w:eastAsia="zh-CN"/>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4</w:t>
            </w:r>
          </w:p>
        </w:tc>
        <w:tc>
          <w:tcPr>
            <w:tcW w:w="2003" w:type="dxa"/>
            <w:tcBorders>
              <w:right w:val="single" w:color="auto" w:sz="4" w:space="0"/>
            </w:tcBorders>
            <w:vAlign w:val="center"/>
          </w:tcPr>
          <w:p>
            <w:pPr>
              <w:pStyle w:val="45"/>
              <w:ind w:left="96"/>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zh-CN"/>
              </w:rPr>
              <w:t>招标服务费</w:t>
            </w:r>
          </w:p>
        </w:tc>
        <w:tc>
          <w:tcPr>
            <w:tcW w:w="6797" w:type="dxa"/>
            <w:tcBorders>
              <w:left w:val="single" w:color="auto" w:sz="4" w:space="0"/>
            </w:tcBorders>
            <w:vAlign w:val="center"/>
          </w:tcPr>
          <w:p>
            <w:pPr>
              <w:pStyle w:val="45"/>
              <w:rPr>
                <w:rFonts w:hint="eastAsia" w:asciiTheme="majorEastAsia" w:hAnsiTheme="majorEastAsia" w:eastAsiaTheme="majorEastAsia" w:cstheme="majorEastAsia"/>
                <w:kern w:val="0"/>
                <w:sz w:val="24"/>
                <w:szCs w:val="24"/>
                <w:lang w:val="zh-CN" w:eastAsia="zh-CN" w:bidi="ar-SA"/>
              </w:rPr>
            </w:pPr>
            <w:bookmarkStart w:id="25" w:name="PO_默认文件内容_14"/>
            <w:r>
              <w:rPr>
                <w:rFonts w:hint="eastAsia" w:asciiTheme="majorEastAsia" w:hAnsiTheme="majorEastAsia" w:eastAsiaTheme="majorEastAsia" w:cstheme="majorEastAsia"/>
                <w:kern w:val="0"/>
                <w:sz w:val="24"/>
                <w:szCs w:val="24"/>
                <w:lang w:val="zh-CN" w:eastAsia="zh-CN" w:bidi="ar-SA"/>
              </w:rPr>
              <w:t>以</w:t>
            </w:r>
            <w:r>
              <w:rPr>
                <w:rFonts w:hint="eastAsia" w:asciiTheme="majorEastAsia" w:hAnsiTheme="majorEastAsia" w:eastAsiaTheme="majorEastAsia" w:cstheme="majorEastAsia"/>
                <w:kern w:val="0"/>
                <w:sz w:val="24"/>
                <w:szCs w:val="24"/>
                <w:lang w:val="en-US" w:eastAsia="zh-CN" w:bidi="ar-SA"/>
              </w:rPr>
              <w:t>中标</w:t>
            </w:r>
            <w:r>
              <w:rPr>
                <w:rFonts w:hint="eastAsia" w:asciiTheme="majorEastAsia" w:hAnsiTheme="majorEastAsia" w:eastAsiaTheme="majorEastAsia" w:cstheme="majorEastAsia"/>
                <w:kern w:val="0"/>
                <w:sz w:val="24"/>
                <w:szCs w:val="24"/>
                <w:lang w:val="zh-CN" w:eastAsia="zh-CN" w:bidi="ar-SA"/>
              </w:rPr>
              <w:t>金额为计费基数，参照｛2015｝299号文，按</w:t>
            </w:r>
            <w:r>
              <w:rPr>
                <w:rFonts w:hint="eastAsia" w:asciiTheme="majorEastAsia" w:hAnsiTheme="majorEastAsia" w:eastAsiaTheme="majorEastAsia" w:cstheme="majorEastAsia"/>
                <w:kern w:val="0"/>
                <w:sz w:val="24"/>
                <w:szCs w:val="24"/>
                <w:lang w:val="en-US" w:eastAsia="zh-CN" w:bidi="ar-SA"/>
              </w:rPr>
              <w:t>中标</w:t>
            </w:r>
            <w:r>
              <w:rPr>
                <w:rFonts w:hint="eastAsia" w:asciiTheme="majorEastAsia" w:hAnsiTheme="majorEastAsia" w:eastAsiaTheme="majorEastAsia" w:cstheme="majorEastAsia"/>
                <w:kern w:val="0"/>
                <w:sz w:val="24"/>
                <w:szCs w:val="24"/>
                <w:lang w:val="zh-CN" w:eastAsia="zh-CN" w:bidi="ar-SA"/>
              </w:rPr>
              <w:t>金额的1.5%收取,由</w:t>
            </w:r>
            <w:r>
              <w:rPr>
                <w:rFonts w:hint="eastAsia" w:asciiTheme="majorEastAsia" w:hAnsiTheme="majorEastAsia" w:eastAsiaTheme="majorEastAsia" w:cstheme="majorEastAsia"/>
                <w:kern w:val="0"/>
                <w:sz w:val="24"/>
                <w:szCs w:val="24"/>
                <w:lang w:val="en-US" w:eastAsia="zh-CN" w:bidi="ar-SA"/>
              </w:rPr>
              <w:t>中标</w:t>
            </w:r>
            <w:r>
              <w:rPr>
                <w:rFonts w:hint="eastAsia" w:asciiTheme="majorEastAsia" w:hAnsiTheme="majorEastAsia" w:eastAsiaTheme="majorEastAsia" w:cstheme="majorEastAsia"/>
                <w:kern w:val="0"/>
                <w:sz w:val="24"/>
                <w:szCs w:val="24"/>
                <w:lang w:val="zh-CN" w:eastAsia="zh-CN" w:bidi="ar-SA"/>
              </w:rPr>
              <w:t>人在领取</w:t>
            </w:r>
            <w:r>
              <w:rPr>
                <w:rFonts w:hint="eastAsia" w:asciiTheme="majorEastAsia" w:hAnsiTheme="majorEastAsia" w:eastAsiaTheme="majorEastAsia" w:cstheme="majorEastAsia"/>
                <w:kern w:val="0"/>
                <w:sz w:val="24"/>
                <w:szCs w:val="24"/>
                <w:lang w:val="en-US" w:eastAsia="zh-CN" w:bidi="ar-SA"/>
              </w:rPr>
              <w:t>中标</w:t>
            </w:r>
            <w:r>
              <w:rPr>
                <w:rFonts w:hint="eastAsia" w:asciiTheme="majorEastAsia" w:hAnsiTheme="majorEastAsia" w:eastAsiaTheme="majorEastAsia" w:cstheme="majorEastAsia"/>
                <w:kern w:val="0"/>
                <w:sz w:val="24"/>
                <w:szCs w:val="24"/>
                <w:lang w:val="zh-CN" w:eastAsia="zh-CN" w:bidi="ar-SA"/>
              </w:rPr>
              <w:t>通知书前向招标代理机构交纳招标服务费。</w:t>
            </w:r>
            <w:bookmarkEnd w:id="25"/>
          </w:p>
          <w:p>
            <w:pPr>
              <w:pStyle w:val="45"/>
              <w:spacing w:afterLines="50"/>
              <w:rPr>
                <w:rFonts w:hint="eastAsia" w:asciiTheme="majorEastAsia" w:hAnsiTheme="majorEastAsia" w:eastAsiaTheme="majorEastAsia" w:cstheme="majorEastAsia"/>
                <w:kern w:val="0"/>
                <w:sz w:val="24"/>
                <w:szCs w:val="24"/>
                <w:lang w:val="zh-CN" w:eastAsia="zh-CN" w:bidi="ar-SA"/>
              </w:rPr>
            </w:pPr>
            <w:r>
              <w:rPr>
                <w:rFonts w:hint="eastAsia" w:asciiTheme="majorEastAsia" w:hAnsiTheme="majorEastAsia" w:eastAsiaTheme="majorEastAsia" w:cstheme="majorEastAsia"/>
                <w:kern w:val="0"/>
                <w:sz w:val="24"/>
                <w:szCs w:val="24"/>
                <w:lang w:val="zh-CN" w:eastAsia="zh-CN" w:bidi="ar-SA"/>
              </w:rPr>
              <w:t>收款单位：西藏泽润招标代理有限公司</w:t>
            </w:r>
          </w:p>
          <w:p>
            <w:pPr>
              <w:pStyle w:val="45"/>
              <w:spacing w:afterLines="50"/>
              <w:rPr>
                <w:rFonts w:hint="eastAsia" w:asciiTheme="majorEastAsia" w:hAnsiTheme="majorEastAsia" w:eastAsiaTheme="majorEastAsia" w:cstheme="majorEastAsia"/>
                <w:kern w:val="0"/>
                <w:sz w:val="24"/>
                <w:szCs w:val="24"/>
                <w:lang w:val="zh-CN" w:eastAsia="zh-CN" w:bidi="ar-SA"/>
              </w:rPr>
            </w:pPr>
            <w:r>
              <w:rPr>
                <w:rFonts w:hint="eastAsia" w:asciiTheme="majorEastAsia" w:hAnsiTheme="majorEastAsia" w:eastAsiaTheme="majorEastAsia" w:cstheme="majorEastAsia"/>
                <w:kern w:val="0"/>
                <w:sz w:val="24"/>
                <w:szCs w:val="24"/>
                <w:lang w:val="zh-CN" w:eastAsia="zh-CN" w:bidi="ar-SA"/>
              </w:rPr>
              <w:t>开 户 行：中国民生银行拉萨分行</w:t>
            </w:r>
          </w:p>
          <w:p>
            <w:pPr>
              <w:autoSpaceDE w:val="0"/>
              <w:autoSpaceDN w:val="0"/>
              <w:adjustRightInd w:val="0"/>
              <w:jc w:val="left"/>
              <w:rPr>
                <w:rFonts w:hint="eastAsia" w:asciiTheme="majorEastAsia" w:hAnsiTheme="majorEastAsia" w:eastAsiaTheme="majorEastAsia" w:cstheme="majorEastAsia"/>
                <w:kern w:val="0"/>
                <w:sz w:val="24"/>
                <w:szCs w:val="24"/>
                <w:lang w:val="zh-CN" w:eastAsia="zh-CN" w:bidi="ar-SA"/>
              </w:rPr>
            </w:pPr>
            <w:r>
              <w:rPr>
                <w:rFonts w:hint="eastAsia" w:asciiTheme="majorEastAsia" w:hAnsiTheme="majorEastAsia" w:eastAsiaTheme="majorEastAsia" w:cstheme="majorEastAsia"/>
                <w:kern w:val="0"/>
                <w:sz w:val="24"/>
                <w:szCs w:val="24"/>
                <w:lang w:val="zh-CN" w:eastAsia="zh-CN" w:bidi="ar-SA"/>
              </w:rPr>
              <w:t>银行账号：157031607。</w:t>
            </w:r>
          </w:p>
          <w:p>
            <w:pPr>
              <w:pStyle w:val="45"/>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kern w:val="0"/>
                <w:sz w:val="24"/>
                <w:szCs w:val="24"/>
                <w:lang w:val="zh-CN" w:eastAsia="zh-CN" w:bidi="ar-SA"/>
              </w:rPr>
              <w:t xml:space="preserve">4、成交人在领取成交通知书前向采购代理机构交纳成交服务费。 </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vAlign w:val="center"/>
          </w:tcPr>
          <w:p>
            <w:pPr>
              <w:ind w:firstLine="120" w:firstLineChars="50"/>
              <w:rPr>
                <w:rFonts w:hint="eastAsia" w:asciiTheme="majorEastAsia" w:hAnsiTheme="majorEastAsia" w:eastAsiaTheme="majorEastAsia" w:cstheme="majorEastAsia"/>
                <w:sz w:val="24"/>
                <w:szCs w:val="24"/>
                <w:lang w:eastAsia="zh-CN"/>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5</w:t>
            </w:r>
          </w:p>
        </w:tc>
        <w:tc>
          <w:tcPr>
            <w:tcW w:w="2003" w:type="dxa"/>
            <w:tcBorders>
              <w:right w:val="single" w:color="auto" w:sz="4" w:space="0"/>
            </w:tcBorders>
            <w:vAlign w:val="center"/>
          </w:tcPr>
          <w:p>
            <w:pPr>
              <w:pStyle w:val="45"/>
              <w:ind w:left="96"/>
              <w:jc w:val="center"/>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送样提醒</w:t>
            </w:r>
          </w:p>
        </w:tc>
        <w:tc>
          <w:tcPr>
            <w:tcW w:w="6797" w:type="dxa"/>
            <w:tcBorders>
              <w:left w:val="single" w:color="auto" w:sz="4" w:space="0"/>
            </w:tcBorders>
            <w:vAlign w:val="center"/>
          </w:tcPr>
          <w:p>
            <w:pPr>
              <w:pStyle w:val="45"/>
              <w:jc w:val="both"/>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b/>
                <w:bCs/>
                <w:sz w:val="24"/>
                <w:szCs w:val="24"/>
                <w:lang w:val="zh-CN"/>
              </w:rPr>
              <w:t>本项目不收取样品</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 w:hRule="atLeast"/>
          <w:jc w:val="center"/>
        </w:trPr>
        <w:tc>
          <w:tcPr>
            <w:tcW w:w="838" w:type="dxa"/>
            <w:vAlign w:val="center"/>
          </w:tcPr>
          <w:p>
            <w:pPr>
              <w:ind w:firstLine="120" w:firstLineChars="50"/>
              <w:rPr>
                <w:rFonts w:hint="eastAsia" w:asciiTheme="majorEastAsia" w:hAnsiTheme="majorEastAsia" w:eastAsiaTheme="majorEastAsia" w:cstheme="majorEastAsia"/>
                <w:sz w:val="24"/>
                <w:szCs w:val="24"/>
                <w:lang w:eastAsia="zh-CN"/>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6</w:t>
            </w:r>
          </w:p>
        </w:tc>
        <w:tc>
          <w:tcPr>
            <w:tcW w:w="2003" w:type="dxa"/>
            <w:tcBorders>
              <w:right w:val="single" w:color="auto" w:sz="4" w:space="0"/>
            </w:tcBorders>
            <w:vAlign w:val="center"/>
          </w:tcPr>
          <w:p>
            <w:pPr>
              <w:pStyle w:val="45"/>
              <w:ind w:left="96"/>
              <w:jc w:val="center"/>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联合体（实质性要求）</w:t>
            </w:r>
          </w:p>
        </w:tc>
        <w:tc>
          <w:tcPr>
            <w:tcW w:w="6797" w:type="dxa"/>
            <w:tcBorders>
              <w:left w:val="single" w:color="auto" w:sz="4" w:space="0"/>
            </w:tcBorders>
            <w:vAlign w:val="center"/>
          </w:tcPr>
          <w:p>
            <w:pPr>
              <w:pStyle w:val="45"/>
              <w:rPr>
                <w:rFonts w:hint="eastAsia" w:asciiTheme="majorEastAsia" w:hAnsiTheme="majorEastAsia" w:eastAsiaTheme="majorEastAsia" w:cstheme="majorEastAsia"/>
                <w:b/>
                <w:sz w:val="24"/>
                <w:szCs w:val="24"/>
                <w:lang w:val="zh-CN"/>
              </w:rPr>
            </w:pPr>
            <w:r>
              <w:rPr>
                <w:rFonts w:hint="eastAsia" w:asciiTheme="majorEastAsia" w:hAnsiTheme="majorEastAsia" w:eastAsiaTheme="majorEastAsia" w:cstheme="majorEastAsia"/>
                <w:b/>
                <w:kern w:val="2"/>
                <w:sz w:val="32"/>
                <w:szCs w:val="32"/>
              </w:rPr>
              <w:t>☑</w:t>
            </w:r>
            <w:r>
              <w:rPr>
                <w:rFonts w:hint="eastAsia" w:asciiTheme="majorEastAsia" w:hAnsiTheme="majorEastAsia" w:eastAsiaTheme="majorEastAsia" w:cstheme="majorEastAsia"/>
                <w:b/>
                <w:sz w:val="24"/>
                <w:szCs w:val="24"/>
                <w:lang w:val="zh-CN"/>
              </w:rPr>
              <w:t xml:space="preserve">本项目不允许联合体参加    </w:t>
            </w:r>
          </w:p>
          <w:p>
            <w:pPr>
              <w:pStyle w:val="45"/>
              <w:jc w:val="both"/>
              <w:rPr>
                <w:rFonts w:hint="eastAsia"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b/>
                <w:sz w:val="24"/>
                <w:szCs w:val="24"/>
                <w:lang w:val="zh-CN"/>
              </w:rPr>
              <w:t>□本项目允许联合体参加</w:t>
            </w:r>
          </w:p>
        </w:tc>
      </w:tr>
    </w:tbl>
    <w:p>
      <w:pPr>
        <w:rPr>
          <w:rFonts w:hint="eastAsia" w:asciiTheme="majorEastAsia" w:hAnsiTheme="majorEastAsia" w:eastAsiaTheme="majorEastAsia" w:cstheme="majorEastAsia"/>
        </w:rPr>
      </w:pPr>
    </w:p>
    <w:p>
      <w:pPr>
        <w:pStyle w:val="3"/>
        <w:spacing w:line="400" w:lineRule="exact"/>
        <w:jc w:val="center"/>
        <w:rPr>
          <w:rFonts w:hint="eastAsia" w:asciiTheme="majorEastAsia" w:hAnsiTheme="majorEastAsia" w:eastAsiaTheme="majorEastAsia" w:cstheme="majorEastAsia"/>
          <w:bCs w:val="0"/>
        </w:rPr>
      </w:pPr>
      <w:r>
        <w:rPr>
          <w:rFonts w:hint="eastAsia" w:asciiTheme="majorEastAsia" w:hAnsiTheme="majorEastAsia" w:eastAsiaTheme="majorEastAsia" w:cstheme="majorEastAsia"/>
          <w:bCs w:val="0"/>
        </w:rPr>
        <w:t>二、总  则</w:t>
      </w:r>
    </w:p>
    <w:p>
      <w:pPr>
        <w:pStyle w:val="4"/>
        <w:spacing w:line="400" w:lineRule="exact"/>
        <w:ind w:firstLine="482" w:firstLineChars="200"/>
        <w:rPr>
          <w:rFonts w:hint="eastAsia" w:asciiTheme="majorEastAsia" w:hAnsiTheme="majorEastAsia" w:eastAsiaTheme="majorEastAsia" w:cstheme="majorEastAsia"/>
          <w:sz w:val="24"/>
          <w:szCs w:val="24"/>
        </w:rPr>
      </w:pPr>
      <w:bookmarkStart w:id="26" w:name="_Toc183682342"/>
      <w:bookmarkStart w:id="27" w:name="_Toc183582205"/>
      <w:bookmarkStart w:id="28" w:name="_Toc217446034"/>
      <w:bookmarkStart w:id="29" w:name="PO_默认文件内容_19"/>
      <w:r>
        <w:rPr>
          <w:rFonts w:hint="eastAsia" w:asciiTheme="majorEastAsia" w:hAnsiTheme="majorEastAsia" w:eastAsiaTheme="majorEastAsia" w:cstheme="majorEastAsia"/>
          <w:sz w:val="24"/>
          <w:szCs w:val="24"/>
        </w:rPr>
        <w:t>1.</w:t>
      </w:r>
      <w:bookmarkEnd w:id="26"/>
      <w:bookmarkEnd w:id="27"/>
      <w:r>
        <w:rPr>
          <w:rFonts w:hint="eastAsia" w:asciiTheme="majorEastAsia" w:hAnsiTheme="majorEastAsia" w:eastAsiaTheme="majorEastAsia" w:cstheme="majorEastAsia"/>
          <w:sz w:val="24"/>
          <w:szCs w:val="24"/>
        </w:rPr>
        <w:t xml:space="preserve"> 适用范围</w:t>
      </w:r>
      <w:bookmarkEnd w:id="28"/>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1.1 本招标文件仅适用于本次招标采购项目。</w:t>
      </w:r>
    </w:p>
    <w:p>
      <w:pPr>
        <w:tabs>
          <w:tab w:val="left" w:pos="7665"/>
        </w:tabs>
        <w:spacing w:line="400" w:lineRule="exact"/>
        <w:ind w:firstLine="480" w:firstLineChars="200"/>
        <w:rPr>
          <w:rFonts w:hint="eastAsia" w:asciiTheme="majorEastAsia" w:hAnsiTheme="majorEastAsia" w:eastAsiaTheme="majorEastAsia" w:cstheme="majorEastAsia"/>
        </w:rPr>
      </w:pPr>
      <w:r>
        <w:rPr>
          <w:rFonts w:hint="eastAsia" w:asciiTheme="majorEastAsia" w:hAnsiTheme="majorEastAsia" w:eastAsiaTheme="majorEastAsia" w:cstheme="majorEastAsia"/>
          <w:sz w:val="24"/>
        </w:rPr>
        <w:t>1.2 本谈判文件的解释权归采购人和采购代理机构所有。</w:t>
      </w:r>
    </w:p>
    <w:p>
      <w:pPr>
        <w:pStyle w:val="4"/>
        <w:spacing w:line="400" w:lineRule="exact"/>
        <w:ind w:firstLine="482" w:firstLineChars="200"/>
        <w:rPr>
          <w:rFonts w:hint="eastAsia" w:asciiTheme="majorEastAsia" w:hAnsiTheme="majorEastAsia" w:eastAsiaTheme="majorEastAsia" w:cstheme="majorEastAsia"/>
          <w:sz w:val="24"/>
        </w:rPr>
      </w:pPr>
      <w:bookmarkStart w:id="30" w:name="_Toc183682343"/>
      <w:bookmarkStart w:id="31" w:name="_Toc183582206"/>
      <w:bookmarkStart w:id="32" w:name="_Toc217446035"/>
      <w:r>
        <w:rPr>
          <w:rFonts w:hint="eastAsia" w:asciiTheme="majorEastAsia" w:hAnsiTheme="majorEastAsia" w:eastAsiaTheme="majorEastAsia" w:cstheme="majorEastAsia"/>
          <w:sz w:val="24"/>
        </w:rPr>
        <w:t xml:space="preserve">2. </w:t>
      </w:r>
      <w:bookmarkEnd w:id="30"/>
      <w:bookmarkEnd w:id="31"/>
      <w:r>
        <w:rPr>
          <w:rFonts w:hint="eastAsia" w:asciiTheme="majorEastAsia" w:hAnsiTheme="majorEastAsia" w:eastAsiaTheme="majorEastAsia" w:cstheme="majorEastAsia"/>
          <w:sz w:val="24"/>
        </w:rPr>
        <w:t>有关</w:t>
      </w:r>
      <w:r>
        <w:rPr>
          <w:rFonts w:hint="eastAsia" w:asciiTheme="majorEastAsia" w:hAnsiTheme="majorEastAsia" w:eastAsiaTheme="majorEastAsia" w:cstheme="majorEastAsia"/>
          <w:sz w:val="24"/>
          <w:szCs w:val="24"/>
        </w:rPr>
        <w:t>定义</w:t>
      </w:r>
      <w:bookmarkEnd w:id="32"/>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2.1 “采购人”系指依法进行政府采购的国家机关、事业单位、团体组织。本次招标的采购人是</w:t>
      </w:r>
      <w:bookmarkEnd w:id="29"/>
      <w:r>
        <w:rPr>
          <w:rFonts w:hint="eastAsia" w:asciiTheme="majorEastAsia" w:hAnsiTheme="majorEastAsia" w:eastAsiaTheme="majorEastAsia" w:cstheme="majorEastAsia"/>
          <w:sz w:val="24"/>
        </w:rPr>
        <w:t xml:space="preserve"> </w:t>
      </w:r>
      <w:r>
        <w:rPr>
          <w:rFonts w:hint="eastAsia" w:asciiTheme="minorEastAsia" w:hAnsiTheme="minorEastAsia" w:eastAsiaTheme="minorEastAsia" w:cstheme="minorEastAsia"/>
          <w:b/>
          <w:bCs/>
          <w:sz w:val="24"/>
          <w:szCs w:val="24"/>
          <w:u w:val="single"/>
        </w:rPr>
        <w:t>西藏自治区妇产儿童医院（西藏自治区妇幼保健院）</w:t>
      </w:r>
      <w:r>
        <w:rPr>
          <w:rFonts w:hint="eastAsia" w:asciiTheme="majorEastAsia" w:hAnsiTheme="majorEastAsia" w:eastAsiaTheme="majorEastAsia" w:cstheme="majorEastAsia"/>
          <w:sz w:val="24"/>
        </w:rPr>
        <w:t xml:space="preserve"> 。</w:t>
      </w:r>
    </w:p>
    <w:p>
      <w:pPr>
        <w:tabs>
          <w:tab w:val="left" w:pos="7665"/>
        </w:tabs>
        <w:spacing w:line="400" w:lineRule="exact"/>
        <w:ind w:firstLine="480" w:firstLineChars="200"/>
        <w:rPr>
          <w:rFonts w:hint="eastAsia" w:asciiTheme="majorEastAsia" w:hAnsiTheme="majorEastAsia" w:eastAsiaTheme="majorEastAsia" w:cstheme="majorEastAsia"/>
          <w:sz w:val="24"/>
        </w:rPr>
      </w:pPr>
      <w:bookmarkStart w:id="33" w:name="PO_默认文件内容_20"/>
      <w:r>
        <w:rPr>
          <w:rFonts w:hint="eastAsia" w:asciiTheme="majorEastAsia" w:hAnsiTheme="majorEastAsia" w:eastAsiaTheme="majorEastAsia" w:cstheme="majorEastAsia"/>
          <w:sz w:val="24"/>
        </w:rPr>
        <w:t>2.2 “采购代理机构” 系指根据采购人的委托依法办理招标事宜的采购机构。本次招标的采购代理机构是</w:t>
      </w:r>
      <w:r>
        <w:rPr>
          <w:rFonts w:hint="eastAsia" w:asciiTheme="majorEastAsia" w:hAnsiTheme="majorEastAsia" w:eastAsiaTheme="majorEastAsia" w:cstheme="majorEastAsia"/>
          <w:b/>
          <w:bCs/>
          <w:sz w:val="24"/>
          <w:u w:val="single"/>
        </w:rPr>
        <w:t>西藏泽润招标代理有限公司</w:t>
      </w:r>
      <w:r>
        <w:rPr>
          <w:rFonts w:hint="eastAsia" w:asciiTheme="majorEastAsia" w:hAnsiTheme="majorEastAsia" w:eastAsiaTheme="majorEastAsia" w:cstheme="majorEastAsia"/>
          <w:sz w:val="24"/>
        </w:rPr>
        <w:t>。</w:t>
      </w:r>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2.3 “招标采购单位”系指“采购人”和“采购代理机构”的统称。</w:t>
      </w:r>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2.4 “投标人”系指获取了招标文件拟参加投标和向采购人提供货物及相应服务的供应商。</w:t>
      </w:r>
    </w:p>
    <w:p>
      <w:pPr>
        <w:pStyle w:val="4"/>
        <w:spacing w:line="400" w:lineRule="exact"/>
        <w:ind w:firstLine="482" w:firstLineChars="200"/>
        <w:rPr>
          <w:rFonts w:hint="eastAsia" w:asciiTheme="majorEastAsia" w:hAnsiTheme="majorEastAsia" w:eastAsiaTheme="majorEastAsia" w:cstheme="majorEastAsia"/>
          <w:sz w:val="24"/>
        </w:rPr>
      </w:pPr>
      <w:bookmarkStart w:id="34" w:name="_Toc183682344"/>
      <w:bookmarkStart w:id="35" w:name="_Toc217446036"/>
      <w:bookmarkStart w:id="36" w:name="_Toc183582207"/>
      <w:bookmarkStart w:id="37" w:name="_Toc217390843"/>
      <w:r>
        <w:rPr>
          <w:rFonts w:hint="eastAsia" w:asciiTheme="majorEastAsia" w:hAnsiTheme="majorEastAsia" w:eastAsiaTheme="majorEastAsia" w:cstheme="majorEastAsia"/>
          <w:sz w:val="24"/>
        </w:rPr>
        <w:t>3. 合格的投标人</w:t>
      </w:r>
      <w:bookmarkEnd w:id="34"/>
      <w:bookmarkEnd w:id="35"/>
      <w:bookmarkEnd w:id="36"/>
      <w:bookmarkEnd w:id="37"/>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合格的投标人应具备以下条件：</w:t>
      </w:r>
    </w:p>
    <w:p>
      <w:pPr>
        <w:tabs>
          <w:tab w:val="left" w:pos="7665"/>
        </w:tabs>
        <w:spacing w:line="400" w:lineRule="exact"/>
        <w:ind w:firstLine="480" w:firstLineChars="200"/>
        <w:rPr>
          <w:rFonts w:hint="eastAsia" w:asciiTheme="majorEastAsia" w:hAnsiTheme="majorEastAsia" w:eastAsiaTheme="majorEastAsia" w:cstheme="majorEastAsia"/>
          <w:spacing w:val="-4"/>
          <w:sz w:val="24"/>
        </w:rPr>
      </w:pPr>
      <w:r>
        <w:rPr>
          <w:rFonts w:hint="eastAsia" w:asciiTheme="majorEastAsia" w:hAnsiTheme="majorEastAsia" w:eastAsiaTheme="majorEastAsia" w:cstheme="majorEastAsia"/>
          <w:sz w:val="24"/>
        </w:rPr>
        <w:t>（1）本招标文件规定的供应商资格条件</w:t>
      </w:r>
      <w:r>
        <w:rPr>
          <w:rFonts w:hint="eastAsia" w:asciiTheme="majorEastAsia" w:hAnsiTheme="majorEastAsia" w:eastAsiaTheme="majorEastAsia" w:cstheme="majorEastAsia"/>
          <w:spacing w:val="-4"/>
          <w:sz w:val="24"/>
        </w:rPr>
        <w:t>；</w:t>
      </w:r>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（2）遵守国家有关的法律、法规、规章和其他政策制度；</w:t>
      </w:r>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（3）按照规定获取了招标文件</w:t>
      </w:r>
      <w:r>
        <w:rPr>
          <w:rFonts w:hint="eastAsia" w:asciiTheme="majorEastAsia" w:hAnsiTheme="majorEastAsia" w:eastAsiaTheme="majorEastAsia" w:cstheme="majorEastAsia"/>
          <w:b/>
          <w:sz w:val="24"/>
        </w:rPr>
        <w:t>（实质性要求）</w:t>
      </w:r>
      <w:r>
        <w:rPr>
          <w:rFonts w:hint="eastAsia" w:asciiTheme="majorEastAsia" w:hAnsiTheme="majorEastAsia" w:eastAsiaTheme="majorEastAsia" w:cstheme="majorEastAsia"/>
          <w:sz w:val="24"/>
        </w:rPr>
        <w:t>。由代理机构提供供应商获取招标文件情况的相关证明材料，供应商不用提供证明材料。</w:t>
      </w:r>
    </w:p>
    <w:bookmarkEnd w:id="33"/>
    <w:p>
      <w:pPr>
        <w:pStyle w:val="4"/>
        <w:spacing w:line="400" w:lineRule="exact"/>
        <w:ind w:firstLine="482" w:firstLineChars="200"/>
        <w:rPr>
          <w:rFonts w:hint="eastAsia" w:asciiTheme="majorEastAsia" w:hAnsiTheme="majorEastAsia" w:eastAsiaTheme="majorEastAsia" w:cstheme="majorEastAsia"/>
          <w:sz w:val="24"/>
        </w:rPr>
      </w:pPr>
      <w:bookmarkStart w:id="38" w:name="_Toc217446037"/>
      <w:bookmarkStart w:id="39" w:name="_Toc183682345"/>
      <w:bookmarkStart w:id="40" w:name="_Toc183582208"/>
      <w:bookmarkStart w:id="41" w:name="PO_默认文件内容_16"/>
      <w:r>
        <w:rPr>
          <w:rFonts w:hint="eastAsia" w:asciiTheme="majorEastAsia" w:hAnsiTheme="majorEastAsia" w:eastAsiaTheme="majorEastAsia" w:cstheme="majorEastAsia"/>
          <w:sz w:val="24"/>
        </w:rPr>
        <w:t>4. 投标费用</w:t>
      </w:r>
      <w:bookmarkEnd w:id="38"/>
      <w:bookmarkEnd w:id="39"/>
      <w:bookmarkEnd w:id="40"/>
      <w:r>
        <w:rPr>
          <w:rFonts w:hint="eastAsia" w:asciiTheme="majorEastAsia" w:hAnsiTheme="majorEastAsia" w:eastAsiaTheme="majorEastAsia" w:cstheme="majorEastAsia"/>
          <w:sz w:val="24"/>
          <w:szCs w:val="24"/>
        </w:rPr>
        <w:t>（实质性要求）</w:t>
      </w:r>
    </w:p>
    <w:p>
      <w:pPr>
        <w:tabs>
          <w:tab w:val="left" w:pos="7665"/>
        </w:tabs>
        <w:spacing w:line="400" w:lineRule="exact"/>
        <w:ind w:firstLine="48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供应商应自行承担参加</w:t>
      </w:r>
      <w:r>
        <w:rPr>
          <w:rFonts w:hint="eastAsia" w:asciiTheme="majorEastAsia" w:hAnsiTheme="majorEastAsia" w:eastAsiaTheme="majorEastAsia" w:cstheme="majorEastAsia"/>
          <w:sz w:val="24"/>
          <w:lang w:val="en-US" w:eastAsia="zh-CN"/>
        </w:rPr>
        <w:t>采购</w:t>
      </w:r>
      <w:r>
        <w:rPr>
          <w:rFonts w:hint="eastAsia" w:asciiTheme="majorEastAsia" w:hAnsiTheme="majorEastAsia" w:eastAsiaTheme="majorEastAsia" w:cstheme="majorEastAsia"/>
          <w:sz w:val="24"/>
        </w:rPr>
        <w:t>活动的全部费用。</w:t>
      </w:r>
    </w:p>
    <w:p>
      <w:pPr>
        <w:pStyle w:val="4"/>
        <w:spacing w:line="400" w:lineRule="exact"/>
        <w:ind w:firstLine="482"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5. 充分、公平竞争保障措施</w:t>
      </w:r>
      <w:r>
        <w:rPr>
          <w:rFonts w:hint="eastAsia" w:asciiTheme="majorEastAsia" w:hAnsiTheme="majorEastAsia" w:eastAsiaTheme="majorEastAsia" w:cstheme="majorEastAsia"/>
          <w:sz w:val="24"/>
          <w:szCs w:val="24"/>
        </w:rPr>
        <w:t>（实质性要求）</w:t>
      </w:r>
    </w:p>
    <w:p>
      <w:pPr>
        <w:pStyle w:val="43"/>
        <w:spacing w:line="460" w:lineRule="exact"/>
        <w:ind w:left="1" w:firstLine="482" w:firstLineChars="20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rPr>
        <w:t>5.1 提供相同品牌产品处理</w:t>
      </w:r>
      <w:r>
        <w:rPr>
          <w:rFonts w:hint="eastAsia" w:asciiTheme="majorEastAsia" w:hAnsiTheme="majorEastAsia" w:eastAsiaTheme="majorEastAsia" w:cstheme="majorEastAsia"/>
          <w:b/>
          <w:sz w:val="24"/>
          <w:szCs w:val="24"/>
        </w:rPr>
        <w:t>。</w:t>
      </w:r>
    </w:p>
    <w:p>
      <w:pPr>
        <w:ind w:left="1566" w:hanging="723" w:hangingChars="300"/>
        <w:jc w:val="center"/>
        <w:rPr>
          <w:rFonts w:hint="eastAsia" w:asciiTheme="majorEastAsia" w:hAnsiTheme="majorEastAsia" w:eastAsiaTheme="majorEastAsia" w:cstheme="majorEastAsia"/>
          <w:bCs/>
          <w:sz w:val="24"/>
          <w:szCs w:val="24"/>
        </w:rPr>
      </w:pPr>
      <w:r>
        <w:rPr>
          <w:rFonts w:hint="eastAsia" w:asciiTheme="majorEastAsia" w:hAnsiTheme="majorEastAsia" w:eastAsiaTheme="majorEastAsia" w:cstheme="majorEastAsia"/>
          <w:b/>
          <w:sz w:val="24"/>
          <w:szCs w:val="24"/>
          <w:lang w:val="en-US" w:eastAsia="zh-CN"/>
        </w:rPr>
        <w:t xml:space="preserve">    </w:t>
      </w:r>
      <w:r>
        <w:rPr>
          <w:rFonts w:hint="eastAsia" w:asciiTheme="majorEastAsia" w:hAnsiTheme="majorEastAsia" w:eastAsiaTheme="majorEastAsia" w:cstheme="majorEastAsia"/>
          <w:b/>
          <w:sz w:val="24"/>
          <w:szCs w:val="24"/>
        </w:rPr>
        <w:t xml:space="preserve">5.1.1 </w:t>
      </w:r>
      <w:r>
        <w:rPr>
          <w:rFonts w:hint="eastAsia" w:asciiTheme="majorEastAsia" w:hAnsiTheme="majorEastAsia" w:eastAsiaTheme="majorEastAsia" w:cstheme="majorEastAsia"/>
          <w:bCs/>
          <w:sz w:val="24"/>
          <w:szCs w:val="24"/>
        </w:rPr>
        <w:t>非单一产品采购项目中，采购人根据采购项目技术构成、产品价格比重等</w:t>
      </w:r>
    </w:p>
    <w:p>
      <w:pPr>
        <w:ind w:left="1566" w:hanging="720" w:hangingChars="300"/>
        <w:jc w:val="both"/>
        <w:rPr>
          <w:rFonts w:hint="eastAsia"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合理确定核心产品。多家投标人提供的任一核心产品品牌相同的，视为提供相同品牌</w:t>
      </w:r>
    </w:p>
    <w:p>
      <w:pPr>
        <w:ind w:left="1566" w:hanging="720" w:hangingChars="300"/>
        <w:jc w:val="both"/>
        <w:rPr>
          <w:rFonts w:hint="eastAsia"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产品。本采购项目核心产品为：</w:t>
      </w:r>
      <w:r>
        <w:rPr>
          <w:rFonts w:hint="eastAsia" w:asciiTheme="majorEastAsia" w:hAnsiTheme="majorEastAsia" w:eastAsiaTheme="majorEastAsia" w:cstheme="majorEastAsia"/>
          <w:b/>
          <w:sz w:val="24"/>
        </w:rPr>
        <w:t>包埋盒打号机</w:t>
      </w:r>
      <w:r>
        <w:rPr>
          <w:rFonts w:hint="eastAsia" w:asciiTheme="majorEastAsia" w:hAnsiTheme="majorEastAsia" w:eastAsiaTheme="majorEastAsia" w:cstheme="majorEastAsia"/>
          <w:b/>
          <w:sz w:val="24"/>
          <w:lang w:eastAsia="zh-CN"/>
        </w:rPr>
        <w:t>、</w:t>
      </w:r>
      <w:r>
        <w:rPr>
          <w:rFonts w:hint="eastAsia" w:asciiTheme="majorEastAsia" w:hAnsiTheme="majorEastAsia" w:eastAsiaTheme="majorEastAsia" w:cstheme="majorEastAsia"/>
          <w:b/>
          <w:sz w:val="24"/>
        </w:rPr>
        <w:t>载玻片激光书写仪</w:t>
      </w:r>
      <w:r>
        <w:rPr>
          <w:rFonts w:hint="eastAsia" w:asciiTheme="majorEastAsia" w:hAnsiTheme="majorEastAsia" w:eastAsiaTheme="majorEastAsia" w:cstheme="majorEastAsia"/>
          <w:bCs/>
          <w:sz w:val="24"/>
          <w:szCs w:val="24"/>
        </w:rPr>
        <w:t>。</w:t>
      </w:r>
    </w:p>
    <w:p>
      <w:pPr>
        <w:pStyle w:val="43"/>
        <w:spacing w:line="460" w:lineRule="exact"/>
        <w:ind w:left="1" w:firstLine="482" w:firstLineChars="20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5.1.2 采用最低评标价法的采购项目。</w:t>
      </w:r>
    </w:p>
    <w:p>
      <w:pPr>
        <w:pStyle w:val="43"/>
        <w:spacing w:line="460" w:lineRule="exact"/>
        <w:ind w:left="1" w:firstLine="480" w:firstLineChars="200"/>
        <w:rPr>
          <w:rFonts w:hint="eastAsia"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提供相同品牌产品的不同投标人参加同一合同项下投标的，以其中通过资格审查、符合性审查且报价最低的参加评标；报价相同的，由采购人采取随机抽取方式确定一个参加评标的投标人，其他投标无效。</w:t>
      </w:r>
    </w:p>
    <w:p>
      <w:pPr>
        <w:pStyle w:val="43"/>
        <w:spacing w:line="460" w:lineRule="exact"/>
        <w:ind w:left="1" w:firstLine="482" w:firstLineChars="20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5.1.3 采用综合评分法的采购项目。</w:t>
      </w:r>
    </w:p>
    <w:p>
      <w:pPr>
        <w:pStyle w:val="43"/>
        <w:spacing w:line="460" w:lineRule="exact"/>
        <w:ind w:left="1" w:firstLine="480" w:firstLineChars="200"/>
        <w:rPr>
          <w:rFonts w:hint="eastAsia"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提供相同品牌产品且通过资格审查、符合性审查的不同投标人参加同一合同项下投标的，按一家投标人计算，评审后得分最高的同品牌投标人获得中标人推荐资格；评审得分相同的，由采购人采取随机抽取方式确定一个投标人获得中标人推荐资格，其他同品牌投标人不作为中标候选人。</w:t>
      </w:r>
    </w:p>
    <w:p>
      <w:pPr>
        <w:pStyle w:val="43"/>
        <w:spacing w:line="460" w:lineRule="exact"/>
        <w:ind w:left="1" w:firstLine="482"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sz w:val="24"/>
        </w:rPr>
        <w:t>5.2 利害关系供应商处理。</w:t>
      </w:r>
      <w:r>
        <w:rPr>
          <w:rFonts w:hint="eastAsia" w:asciiTheme="majorEastAsia" w:hAnsiTheme="majorEastAsia" w:eastAsiaTheme="majorEastAsia" w:cstheme="majorEastAsia"/>
          <w:sz w:val="24"/>
        </w:rPr>
        <w:t>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投标文件作为无效处理。</w:t>
      </w:r>
    </w:p>
    <w:p>
      <w:pPr>
        <w:pStyle w:val="43"/>
        <w:spacing w:line="460" w:lineRule="exact"/>
        <w:ind w:left="1" w:firstLine="482"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sz w:val="24"/>
        </w:rPr>
        <w:t>5.3 前期参与供应商处理。</w:t>
      </w:r>
      <w:r>
        <w:rPr>
          <w:rFonts w:hint="eastAsia" w:asciiTheme="majorEastAsia" w:hAnsiTheme="majorEastAsia" w:eastAsiaTheme="majorEastAsia" w:cstheme="majorEastAsia"/>
          <w:sz w:val="24"/>
        </w:rPr>
        <w:t>为采购项目提供整体设计、规范编制或者项目管理、监理、检测等服务的供应商，不得再参加该采购项目的其他采购活动。供应商为采购人、采购代理机构在确定采购需求、编制采购文件过程中提供咨询论证，其提供的咨询论证意见成为采购文件中规定的供应商资格条件、技术服务商务要求、评标因素和标准、政府采购合同等实质性内容条款的，视同为采购项目提供规范编制。</w:t>
      </w:r>
    </w:p>
    <w:p>
      <w:pPr>
        <w:pStyle w:val="3"/>
        <w:spacing w:line="400" w:lineRule="exact"/>
        <w:jc w:val="center"/>
        <w:rPr>
          <w:rFonts w:hint="eastAsia" w:asciiTheme="majorEastAsia" w:hAnsiTheme="majorEastAsia" w:eastAsiaTheme="majorEastAsia" w:cstheme="majorEastAsia"/>
          <w:bCs w:val="0"/>
        </w:rPr>
      </w:pPr>
      <w:bookmarkStart w:id="42" w:name="_Toc77400779"/>
      <w:bookmarkStart w:id="43" w:name="_Toc217446038"/>
      <w:bookmarkStart w:id="44" w:name="_Toc183682346"/>
      <w:bookmarkStart w:id="45" w:name="_Toc89075875"/>
      <w:bookmarkStart w:id="46" w:name="_Toc183582209"/>
      <w:r>
        <w:rPr>
          <w:rFonts w:hint="eastAsia" w:asciiTheme="majorEastAsia" w:hAnsiTheme="majorEastAsia" w:eastAsiaTheme="majorEastAsia" w:cstheme="majorEastAsia"/>
          <w:bCs w:val="0"/>
        </w:rPr>
        <w:t>三、招标文件</w:t>
      </w:r>
      <w:bookmarkEnd w:id="42"/>
      <w:bookmarkEnd w:id="43"/>
      <w:bookmarkEnd w:id="44"/>
      <w:bookmarkEnd w:id="45"/>
      <w:bookmarkEnd w:id="46"/>
    </w:p>
    <w:p>
      <w:pPr>
        <w:pStyle w:val="4"/>
        <w:spacing w:line="400" w:lineRule="exact"/>
        <w:ind w:firstLine="482" w:firstLineChars="200"/>
        <w:rPr>
          <w:rFonts w:hint="eastAsia" w:asciiTheme="majorEastAsia" w:hAnsiTheme="majorEastAsia" w:eastAsiaTheme="majorEastAsia" w:cstheme="majorEastAsia"/>
          <w:sz w:val="24"/>
        </w:rPr>
      </w:pPr>
      <w:bookmarkStart w:id="47" w:name="_Toc217446039"/>
      <w:bookmarkStart w:id="48" w:name="_Toc183582210"/>
      <w:bookmarkStart w:id="49" w:name="_Toc183682347"/>
      <w:r>
        <w:rPr>
          <w:rFonts w:hint="eastAsia" w:asciiTheme="majorEastAsia" w:hAnsiTheme="majorEastAsia" w:eastAsiaTheme="majorEastAsia" w:cstheme="majorEastAsia"/>
          <w:sz w:val="24"/>
        </w:rPr>
        <w:t>6．招标文件的构成</w:t>
      </w:r>
      <w:bookmarkEnd w:id="47"/>
      <w:bookmarkEnd w:id="48"/>
      <w:bookmarkEnd w:id="49"/>
    </w:p>
    <w:p>
      <w:pPr>
        <w:tabs>
          <w:tab w:val="left" w:pos="7665"/>
        </w:tabs>
        <w:spacing w:line="400" w:lineRule="exact"/>
        <w:ind w:firstLine="480" w:firstLineChars="200"/>
        <w:rPr>
          <w:rFonts w:hint="eastAsia" w:asciiTheme="majorEastAsia" w:hAnsiTheme="majorEastAsia" w:eastAsiaTheme="majorEastAsia" w:cstheme="majorEastAsia"/>
          <w:kern w:val="0"/>
          <w:sz w:val="24"/>
          <w:szCs w:val="22"/>
        </w:rPr>
      </w:pPr>
      <w:r>
        <w:rPr>
          <w:rFonts w:hint="eastAsia" w:asciiTheme="majorEastAsia" w:hAnsiTheme="majorEastAsia" w:eastAsiaTheme="majorEastAsia" w:cstheme="majorEastAsia"/>
          <w:kern w:val="0"/>
          <w:sz w:val="24"/>
          <w:szCs w:val="22"/>
        </w:rPr>
        <w:t>招标文件是供应商准备投标文件和参加投标的依据，同时也是评标的重要依据，具有准法律文件性质。招标文件用以阐明招标项目所需的资质、技术、服务及报价等要求、招标投标程序、有关规定和注意事项以及合同主要条款等。本招标文件包括以下内容：</w:t>
      </w:r>
    </w:p>
    <w:p>
      <w:pPr>
        <w:tabs>
          <w:tab w:val="left" w:pos="720"/>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kern w:val="0"/>
          <w:sz w:val="24"/>
          <w:szCs w:val="22"/>
        </w:rPr>
        <w:t>（一）投标</w:t>
      </w:r>
      <w:r>
        <w:rPr>
          <w:rFonts w:hint="eastAsia" w:asciiTheme="majorEastAsia" w:hAnsiTheme="majorEastAsia" w:eastAsiaTheme="majorEastAsia" w:cstheme="majorEastAsia"/>
          <w:sz w:val="24"/>
        </w:rPr>
        <w:t>邀请；</w:t>
      </w:r>
    </w:p>
    <w:p>
      <w:pPr>
        <w:tabs>
          <w:tab w:val="left" w:pos="720"/>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（二）投标人须知；</w:t>
      </w:r>
    </w:p>
    <w:p>
      <w:pPr>
        <w:tabs>
          <w:tab w:val="left" w:pos="720"/>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（三）投标文件格式；</w:t>
      </w:r>
    </w:p>
    <w:p>
      <w:pPr>
        <w:tabs>
          <w:tab w:val="left" w:pos="720"/>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（四）投标人和投标产品的资格、资质性及其他类似效力要求；</w:t>
      </w:r>
    </w:p>
    <w:p>
      <w:pPr>
        <w:tabs>
          <w:tab w:val="left" w:pos="720"/>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（五）投标人应当提供的资格、资质性及其他类似效力要求的相关证明材料；</w:t>
      </w:r>
    </w:p>
    <w:p>
      <w:pPr>
        <w:tabs>
          <w:tab w:val="left" w:pos="720"/>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（六）招标项目技术、商务及其他要求；</w:t>
      </w:r>
    </w:p>
    <w:p>
      <w:pPr>
        <w:tabs>
          <w:tab w:val="left" w:pos="720"/>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（七）评标办法；</w:t>
      </w:r>
    </w:p>
    <w:p>
      <w:pPr>
        <w:tabs>
          <w:tab w:val="left" w:pos="720"/>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（八）合同主要条款。</w:t>
      </w:r>
    </w:p>
    <w:p>
      <w:pPr>
        <w:pStyle w:val="4"/>
        <w:spacing w:line="400" w:lineRule="exact"/>
        <w:ind w:firstLine="482" w:firstLineChars="200"/>
        <w:rPr>
          <w:rFonts w:hint="eastAsia" w:asciiTheme="majorEastAsia" w:hAnsiTheme="majorEastAsia" w:eastAsiaTheme="majorEastAsia" w:cstheme="majorEastAsia"/>
          <w:sz w:val="24"/>
        </w:rPr>
      </w:pPr>
      <w:bookmarkStart w:id="50" w:name="_Toc183682348"/>
      <w:bookmarkStart w:id="51" w:name="_Toc183582211"/>
      <w:bookmarkStart w:id="52" w:name="_Toc217446040"/>
      <w:r>
        <w:rPr>
          <w:rFonts w:hint="eastAsia" w:asciiTheme="majorEastAsia" w:hAnsiTheme="majorEastAsia" w:eastAsiaTheme="majorEastAsia" w:cstheme="majorEastAsia"/>
          <w:sz w:val="24"/>
        </w:rPr>
        <w:t>7. 招标文件的澄清</w:t>
      </w:r>
      <w:bookmarkEnd w:id="50"/>
      <w:bookmarkEnd w:id="51"/>
      <w:r>
        <w:rPr>
          <w:rFonts w:hint="eastAsia" w:asciiTheme="majorEastAsia" w:hAnsiTheme="majorEastAsia" w:eastAsiaTheme="majorEastAsia" w:cstheme="majorEastAsia"/>
          <w:sz w:val="24"/>
        </w:rPr>
        <w:t>和修改</w:t>
      </w:r>
      <w:bookmarkEnd w:id="52"/>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7.1 招标采购单位可以依法对招标文件进行澄清或者修改。</w:t>
      </w:r>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7.2 招标采购单位对已发出的招标文件进行澄清或者修改，应当以书面形式将澄清或者修改的内容通知所有获取了招标文件的供应商，同时在</w:t>
      </w:r>
      <w:r>
        <w:rPr>
          <w:rFonts w:hint="eastAsia" w:asciiTheme="majorEastAsia" w:hAnsiTheme="majorEastAsia" w:eastAsiaTheme="majorEastAsia" w:cstheme="majorEastAsia"/>
          <w:sz w:val="24"/>
          <w:lang w:eastAsia="zh-CN"/>
        </w:rPr>
        <w:t>西藏自治区</w:t>
      </w:r>
      <w:r>
        <w:rPr>
          <w:rFonts w:hint="eastAsia" w:asciiTheme="majorEastAsia" w:hAnsiTheme="majorEastAsia" w:eastAsiaTheme="majorEastAsia" w:cstheme="majorEastAsia"/>
          <w:sz w:val="24"/>
        </w:rPr>
        <w:t>政府采购网上发布更正公告。该澄清或者修改的内容为招标文件的组成部分，澄清或者修改的内容可能影响投标文件、资格预审申请文件编制的，采购人或者采购代理机构发布公告并书面通知供应商的时间，应当在投标截止时间至少１５日前、提交资格预审申请文件截止时间至少３日前；不足上述时间的，应当顺延提交投标文件、资格预审申请文件的截止时间。</w:t>
      </w:r>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7.3 供应商应于投标文件递交截止时间之前在</w:t>
      </w:r>
      <w:r>
        <w:rPr>
          <w:rFonts w:hint="eastAsia" w:asciiTheme="majorEastAsia" w:hAnsiTheme="majorEastAsia" w:eastAsiaTheme="majorEastAsia" w:cstheme="majorEastAsia"/>
          <w:sz w:val="24"/>
          <w:lang w:eastAsia="zh-CN"/>
        </w:rPr>
        <w:t>西藏自治区</w:t>
      </w:r>
      <w:r>
        <w:rPr>
          <w:rFonts w:hint="eastAsia" w:asciiTheme="majorEastAsia" w:hAnsiTheme="majorEastAsia" w:eastAsiaTheme="majorEastAsia" w:cstheme="majorEastAsia"/>
          <w:sz w:val="24"/>
        </w:rPr>
        <w:t>政府采购网查询本项目的更正公告，以保证其对招标文件做出正确的响应。供应商未按要求下载相关文件，或由于未及时关注更正公告的信息造成的后果，其责任由供应商自行负责。</w:t>
      </w:r>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更正通知通过供应商报名时备注的电子邮箱发送至所有获取招标文件的供应商，供应商在收到相应更正通知后，以书面形式给予确认。如供应商未给予书面回复，则视为收到并认可该更正通知的内容。</w:t>
      </w:r>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7.4 投标人认为需要对招标文件进行澄清或者修改的，可以以书面形式向招标采购单位提出申请，但招标采购单位可以决定是否采纳投标人的申请事项。</w:t>
      </w:r>
    </w:p>
    <w:p>
      <w:pPr>
        <w:pStyle w:val="4"/>
        <w:spacing w:line="400" w:lineRule="exact"/>
        <w:ind w:firstLine="482" w:firstLineChars="200"/>
        <w:rPr>
          <w:rFonts w:hint="eastAsia" w:asciiTheme="majorEastAsia" w:hAnsiTheme="majorEastAsia" w:eastAsiaTheme="majorEastAsia" w:cstheme="majorEastAsia"/>
          <w:sz w:val="24"/>
        </w:rPr>
      </w:pPr>
      <w:bookmarkStart w:id="53" w:name="_Toc208848971"/>
      <w:bookmarkStart w:id="54" w:name="_Toc217446041"/>
      <w:r>
        <w:rPr>
          <w:rFonts w:hint="eastAsia" w:asciiTheme="majorEastAsia" w:hAnsiTheme="majorEastAsia" w:eastAsiaTheme="majorEastAsia" w:cstheme="majorEastAsia"/>
          <w:sz w:val="24"/>
        </w:rPr>
        <w:t>8. 答疑会和现场考察</w:t>
      </w:r>
      <w:bookmarkEnd w:id="53"/>
      <w:bookmarkEnd w:id="54"/>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8.1 根据采购项目和具体情况，招标采购单位认为有必要，可以在招标文件提供期限截止后，组织已获取招标文件的潜在投标人现场考察或者召开开标前答疑会。组织现场考察或者召开答疑会的，应当以书面形式通知所有获取招标文件的潜在投标人。</w:t>
      </w:r>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现场考察或标前答疑会时间：本项目不组织。</w:t>
      </w:r>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现场考察或标前答疑会地点：本项目不组织。</w:t>
      </w:r>
    </w:p>
    <w:bookmarkEnd w:id="41"/>
    <w:p>
      <w:pPr>
        <w:tabs>
          <w:tab w:val="left" w:pos="7665"/>
        </w:tabs>
        <w:spacing w:line="400" w:lineRule="exact"/>
        <w:ind w:firstLine="480" w:firstLineChars="200"/>
        <w:rPr>
          <w:rFonts w:hint="eastAsia" w:asciiTheme="majorEastAsia" w:hAnsiTheme="majorEastAsia" w:eastAsiaTheme="majorEastAsia" w:cstheme="majorEastAsia"/>
          <w:sz w:val="24"/>
        </w:rPr>
      </w:pPr>
      <w:bookmarkStart w:id="55" w:name="PO_默认文件内容_18"/>
      <w:r>
        <w:rPr>
          <w:rFonts w:hint="eastAsia" w:asciiTheme="majorEastAsia" w:hAnsiTheme="majorEastAsia" w:eastAsiaTheme="majorEastAsia" w:cstheme="majorEastAsia"/>
          <w:sz w:val="24"/>
        </w:rPr>
        <w:t>8.2 供应商考察现场所发生的一切费用由供应商自己承担。</w:t>
      </w:r>
    </w:p>
    <w:p>
      <w:pPr>
        <w:pStyle w:val="3"/>
        <w:spacing w:line="400" w:lineRule="exact"/>
        <w:jc w:val="center"/>
        <w:rPr>
          <w:rFonts w:hint="eastAsia" w:asciiTheme="majorEastAsia" w:hAnsiTheme="majorEastAsia" w:eastAsiaTheme="majorEastAsia" w:cstheme="majorEastAsia"/>
          <w:bCs w:val="0"/>
        </w:rPr>
      </w:pPr>
      <w:bookmarkStart w:id="56" w:name="_Toc217446042"/>
      <w:bookmarkStart w:id="57" w:name="_Toc77400780"/>
      <w:bookmarkStart w:id="58" w:name="_Toc183582214"/>
      <w:bookmarkStart w:id="59" w:name="_Toc183682351"/>
      <w:bookmarkStart w:id="60" w:name="_Toc89075876"/>
      <w:r>
        <w:rPr>
          <w:rFonts w:hint="eastAsia" w:asciiTheme="majorEastAsia" w:hAnsiTheme="majorEastAsia" w:eastAsiaTheme="majorEastAsia" w:cstheme="majorEastAsia"/>
          <w:bCs w:val="0"/>
        </w:rPr>
        <w:t>四、投标文件</w:t>
      </w:r>
      <w:bookmarkEnd w:id="56"/>
      <w:bookmarkEnd w:id="57"/>
      <w:bookmarkEnd w:id="58"/>
      <w:bookmarkEnd w:id="59"/>
      <w:bookmarkEnd w:id="60"/>
    </w:p>
    <w:p>
      <w:pPr>
        <w:pStyle w:val="4"/>
        <w:spacing w:line="400" w:lineRule="exact"/>
        <w:ind w:firstLine="482" w:firstLineChars="200"/>
        <w:rPr>
          <w:rFonts w:hint="eastAsia" w:asciiTheme="majorEastAsia" w:hAnsiTheme="majorEastAsia" w:eastAsiaTheme="majorEastAsia" w:cstheme="majorEastAsia"/>
          <w:bCs w:val="0"/>
          <w:sz w:val="24"/>
        </w:rPr>
      </w:pPr>
      <w:bookmarkStart w:id="61" w:name="_Toc217446043"/>
      <w:bookmarkStart w:id="62" w:name="_Toc183682352"/>
      <w:bookmarkStart w:id="63" w:name="_Toc183582215"/>
      <w:r>
        <w:rPr>
          <w:rFonts w:hint="eastAsia" w:asciiTheme="majorEastAsia" w:hAnsiTheme="majorEastAsia" w:eastAsiaTheme="majorEastAsia" w:cstheme="majorEastAsia"/>
          <w:bCs w:val="0"/>
          <w:sz w:val="24"/>
        </w:rPr>
        <w:t>9．投标文件的语言</w:t>
      </w:r>
      <w:bookmarkEnd w:id="61"/>
      <w:bookmarkEnd w:id="62"/>
      <w:bookmarkEnd w:id="63"/>
      <w:r>
        <w:rPr>
          <w:rFonts w:hint="eastAsia" w:asciiTheme="majorEastAsia" w:hAnsiTheme="majorEastAsia" w:eastAsiaTheme="majorEastAsia" w:cstheme="majorEastAsia"/>
          <w:sz w:val="24"/>
          <w:szCs w:val="24"/>
        </w:rPr>
        <w:t>（实质性要求）</w:t>
      </w:r>
    </w:p>
    <w:p>
      <w:pPr>
        <w:tabs>
          <w:tab w:val="left" w:pos="1134"/>
        </w:tabs>
        <w:spacing w:line="360" w:lineRule="auto"/>
        <w:ind w:firstLine="480" w:firstLineChars="200"/>
        <w:jc w:val="left"/>
        <w:rPr>
          <w:rFonts w:hint="eastAsia" w:asciiTheme="majorEastAsia" w:hAnsiTheme="majorEastAsia" w:eastAsiaTheme="majorEastAsia" w:cstheme="majorEastAsia"/>
          <w:sz w:val="24"/>
        </w:rPr>
      </w:pPr>
      <w:bookmarkStart w:id="64" w:name="_Toc217446044"/>
      <w:bookmarkStart w:id="65" w:name="_Toc183682353"/>
      <w:bookmarkStart w:id="66" w:name="_Toc183582216"/>
      <w:r>
        <w:rPr>
          <w:rFonts w:hint="eastAsia" w:asciiTheme="majorEastAsia" w:hAnsiTheme="majorEastAsia" w:eastAsiaTheme="majorEastAsia" w:cstheme="majorEastAsia"/>
          <w:sz w:val="24"/>
        </w:rPr>
        <w:t>9.1 投标人提交的投标文件以及投标人与招标采购单位就有关投标的所有来往书面文件均须使用中文。投标文件中如附有外文资料，主要部分对应翻译成中文并加盖投标人公章后附在相关外文资料后面。</w:t>
      </w:r>
    </w:p>
    <w:p>
      <w:pPr>
        <w:tabs>
          <w:tab w:val="left" w:pos="1134"/>
        </w:tabs>
        <w:spacing w:line="360" w:lineRule="auto"/>
        <w:ind w:firstLine="480" w:firstLineChars="200"/>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9.2 翻译的中文资料与外文资料如果出现差异和矛盾时，以中文为准。涉嫌虚假响应的按照相关法律法规处理。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9.3 如因未翻译而造成的废标，由投标人承担。</w:t>
      </w:r>
    </w:p>
    <w:p>
      <w:pPr>
        <w:pStyle w:val="4"/>
        <w:spacing w:line="400" w:lineRule="exact"/>
        <w:ind w:firstLine="482"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10．计量单位</w:t>
      </w:r>
      <w:bookmarkEnd w:id="64"/>
      <w:bookmarkEnd w:id="65"/>
      <w:bookmarkEnd w:id="66"/>
      <w:r>
        <w:rPr>
          <w:rFonts w:hint="eastAsia" w:asciiTheme="majorEastAsia" w:hAnsiTheme="majorEastAsia" w:eastAsiaTheme="majorEastAsia" w:cstheme="majorEastAsia"/>
          <w:sz w:val="24"/>
          <w:szCs w:val="24"/>
        </w:rPr>
        <w:t>（实质性要求）</w:t>
      </w:r>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除招标文件中另有规定外，本次采购项目所有合同项下的投标均采用国家法定的计量单位。</w:t>
      </w:r>
    </w:p>
    <w:p>
      <w:pPr>
        <w:pStyle w:val="4"/>
        <w:spacing w:line="400" w:lineRule="exact"/>
        <w:ind w:firstLine="482" w:firstLineChars="200"/>
        <w:rPr>
          <w:rFonts w:hint="eastAsia" w:asciiTheme="majorEastAsia" w:hAnsiTheme="majorEastAsia" w:eastAsiaTheme="majorEastAsia" w:cstheme="majorEastAsia"/>
          <w:sz w:val="24"/>
        </w:rPr>
      </w:pPr>
      <w:bookmarkStart w:id="67" w:name="_Toc217446045"/>
      <w:r>
        <w:rPr>
          <w:rFonts w:hint="eastAsia" w:asciiTheme="majorEastAsia" w:hAnsiTheme="majorEastAsia" w:eastAsiaTheme="majorEastAsia" w:cstheme="majorEastAsia"/>
          <w:sz w:val="24"/>
        </w:rPr>
        <w:t>11. 投标货币</w:t>
      </w:r>
      <w:bookmarkEnd w:id="67"/>
      <w:r>
        <w:rPr>
          <w:rFonts w:hint="eastAsia" w:asciiTheme="majorEastAsia" w:hAnsiTheme="majorEastAsia" w:eastAsiaTheme="majorEastAsia" w:cstheme="majorEastAsia"/>
          <w:sz w:val="24"/>
        </w:rPr>
        <w:t>（实质性要求）</w:t>
      </w:r>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本次招标项目的投标均以人民币报价。</w:t>
      </w:r>
    </w:p>
    <w:p>
      <w:pPr>
        <w:pStyle w:val="4"/>
        <w:spacing w:line="400" w:lineRule="exact"/>
        <w:ind w:firstLine="482" w:firstLineChars="200"/>
        <w:rPr>
          <w:rFonts w:hint="eastAsia" w:asciiTheme="majorEastAsia" w:hAnsiTheme="majorEastAsia" w:eastAsiaTheme="majorEastAsia" w:cstheme="majorEastAsia"/>
          <w:sz w:val="24"/>
        </w:rPr>
      </w:pPr>
      <w:bookmarkStart w:id="68" w:name="_Toc217446046"/>
      <w:r>
        <w:rPr>
          <w:rFonts w:hint="eastAsia" w:asciiTheme="majorEastAsia" w:hAnsiTheme="majorEastAsia" w:eastAsiaTheme="majorEastAsia" w:cstheme="majorEastAsia"/>
          <w:sz w:val="24"/>
        </w:rPr>
        <w:t>12. 联合体投标</w:t>
      </w:r>
      <w:bookmarkEnd w:id="68"/>
      <w:r>
        <w:rPr>
          <w:rFonts w:hint="eastAsia" w:asciiTheme="majorEastAsia" w:hAnsiTheme="majorEastAsia" w:eastAsiaTheme="majorEastAsia" w:cstheme="majorEastAsia"/>
          <w:sz w:val="24"/>
        </w:rPr>
        <w:t>（仅适用于允许联合体参与的项目）</w:t>
      </w:r>
    </w:p>
    <w:p>
      <w:pPr>
        <w:spacing w:line="400" w:lineRule="exact"/>
        <w:ind w:firstLine="470" w:firstLineChars="196"/>
        <w:rPr>
          <w:rFonts w:hint="eastAsia" w:asciiTheme="majorEastAsia" w:hAnsiTheme="majorEastAsia" w:eastAsiaTheme="majorEastAsia" w:cstheme="majorEastAsia"/>
          <w:sz w:val="24"/>
          <w:lang w:val="en-US" w:eastAsia="zh-CN"/>
        </w:rPr>
      </w:pPr>
      <w:bookmarkStart w:id="69" w:name="_Toc217446047"/>
      <w:r>
        <w:rPr>
          <w:rFonts w:hint="eastAsia" w:asciiTheme="majorEastAsia" w:hAnsiTheme="majorEastAsia" w:eastAsiaTheme="majorEastAsia" w:cstheme="majorEastAsia"/>
          <w:sz w:val="24"/>
        </w:rPr>
        <w:t>联合体各方应当共同与采购人签订采购合同，就采购合同约定的事项对采购人承担连带责任。</w:t>
      </w:r>
      <w:r>
        <w:rPr>
          <w:rFonts w:hint="eastAsia" w:asciiTheme="majorEastAsia" w:hAnsiTheme="majorEastAsia" w:eastAsiaTheme="majorEastAsia" w:cstheme="majorEastAsia"/>
          <w:sz w:val="24"/>
          <w:lang w:val="en-US" w:eastAsia="zh-CN"/>
        </w:rPr>
        <w:t>(本项目不涉及）</w:t>
      </w:r>
    </w:p>
    <w:p>
      <w:pPr>
        <w:pStyle w:val="4"/>
        <w:spacing w:line="400" w:lineRule="exact"/>
        <w:ind w:firstLine="482" w:firstLineChars="200"/>
        <w:rPr>
          <w:rFonts w:hint="eastAsia" w:asciiTheme="majorEastAsia" w:hAnsiTheme="majorEastAsia" w:eastAsiaTheme="majorEastAsia" w:cstheme="majorEastAsia"/>
          <w:sz w:val="24"/>
        </w:rPr>
      </w:pPr>
      <w:bookmarkStart w:id="70" w:name="_Toc308164797"/>
      <w:r>
        <w:rPr>
          <w:rFonts w:hint="eastAsia" w:asciiTheme="majorEastAsia" w:hAnsiTheme="majorEastAsia" w:eastAsiaTheme="majorEastAsia" w:cstheme="majorEastAsia"/>
          <w:sz w:val="24"/>
        </w:rPr>
        <w:t>13. 知识产权</w:t>
      </w:r>
      <w:bookmarkEnd w:id="69"/>
      <w:bookmarkEnd w:id="70"/>
      <w:r>
        <w:rPr>
          <w:rFonts w:hint="eastAsia" w:asciiTheme="majorEastAsia" w:hAnsiTheme="majorEastAsia" w:eastAsiaTheme="majorEastAsia" w:cstheme="majorEastAsia"/>
          <w:sz w:val="24"/>
        </w:rPr>
        <w:t>（实质性要求）</w:t>
      </w:r>
    </w:p>
    <w:p>
      <w:pPr>
        <w:pStyle w:val="10"/>
        <w:spacing w:line="400" w:lineRule="exact"/>
        <w:ind w:firstLine="480" w:firstLineChars="20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13.1 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pPr>
        <w:pStyle w:val="10"/>
        <w:spacing w:line="400" w:lineRule="exact"/>
        <w:ind w:firstLine="480" w:firstLineChars="20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13.2 采购人享有本项目实施过程中产生的知识成果及知识产权。</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13.3 投标人如欲在项目实施过程中采用自有知识成果，投标人需提供开发接口和开发手册等技术文档，并承诺提供无限期技术支持，采购人享有永久使用权（含采购人委托第三方在该项目后续开发的使用权）。</w:t>
      </w:r>
    </w:p>
    <w:p>
      <w:pPr>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13.4 如采用投标人所不拥有的知识产权，则在投标报价中必须包括合法获取该知识产权的相关费用。 </w:t>
      </w:r>
    </w:p>
    <w:p>
      <w:pPr>
        <w:pStyle w:val="4"/>
        <w:spacing w:line="400" w:lineRule="exact"/>
        <w:ind w:firstLine="482" w:firstLineChars="200"/>
        <w:rPr>
          <w:rFonts w:hint="eastAsia" w:asciiTheme="majorEastAsia" w:hAnsiTheme="majorEastAsia" w:eastAsiaTheme="majorEastAsia" w:cstheme="majorEastAsia"/>
          <w:sz w:val="24"/>
        </w:rPr>
      </w:pPr>
      <w:bookmarkStart w:id="71" w:name="_Toc308164798"/>
      <w:bookmarkStart w:id="72" w:name="_Toc183682354"/>
      <w:bookmarkStart w:id="73" w:name="_Toc217446048"/>
      <w:bookmarkStart w:id="74" w:name="_Toc183582217"/>
      <w:r>
        <w:rPr>
          <w:rFonts w:hint="eastAsia" w:asciiTheme="majorEastAsia" w:hAnsiTheme="majorEastAsia" w:eastAsiaTheme="majorEastAsia" w:cstheme="majorEastAsia"/>
          <w:sz w:val="24"/>
        </w:rPr>
        <w:t>14．投标文件的组成</w:t>
      </w:r>
      <w:bookmarkEnd w:id="71"/>
      <w:bookmarkEnd w:id="72"/>
      <w:bookmarkEnd w:id="73"/>
      <w:bookmarkEnd w:id="74"/>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投标人应按照招标文件的规定和要求编制投标文件。投标人编写的投标文件应至少包括下列两部分文件：</w:t>
      </w:r>
    </w:p>
    <w:p>
      <w:pPr>
        <w:spacing w:line="400" w:lineRule="exact"/>
        <w:ind w:firstLine="482" w:firstLineChars="200"/>
        <w:rPr>
          <w:rFonts w:hint="eastAsia" w:asciiTheme="majorEastAsia" w:hAnsiTheme="majorEastAsia" w:eastAsiaTheme="majorEastAsia" w:cstheme="majorEastAsia"/>
          <w:b/>
          <w:sz w:val="24"/>
        </w:rPr>
      </w:pPr>
      <w:r>
        <w:rPr>
          <w:rFonts w:hint="eastAsia" w:asciiTheme="majorEastAsia" w:hAnsiTheme="majorEastAsia" w:eastAsiaTheme="majorEastAsia" w:cstheme="majorEastAsia"/>
          <w:b/>
          <w:sz w:val="24"/>
        </w:rPr>
        <w:t>文件一：资格性投标文件</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严格按照第四、五章要求提供相关资格、资质性及其他类似效力要求的相关证明材料。</w:t>
      </w:r>
    </w:p>
    <w:p>
      <w:pPr>
        <w:spacing w:line="400" w:lineRule="exact"/>
        <w:ind w:firstLine="482" w:firstLineChars="200"/>
        <w:rPr>
          <w:rFonts w:hint="eastAsia" w:asciiTheme="majorEastAsia" w:hAnsiTheme="majorEastAsia" w:eastAsiaTheme="majorEastAsia" w:cstheme="majorEastAsia"/>
          <w:b/>
          <w:sz w:val="24"/>
        </w:rPr>
      </w:pPr>
      <w:r>
        <w:rPr>
          <w:rFonts w:hint="eastAsia" w:asciiTheme="majorEastAsia" w:hAnsiTheme="majorEastAsia" w:eastAsiaTheme="majorEastAsia" w:cstheme="majorEastAsia"/>
          <w:b/>
          <w:sz w:val="24"/>
        </w:rPr>
        <w:t>文件二：其它响应性投标文件</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严格按照招标文件要求提供以下五个方面的相关材料：</w:t>
      </w:r>
    </w:p>
    <w:p>
      <w:pPr>
        <w:pStyle w:val="48"/>
        <w:numPr>
          <w:ilvl w:val="0"/>
          <w:numId w:val="3"/>
        </w:numPr>
        <w:spacing w:line="400" w:lineRule="exact"/>
        <w:ind w:left="1605" w:leftChars="0" w:firstLineChars="0"/>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
          <w:sz w:val="24"/>
        </w:rPr>
        <w:t>报价部分。</w:t>
      </w:r>
    </w:p>
    <w:p>
      <w:pPr>
        <w:spacing w:line="400" w:lineRule="exact"/>
        <w:ind w:left="48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1、投标人按照招标文件要求填写的“开标一览表”、“报价明细表”（如涉及）。 </w:t>
      </w:r>
    </w:p>
    <w:p>
      <w:pPr>
        <w:spacing w:line="400" w:lineRule="exact"/>
        <w:ind w:left="48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2、本次招标报价要求：</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（1）投标人的报价是投标人响应招标项目要求的全部工作内容的价格体现，包括投标人完成本项目所需的一切费用（实质性要求）。</w:t>
      </w:r>
    </w:p>
    <w:p>
      <w:pPr>
        <w:spacing w:line="400" w:lineRule="exact"/>
        <w:ind w:left="2"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 （2）投标人每种货物只允许有一个报价，并且在合同履行过程中是固定不变的，任何有选择或可调整的报价将不予接受，并按无效投标处理（实质性要求）。</w:t>
      </w:r>
    </w:p>
    <w:p>
      <w:pPr>
        <w:spacing w:line="400" w:lineRule="exact"/>
        <w:ind w:firstLine="482" w:firstLineChars="200"/>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sz w:val="24"/>
        </w:rPr>
        <w:t>（二）技术部分。</w:t>
      </w:r>
      <w:r>
        <w:rPr>
          <w:rFonts w:hint="eastAsia" w:asciiTheme="majorEastAsia" w:hAnsiTheme="majorEastAsia" w:eastAsiaTheme="majorEastAsia" w:cstheme="majorEastAsia"/>
          <w:sz w:val="24"/>
        </w:rPr>
        <w:t>投标人按照招标文件要求做出的技术应答，主要是针对招标项目的技术指标、参数和技术要求做出的实质性响应和满足。投标人的技术应答包括下列内容（如涉及）：</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（1）投标产品的品牌、型号、配置；</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（2）投标产品本身的详细的技术指标和参数（应当尽可能提供检测报告、产品使用说明书、用户手册等材料予以佐证）；</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（3）技术方案、项目实施方案；</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（4）投标产品技术参数表；</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（5）产品彩页资料；</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（6）产品工作环境条件；</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（7）产品验收标准和验收方法；</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（8）产品验收清单（注明各部件的品名、数量、价格、规格型号和原产地或生产厂家）。</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（9）投标人认为需要提供的文件和资料。</w:t>
      </w:r>
    </w:p>
    <w:p>
      <w:pPr>
        <w:spacing w:line="400" w:lineRule="exact"/>
        <w:ind w:firstLine="482"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sz w:val="24"/>
        </w:rPr>
        <w:t>（三）商务部分。</w:t>
      </w:r>
      <w:r>
        <w:rPr>
          <w:rFonts w:hint="eastAsia" w:asciiTheme="majorEastAsia" w:hAnsiTheme="majorEastAsia" w:eastAsiaTheme="majorEastAsia" w:cstheme="majorEastAsia"/>
          <w:sz w:val="24"/>
        </w:rPr>
        <w:t>投标人按照招标文件要求提供的有关文件及优惠承诺。包括以下内容（如涉及）：</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（1）投标函；</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（2）证明投标人业绩和荣誉的有关材料复印件；</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（3）商务应答表；</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（4）其他投标人认为需要提供的文件和资料。</w:t>
      </w:r>
    </w:p>
    <w:p>
      <w:pPr>
        <w:spacing w:line="400" w:lineRule="exact"/>
        <w:ind w:firstLine="482" w:firstLineChars="200"/>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sz w:val="24"/>
        </w:rPr>
        <w:t>（四）售后服务。</w:t>
      </w:r>
      <w:r>
        <w:rPr>
          <w:rFonts w:hint="eastAsia" w:asciiTheme="majorEastAsia" w:hAnsiTheme="majorEastAsia" w:eastAsiaTheme="majorEastAsia" w:cstheme="majorEastAsia"/>
          <w:sz w:val="24"/>
        </w:rPr>
        <w:t>投标人按照招标文件中售后服务要求作出的积极响应和承诺。包括以下内容（如涉及）：</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（1）产品制造厂家或投标人设立的售后服务机构网点清单、服务电话和维修人员名单；</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（2）说明投标产品的保修时间、保修期内的保修内容与范围、维修响应时间等。分别提供产品制造厂家和投标人的服务承诺和保障措施；</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（3）培训措施：说明培训内容及培训的时间、地点、目标、培训人数、收费标准和办法；</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（4）其他有利于用户的服务承诺。</w:t>
      </w:r>
    </w:p>
    <w:p>
      <w:pPr>
        <w:adjustRightInd w:val="0"/>
        <w:snapToGrid w:val="0"/>
        <w:spacing w:line="400" w:lineRule="exact"/>
        <w:ind w:firstLine="482"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bCs/>
          <w:sz w:val="24"/>
        </w:rPr>
        <w:t>（五）其他部分。</w:t>
      </w:r>
      <w:r>
        <w:rPr>
          <w:rFonts w:hint="eastAsia" w:asciiTheme="majorEastAsia" w:hAnsiTheme="majorEastAsia" w:eastAsiaTheme="majorEastAsia" w:cstheme="majorEastAsia"/>
          <w:bCs/>
          <w:sz w:val="24"/>
        </w:rPr>
        <w:t>投标人按照招标文件要求作出的其他应答和承诺。</w:t>
      </w:r>
    </w:p>
    <w:p>
      <w:pPr>
        <w:pStyle w:val="4"/>
        <w:tabs>
          <w:tab w:val="left" w:pos="3480"/>
        </w:tabs>
        <w:spacing w:line="400" w:lineRule="exact"/>
        <w:ind w:firstLine="482" w:firstLineChars="200"/>
        <w:rPr>
          <w:rFonts w:hint="eastAsia" w:asciiTheme="majorEastAsia" w:hAnsiTheme="majorEastAsia" w:eastAsiaTheme="majorEastAsia" w:cstheme="majorEastAsia"/>
          <w:sz w:val="24"/>
        </w:rPr>
      </w:pPr>
      <w:bookmarkStart w:id="75" w:name="_Toc183682355"/>
      <w:bookmarkStart w:id="76" w:name="_Toc308164799"/>
      <w:bookmarkStart w:id="77" w:name="_Toc183582218"/>
      <w:bookmarkStart w:id="78" w:name="_Toc217446049"/>
      <w:r>
        <w:rPr>
          <w:rFonts w:hint="eastAsia" w:asciiTheme="majorEastAsia" w:hAnsiTheme="majorEastAsia" w:eastAsiaTheme="majorEastAsia" w:cstheme="majorEastAsia"/>
          <w:sz w:val="24"/>
        </w:rPr>
        <w:t>15．投标文件格式</w:t>
      </w:r>
      <w:bookmarkEnd w:id="75"/>
      <w:bookmarkEnd w:id="76"/>
      <w:bookmarkEnd w:id="77"/>
      <w:bookmarkEnd w:id="78"/>
    </w:p>
    <w:p>
      <w:pPr>
        <w:tabs>
          <w:tab w:val="left" w:pos="7665"/>
        </w:tabs>
        <w:spacing w:line="400" w:lineRule="exact"/>
        <w:ind w:left="13" w:leftChars="6"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15.1 投标人应执行招标文件第三章的规定要求。第三章格式中“注”的内容，投标人可自行决定是否保留在投标文件中，未保留的视为投标人默认接受“注”的内容。</w:t>
      </w:r>
    </w:p>
    <w:p>
      <w:pPr>
        <w:tabs>
          <w:tab w:val="left" w:pos="7665"/>
        </w:tabs>
        <w:spacing w:line="400" w:lineRule="exact"/>
        <w:ind w:left="13" w:leftChars="6"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15.2 对于没有格式要求的投标文件由投标人自行编写。</w:t>
      </w:r>
    </w:p>
    <w:p>
      <w:pPr>
        <w:pStyle w:val="4"/>
        <w:spacing w:line="400" w:lineRule="exact"/>
        <w:ind w:firstLine="482" w:firstLineChars="200"/>
        <w:rPr>
          <w:rFonts w:hint="eastAsia" w:asciiTheme="majorEastAsia" w:hAnsiTheme="majorEastAsia" w:eastAsiaTheme="majorEastAsia" w:cstheme="majorEastAsia"/>
          <w:sz w:val="24"/>
        </w:rPr>
      </w:pPr>
      <w:bookmarkStart w:id="79" w:name="_Toc183582223"/>
      <w:bookmarkStart w:id="80" w:name="_Toc308164800"/>
      <w:bookmarkStart w:id="81" w:name="_Toc183682360"/>
      <w:bookmarkStart w:id="82" w:name="_Toc217446050"/>
      <w:r>
        <w:rPr>
          <w:rFonts w:hint="eastAsia" w:asciiTheme="majorEastAsia" w:hAnsiTheme="majorEastAsia" w:eastAsiaTheme="majorEastAsia" w:cstheme="majorEastAsia"/>
          <w:bCs w:val="0"/>
          <w:sz w:val="24"/>
        </w:rPr>
        <w:t>16．投标保证金</w:t>
      </w:r>
      <w:bookmarkEnd w:id="79"/>
      <w:bookmarkEnd w:id="80"/>
      <w:bookmarkEnd w:id="81"/>
      <w:bookmarkEnd w:id="82"/>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16.1投标人必须以人民币按招标文件要求足额缴纳投标保证金。</w:t>
      </w:r>
    </w:p>
    <w:p>
      <w:pPr>
        <w:tabs>
          <w:tab w:val="left" w:pos="1134"/>
        </w:tabs>
        <w:spacing w:line="400" w:lineRule="exact"/>
        <w:ind w:firstLine="424" w:firstLineChars="177"/>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16.2投标保证金交款方式：详见投标人须知附表。</w:t>
      </w:r>
    </w:p>
    <w:p>
      <w:pPr>
        <w:tabs>
          <w:tab w:val="left" w:pos="1134"/>
        </w:tabs>
        <w:spacing w:line="400" w:lineRule="exact"/>
        <w:ind w:firstLine="424" w:firstLineChars="177"/>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16.3未中标人的投标保证金，将在中标通知书发出后5个工作日内全额退还。中标人的投标保证金，在合同签订生效后5个工作日内全额退还</w:t>
      </w:r>
      <w:r>
        <w:rPr>
          <w:rFonts w:hint="eastAsia" w:asciiTheme="majorEastAsia" w:hAnsiTheme="majorEastAsia" w:eastAsiaTheme="majorEastAsia" w:cstheme="majorEastAsia"/>
          <w:bCs/>
          <w:sz w:val="24"/>
        </w:rPr>
        <w:t>（注：</w:t>
      </w:r>
      <w:r>
        <w:rPr>
          <w:rFonts w:hint="eastAsia" w:asciiTheme="majorEastAsia" w:hAnsiTheme="majorEastAsia" w:eastAsiaTheme="majorEastAsia" w:cstheme="majorEastAsia"/>
          <w:bCs/>
          <w:sz w:val="24"/>
        </w:rPr>
        <w:fldChar w:fldCharType="begin"/>
      </w:r>
      <w:r>
        <w:rPr>
          <w:rFonts w:hint="eastAsia" w:asciiTheme="majorEastAsia" w:hAnsiTheme="majorEastAsia" w:eastAsiaTheme="majorEastAsia" w:cstheme="majorEastAsia"/>
          <w:bCs/>
          <w:sz w:val="24"/>
        </w:rPr>
        <w:instrText xml:space="preserve"> = 1 \* GB3 \* MERGEFORMAT </w:instrText>
      </w:r>
      <w:r>
        <w:rPr>
          <w:rFonts w:hint="eastAsia" w:asciiTheme="majorEastAsia" w:hAnsiTheme="majorEastAsia" w:eastAsiaTheme="majorEastAsia" w:cstheme="majorEastAsia"/>
          <w:bCs/>
          <w:sz w:val="24"/>
        </w:rPr>
        <w:fldChar w:fldCharType="separate"/>
      </w:r>
      <w:r>
        <w:rPr>
          <w:rFonts w:hint="eastAsia" w:asciiTheme="majorEastAsia" w:hAnsiTheme="majorEastAsia" w:eastAsiaTheme="majorEastAsia" w:cstheme="majorEastAsia"/>
          <w:bCs/>
          <w:sz w:val="24"/>
        </w:rPr>
        <w:t>①</w:t>
      </w:r>
      <w:r>
        <w:rPr>
          <w:rFonts w:hint="eastAsia" w:asciiTheme="majorEastAsia" w:hAnsiTheme="majorEastAsia" w:eastAsiaTheme="majorEastAsia" w:cstheme="majorEastAsia"/>
          <w:bCs/>
          <w:sz w:val="24"/>
        </w:rPr>
        <w:fldChar w:fldCharType="end"/>
      </w:r>
      <w:r>
        <w:rPr>
          <w:rFonts w:hint="eastAsia" w:asciiTheme="majorEastAsia" w:hAnsiTheme="majorEastAsia" w:eastAsiaTheme="majorEastAsia" w:cstheme="majorEastAsia"/>
          <w:bCs/>
          <w:sz w:val="24"/>
        </w:rPr>
        <w:t>因投标人自身原因造成的保证金延迟退还或者投标人和采购代理机构书面协商可以延迟退还的，采购代理机构不承担相应责任；</w:t>
      </w:r>
      <w:r>
        <w:rPr>
          <w:rFonts w:hint="eastAsia" w:asciiTheme="majorEastAsia" w:hAnsiTheme="majorEastAsia" w:eastAsiaTheme="majorEastAsia" w:cstheme="majorEastAsia"/>
          <w:bCs/>
          <w:sz w:val="24"/>
        </w:rPr>
        <w:fldChar w:fldCharType="begin"/>
      </w:r>
      <w:r>
        <w:rPr>
          <w:rFonts w:hint="eastAsia" w:asciiTheme="majorEastAsia" w:hAnsiTheme="majorEastAsia" w:eastAsiaTheme="majorEastAsia" w:cstheme="majorEastAsia"/>
          <w:bCs/>
          <w:sz w:val="24"/>
        </w:rPr>
        <w:instrText xml:space="preserve"> = 2 \* GB3 \* MERGEFORMAT </w:instrText>
      </w:r>
      <w:r>
        <w:rPr>
          <w:rFonts w:hint="eastAsia" w:asciiTheme="majorEastAsia" w:hAnsiTheme="majorEastAsia" w:eastAsiaTheme="majorEastAsia" w:cstheme="majorEastAsia"/>
          <w:bCs/>
          <w:sz w:val="24"/>
        </w:rPr>
        <w:fldChar w:fldCharType="separate"/>
      </w:r>
      <w:r>
        <w:rPr>
          <w:rFonts w:hint="eastAsia" w:asciiTheme="majorEastAsia" w:hAnsiTheme="majorEastAsia" w:eastAsiaTheme="majorEastAsia" w:cstheme="majorEastAsia"/>
          <w:bCs/>
          <w:sz w:val="24"/>
        </w:rPr>
        <w:t>②</w:t>
      </w:r>
      <w:r>
        <w:rPr>
          <w:rFonts w:hint="eastAsia" w:asciiTheme="majorEastAsia" w:hAnsiTheme="majorEastAsia" w:eastAsiaTheme="majorEastAsia" w:cstheme="majorEastAsia"/>
          <w:bCs/>
          <w:sz w:val="24"/>
        </w:rPr>
        <w:fldChar w:fldCharType="end"/>
      </w:r>
      <w:r>
        <w:rPr>
          <w:rFonts w:hint="eastAsia" w:asciiTheme="majorEastAsia" w:hAnsiTheme="majorEastAsia" w:eastAsiaTheme="majorEastAsia" w:cstheme="majorEastAsia"/>
          <w:bCs/>
          <w:sz w:val="24"/>
        </w:rPr>
        <w:t>供应商因涉嫌违法违规，按照规定应当不予退还保证金的，有关部门处理认定违法违规行为期间不计入退还保证金时限之内。）</w:t>
      </w:r>
      <w:r>
        <w:rPr>
          <w:rFonts w:hint="eastAsia" w:asciiTheme="majorEastAsia" w:hAnsiTheme="majorEastAsia" w:eastAsiaTheme="majorEastAsia" w:cstheme="majorEastAsia"/>
          <w:sz w:val="24"/>
        </w:rPr>
        <w:t>；</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16.4发生下列情形之一的，采购代理机构可以不予退还投标保证金：</w:t>
      </w:r>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（1）在招标文件规定的投标截止时间后撤回投标的；</w:t>
      </w:r>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（2）在采购人确定中标人以前放弃中标候选资格的；</w:t>
      </w:r>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（3）中标后放弃中标、不领取或者不接收中标通知书的；</w:t>
      </w:r>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（4）由于中标人的原因未能按照招标文件的规定与采购人签订合同的；</w:t>
      </w:r>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（5）由于中标人的原因未能按照招标文件的规定交纳履约保证金的；</w:t>
      </w:r>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（6）投标人提供虚假资料的；</w:t>
      </w:r>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（7）投标有效期内，投标人在政府采购活动中有违法、违规、违纪行为。</w:t>
      </w:r>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（8）投标有效期内，投标人撤销投标文件的。</w:t>
      </w:r>
    </w:p>
    <w:p>
      <w:pPr>
        <w:pStyle w:val="4"/>
        <w:spacing w:line="400" w:lineRule="exact"/>
        <w:ind w:firstLine="482" w:firstLineChars="200"/>
        <w:rPr>
          <w:rFonts w:hint="eastAsia" w:asciiTheme="majorEastAsia" w:hAnsiTheme="majorEastAsia" w:eastAsiaTheme="majorEastAsia" w:cstheme="majorEastAsia"/>
          <w:bCs w:val="0"/>
          <w:sz w:val="24"/>
        </w:rPr>
      </w:pPr>
      <w:bookmarkStart w:id="83" w:name="_Toc308164801"/>
      <w:bookmarkStart w:id="84" w:name="_Toc217446051"/>
      <w:bookmarkStart w:id="85" w:name="_Toc183582224"/>
      <w:bookmarkStart w:id="86" w:name="_Toc183682361"/>
      <w:r>
        <w:rPr>
          <w:rFonts w:hint="eastAsia" w:asciiTheme="majorEastAsia" w:hAnsiTheme="majorEastAsia" w:eastAsiaTheme="majorEastAsia" w:cstheme="majorEastAsia"/>
          <w:bCs w:val="0"/>
          <w:sz w:val="24"/>
        </w:rPr>
        <w:t>17．投标有效期</w:t>
      </w:r>
      <w:bookmarkEnd w:id="83"/>
      <w:bookmarkEnd w:id="84"/>
      <w:bookmarkEnd w:id="85"/>
      <w:bookmarkEnd w:id="86"/>
      <w:r>
        <w:rPr>
          <w:rFonts w:hint="eastAsia" w:asciiTheme="majorEastAsia" w:hAnsiTheme="majorEastAsia" w:eastAsiaTheme="majorEastAsia" w:cstheme="majorEastAsia"/>
          <w:sz w:val="24"/>
          <w:szCs w:val="24"/>
        </w:rPr>
        <w:t>（实质性要求）</w:t>
      </w:r>
    </w:p>
    <w:p>
      <w:pPr>
        <w:tabs>
          <w:tab w:val="left" w:pos="7665"/>
        </w:tabs>
        <w:spacing w:line="400" w:lineRule="exact"/>
        <w:ind w:left="13" w:leftChars="6"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17.1 本项目投标有效期为投标截止时间届满后</w:t>
      </w:r>
      <w:r>
        <w:rPr>
          <w:rFonts w:hint="eastAsia" w:asciiTheme="majorEastAsia" w:hAnsiTheme="majorEastAsia" w:eastAsiaTheme="majorEastAsia" w:cstheme="majorEastAsia"/>
          <w:b/>
          <w:bCs/>
          <w:sz w:val="24"/>
        </w:rPr>
        <w:t>90</w:t>
      </w:r>
      <w:r>
        <w:rPr>
          <w:rFonts w:hint="eastAsia" w:asciiTheme="majorEastAsia" w:hAnsiTheme="majorEastAsia" w:eastAsiaTheme="majorEastAsia" w:cstheme="majorEastAsia"/>
          <w:sz w:val="24"/>
        </w:rPr>
        <w:t>天（投标有效期从提交投标文件的截止之日起算）。投标人投标文件中必须载明投标有效期，投标文件中载明的投标有效期可以长于招标文件规定的期限，但不得短于招标文件规定的期限。否则，其投标文件将作为无效投标处理。</w:t>
      </w:r>
    </w:p>
    <w:p>
      <w:pPr>
        <w:tabs>
          <w:tab w:val="left" w:pos="7665"/>
        </w:tabs>
        <w:spacing w:line="400" w:lineRule="exact"/>
        <w:ind w:left="13" w:leftChars="6" w:firstLine="360" w:firstLineChars="15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17.2 因不可抗力事件，采购人可于投标有效期届满之前与投标人协商延长投标有效期。投标人拒绝延长投标有效期的，不得再参与该项目后续采购活动，但由此给投标人造成的损失，采购人可以自主决定是否可以给予适当补偿。投标人同意延长投标有效期的，不能修改投标文件。 </w:t>
      </w:r>
    </w:p>
    <w:p>
      <w:pPr>
        <w:tabs>
          <w:tab w:val="left" w:pos="7665"/>
        </w:tabs>
        <w:spacing w:line="400" w:lineRule="exact"/>
        <w:ind w:left="13" w:leftChars="6" w:firstLine="360" w:firstLineChars="15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17.3 因采购人采购需求作出必要调整，采购人可于投标有效期届满之前与投标人协商延长投标有效期。投标人拒绝延长投标有效期的，不得再参与该项目后续采购活动，但由此给投标人造成的损失，采购人应当予以赔偿或者合理补偿。投标人同意延长投标有效期的，不能修改投标文件。</w:t>
      </w:r>
    </w:p>
    <w:p>
      <w:pPr>
        <w:pStyle w:val="4"/>
        <w:spacing w:line="400" w:lineRule="exact"/>
        <w:ind w:firstLine="482" w:firstLineChars="200"/>
        <w:rPr>
          <w:rFonts w:hint="eastAsia" w:asciiTheme="majorEastAsia" w:hAnsiTheme="majorEastAsia" w:eastAsiaTheme="majorEastAsia" w:cstheme="majorEastAsia"/>
          <w:bCs w:val="0"/>
          <w:sz w:val="24"/>
        </w:rPr>
      </w:pPr>
      <w:bookmarkStart w:id="87" w:name="_Toc217446052"/>
      <w:bookmarkStart w:id="88" w:name="_Toc183582225"/>
      <w:bookmarkStart w:id="89" w:name="_Toc308164802"/>
      <w:bookmarkStart w:id="90" w:name="_Toc183682362"/>
      <w:r>
        <w:rPr>
          <w:rFonts w:hint="eastAsia" w:asciiTheme="majorEastAsia" w:hAnsiTheme="majorEastAsia" w:eastAsiaTheme="majorEastAsia" w:cstheme="majorEastAsia"/>
          <w:bCs w:val="0"/>
          <w:sz w:val="24"/>
        </w:rPr>
        <w:t>18．投标文件的印制和签署</w:t>
      </w:r>
      <w:bookmarkEnd w:id="87"/>
      <w:bookmarkEnd w:id="88"/>
      <w:bookmarkEnd w:id="89"/>
      <w:bookmarkEnd w:id="90"/>
    </w:p>
    <w:p>
      <w:pPr>
        <w:tabs>
          <w:tab w:val="left" w:pos="1080"/>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18.1投标文件分为“资格性投标文件”和“其他响应性投标文件”两部分，且该两部分应分册装订。</w:t>
      </w:r>
    </w:p>
    <w:p>
      <w:pPr>
        <w:spacing w:line="400" w:lineRule="exact"/>
        <w:ind w:firstLine="468" w:firstLineChars="195"/>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sz w:val="24"/>
        </w:rPr>
        <w:t>18.2资格性投标文件正本1份副本4份</w:t>
      </w:r>
      <w:r>
        <w:rPr>
          <w:rFonts w:hint="eastAsia" w:asciiTheme="majorEastAsia" w:hAnsiTheme="majorEastAsia" w:eastAsiaTheme="majorEastAsia" w:cstheme="majorEastAsia"/>
          <w:bCs/>
          <w:sz w:val="24"/>
        </w:rPr>
        <w:t>，并在其封面上清楚地标明</w:t>
      </w:r>
      <w:r>
        <w:rPr>
          <w:rFonts w:hint="eastAsia" w:asciiTheme="majorEastAsia" w:hAnsiTheme="majorEastAsia" w:eastAsiaTheme="majorEastAsia" w:cstheme="majorEastAsia"/>
          <w:sz w:val="24"/>
        </w:rPr>
        <w:t>资格性投标文件</w:t>
      </w:r>
      <w:r>
        <w:rPr>
          <w:rFonts w:hint="eastAsia" w:asciiTheme="majorEastAsia" w:hAnsiTheme="majorEastAsia" w:eastAsiaTheme="majorEastAsia" w:cstheme="majorEastAsia"/>
          <w:bCs/>
          <w:sz w:val="24"/>
        </w:rPr>
        <w:t>、项目名称、项目编号、包件号及名称（若有）、投标人名称以及“正本”或“副本”字样。若正本和副本有不一致的内容，以正本书面投标文件为准。</w:t>
      </w:r>
    </w:p>
    <w:p>
      <w:pPr>
        <w:spacing w:line="400" w:lineRule="exact"/>
        <w:ind w:firstLine="468" w:firstLineChars="195"/>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18.3</w:t>
      </w:r>
      <w:r>
        <w:rPr>
          <w:rFonts w:hint="eastAsia" w:asciiTheme="majorEastAsia" w:hAnsiTheme="majorEastAsia" w:eastAsiaTheme="majorEastAsia" w:cstheme="majorEastAsia"/>
          <w:sz w:val="24"/>
        </w:rPr>
        <w:t>其他响应性投标文件</w:t>
      </w:r>
      <w:r>
        <w:rPr>
          <w:rFonts w:hint="eastAsia" w:asciiTheme="majorEastAsia" w:hAnsiTheme="majorEastAsia" w:eastAsiaTheme="majorEastAsia" w:cstheme="majorEastAsia"/>
          <w:bCs/>
          <w:sz w:val="24"/>
        </w:rPr>
        <w:t>正本1份副本4份，并在其封面上清楚地标明</w:t>
      </w:r>
      <w:r>
        <w:rPr>
          <w:rFonts w:hint="eastAsia" w:asciiTheme="majorEastAsia" w:hAnsiTheme="majorEastAsia" w:eastAsiaTheme="majorEastAsia" w:cstheme="majorEastAsia"/>
          <w:sz w:val="24"/>
        </w:rPr>
        <w:t>其他响应性投标文件</w:t>
      </w:r>
      <w:r>
        <w:rPr>
          <w:rFonts w:hint="eastAsia" w:asciiTheme="majorEastAsia" w:hAnsiTheme="majorEastAsia" w:eastAsiaTheme="majorEastAsia" w:cstheme="majorEastAsia"/>
          <w:bCs/>
          <w:sz w:val="24"/>
        </w:rPr>
        <w:t>、项目名称、项目编号、包件号及名称（若有）、投标人名称以及“正本”或“副本”字样。若正本和副本有不一致的内容，以正本书面投标文件为准。</w:t>
      </w:r>
    </w:p>
    <w:p>
      <w:pPr>
        <w:tabs>
          <w:tab w:val="left" w:pos="1080"/>
        </w:tabs>
        <w:spacing w:line="400" w:lineRule="exact"/>
        <w:ind w:firstLine="463" w:firstLineChars="192"/>
        <w:rPr>
          <w:rFonts w:hint="eastAsia" w:asciiTheme="majorEastAsia" w:hAnsiTheme="majorEastAsia" w:eastAsiaTheme="majorEastAsia" w:cstheme="majorEastAsia"/>
          <w:b/>
          <w:sz w:val="24"/>
        </w:rPr>
      </w:pPr>
      <w:r>
        <w:rPr>
          <w:rFonts w:hint="eastAsia" w:asciiTheme="majorEastAsia" w:hAnsiTheme="majorEastAsia" w:eastAsiaTheme="majorEastAsia" w:cstheme="majorEastAsia"/>
          <w:b/>
          <w:sz w:val="24"/>
        </w:rPr>
        <w:t>18.4“开标一览表”应编制于其他响应性投标文件正副本内，如有遗漏，将视为无效投标（实质性要求）。</w:t>
      </w:r>
    </w:p>
    <w:p>
      <w:pPr>
        <w:tabs>
          <w:tab w:val="left" w:pos="1080"/>
        </w:tabs>
        <w:spacing w:line="400" w:lineRule="exact"/>
        <w:ind w:firstLine="463" w:firstLineChars="192"/>
        <w:rPr>
          <w:rFonts w:hint="eastAsia" w:asciiTheme="majorEastAsia" w:hAnsiTheme="majorEastAsia" w:eastAsiaTheme="majorEastAsia" w:cstheme="majorEastAsia"/>
          <w:b/>
          <w:sz w:val="24"/>
        </w:rPr>
      </w:pPr>
      <w:r>
        <w:rPr>
          <w:rFonts w:hint="eastAsia" w:asciiTheme="majorEastAsia" w:hAnsiTheme="majorEastAsia" w:eastAsiaTheme="majorEastAsia" w:cstheme="majorEastAsia"/>
          <w:b/>
          <w:sz w:val="24"/>
        </w:rPr>
        <w:t>注：本项目不需要提供单独密封的“开标一览表”。若投标人提供有单独密封的“开标一览表”，该单独密封的“开标一览表”不作为开标、唱标及评标的依据，但投标人在规定的投标截止时间前，按招标文件要求补充、修改投标文件中“开标一览表”内容的除外。</w:t>
      </w:r>
    </w:p>
    <w:p>
      <w:pPr>
        <w:tabs>
          <w:tab w:val="left" w:pos="1095"/>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18.5 投标文件的正本和副本均需打印或用不褪色、不变质的墨水书写，并由投标人的法定代表人/单位负责人或其授权代表在规定签章处签字或盖章。投标文件副本可采用正本的复印件，提供电子文档1份采用光盘或U盘制作。</w:t>
      </w:r>
    </w:p>
    <w:p>
      <w:pPr>
        <w:tabs>
          <w:tab w:val="left" w:pos="1095"/>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18.6投标文件应由投标人的法定代表人/单位负责人或其授权代表在投标文件</w:t>
      </w:r>
      <w:r>
        <w:rPr>
          <w:rFonts w:hint="eastAsia" w:asciiTheme="majorEastAsia" w:hAnsiTheme="majorEastAsia" w:eastAsiaTheme="majorEastAsia" w:cstheme="majorEastAsia"/>
          <w:bCs/>
          <w:sz w:val="24"/>
        </w:rPr>
        <w:t>要求的地方签字或加盖私人印章，要求加盖公章的地方加盖单位公章，不得使用专用章（如经济合同章、投标专用章等）或下属单位印章代替</w:t>
      </w:r>
      <w:r>
        <w:rPr>
          <w:rFonts w:hint="eastAsia" w:asciiTheme="majorEastAsia" w:hAnsiTheme="majorEastAsia" w:eastAsiaTheme="majorEastAsia" w:cstheme="majorEastAsia"/>
          <w:b/>
          <w:sz w:val="24"/>
        </w:rPr>
        <w:t>（实质性要求）</w:t>
      </w:r>
      <w:r>
        <w:rPr>
          <w:rFonts w:hint="eastAsia" w:asciiTheme="majorEastAsia" w:hAnsiTheme="majorEastAsia" w:eastAsiaTheme="majorEastAsia" w:cstheme="majorEastAsia"/>
          <w:bCs/>
          <w:sz w:val="24"/>
        </w:rPr>
        <w:t>。</w:t>
      </w:r>
    </w:p>
    <w:p>
      <w:pPr>
        <w:tabs>
          <w:tab w:val="left" w:pos="1095"/>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18.7 投标文件的打印和书写应清楚工整，任何行间插字、涂改或增删，必须由投标人的法定代表人/单位负责人或其授权代表签字或盖个人印鉴。</w:t>
      </w:r>
    </w:p>
    <w:p>
      <w:pPr>
        <w:tabs>
          <w:tab w:val="left" w:pos="1080"/>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18.8 投标文件正本和副本应当采取胶装方式装订成册，不得散装或者活页装订。</w:t>
      </w:r>
    </w:p>
    <w:p>
      <w:pPr>
        <w:tabs>
          <w:tab w:val="left" w:pos="1080"/>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18.9 投标文件应根据招标文件的要求制作，签署、盖章和内容应完整。投标文件统一用A4幅面纸印制，逐页编码。本次招标要求的复印件是指对图文进行复制后的文件，包括扫描、复印、影印等方式复制的材料。</w:t>
      </w:r>
    </w:p>
    <w:p>
      <w:pPr>
        <w:pStyle w:val="4"/>
        <w:spacing w:line="400" w:lineRule="exact"/>
        <w:ind w:firstLine="482" w:firstLineChars="200"/>
        <w:rPr>
          <w:rFonts w:hint="eastAsia" w:asciiTheme="majorEastAsia" w:hAnsiTheme="majorEastAsia" w:eastAsiaTheme="majorEastAsia" w:cstheme="majorEastAsia"/>
          <w:sz w:val="24"/>
          <w:szCs w:val="24"/>
        </w:rPr>
      </w:pPr>
      <w:bookmarkStart w:id="91" w:name="_Toc77400781"/>
      <w:bookmarkStart w:id="92" w:name="_Toc183582226"/>
      <w:bookmarkStart w:id="93" w:name="_Toc89075877"/>
      <w:bookmarkStart w:id="94" w:name="_Toc183682363"/>
      <w:bookmarkStart w:id="95" w:name="_Toc308164803"/>
      <w:bookmarkStart w:id="96" w:name="_Toc217446053"/>
      <w:r>
        <w:rPr>
          <w:rFonts w:hint="eastAsia" w:asciiTheme="majorEastAsia" w:hAnsiTheme="majorEastAsia" w:eastAsiaTheme="majorEastAsia" w:cstheme="majorEastAsia"/>
          <w:bCs w:val="0"/>
          <w:sz w:val="24"/>
          <w:szCs w:val="24"/>
        </w:rPr>
        <w:t>19.</w:t>
      </w:r>
      <w:r>
        <w:rPr>
          <w:rFonts w:hint="eastAsia" w:asciiTheme="majorEastAsia" w:hAnsiTheme="majorEastAsia" w:eastAsiaTheme="majorEastAsia" w:cstheme="majorEastAsia"/>
          <w:sz w:val="24"/>
          <w:szCs w:val="24"/>
        </w:rPr>
        <w:t>投标文件的密封和标</w:t>
      </w:r>
      <w:bookmarkEnd w:id="91"/>
      <w:bookmarkEnd w:id="92"/>
      <w:bookmarkEnd w:id="93"/>
      <w:bookmarkEnd w:id="94"/>
      <w:r>
        <w:rPr>
          <w:rFonts w:hint="eastAsia" w:asciiTheme="majorEastAsia" w:hAnsiTheme="majorEastAsia" w:eastAsiaTheme="majorEastAsia" w:cstheme="majorEastAsia"/>
          <w:sz w:val="24"/>
          <w:szCs w:val="24"/>
        </w:rPr>
        <w:t>注</w:t>
      </w:r>
      <w:bookmarkEnd w:id="95"/>
      <w:bookmarkEnd w:id="96"/>
    </w:p>
    <w:p>
      <w:pPr>
        <w:tabs>
          <w:tab w:val="left" w:pos="1080"/>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19.1 投标人应在投标文件正本和所有副本的封面上注明投标人名称、项目编号、项目名称及分包号（如有分包）。</w:t>
      </w:r>
    </w:p>
    <w:p>
      <w:pPr>
        <w:tabs>
          <w:tab w:val="left" w:pos="1080"/>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19.2投标文件的密封袋上应当注明投标人名称、项目编号、项目名称及分包号（如有分包）。</w:t>
      </w:r>
    </w:p>
    <w:p>
      <w:pPr>
        <w:pStyle w:val="4"/>
        <w:spacing w:line="400" w:lineRule="exact"/>
        <w:ind w:firstLine="482" w:firstLineChars="200"/>
        <w:rPr>
          <w:rFonts w:hint="eastAsia" w:asciiTheme="majorEastAsia" w:hAnsiTheme="majorEastAsia" w:eastAsiaTheme="majorEastAsia" w:cstheme="majorEastAsia"/>
          <w:bCs w:val="0"/>
          <w:sz w:val="24"/>
          <w:szCs w:val="24"/>
        </w:rPr>
      </w:pPr>
      <w:bookmarkStart w:id="97" w:name="_Toc183582227"/>
      <w:bookmarkStart w:id="98" w:name="_Toc183682364"/>
      <w:bookmarkStart w:id="99" w:name="_Toc217446054"/>
      <w:bookmarkStart w:id="100" w:name="_Toc308164804"/>
      <w:r>
        <w:rPr>
          <w:rFonts w:hint="eastAsia" w:asciiTheme="majorEastAsia" w:hAnsiTheme="majorEastAsia" w:eastAsiaTheme="majorEastAsia" w:cstheme="majorEastAsia"/>
          <w:bCs w:val="0"/>
          <w:sz w:val="24"/>
          <w:szCs w:val="24"/>
        </w:rPr>
        <w:t>20</w:t>
      </w:r>
      <w:r>
        <w:rPr>
          <w:rFonts w:hint="eastAsia" w:asciiTheme="majorEastAsia" w:hAnsiTheme="majorEastAsia" w:eastAsiaTheme="majorEastAsia" w:cstheme="majorEastAsia"/>
          <w:bCs w:val="0"/>
          <w:sz w:val="28"/>
          <w:szCs w:val="28"/>
        </w:rPr>
        <w:t>．</w:t>
      </w:r>
      <w:r>
        <w:rPr>
          <w:rFonts w:hint="eastAsia" w:asciiTheme="majorEastAsia" w:hAnsiTheme="majorEastAsia" w:eastAsiaTheme="majorEastAsia" w:cstheme="majorEastAsia"/>
          <w:bCs w:val="0"/>
          <w:sz w:val="24"/>
          <w:szCs w:val="24"/>
        </w:rPr>
        <w:t>投标文件的</w:t>
      </w:r>
      <w:bookmarkEnd w:id="97"/>
      <w:bookmarkEnd w:id="98"/>
      <w:r>
        <w:rPr>
          <w:rFonts w:hint="eastAsia" w:asciiTheme="majorEastAsia" w:hAnsiTheme="majorEastAsia" w:eastAsiaTheme="majorEastAsia" w:cstheme="majorEastAsia"/>
          <w:bCs w:val="0"/>
          <w:sz w:val="24"/>
          <w:szCs w:val="24"/>
        </w:rPr>
        <w:t>递交</w:t>
      </w:r>
      <w:bookmarkEnd w:id="99"/>
      <w:bookmarkEnd w:id="100"/>
    </w:p>
    <w:p>
      <w:pPr>
        <w:tabs>
          <w:tab w:val="left" w:pos="1095"/>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20.1 投标人应在招标文件规定的投标截止时间前，将投标文件按招标文件的规定密封后送达开标地点。投标截止时间以后送达的投标文件将不予接收，招标采购单位将告知投标人不予接收的原因。</w:t>
      </w:r>
    </w:p>
    <w:p>
      <w:pPr>
        <w:tabs>
          <w:tab w:val="left" w:pos="1095"/>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注：投标人在递交投标文件时，请用正楷填写本招标文件附件二“递交投标文件签收表”然后将签收表和投标文件一并递交给本招标代理机构项目工作人员。 </w:t>
      </w:r>
    </w:p>
    <w:p>
      <w:pPr>
        <w:tabs>
          <w:tab w:val="left" w:pos="1095"/>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20.2递交投标文件时，报名供应商名称和招标文件的文号、分包号应当与投标供应商名称和招标文件的文号、分包号一致。但是，投标文件实质内容报名供应商名称和招标文件的文号、分包号一致，只是封面文字错误的，可以在评标过程中当面予以澄清，以有效的澄清材料作为认定投标文件是否有效的依据。</w:t>
      </w:r>
    </w:p>
    <w:p>
      <w:pPr>
        <w:tabs>
          <w:tab w:val="left" w:pos="1095"/>
        </w:tabs>
        <w:spacing w:line="400" w:lineRule="exact"/>
        <w:ind w:firstLine="460" w:firstLineChars="192"/>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20.3本次招标不接收邮寄的投标文件。</w:t>
      </w:r>
    </w:p>
    <w:p>
      <w:pPr>
        <w:pStyle w:val="4"/>
        <w:spacing w:line="400" w:lineRule="exact"/>
        <w:ind w:firstLine="482" w:firstLineChars="200"/>
        <w:rPr>
          <w:rFonts w:hint="eastAsia" w:asciiTheme="majorEastAsia" w:hAnsiTheme="majorEastAsia" w:eastAsiaTheme="majorEastAsia" w:cstheme="majorEastAsia"/>
          <w:bCs w:val="0"/>
          <w:sz w:val="24"/>
          <w:szCs w:val="24"/>
        </w:rPr>
      </w:pPr>
      <w:bookmarkStart w:id="101" w:name="_Toc183682365"/>
      <w:bookmarkStart w:id="102" w:name="_Toc183582228"/>
      <w:bookmarkStart w:id="103" w:name="_Toc217446055"/>
      <w:r>
        <w:rPr>
          <w:rFonts w:hint="eastAsia" w:asciiTheme="majorEastAsia" w:hAnsiTheme="majorEastAsia" w:eastAsiaTheme="majorEastAsia" w:cstheme="majorEastAsia"/>
          <w:bCs w:val="0"/>
          <w:sz w:val="24"/>
          <w:szCs w:val="24"/>
        </w:rPr>
        <w:t>21．投标文件的修改和撤</w:t>
      </w:r>
      <w:bookmarkEnd w:id="101"/>
      <w:bookmarkEnd w:id="102"/>
      <w:r>
        <w:rPr>
          <w:rFonts w:hint="eastAsia" w:asciiTheme="majorEastAsia" w:hAnsiTheme="majorEastAsia" w:eastAsiaTheme="majorEastAsia" w:cstheme="majorEastAsia"/>
          <w:bCs w:val="0"/>
          <w:sz w:val="24"/>
          <w:szCs w:val="24"/>
        </w:rPr>
        <w:t>回</w:t>
      </w:r>
      <w:bookmarkEnd w:id="103"/>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21.1 投标人在递交了投标文件后，可以修改或撤回其投标文件，但必须在规定的投标截止时间前，以书面形式通知采购代理机构。</w:t>
      </w:r>
    </w:p>
    <w:p>
      <w:pPr>
        <w:spacing w:line="400" w:lineRule="exact"/>
        <w:ind w:firstLine="470" w:firstLineChars="196"/>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21.2 投标人的修改书或撤回通知书，应由其法定代表人/单位负责人或授权代表签署并盖单位印章。修改书应按投标须知第19条规定进行密封和标注，并在密封袋上标注“修改”字样。</w:t>
      </w:r>
    </w:p>
    <w:p>
      <w:pPr>
        <w:spacing w:line="400" w:lineRule="exact"/>
        <w:ind w:firstLine="48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21.3 在投标截止时间之后，投标人不得对其递交的投标文件做任何修改，撤回投标的，将按照有关规定进行相应处理。</w:t>
      </w:r>
    </w:p>
    <w:p>
      <w:pPr>
        <w:pStyle w:val="3"/>
        <w:spacing w:line="400" w:lineRule="exact"/>
        <w:jc w:val="center"/>
        <w:rPr>
          <w:rFonts w:hint="eastAsia" w:asciiTheme="majorEastAsia" w:hAnsiTheme="majorEastAsia" w:eastAsiaTheme="majorEastAsia" w:cstheme="majorEastAsia"/>
        </w:rPr>
      </w:pPr>
      <w:bookmarkStart w:id="104" w:name="_Toc183682368"/>
      <w:bookmarkStart w:id="105" w:name="_Toc217446056"/>
      <w:bookmarkStart w:id="106" w:name="_Toc77400782"/>
      <w:bookmarkStart w:id="107" w:name="_Toc89075878"/>
      <w:bookmarkStart w:id="108" w:name="_Toc183582231"/>
      <w:bookmarkStart w:id="109" w:name="_Toc308164805"/>
      <w:r>
        <w:rPr>
          <w:rFonts w:hint="eastAsia" w:asciiTheme="majorEastAsia" w:hAnsiTheme="majorEastAsia" w:eastAsiaTheme="majorEastAsia" w:cstheme="majorEastAsia"/>
        </w:rPr>
        <w:t>五、开标和中标</w:t>
      </w:r>
      <w:bookmarkEnd w:id="104"/>
      <w:bookmarkEnd w:id="105"/>
      <w:bookmarkEnd w:id="106"/>
      <w:bookmarkEnd w:id="107"/>
      <w:bookmarkEnd w:id="108"/>
      <w:bookmarkEnd w:id="109"/>
    </w:p>
    <w:p>
      <w:pPr>
        <w:pStyle w:val="4"/>
        <w:spacing w:line="400" w:lineRule="exact"/>
        <w:ind w:firstLine="482" w:firstLineChars="200"/>
        <w:rPr>
          <w:rFonts w:hint="eastAsia" w:asciiTheme="majorEastAsia" w:hAnsiTheme="majorEastAsia" w:eastAsiaTheme="majorEastAsia" w:cstheme="majorEastAsia"/>
          <w:bCs w:val="0"/>
          <w:sz w:val="24"/>
        </w:rPr>
      </w:pPr>
      <w:bookmarkStart w:id="110" w:name="_Toc308164806"/>
      <w:bookmarkStart w:id="111" w:name="_Toc183682369"/>
      <w:bookmarkStart w:id="112" w:name="_Toc217446057"/>
      <w:bookmarkStart w:id="113" w:name="_Toc183582232"/>
      <w:r>
        <w:rPr>
          <w:rFonts w:hint="eastAsia" w:asciiTheme="majorEastAsia" w:hAnsiTheme="majorEastAsia" w:eastAsiaTheme="majorEastAsia" w:cstheme="majorEastAsia"/>
          <w:bCs w:val="0"/>
          <w:sz w:val="24"/>
        </w:rPr>
        <w:t>22．开标</w:t>
      </w:r>
      <w:bookmarkEnd w:id="110"/>
      <w:bookmarkEnd w:id="111"/>
      <w:bookmarkEnd w:id="112"/>
      <w:bookmarkEnd w:id="113"/>
    </w:p>
    <w:p>
      <w:pPr>
        <w:spacing w:before="120"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22.1 开标在招标文件规定的时间和地点公开进行，采购人、投标人应派代表参加并签到以证明其出席。开标由采购代理机构主持，邀请投标人参加。评标委员会成员不参加开标活动。</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22.2 开标时，可根据具体情况邀请有关监督管理部门对开标活动进行现场监督。</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22.3 开标时，由投标人或者其推选的代表检查其自己递交的投标文件的密封情况，经确认无误后，由招标工作人员将投标人的投标文件当众拆封，并由唱标人员按照招标文件规定的内容进行宣读。</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或者其推选的代表确认投标文件情况，仅限于确认其自己递交的投标文件的密封情况，不代表对其他投标人的投标文件的密封情况确认。投标人或者其推选的代表对其他投标人的投标文件密封情况有异议的，应当当场反映开标主持人或者现场监督人员，要求开标现场记录人员予以记录，并在评标时予以认定处理，但不得干扰、阻挠开标工作的正常进行。</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22.4 投标文件中相关内容与“开标一览表”不一致的，以“开标一览表”为准。对不同文字文本投标文件的解释发生异议的，以中文文本为准。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22.5 所有投标唱标完毕，如投标人代表对宣读的内容有异议的，应在获得开标会主持人同意后当场提出。如确实属于唱标人员宣读错了的，当场予以更正。</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22.6 投标人未参加开标的，视同认可开标结果。</w:t>
      </w:r>
    </w:p>
    <w:p>
      <w:pPr>
        <w:pStyle w:val="4"/>
        <w:spacing w:line="400" w:lineRule="exact"/>
        <w:ind w:firstLine="482" w:firstLineChars="200"/>
        <w:rPr>
          <w:rFonts w:hint="eastAsia" w:asciiTheme="majorEastAsia" w:hAnsiTheme="majorEastAsia" w:eastAsiaTheme="majorEastAsia" w:cstheme="majorEastAsia"/>
          <w:sz w:val="24"/>
        </w:rPr>
      </w:pPr>
      <w:bookmarkStart w:id="114" w:name="_Toc217446058"/>
      <w:bookmarkStart w:id="115" w:name="_Toc308164807"/>
      <w:r>
        <w:rPr>
          <w:rFonts w:hint="eastAsia" w:asciiTheme="majorEastAsia" w:hAnsiTheme="majorEastAsia" w:eastAsiaTheme="majorEastAsia" w:cstheme="majorEastAsia"/>
          <w:sz w:val="24"/>
        </w:rPr>
        <w:t>23. 开标程序</w:t>
      </w:r>
      <w:bookmarkEnd w:id="114"/>
      <w:bookmarkEnd w:id="115"/>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23.1 开标会主持人按照招标文件规定的开标时间宣布开标，按照规定要求主持开标会。开标将按以下程序进行：</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（1）宣布开标会开始。当众宣布参加开标会主持人、唱标人、会议记录人以及根据情况邀请的现场监督人等工作人员，根据“供应商签到表”宣布参加投标的供应商名单。</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（2）根据投标人或者其推选的代表对投标文件密封的检查结果，当众宣布投标文件的密封情况。</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开标唱标。主持人宣布开标后，由现场工作人员按任意顺序对投标人的投标文件当众进行拆封，由唱标人员宣读投标人名称、投标价格（价格折扣）、或招标文件允许提供的备选投标方案。同时，做好开标记录。唱标人员在唱标过程中，如遇有字迹不清楚或有明显错误的，应即刻报告主持人，经现场核实后，主持人立即请投标人代表现场进行澄清或确认。唱标完毕后投标人或者其推选的代表需现场对开标记录进行签字确认，投标人或者其推选的代表对唱标内容有异议的，应当当场提出，并要求会议记录人在开标记录中予以记录，或者另行提供书面异议资料，不签字又不提出异议的，视同认可唱标内容和结果，且不得干扰、阻挠开（唱）标、评标工作。</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宣布开标会结束。主持人宣布开标会结束。所有投标人代表应立即退场（招标文件要求有演示、介绍等的除外）。同时所有投标人应保持通讯设备的畅通，以方便在评标过程中评标委员会要求投标人对投标文件的必要澄清、说明和纠正。</w:t>
      </w:r>
    </w:p>
    <w:p>
      <w:pPr>
        <w:pStyle w:val="4"/>
        <w:spacing w:line="400" w:lineRule="exact"/>
        <w:ind w:firstLine="482" w:firstLineChars="200"/>
        <w:rPr>
          <w:rFonts w:hint="eastAsia" w:asciiTheme="majorEastAsia" w:hAnsiTheme="majorEastAsia" w:eastAsiaTheme="majorEastAsia" w:cstheme="majorEastAsia"/>
          <w:sz w:val="24"/>
        </w:rPr>
      </w:pPr>
      <w:bookmarkStart w:id="116" w:name="_Toc183582238"/>
      <w:bookmarkStart w:id="117" w:name="_Toc183682375"/>
      <w:bookmarkStart w:id="118" w:name="_Toc217446063"/>
      <w:bookmarkStart w:id="119" w:name="_Toc308164809"/>
      <w:r>
        <w:rPr>
          <w:rFonts w:hint="eastAsia" w:asciiTheme="majorEastAsia" w:hAnsiTheme="majorEastAsia" w:eastAsiaTheme="majorEastAsia" w:cstheme="majorEastAsia"/>
          <w:sz w:val="24"/>
        </w:rPr>
        <w:t>24．开评标过程存档</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开标和评标过程进行全过程电子监控，并将电子监控资料存储介质留存归档。</w:t>
      </w:r>
    </w:p>
    <w:p>
      <w:pPr>
        <w:pStyle w:val="4"/>
        <w:spacing w:line="400" w:lineRule="exact"/>
        <w:ind w:firstLine="482"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25.评标结果公告</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评标结果将在</w:t>
      </w:r>
      <w:r>
        <w:rPr>
          <w:rFonts w:hint="eastAsia" w:asciiTheme="majorEastAsia" w:hAnsiTheme="majorEastAsia" w:eastAsiaTheme="majorEastAsia" w:cstheme="majorEastAsia"/>
          <w:sz w:val="24"/>
          <w:lang w:eastAsia="zh-CN"/>
        </w:rPr>
        <w:t>西藏自治区</w:t>
      </w:r>
      <w:r>
        <w:rPr>
          <w:rFonts w:hint="eastAsia" w:asciiTheme="majorEastAsia" w:hAnsiTheme="majorEastAsia" w:eastAsiaTheme="majorEastAsia" w:cstheme="majorEastAsia"/>
          <w:sz w:val="24"/>
        </w:rPr>
        <w:t>政府采购网上予以公告。</w:t>
      </w:r>
    </w:p>
    <w:p>
      <w:pPr>
        <w:pStyle w:val="4"/>
        <w:spacing w:line="400" w:lineRule="exact"/>
        <w:ind w:firstLine="482" w:firstLineChars="200"/>
        <w:rPr>
          <w:rFonts w:hint="eastAsia" w:asciiTheme="majorEastAsia" w:hAnsiTheme="majorEastAsia" w:eastAsiaTheme="majorEastAsia" w:cstheme="majorEastAsia"/>
          <w:bCs w:val="0"/>
          <w:sz w:val="24"/>
          <w:szCs w:val="24"/>
        </w:rPr>
      </w:pPr>
      <w:r>
        <w:rPr>
          <w:rFonts w:hint="eastAsia" w:asciiTheme="majorEastAsia" w:hAnsiTheme="majorEastAsia" w:eastAsiaTheme="majorEastAsia" w:cstheme="majorEastAsia"/>
          <w:bCs w:val="0"/>
          <w:sz w:val="24"/>
          <w:szCs w:val="24"/>
        </w:rPr>
        <w:t>26.中标通知</w:t>
      </w:r>
      <w:bookmarkEnd w:id="116"/>
      <w:bookmarkEnd w:id="117"/>
      <w:r>
        <w:rPr>
          <w:rFonts w:hint="eastAsia" w:asciiTheme="majorEastAsia" w:hAnsiTheme="majorEastAsia" w:eastAsiaTheme="majorEastAsia" w:cstheme="majorEastAsia"/>
          <w:bCs w:val="0"/>
          <w:sz w:val="24"/>
          <w:szCs w:val="24"/>
        </w:rPr>
        <w:t>书</w:t>
      </w:r>
      <w:bookmarkEnd w:id="118"/>
      <w:bookmarkEnd w:id="119"/>
    </w:p>
    <w:p>
      <w:pPr>
        <w:tabs>
          <w:tab w:val="left" w:pos="7665"/>
        </w:tabs>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26</w:t>
      </w:r>
      <w:r>
        <w:rPr>
          <w:rFonts w:hint="eastAsia" w:asciiTheme="majorEastAsia" w:hAnsiTheme="majorEastAsia" w:eastAsiaTheme="majorEastAsia" w:cstheme="majorEastAsia"/>
          <w:bCs/>
          <w:sz w:val="24"/>
        </w:rPr>
        <w:t>.</w:t>
      </w:r>
      <w:r>
        <w:rPr>
          <w:rFonts w:hint="eastAsia" w:asciiTheme="majorEastAsia" w:hAnsiTheme="majorEastAsia" w:eastAsiaTheme="majorEastAsia" w:cstheme="majorEastAsia"/>
          <w:sz w:val="24"/>
        </w:rPr>
        <w:t>1 中标通知书为签订政府采购合同的依据之一，是合同的有效组成部分。</w:t>
      </w:r>
    </w:p>
    <w:p>
      <w:pPr>
        <w:tabs>
          <w:tab w:val="left" w:pos="7665"/>
        </w:tabs>
        <w:spacing w:line="400" w:lineRule="exact"/>
        <w:ind w:firstLine="48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26.2 中标通知书对采购人和中标人均具有法律效力。中标通知书发出后，采购人改变中标结果，或者中标人无正当理由放弃中标的，应当承担相应的法律责任。</w:t>
      </w:r>
    </w:p>
    <w:p>
      <w:pPr>
        <w:tabs>
          <w:tab w:val="left" w:pos="7665"/>
        </w:tabs>
        <w:spacing w:line="400" w:lineRule="exact"/>
        <w:ind w:firstLine="48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26．3中标人的投标文件本应作为无效投标处理或者有政府采购法律法规规章制度规定的中标无效情形的，招标采购单位在取得有权主体的认定以后，将宣布发出的中标通知书无效，并收回发出的中标通知书（中标人也应当缴回），依法重新确定中标人或者重新开展采购活动。</w:t>
      </w:r>
    </w:p>
    <w:p>
      <w:pPr>
        <w:tabs>
          <w:tab w:val="left" w:pos="7665"/>
        </w:tabs>
        <w:spacing w:line="400" w:lineRule="exact"/>
        <w:ind w:firstLine="48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26.4中标公告发出后，中标供应商领取中标通知书的，请</w:t>
      </w:r>
      <w:r>
        <w:rPr>
          <w:rFonts w:hint="eastAsia" w:asciiTheme="majorEastAsia" w:hAnsiTheme="majorEastAsia" w:eastAsiaTheme="majorEastAsia" w:cstheme="majorEastAsia"/>
          <w:sz w:val="24"/>
          <w:lang w:eastAsia="zh-CN"/>
        </w:rPr>
        <w:t>到</w:t>
      </w:r>
      <w:r>
        <w:rPr>
          <w:rFonts w:hint="eastAsia" w:asciiTheme="majorEastAsia" w:hAnsiTheme="majorEastAsia" w:eastAsiaTheme="majorEastAsia" w:cstheme="majorEastAsia"/>
          <w:sz w:val="24"/>
          <w:szCs w:val="18"/>
        </w:rPr>
        <w:t>西</w:t>
      </w:r>
      <w:r>
        <w:rPr>
          <w:rFonts w:hint="eastAsia" w:asciiTheme="majorEastAsia" w:hAnsiTheme="majorEastAsia" w:eastAsiaTheme="majorEastAsia" w:cstheme="majorEastAsia"/>
          <w:sz w:val="24"/>
        </w:rPr>
        <w:t>藏自治区拉萨市藏大东路科技大厦</w:t>
      </w:r>
      <w:r>
        <w:rPr>
          <w:rFonts w:hint="eastAsia" w:asciiTheme="majorEastAsia" w:hAnsiTheme="majorEastAsia" w:eastAsiaTheme="majorEastAsia" w:cstheme="majorEastAsia"/>
          <w:sz w:val="24"/>
          <w:lang w:val="en-US" w:eastAsia="zh-CN"/>
        </w:rPr>
        <w:t>东侧</w:t>
      </w:r>
      <w:r>
        <w:rPr>
          <w:rFonts w:hint="eastAsia" w:asciiTheme="majorEastAsia" w:hAnsiTheme="majorEastAsia" w:eastAsiaTheme="majorEastAsia" w:cstheme="majorEastAsia"/>
          <w:sz w:val="24"/>
        </w:rPr>
        <w:t>3楼办理。（详见须知附表中联系方式）</w:t>
      </w:r>
    </w:p>
    <w:p>
      <w:pPr>
        <w:pStyle w:val="3"/>
        <w:spacing w:line="400" w:lineRule="exact"/>
        <w:jc w:val="center"/>
        <w:rPr>
          <w:rFonts w:hint="eastAsia" w:asciiTheme="majorEastAsia" w:hAnsiTheme="majorEastAsia" w:eastAsiaTheme="majorEastAsia" w:cstheme="majorEastAsia"/>
          <w:szCs w:val="28"/>
        </w:rPr>
      </w:pPr>
      <w:bookmarkStart w:id="120" w:name="_Toc308164810"/>
      <w:bookmarkStart w:id="121" w:name="_Toc217446064"/>
      <w:bookmarkStart w:id="122" w:name="_Toc183682377"/>
      <w:bookmarkStart w:id="123" w:name="_Toc183582240"/>
      <w:r>
        <w:rPr>
          <w:rFonts w:hint="eastAsia" w:asciiTheme="majorEastAsia" w:hAnsiTheme="majorEastAsia" w:eastAsiaTheme="majorEastAsia" w:cstheme="majorEastAsia"/>
          <w:szCs w:val="28"/>
        </w:rPr>
        <w:t>六、签订及履行合同和验收</w:t>
      </w:r>
      <w:bookmarkEnd w:id="120"/>
      <w:bookmarkEnd w:id="121"/>
    </w:p>
    <w:p>
      <w:pPr>
        <w:pStyle w:val="4"/>
        <w:spacing w:line="400" w:lineRule="exact"/>
        <w:ind w:firstLine="482" w:firstLineChars="200"/>
        <w:rPr>
          <w:rFonts w:hint="eastAsia" w:asciiTheme="majorEastAsia" w:hAnsiTheme="majorEastAsia" w:eastAsiaTheme="majorEastAsia" w:cstheme="majorEastAsia"/>
          <w:b w:val="0"/>
          <w:sz w:val="24"/>
          <w:szCs w:val="24"/>
        </w:rPr>
      </w:pPr>
      <w:bookmarkStart w:id="124" w:name="_Toc308164811"/>
      <w:bookmarkStart w:id="125" w:name="_Toc217446065"/>
      <w:r>
        <w:rPr>
          <w:rFonts w:hint="eastAsia" w:asciiTheme="majorEastAsia" w:hAnsiTheme="majorEastAsia" w:eastAsiaTheme="majorEastAsia" w:cstheme="majorEastAsia"/>
          <w:sz w:val="24"/>
        </w:rPr>
        <w:t>27.</w:t>
      </w:r>
      <w:r>
        <w:rPr>
          <w:rFonts w:hint="eastAsia" w:asciiTheme="majorEastAsia" w:hAnsiTheme="majorEastAsia" w:eastAsiaTheme="majorEastAsia" w:cstheme="majorEastAsia"/>
          <w:sz w:val="24"/>
          <w:szCs w:val="24"/>
        </w:rPr>
        <w:t>签订合同</w:t>
      </w:r>
      <w:bookmarkEnd w:id="124"/>
      <w:bookmarkEnd w:id="125"/>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27.1 中标人应在中标通知书发出之日起三十日内与采购人签订采购合同。由于中标人的原因逾期未与采购人签订采购合同的，将视为放弃中标，取消其中标资格并将按相关规定进行处理。</w:t>
      </w:r>
    </w:p>
    <w:p>
      <w:pPr>
        <w:spacing w:line="400" w:lineRule="exact"/>
        <w:ind w:firstLine="420" w:firstLineChars="175"/>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27.2 采购人不得向中标人提出任何不合理的要求，作为签订合同的条件，不得与中标人私下订立背离合同实质性内容的任何协议，所签订的合同不得对招标文件和中标人投标文件确定的事项进行实质性修改。</w:t>
      </w:r>
    </w:p>
    <w:p>
      <w:pPr>
        <w:spacing w:line="400" w:lineRule="exact"/>
        <w:ind w:firstLine="420" w:firstLineChars="175"/>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27.3 中标人拒绝与采购人签订合同的，采购人可以按照评审报告推荐的中标候选人名单排序，确定下一候选人为中标供应商，也可以重新开展政府采购活动。</w:t>
      </w:r>
    </w:p>
    <w:p>
      <w:pPr>
        <w:spacing w:line="400" w:lineRule="exact"/>
        <w:ind w:firstLine="420" w:firstLineChars="175"/>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27.4 中标人在合同签订之后三个工作日内，将签订的合同（一式壹份）在我司指定网站（</w:t>
      </w:r>
      <w:r>
        <w:rPr>
          <w:rFonts w:hint="eastAsia" w:asciiTheme="majorEastAsia" w:hAnsiTheme="majorEastAsia" w:eastAsiaTheme="majorEastAsia" w:cstheme="majorEastAsia"/>
          <w:sz w:val="24"/>
          <w:lang w:eastAsia="zh-CN"/>
        </w:rPr>
        <w:t>西藏自治区政府采购网</w:t>
      </w:r>
      <w:r>
        <w:rPr>
          <w:rFonts w:hint="eastAsia" w:asciiTheme="majorEastAsia" w:hAnsiTheme="majorEastAsia" w:eastAsiaTheme="majorEastAsia" w:cstheme="majorEastAsia"/>
          <w:sz w:val="24"/>
        </w:rPr>
        <w:t>）上传。</w:t>
      </w:r>
    </w:p>
    <w:p>
      <w:pPr>
        <w:pStyle w:val="3"/>
        <w:spacing w:line="400" w:lineRule="exact"/>
        <w:ind w:firstLine="482" w:firstLineChars="20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28. 合同分包（实质性要求）</w:t>
      </w:r>
    </w:p>
    <w:p>
      <w:pPr>
        <w:pStyle w:val="3"/>
        <w:spacing w:line="400" w:lineRule="exact"/>
        <w:ind w:firstLine="480" w:firstLineChars="200"/>
        <w:rPr>
          <w:rFonts w:hint="eastAsia" w:asciiTheme="majorEastAsia" w:hAnsiTheme="majorEastAsia" w:eastAsiaTheme="majorEastAsia" w:cstheme="majorEastAsia"/>
          <w:b w:val="0"/>
          <w:bCs w:val="0"/>
          <w:sz w:val="24"/>
          <w:szCs w:val="24"/>
        </w:rPr>
      </w:pPr>
      <w:r>
        <w:rPr>
          <w:rFonts w:hint="eastAsia" w:asciiTheme="majorEastAsia" w:hAnsiTheme="majorEastAsia" w:eastAsiaTheme="majorEastAsia" w:cstheme="majorEastAsia"/>
          <w:b w:val="0"/>
          <w:bCs w:val="0"/>
          <w:sz w:val="24"/>
          <w:szCs w:val="24"/>
        </w:rPr>
        <w:t>28.1本项目合同接受分包与否，以“投标人须知附表”勾选项为准。</w:t>
      </w:r>
    </w:p>
    <w:p>
      <w:pPr>
        <w:pStyle w:val="3"/>
        <w:spacing w:line="400" w:lineRule="exact"/>
        <w:ind w:firstLine="480" w:firstLineChars="200"/>
        <w:rPr>
          <w:rFonts w:hint="eastAsia" w:asciiTheme="majorEastAsia" w:hAnsiTheme="majorEastAsia" w:eastAsiaTheme="majorEastAsia" w:cstheme="majorEastAsia"/>
          <w:b w:val="0"/>
          <w:bCs w:val="0"/>
          <w:sz w:val="24"/>
          <w:szCs w:val="24"/>
        </w:rPr>
      </w:pPr>
      <w:r>
        <w:rPr>
          <w:rFonts w:hint="eastAsia" w:asciiTheme="majorEastAsia" w:hAnsiTheme="majorEastAsia" w:eastAsiaTheme="majorEastAsia" w:cstheme="majorEastAsia"/>
          <w:b w:val="0"/>
          <w:bCs w:val="0"/>
          <w:sz w:val="24"/>
          <w:szCs w:val="24"/>
        </w:rPr>
        <w:t>28.2 中小企业依据《政府采购促进中小企业发展管理办法》（财库〔2020〕46号）规定的政策获取政府采购合同后，小型、微型企业不得分包或转包给大型、中型企业，中型企业不得分包或转包给大型企业。</w:t>
      </w:r>
    </w:p>
    <w:p>
      <w:pPr>
        <w:pStyle w:val="3"/>
        <w:spacing w:line="400" w:lineRule="exact"/>
        <w:ind w:firstLine="482" w:firstLineChars="20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29.合同转包（实质性要求）</w:t>
      </w:r>
    </w:p>
    <w:p>
      <w:pPr>
        <w:spacing w:line="400" w:lineRule="exact"/>
        <w:ind w:firstLine="540" w:firstLineChars="225"/>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本采购项目严禁中标人将任何政府采购合同义务转包。本项目所称转包，是指中标人将政府采购合同义务转让给第三人，并退出现有政府采购合同当事人双方的权利义务关系，受让人（即第三人）成为政府采购合同的另一方当事人的行为。</w:t>
      </w:r>
    </w:p>
    <w:p>
      <w:pPr>
        <w:spacing w:line="400" w:lineRule="exact"/>
        <w:ind w:firstLine="540" w:firstLineChars="225"/>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中标人转包的，视同拒绝履行政府采购合同义务，将依法追究法律责任。</w:t>
      </w:r>
    </w:p>
    <w:p>
      <w:pPr>
        <w:pStyle w:val="3"/>
        <w:spacing w:line="400" w:lineRule="exact"/>
        <w:ind w:firstLine="482" w:firstLineChars="200"/>
        <w:rPr>
          <w:rFonts w:hint="eastAsia" w:asciiTheme="majorEastAsia" w:hAnsiTheme="majorEastAsia" w:eastAsiaTheme="majorEastAsia" w:cstheme="majorEastAsia"/>
          <w:sz w:val="24"/>
          <w:szCs w:val="24"/>
        </w:rPr>
      </w:pPr>
      <w:bookmarkStart w:id="126" w:name="_Toc217446066"/>
      <w:r>
        <w:rPr>
          <w:rFonts w:hint="eastAsia" w:asciiTheme="majorEastAsia" w:hAnsiTheme="majorEastAsia" w:eastAsiaTheme="majorEastAsia" w:cstheme="majorEastAsia"/>
          <w:sz w:val="24"/>
          <w:szCs w:val="24"/>
        </w:rPr>
        <w:t>30.</w:t>
      </w:r>
      <w:bookmarkEnd w:id="126"/>
      <w:r>
        <w:rPr>
          <w:rFonts w:hint="eastAsia" w:asciiTheme="majorEastAsia" w:hAnsiTheme="majorEastAsia" w:eastAsiaTheme="majorEastAsia" w:cstheme="majorEastAsia"/>
          <w:sz w:val="24"/>
          <w:szCs w:val="24"/>
        </w:rPr>
        <w:t xml:space="preserve"> 补充合同</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采购合同履行过程中，采购人需要追加与合同标的相同的货物或者服务的，在不改变合同其他条款的前提下，可以与中标供应商协商签订补充合同，但所有补充合同的采购金额不得超过原合同采购金额的百分之十。 </w:t>
      </w:r>
    </w:p>
    <w:p>
      <w:pPr>
        <w:pStyle w:val="4"/>
        <w:spacing w:line="400" w:lineRule="exact"/>
        <w:ind w:firstLine="482" w:firstLineChars="200"/>
        <w:rPr>
          <w:rFonts w:hint="eastAsia" w:asciiTheme="majorEastAsia" w:hAnsiTheme="majorEastAsia" w:eastAsiaTheme="majorEastAsia" w:cstheme="majorEastAsia"/>
          <w:b w:val="0"/>
          <w:sz w:val="24"/>
          <w:szCs w:val="24"/>
          <w:lang w:eastAsia="zh-CN"/>
        </w:rPr>
      </w:pPr>
      <w:bookmarkStart w:id="127" w:name="_Toc217446068"/>
      <w:bookmarkStart w:id="128" w:name="_Toc308164812"/>
      <w:r>
        <w:rPr>
          <w:rFonts w:hint="eastAsia" w:asciiTheme="majorEastAsia" w:hAnsiTheme="majorEastAsia" w:eastAsiaTheme="majorEastAsia" w:cstheme="majorEastAsia"/>
          <w:sz w:val="24"/>
          <w:szCs w:val="24"/>
        </w:rPr>
        <w:t>31</w:t>
      </w:r>
      <w:r>
        <w:rPr>
          <w:rFonts w:hint="eastAsia" w:asciiTheme="majorEastAsia" w:hAnsiTheme="majorEastAsia" w:eastAsiaTheme="majorEastAsia" w:cstheme="majorEastAsia"/>
          <w:b w:val="0"/>
          <w:sz w:val="24"/>
          <w:szCs w:val="24"/>
        </w:rPr>
        <w:t xml:space="preserve">. </w:t>
      </w:r>
      <w:r>
        <w:rPr>
          <w:rFonts w:hint="eastAsia" w:asciiTheme="majorEastAsia" w:hAnsiTheme="majorEastAsia" w:eastAsiaTheme="majorEastAsia" w:cstheme="majorEastAsia"/>
          <w:sz w:val="24"/>
          <w:szCs w:val="24"/>
        </w:rPr>
        <w:t>履约保证金</w:t>
      </w:r>
      <w:bookmarkEnd w:id="127"/>
      <w:bookmarkEnd w:id="128"/>
      <w:r>
        <w:rPr>
          <w:rFonts w:hint="eastAsia" w:asciiTheme="majorEastAsia" w:hAnsiTheme="majorEastAsia" w:eastAsiaTheme="majorEastAsia" w:cstheme="majorEastAsia"/>
          <w:sz w:val="24"/>
          <w:szCs w:val="24"/>
        </w:rPr>
        <w:t>（实质性要求）</w:t>
      </w:r>
    </w:p>
    <w:p>
      <w:pPr>
        <w:spacing w:line="400" w:lineRule="exact"/>
        <w:ind w:firstLine="480" w:firstLineChars="200"/>
        <w:rPr>
          <w:rFonts w:hint="eastAsia" w:asciiTheme="majorEastAsia" w:hAnsiTheme="majorEastAsia" w:eastAsiaTheme="majorEastAsia" w:cstheme="majorEastAsia"/>
          <w:sz w:val="24"/>
          <w:lang w:eastAsia="zh-CN"/>
        </w:rPr>
      </w:pPr>
      <w:r>
        <w:rPr>
          <w:rFonts w:hint="eastAsia" w:asciiTheme="majorEastAsia" w:hAnsiTheme="majorEastAsia" w:eastAsiaTheme="majorEastAsia" w:cstheme="majorEastAsia"/>
          <w:sz w:val="24"/>
        </w:rPr>
        <w:t>31.1 中标人应在合同签订之前交纳招标文件规定数额的履约保证金。</w:t>
      </w:r>
      <w:r>
        <w:rPr>
          <w:rFonts w:hint="eastAsia" w:asciiTheme="majorEastAsia" w:hAnsiTheme="majorEastAsia" w:eastAsiaTheme="majorEastAsia" w:cstheme="majorEastAsia"/>
          <w:sz w:val="24"/>
          <w:lang w:eastAsia="zh-CN"/>
        </w:rPr>
        <w:t>（本项目不涉及履约保证金）</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31.2 如果中标人在规定的合同签订时间内，没有按照招标文件的规定交纳履约保证金，且又无正当理由的，将视为放弃中标。</w:t>
      </w:r>
    </w:p>
    <w:p>
      <w:pPr>
        <w:pStyle w:val="4"/>
        <w:spacing w:line="400" w:lineRule="exact"/>
        <w:ind w:firstLine="482" w:firstLineChars="200"/>
        <w:rPr>
          <w:rFonts w:hint="eastAsia" w:asciiTheme="majorEastAsia" w:hAnsiTheme="majorEastAsia" w:eastAsiaTheme="majorEastAsia" w:cstheme="majorEastAsia"/>
          <w:b w:val="0"/>
          <w:sz w:val="24"/>
          <w:szCs w:val="24"/>
        </w:rPr>
      </w:pPr>
      <w:bookmarkStart w:id="129" w:name="_Toc217446069"/>
      <w:bookmarkStart w:id="130" w:name="_Toc308164813"/>
      <w:r>
        <w:rPr>
          <w:rFonts w:hint="eastAsia" w:asciiTheme="majorEastAsia" w:hAnsiTheme="majorEastAsia" w:eastAsiaTheme="majorEastAsia" w:cstheme="majorEastAsia"/>
          <w:sz w:val="24"/>
          <w:szCs w:val="24"/>
        </w:rPr>
        <w:t>32. 履行合同</w:t>
      </w:r>
      <w:bookmarkEnd w:id="129"/>
      <w:bookmarkEnd w:id="130"/>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32.1 中标人与采购人签订合同后，合同双方应严格执行合同条款，履行合同规定的义务，保证合同的顺利完成。</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32.2 在合同履行过程中，如发生合同纠纷，合同双方应按照《中华人民共和国民法典》的有关规定进行处理。</w:t>
      </w:r>
    </w:p>
    <w:p>
      <w:pPr>
        <w:pStyle w:val="4"/>
        <w:spacing w:line="400" w:lineRule="exact"/>
        <w:ind w:firstLine="482" w:firstLineChars="200"/>
        <w:rPr>
          <w:rFonts w:hint="eastAsia" w:asciiTheme="majorEastAsia" w:hAnsiTheme="majorEastAsia" w:eastAsiaTheme="majorEastAsia" w:cstheme="majorEastAsia"/>
          <w:b w:val="0"/>
          <w:sz w:val="24"/>
          <w:szCs w:val="24"/>
        </w:rPr>
      </w:pPr>
      <w:bookmarkStart w:id="131" w:name="_Toc217446070"/>
      <w:bookmarkStart w:id="132" w:name="_Toc308164814"/>
      <w:r>
        <w:rPr>
          <w:rFonts w:hint="eastAsia" w:asciiTheme="majorEastAsia" w:hAnsiTheme="majorEastAsia" w:eastAsiaTheme="majorEastAsia" w:cstheme="majorEastAsia"/>
          <w:sz w:val="24"/>
          <w:szCs w:val="24"/>
        </w:rPr>
        <w:t>33. 验收</w:t>
      </w:r>
      <w:bookmarkEnd w:id="131"/>
      <w:bookmarkEnd w:id="132"/>
    </w:p>
    <w:p>
      <w:pPr>
        <w:pStyle w:val="4"/>
        <w:spacing w:line="400" w:lineRule="exact"/>
        <w:ind w:firstLine="480" w:firstLineChars="200"/>
        <w:rPr>
          <w:rFonts w:hint="eastAsia" w:asciiTheme="majorEastAsia" w:hAnsiTheme="majorEastAsia" w:eastAsiaTheme="majorEastAsia" w:cstheme="majorEastAsia"/>
          <w:b w:val="0"/>
          <w:bCs w:val="0"/>
          <w:sz w:val="24"/>
          <w:szCs w:val="24"/>
        </w:rPr>
      </w:pPr>
      <w:bookmarkStart w:id="133" w:name="_Toc217446071"/>
      <w:bookmarkStart w:id="134" w:name="_Toc217446077"/>
      <w:bookmarkStart w:id="135" w:name="_Toc308164818"/>
      <w:r>
        <w:rPr>
          <w:rFonts w:hint="eastAsia" w:asciiTheme="majorEastAsia" w:hAnsiTheme="majorEastAsia" w:eastAsiaTheme="majorEastAsia" w:cstheme="majorEastAsia"/>
          <w:b w:val="0"/>
          <w:bCs w:val="0"/>
          <w:sz w:val="24"/>
          <w:szCs w:val="24"/>
        </w:rPr>
        <w:t>33.1 本项目采购人及其委托的采购代理机构将严格按照政府采购相关法律法规的要求进行验收。</w:t>
      </w:r>
    </w:p>
    <w:p>
      <w:pPr>
        <w:pStyle w:val="4"/>
        <w:spacing w:line="400" w:lineRule="exact"/>
        <w:ind w:firstLine="480" w:firstLineChars="200"/>
        <w:rPr>
          <w:rFonts w:hint="eastAsia" w:asciiTheme="majorEastAsia" w:hAnsiTheme="majorEastAsia" w:eastAsiaTheme="majorEastAsia" w:cstheme="majorEastAsia"/>
          <w:b w:val="0"/>
          <w:bCs w:val="0"/>
          <w:sz w:val="24"/>
          <w:szCs w:val="24"/>
        </w:rPr>
      </w:pPr>
      <w:r>
        <w:rPr>
          <w:rFonts w:hint="eastAsia" w:asciiTheme="majorEastAsia" w:hAnsiTheme="majorEastAsia" w:eastAsiaTheme="majorEastAsia" w:cstheme="majorEastAsia"/>
          <w:b w:val="0"/>
          <w:bCs w:val="0"/>
          <w:sz w:val="24"/>
          <w:szCs w:val="24"/>
        </w:rPr>
        <w:t>33.2 验收结果合格的，中标人凭验收报告办理相关手续；验收结果不合格的，履约保证金将不予退还，也将不予支付采购资金。</w:t>
      </w:r>
    </w:p>
    <w:bookmarkEnd w:id="122"/>
    <w:bookmarkEnd w:id="123"/>
    <w:bookmarkEnd w:id="133"/>
    <w:bookmarkEnd w:id="134"/>
    <w:bookmarkEnd w:id="135"/>
    <w:p>
      <w:pPr>
        <w:pStyle w:val="3"/>
        <w:spacing w:line="400" w:lineRule="exact"/>
        <w:jc w:val="center"/>
        <w:rPr>
          <w:rFonts w:hint="eastAsia" w:asciiTheme="majorEastAsia" w:hAnsiTheme="majorEastAsia" w:eastAsiaTheme="majorEastAsia" w:cstheme="majorEastAsia"/>
          <w:szCs w:val="28"/>
        </w:rPr>
      </w:pPr>
      <w:bookmarkStart w:id="136" w:name="_Toc217446074"/>
      <w:bookmarkStart w:id="137" w:name="_Toc308164815"/>
      <w:bookmarkStart w:id="138" w:name="_Toc183582243"/>
      <w:bookmarkStart w:id="139" w:name="_Toc183682380"/>
      <w:r>
        <w:rPr>
          <w:rFonts w:hint="eastAsia" w:asciiTheme="majorEastAsia" w:hAnsiTheme="majorEastAsia" w:eastAsiaTheme="majorEastAsia" w:cstheme="majorEastAsia"/>
          <w:szCs w:val="28"/>
        </w:rPr>
        <w:t>七、投标纪律要求</w:t>
      </w:r>
      <w:bookmarkEnd w:id="136"/>
      <w:bookmarkEnd w:id="137"/>
    </w:p>
    <w:p>
      <w:pPr>
        <w:pStyle w:val="4"/>
        <w:spacing w:line="400" w:lineRule="exact"/>
        <w:ind w:firstLine="482" w:firstLineChars="200"/>
        <w:rPr>
          <w:rFonts w:hint="eastAsia" w:asciiTheme="majorEastAsia" w:hAnsiTheme="majorEastAsia" w:eastAsiaTheme="majorEastAsia" w:cstheme="majorEastAsia"/>
          <w:bCs w:val="0"/>
          <w:sz w:val="24"/>
          <w:szCs w:val="24"/>
        </w:rPr>
      </w:pPr>
      <w:bookmarkStart w:id="140" w:name="_Toc217446075"/>
      <w:bookmarkStart w:id="141" w:name="_Toc308164816"/>
      <w:r>
        <w:rPr>
          <w:rFonts w:hint="eastAsia" w:asciiTheme="majorEastAsia" w:hAnsiTheme="majorEastAsia" w:eastAsiaTheme="majorEastAsia" w:cstheme="majorEastAsia"/>
          <w:sz w:val="24"/>
        </w:rPr>
        <w:t xml:space="preserve">34. </w:t>
      </w:r>
      <w:r>
        <w:rPr>
          <w:rFonts w:hint="eastAsia" w:asciiTheme="majorEastAsia" w:hAnsiTheme="majorEastAsia" w:eastAsiaTheme="majorEastAsia" w:cstheme="majorEastAsia"/>
          <w:bCs w:val="0"/>
          <w:sz w:val="24"/>
          <w:szCs w:val="24"/>
        </w:rPr>
        <w:t>投标人</w:t>
      </w:r>
      <w:bookmarkEnd w:id="140"/>
      <w:bookmarkEnd w:id="141"/>
      <w:r>
        <w:rPr>
          <w:rFonts w:hint="eastAsia" w:asciiTheme="majorEastAsia" w:hAnsiTheme="majorEastAsia" w:eastAsiaTheme="majorEastAsia" w:cstheme="majorEastAsia"/>
          <w:bCs w:val="0"/>
          <w:sz w:val="24"/>
          <w:szCs w:val="24"/>
        </w:rPr>
        <w:t>纪律要求</w:t>
      </w:r>
    </w:p>
    <w:p>
      <w:pPr>
        <w:pStyle w:val="6"/>
        <w:spacing w:line="400" w:lineRule="exact"/>
        <w:ind w:firstLine="48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投标人应当遵循公平竞争的原则，不得恶意串通，不得妨碍其他投标人的竞争行为，不得损害采购人或者其他投标人的合法权益。</w:t>
      </w:r>
    </w:p>
    <w:p>
      <w:pPr>
        <w:pStyle w:val="6"/>
        <w:spacing w:line="400" w:lineRule="exact"/>
        <w:ind w:firstLine="48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在评标过程中发现投标人有上述情形的，评标委员会应当认定其投标无效，并书面报告本级财政部门。</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34.1 投标人参加本项目投标不得有下列情形：</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（1）提供虚假材料谋取中标；</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（2）采取不正当手段诋毁、排挤其他投标人；</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（3）与招标采购单位、其他投标人恶意串通；</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（4）向招标采购单位、评标委员会成员行贿或者提供其他不正当利益；</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（5）在招标过程中与招标采购单位进行协商谈判；</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（6）中标或者成交后无正当理由拒不与采购人签订政府采购合同；</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（7）未按照采购文件确定的事项签订政府采购合同；</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（8）将政府采购合同转包或者违规分包；</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（9）提供假冒伪劣产品；</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（10）擅自变更、中止或者终止政府采购合同；</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（11）拒绝有关部门的监督检查或者向监督检查部门提供虚假情况；</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（12）法律法规规定的其他情形。</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投标人有上述情形的，按照规定追究法律责任。</w:t>
      </w:r>
      <w:bookmarkEnd w:id="55"/>
    </w:p>
    <w:p>
      <w:pPr>
        <w:spacing w:line="400" w:lineRule="exact"/>
        <w:ind w:firstLine="480" w:firstLineChars="200"/>
        <w:rPr>
          <w:rFonts w:hint="eastAsia" w:asciiTheme="majorEastAsia" w:hAnsiTheme="majorEastAsia" w:eastAsiaTheme="majorEastAsia" w:cstheme="majorEastAsia"/>
          <w:sz w:val="24"/>
        </w:rPr>
      </w:pPr>
      <w:bookmarkStart w:id="142" w:name="PO_默认文件内容_23"/>
      <w:r>
        <w:rPr>
          <w:rFonts w:hint="eastAsia" w:asciiTheme="majorEastAsia" w:hAnsiTheme="majorEastAsia" w:eastAsiaTheme="majorEastAsia" w:cstheme="majorEastAsia"/>
          <w:sz w:val="24"/>
        </w:rPr>
        <w:t>34.2 投标人有下列情形之一的，视为投标人串通投标，其投标无效：</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（1）不同投标人的投标文件由同一单位或者个人编制；</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（2）不同投标人委托同一单位或者个人办理投标事宜；</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（3）不同投标人的投标文件载明的项目管理成员或者联系人员为同一人；</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（4）不同投标人的投标文件异常一致或者投标报价呈规律性差异；</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（5）不同投标人的投标文件相互混装；</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（6）不同投标人的投标保证金从同一单位或者个人的账户转出。</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34.3 投标人存在下列情况之一的，投标无效:</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（1）未按照招标文件的规定提交投标保证金的；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（2）投标文件未按招标文件要求签署、盖章的（第七章3.2.2规定的例外情形除外）；</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（3）不具备招标文件中规定的资格要求的；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（4）报价超过招标文件中规定的预算金额或者最高限价的；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（5）投标文件含有采购人不能接受的附加条件的；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（6）法律、法规和招标文件规定的其他无效情形。</w:t>
      </w:r>
    </w:p>
    <w:p>
      <w:pPr>
        <w:pStyle w:val="3"/>
        <w:spacing w:line="400" w:lineRule="exact"/>
        <w:jc w:val="center"/>
        <w:rPr>
          <w:rFonts w:hint="eastAsia" w:asciiTheme="majorEastAsia" w:hAnsiTheme="majorEastAsia" w:eastAsiaTheme="majorEastAsia" w:cstheme="majorEastAsia"/>
          <w:bCs w:val="0"/>
          <w:szCs w:val="28"/>
        </w:rPr>
      </w:pPr>
      <w:bookmarkStart w:id="143" w:name="_Toc308164819"/>
      <w:bookmarkStart w:id="144" w:name="_Toc217446078"/>
      <w:r>
        <w:rPr>
          <w:rFonts w:hint="eastAsia" w:asciiTheme="majorEastAsia" w:hAnsiTheme="majorEastAsia" w:eastAsiaTheme="majorEastAsia" w:cstheme="majorEastAsia"/>
          <w:bCs w:val="0"/>
          <w:szCs w:val="28"/>
        </w:rPr>
        <w:t>八、询问、质疑和投诉</w:t>
      </w:r>
      <w:bookmarkEnd w:id="143"/>
      <w:bookmarkEnd w:id="144"/>
      <w:bookmarkStart w:id="145" w:name="_Toc217446079"/>
    </w:p>
    <w:bookmarkEnd w:id="145"/>
    <w:p>
      <w:pPr>
        <w:widowControl/>
        <w:spacing w:line="360" w:lineRule="atLeast"/>
        <w:ind w:firstLine="472"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sz w:val="24"/>
        </w:rPr>
        <w:t>3</w:t>
      </w:r>
      <w:bookmarkEnd w:id="138"/>
      <w:bookmarkEnd w:id="139"/>
      <w:r>
        <w:rPr>
          <w:rFonts w:hint="eastAsia" w:asciiTheme="majorEastAsia" w:hAnsiTheme="majorEastAsia" w:eastAsiaTheme="majorEastAsia" w:cstheme="majorEastAsia"/>
          <w:b/>
          <w:sz w:val="24"/>
        </w:rPr>
        <w:t>5．</w:t>
      </w:r>
      <w:r>
        <w:rPr>
          <w:rFonts w:hint="eastAsia" w:asciiTheme="majorEastAsia" w:hAnsiTheme="majorEastAsia" w:eastAsiaTheme="majorEastAsia" w:cstheme="majorEastAsia"/>
          <w:sz w:val="24"/>
        </w:rPr>
        <w:t>询问、质疑、投诉的接收和处理严格按照《中华人民共和国政府采购法》、《中华人民共和国政府采购法实施条例》、《政府采购货物和服务招标投标管理办法》、《</w:t>
      </w:r>
      <w:r>
        <w:rPr>
          <w:rFonts w:hint="eastAsia" w:asciiTheme="majorEastAsia" w:hAnsiTheme="majorEastAsia" w:eastAsiaTheme="majorEastAsia" w:cstheme="majorEastAsia"/>
          <w:bCs/>
          <w:sz w:val="24"/>
        </w:rPr>
        <w:t>政府采购质疑和投诉办法</w:t>
      </w:r>
      <w:r>
        <w:rPr>
          <w:rFonts w:hint="eastAsia" w:asciiTheme="majorEastAsia" w:hAnsiTheme="majorEastAsia" w:eastAsiaTheme="majorEastAsia" w:cstheme="majorEastAsia"/>
          <w:sz w:val="24"/>
        </w:rPr>
        <w:t>》的规定办理。</w:t>
      </w:r>
    </w:p>
    <w:p>
      <w:pPr>
        <w:pStyle w:val="3"/>
        <w:spacing w:line="400" w:lineRule="exact"/>
        <w:jc w:val="center"/>
        <w:rPr>
          <w:rFonts w:hint="eastAsia" w:asciiTheme="majorEastAsia" w:hAnsiTheme="majorEastAsia" w:eastAsiaTheme="majorEastAsia" w:cstheme="majorEastAsia"/>
          <w:bCs w:val="0"/>
          <w:szCs w:val="28"/>
        </w:rPr>
      </w:pPr>
      <w:r>
        <w:rPr>
          <w:rFonts w:hint="eastAsia" w:asciiTheme="majorEastAsia" w:hAnsiTheme="majorEastAsia" w:eastAsiaTheme="majorEastAsia" w:cstheme="majorEastAsia"/>
          <w:bCs w:val="0"/>
          <w:szCs w:val="28"/>
        </w:rPr>
        <w:t>九、其他</w:t>
      </w:r>
    </w:p>
    <w:p>
      <w:pPr>
        <w:spacing w:line="400" w:lineRule="exact"/>
        <w:ind w:firstLine="480" w:firstLineChars="200"/>
        <w:jc w:val="left"/>
        <w:rPr>
          <w:rFonts w:hint="eastAsia" w:asciiTheme="majorEastAsia" w:hAnsiTheme="majorEastAsia" w:eastAsiaTheme="majorEastAsia" w:cstheme="majorEastAsia"/>
          <w:kern w:val="0"/>
          <w:sz w:val="24"/>
        </w:rPr>
      </w:pPr>
      <w:r>
        <w:rPr>
          <w:rFonts w:hint="eastAsia" w:asciiTheme="majorEastAsia" w:hAnsiTheme="majorEastAsia" w:eastAsiaTheme="majorEastAsia" w:cstheme="majorEastAsia"/>
          <w:sz w:val="24"/>
        </w:rPr>
        <w:t>36.</w:t>
      </w:r>
      <w:r>
        <w:rPr>
          <w:rFonts w:hint="eastAsia" w:asciiTheme="majorEastAsia" w:hAnsiTheme="majorEastAsia" w:eastAsiaTheme="majorEastAsia" w:cstheme="majorEastAsia"/>
          <w:b/>
          <w:sz w:val="24"/>
        </w:rPr>
        <w:t>（实质性要求）</w:t>
      </w:r>
      <w:r>
        <w:rPr>
          <w:rFonts w:hint="eastAsia" w:asciiTheme="majorEastAsia" w:hAnsiTheme="majorEastAsia" w:eastAsiaTheme="majorEastAsia" w:cstheme="majorEastAsia"/>
          <w:sz w:val="24"/>
        </w:rPr>
        <w:t>国家或行业主管部门对采购产品的技术标准、质量标准和资格资质条件等有强制性规定的，必须符合其要求。</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p>
    <w:p>
      <w:pPr>
        <w:widowControl/>
        <w:spacing w:line="360" w:lineRule="atLeast"/>
        <w:jc w:val="center"/>
        <w:outlineLvl w:val="1"/>
        <w:rPr>
          <w:rFonts w:hint="eastAsia" w:asciiTheme="majorEastAsia" w:hAnsiTheme="majorEastAsia" w:eastAsiaTheme="majorEastAsia" w:cstheme="majorEastAsia"/>
          <w:b/>
          <w:sz w:val="24"/>
        </w:rPr>
      </w:pPr>
      <w:bookmarkStart w:id="146" w:name="_Toc217446083"/>
    </w:p>
    <w:p>
      <w:pPr>
        <w:pStyle w:val="2"/>
        <w:jc w:val="center"/>
        <w:rPr>
          <w:rFonts w:hint="eastAsia" w:asciiTheme="majorEastAsia" w:hAnsiTheme="majorEastAsia" w:eastAsiaTheme="majorEastAsia" w:cstheme="majorEastAsia"/>
          <w:sz w:val="36"/>
          <w:szCs w:val="36"/>
        </w:rPr>
        <w:sectPr>
          <w:pgSz w:w="11907" w:h="16840"/>
          <w:pgMar w:top="1440" w:right="1474" w:bottom="1440" w:left="1474" w:header="851" w:footer="992" w:gutter="0"/>
          <w:cols w:space="720" w:num="1"/>
          <w:docGrid w:linePitch="312" w:charSpace="0"/>
        </w:sectPr>
      </w:pPr>
      <w:bookmarkStart w:id="147" w:name="_Toc24369"/>
      <w:bookmarkStart w:id="148" w:name="_Toc1368"/>
    </w:p>
    <w:p>
      <w:pPr>
        <w:pStyle w:val="2"/>
        <w:jc w:val="center"/>
        <w:rPr>
          <w:rFonts w:hint="eastAsia" w:asciiTheme="majorEastAsia" w:hAnsiTheme="majorEastAsia" w:eastAsiaTheme="majorEastAsia" w:cstheme="majorEastAsia"/>
          <w:sz w:val="36"/>
          <w:szCs w:val="36"/>
        </w:rPr>
      </w:pPr>
      <w:r>
        <w:rPr>
          <w:rFonts w:hint="eastAsia" w:asciiTheme="majorEastAsia" w:hAnsiTheme="majorEastAsia" w:eastAsiaTheme="majorEastAsia" w:cstheme="majorEastAsia"/>
          <w:sz w:val="36"/>
          <w:szCs w:val="36"/>
        </w:rPr>
        <w:t>第三章  投标文件格式</w:t>
      </w:r>
      <w:bookmarkEnd w:id="147"/>
      <w:bookmarkEnd w:id="148"/>
      <w:bookmarkStart w:id="149" w:name="_Toc308164821"/>
      <w:bookmarkStart w:id="150" w:name="_Toc217446082"/>
    </w:p>
    <w:p>
      <w:pPr>
        <w:widowControl/>
        <w:spacing w:line="360" w:lineRule="atLeast"/>
        <w:jc w:val="center"/>
        <w:outlineLvl w:val="1"/>
        <w:rPr>
          <w:rFonts w:hint="eastAsia" w:asciiTheme="majorEastAsia" w:hAnsiTheme="majorEastAsia" w:eastAsiaTheme="majorEastAsia" w:cstheme="majorEastAsia"/>
          <w:b/>
          <w:sz w:val="24"/>
        </w:rPr>
      </w:pPr>
    </w:p>
    <w:p>
      <w:pPr>
        <w:widowControl/>
        <w:spacing w:line="360" w:lineRule="atLeast"/>
        <w:ind w:firstLine="470" w:firstLineChars="196"/>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一、本章所制投标文件格式，除格式中明确将该格式作为实质性要求的，一律不具有强制性。</w:t>
      </w:r>
    </w:p>
    <w:p>
      <w:pPr>
        <w:widowControl/>
        <w:spacing w:line="360" w:lineRule="atLeast"/>
        <w:ind w:firstLine="470" w:firstLineChars="196"/>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二、本章所制投标文件格式有关表格中的备注栏，由投标人根据自身投标情况作解释性说明，不作为必填项。</w:t>
      </w:r>
    </w:p>
    <w:p>
      <w:pPr>
        <w:widowControl/>
        <w:spacing w:line="360" w:lineRule="atLeast"/>
        <w:ind w:firstLine="470" w:firstLineChars="196"/>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三、本章所制投标文件格式中需要填写的相关内容事项，可能会与本采购项目无关，在不改变投标文件原义、不影响本项目采购需求的情况下，投标人可以不予填写，但应当注明。</w:t>
      </w:r>
      <w:bookmarkEnd w:id="142"/>
    </w:p>
    <w:p>
      <w:pPr>
        <w:tabs>
          <w:tab w:val="left" w:pos="900"/>
        </w:tabs>
        <w:spacing w:line="360" w:lineRule="auto"/>
        <w:jc w:val="center"/>
        <w:rPr>
          <w:rFonts w:hint="eastAsia" w:asciiTheme="majorEastAsia" w:hAnsiTheme="majorEastAsia" w:eastAsiaTheme="majorEastAsia" w:cstheme="majorEastAsia"/>
          <w:b/>
          <w:sz w:val="32"/>
        </w:rPr>
      </w:pPr>
      <w:r>
        <w:rPr>
          <w:rFonts w:hint="eastAsia" w:asciiTheme="majorEastAsia" w:hAnsiTheme="majorEastAsia" w:eastAsiaTheme="majorEastAsia" w:cstheme="majorEastAsia"/>
          <w:b/>
          <w:sz w:val="32"/>
          <w:szCs w:val="32"/>
        </w:rPr>
        <w:br w:type="page"/>
      </w:r>
      <w:bookmarkStart w:id="151" w:name="PO_默认文件内容_24"/>
      <w:r>
        <w:rPr>
          <w:rFonts w:hint="eastAsia" w:asciiTheme="majorEastAsia" w:hAnsiTheme="majorEastAsia" w:eastAsiaTheme="majorEastAsia" w:cstheme="majorEastAsia"/>
          <w:b/>
          <w:sz w:val="32"/>
        </w:rPr>
        <w:t>第一部分     “资格性投标文件”格式</w:t>
      </w:r>
    </w:p>
    <w:p>
      <w:pPr>
        <w:spacing w:line="36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格式1-1</w:t>
      </w:r>
    </w:p>
    <w:p>
      <w:pPr>
        <w:spacing w:line="36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封面：</w:t>
      </w:r>
    </w:p>
    <w:p>
      <w:pPr>
        <w:spacing w:line="360" w:lineRule="auto"/>
        <w:jc w:val="right"/>
        <w:rPr>
          <w:rFonts w:hint="eastAsia" w:asciiTheme="majorEastAsia" w:hAnsiTheme="majorEastAsia" w:eastAsiaTheme="majorEastAsia" w:cstheme="majorEastAsia"/>
          <w:b/>
          <w:sz w:val="36"/>
        </w:rPr>
      </w:pPr>
      <w:r>
        <w:rPr>
          <w:rFonts w:hint="eastAsia" w:asciiTheme="majorEastAsia" w:hAnsiTheme="majorEastAsia" w:eastAsiaTheme="majorEastAsia" w:cstheme="majorEastAsia"/>
          <w:b/>
          <w:sz w:val="36"/>
        </w:rPr>
        <w:t>（正本/副本）</w:t>
      </w:r>
    </w:p>
    <w:p>
      <w:pPr>
        <w:spacing w:line="360" w:lineRule="auto"/>
        <w:rPr>
          <w:rFonts w:hint="eastAsia" w:asciiTheme="majorEastAsia" w:hAnsiTheme="majorEastAsia" w:eastAsiaTheme="majorEastAsia" w:cstheme="majorEastAsia"/>
          <w:b/>
          <w:sz w:val="32"/>
          <w:szCs w:val="32"/>
        </w:rPr>
      </w:pPr>
    </w:p>
    <w:p>
      <w:pPr>
        <w:spacing w:line="360" w:lineRule="auto"/>
        <w:rPr>
          <w:rFonts w:hint="eastAsia" w:asciiTheme="majorEastAsia" w:hAnsiTheme="majorEastAsia" w:eastAsiaTheme="majorEastAsia" w:cstheme="majorEastAsia"/>
          <w:b/>
          <w:sz w:val="32"/>
          <w:szCs w:val="32"/>
        </w:rPr>
      </w:pPr>
    </w:p>
    <w:p>
      <w:pPr>
        <w:spacing w:line="360" w:lineRule="auto"/>
        <w:jc w:val="center"/>
        <w:rPr>
          <w:rFonts w:hint="eastAsia" w:asciiTheme="majorEastAsia" w:hAnsiTheme="majorEastAsia" w:eastAsiaTheme="majorEastAsia" w:cstheme="majorEastAsia"/>
          <w:b/>
          <w:sz w:val="72"/>
        </w:rPr>
      </w:pPr>
      <w:r>
        <w:rPr>
          <w:rFonts w:hint="eastAsia" w:asciiTheme="majorEastAsia" w:hAnsiTheme="majorEastAsia" w:eastAsiaTheme="majorEastAsia" w:cstheme="majorEastAsia"/>
          <w:b/>
          <w:sz w:val="40"/>
          <w:szCs w:val="48"/>
          <w:u w:val="single"/>
        </w:rPr>
        <w:t>xxxxx</w:t>
      </w:r>
      <w:r>
        <w:rPr>
          <w:rFonts w:hint="eastAsia" w:asciiTheme="majorEastAsia" w:hAnsiTheme="majorEastAsia" w:eastAsiaTheme="majorEastAsia" w:cstheme="majorEastAsia"/>
          <w:b/>
          <w:sz w:val="40"/>
          <w:szCs w:val="48"/>
        </w:rPr>
        <w:t>项目</w:t>
      </w:r>
    </w:p>
    <w:p>
      <w:pPr>
        <w:spacing w:line="360" w:lineRule="auto"/>
        <w:rPr>
          <w:rFonts w:hint="eastAsia" w:asciiTheme="majorEastAsia" w:hAnsiTheme="majorEastAsia" w:eastAsiaTheme="majorEastAsia" w:cstheme="majorEastAsia"/>
          <w:b/>
          <w:sz w:val="52"/>
          <w:szCs w:val="52"/>
        </w:rPr>
      </w:pPr>
    </w:p>
    <w:p>
      <w:pPr>
        <w:spacing w:line="360" w:lineRule="auto"/>
        <w:jc w:val="center"/>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52"/>
          <w:szCs w:val="52"/>
        </w:rPr>
        <w:t>资格性投标文件</w:t>
      </w:r>
    </w:p>
    <w:p>
      <w:pPr>
        <w:spacing w:line="360" w:lineRule="auto"/>
        <w:jc w:val="left"/>
        <w:rPr>
          <w:rFonts w:hint="eastAsia" w:asciiTheme="majorEastAsia" w:hAnsiTheme="majorEastAsia" w:eastAsiaTheme="majorEastAsia" w:cstheme="majorEastAsia"/>
          <w:b/>
          <w:sz w:val="32"/>
          <w:u w:val="single"/>
        </w:rPr>
      </w:pPr>
      <w:r>
        <w:rPr>
          <w:rFonts w:hint="eastAsia" w:asciiTheme="majorEastAsia" w:hAnsiTheme="majorEastAsia" w:eastAsiaTheme="majorEastAsia" w:cstheme="majorEastAsia"/>
          <w:b/>
          <w:sz w:val="32"/>
        </w:rPr>
        <w:t>投 标 人名称：</w:t>
      </w:r>
    </w:p>
    <w:p>
      <w:pPr>
        <w:spacing w:line="360" w:lineRule="auto"/>
        <w:jc w:val="left"/>
        <w:rPr>
          <w:rFonts w:hint="eastAsia" w:asciiTheme="majorEastAsia" w:hAnsiTheme="majorEastAsia" w:eastAsiaTheme="majorEastAsia" w:cstheme="majorEastAsia"/>
          <w:b/>
          <w:sz w:val="32"/>
          <w:u w:val="single"/>
        </w:rPr>
      </w:pPr>
      <w:r>
        <w:rPr>
          <w:rFonts w:hint="eastAsia" w:asciiTheme="majorEastAsia" w:hAnsiTheme="majorEastAsia" w:eastAsiaTheme="majorEastAsia" w:cstheme="majorEastAsia"/>
          <w:b/>
          <w:sz w:val="32"/>
        </w:rPr>
        <w:t>采购项目编号：</w:t>
      </w:r>
    </w:p>
    <w:p>
      <w:pPr>
        <w:spacing w:line="360" w:lineRule="auto"/>
        <w:jc w:val="left"/>
        <w:rPr>
          <w:rFonts w:hint="eastAsia" w:asciiTheme="majorEastAsia" w:hAnsiTheme="majorEastAsia" w:eastAsiaTheme="majorEastAsia" w:cstheme="majorEastAsia"/>
          <w:b/>
          <w:sz w:val="32"/>
          <w:u w:val="single"/>
        </w:rPr>
      </w:pPr>
      <w:r>
        <w:rPr>
          <w:rFonts w:hint="eastAsia" w:asciiTheme="majorEastAsia" w:hAnsiTheme="majorEastAsia" w:eastAsiaTheme="majorEastAsia" w:cstheme="majorEastAsia"/>
          <w:b/>
          <w:sz w:val="32"/>
        </w:rPr>
        <w:t>包        号：</w:t>
      </w:r>
    </w:p>
    <w:p>
      <w:pPr>
        <w:spacing w:line="360" w:lineRule="auto"/>
        <w:ind w:firstLine="790" w:firstLineChars="246"/>
        <w:jc w:val="center"/>
        <w:rPr>
          <w:rFonts w:hint="eastAsia" w:asciiTheme="majorEastAsia" w:hAnsiTheme="majorEastAsia" w:eastAsiaTheme="majorEastAsia" w:cstheme="majorEastAsia"/>
          <w:b/>
          <w:sz w:val="32"/>
        </w:rPr>
      </w:pPr>
    </w:p>
    <w:p>
      <w:pPr>
        <w:spacing w:line="360" w:lineRule="auto"/>
        <w:ind w:firstLine="790" w:firstLineChars="246"/>
        <w:jc w:val="center"/>
        <w:rPr>
          <w:rFonts w:hint="eastAsia" w:asciiTheme="majorEastAsia" w:hAnsiTheme="majorEastAsia" w:eastAsiaTheme="majorEastAsia" w:cstheme="majorEastAsia"/>
          <w:b/>
          <w:sz w:val="32"/>
        </w:rPr>
      </w:pPr>
      <w:r>
        <w:rPr>
          <w:rFonts w:hint="eastAsia" w:asciiTheme="majorEastAsia" w:hAnsiTheme="majorEastAsia" w:eastAsiaTheme="majorEastAsia" w:cstheme="majorEastAsia"/>
          <w:b/>
          <w:sz w:val="32"/>
        </w:rPr>
        <w:t>投标时间： 年 月 日</w:t>
      </w:r>
    </w:p>
    <w:p>
      <w:pPr>
        <w:spacing w:line="24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rPr>
        <w:br w:type="page"/>
      </w:r>
      <w:r>
        <w:rPr>
          <w:rFonts w:hint="eastAsia" w:asciiTheme="majorEastAsia" w:hAnsiTheme="majorEastAsia" w:eastAsiaTheme="majorEastAsia" w:cstheme="majorEastAsia"/>
          <w:b/>
          <w:sz w:val="32"/>
          <w:szCs w:val="32"/>
        </w:rPr>
        <w:t>格式1-2</w:t>
      </w:r>
    </w:p>
    <w:p>
      <w:pPr>
        <w:spacing w:line="240" w:lineRule="auto"/>
        <w:ind w:firstLine="790" w:firstLineChars="246"/>
        <w:jc w:val="center"/>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一、法定代表人/单位负责人授权书</w:t>
      </w:r>
    </w:p>
    <w:p>
      <w:pPr>
        <w:widowControl/>
        <w:spacing w:line="240" w:lineRule="auto"/>
        <w:ind w:firstLine="472" w:firstLineChars="196"/>
        <w:jc w:val="left"/>
        <w:outlineLvl w:val="1"/>
        <w:rPr>
          <w:rFonts w:hint="eastAsia" w:asciiTheme="majorEastAsia" w:hAnsiTheme="majorEastAsia" w:eastAsiaTheme="majorEastAsia" w:cstheme="majorEastAsia"/>
          <w:b/>
          <w:sz w:val="24"/>
        </w:rPr>
      </w:pPr>
    </w:p>
    <w:p>
      <w:pPr>
        <w:widowControl/>
        <w:spacing w:line="240" w:lineRule="auto"/>
        <w:ind w:firstLine="472" w:firstLineChars="196"/>
        <w:jc w:val="left"/>
        <w:outlineLvl w:val="1"/>
        <w:rPr>
          <w:rFonts w:hint="eastAsia" w:asciiTheme="majorEastAsia" w:hAnsiTheme="majorEastAsia" w:eastAsiaTheme="majorEastAsia" w:cstheme="majorEastAsia"/>
          <w:b/>
          <w:sz w:val="24"/>
        </w:rPr>
      </w:pPr>
    </w:p>
    <w:p>
      <w:pPr>
        <w:widowControl/>
        <w:spacing w:line="240" w:lineRule="auto"/>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XXXXXXXX（采购代理机构名称）：</w:t>
      </w:r>
    </w:p>
    <w:p>
      <w:pPr>
        <w:widowControl/>
        <w:spacing w:line="24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本授权声明：XXXX XXXX（投标人名称）XXXX（法定代表人/单位负责人姓名、职务）授权XXXX（被授权人姓名、职务）为我方 “XXXXXXXX” 项目（招标编号：XXXX）投标活动的合法代表，以我方名义全权处理该项目有关投标、签订合同以及执行合同等一切事宜。</w:t>
      </w:r>
    </w:p>
    <w:p>
      <w:pPr>
        <w:widowControl/>
        <w:spacing w:line="24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特此声明。</w:t>
      </w:r>
    </w:p>
    <w:p>
      <w:pPr>
        <w:widowControl/>
        <w:spacing w:line="240" w:lineRule="auto"/>
        <w:ind w:firstLine="470" w:firstLineChars="196"/>
        <w:jc w:val="left"/>
        <w:outlineLvl w:val="1"/>
        <w:rPr>
          <w:rFonts w:hint="eastAsia" w:asciiTheme="majorEastAsia" w:hAnsiTheme="majorEastAsia" w:eastAsiaTheme="majorEastAsia" w:cstheme="majorEastAsia"/>
          <w:sz w:val="24"/>
        </w:rPr>
      </w:pPr>
    </w:p>
    <w:p>
      <w:pPr>
        <w:widowControl/>
        <w:spacing w:line="24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法定代表人/单位负责人（委托人）签字或者加盖个人名章：XXXX。</w:t>
      </w:r>
    </w:p>
    <w:p>
      <w:pPr>
        <w:widowControl/>
        <w:spacing w:line="240" w:lineRule="auto"/>
        <w:ind w:firstLine="470" w:firstLineChars="196"/>
        <w:jc w:val="left"/>
        <w:outlineLvl w:val="1"/>
        <w:rPr>
          <w:rFonts w:hint="eastAsia" w:asciiTheme="majorEastAsia" w:hAnsiTheme="majorEastAsia" w:eastAsiaTheme="majorEastAsia" w:cstheme="majorEastAsia"/>
          <w:sz w:val="24"/>
        </w:rPr>
      </w:pPr>
    </w:p>
    <w:p>
      <w:pPr>
        <w:widowControl/>
        <w:spacing w:line="24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授权代表（被授权人）签字：XXXX。</w:t>
      </w:r>
    </w:p>
    <w:p>
      <w:pPr>
        <w:widowControl/>
        <w:spacing w:line="240" w:lineRule="auto"/>
        <w:ind w:firstLine="470" w:firstLineChars="196"/>
        <w:jc w:val="left"/>
        <w:outlineLvl w:val="1"/>
        <w:rPr>
          <w:rFonts w:hint="eastAsia" w:asciiTheme="majorEastAsia" w:hAnsiTheme="majorEastAsia" w:eastAsiaTheme="majorEastAsia" w:cstheme="majorEastAsia"/>
          <w:sz w:val="24"/>
        </w:rPr>
      </w:pPr>
    </w:p>
    <w:p>
      <w:pPr>
        <w:widowControl/>
        <w:spacing w:line="24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投标人名称：XXXX（单位盖章）。</w:t>
      </w:r>
    </w:p>
    <w:p>
      <w:pPr>
        <w:widowControl/>
        <w:spacing w:line="24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日    期：XXXX。</w:t>
      </w:r>
    </w:p>
    <w:p>
      <w:pPr>
        <w:widowControl/>
        <w:spacing w:line="240" w:lineRule="auto"/>
        <w:jc w:val="left"/>
        <w:outlineLvl w:val="1"/>
        <w:rPr>
          <w:rFonts w:hint="eastAsia" w:asciiTheme="majorEastAsia" w:hAnsiTheme="majorEastAsia" w:eastAsiaTheme="majorEastAsia" w:cstheme="majorEastAsia"/>
          <w:b/>
          <w:sz w:val="24"/>
        </w:rPr>
      </w:pPr>
      <w:bookmarkStart w:id="152" w:name="_Toc217446084"/>
    </w:p>
    <w:p>
      <w:pPr>
        <w:widowControl/>
        <w:spacing w:line="240" w:lineRule="auto"/>
        <w:jc w:val="left"/>
        <w:outlineLvl w:val="1"/>
        <w:rPr>
          <w:rFonts w:hint="eastAsia" w:asciiTheme="majorEastAsia" w:hAnsiTheme="majorEastAsia" w:eastAsiaTheme="majorEastAsia" w:cstheme="majorEastAsia"/>
          <w:b/>
          <w:sz w:val="24"/>
        </w:rPr>
      </w:pPr>
    </w:p>
    <w:p>
      <w:pPr>
        <w:widowControl/>
        <w:spacing w:line="240" w:lineRule="auto"/>
        <w:jc w:val="left"/>
        <w:outlineLvl w:val="1"/>
        <w:rPr>
          <w:rFonts w:hint="eastAsia" w:asciiTheme="majorEastAsia" w:hAnsiTheme="majorEastAsia" w:eastAsiaTheme="majorEastAsia" w:cstheme="majorEastAsia"/>
          <w:b/>
          <w:sz w:val="24"/>
        </w:rPr>
      </w:pPr>
    </w:p>
    <w:p>
      <w:pPr>
        <w:widowControl/>
        <w:spacing w:line="240" w:lineRule="auto"/>
        <w:jc w:val="left"/>
        <w:outlineLvl w:val="1"/>
        <w:rPr>
          <w:rFonts w:hint="eastAsia" w:asciiTheme="majorEastAsia" w:hAnsiTheme="majorEastAsia" w:eastAsiaTheme="majorEastAsia" w:cstheme="majorEastAsia"/>
          <w:b/>
          <w:sz w:val="24"/>
        </w:rPr>
      </w:pPr>
    </w:p>
    <w:p>
      <w:pPr>
        <w:spacing w:line="240" w:lineRule="auto"/>
        <w:ind w:left="840" w:hanging="840" w:hangingChars="350"/>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w:t>
      </w:r>
    </w:p>
    <w:p>
      <w:pPr>
        <w:spacing w:line="240" w:lineRule="auto"/>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1、供应商为法人单位时提供“法定代表人授权书”，供应商为其他组织时提供“单位负责人授权书”，供应商为自然人时提供“自然人身份证明材料”。</w:t>
      </w:r>
    </w:p>
    <w:p>
      <w:pPr>
        <w:spacing w:line="240" w:lineRule="auto"/>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2、应附法定代表人/单位负责人身份证明材料复印件和授权代表身份证明材料复印件。</w:t>
      </w:r>
    </w:p>
    <w:p>
      <w:pPr>
        <w:spacing w:line="240" w:lineRule="auto"/>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3、身份证明材料包括居民身份证或户口本或军官证或护照等。</w:t>
      </w:r>
    </w:p>
    <w:p>
      <w:pPr>
        <w:spacing w:line="240" w:lineRule="auto"/>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4、身份证明材料应同时提供其在有效期的材料，如居民身份证正、反面复印件。</w:t>
      </w:r>
    </w:p>
    <w:p>
      <w:pPr>
        <w:widowControl/>
        <w:spacing w:line="360" w:lineRule="atLeast"/>
        <w:jc w:val="left"/>
        <w:outlineLvl w:val="1"/>
        <w:rPr>
          <w:rFonts w:hint="eastAsia" w:asciiTheme="majorEastAsia" w:hAnsiTheme="majorEastAsia" w:eastAsiaTheme="majorEastAsia" w:cstheme="majorEastAsia"/>
          <w:b/>
          <w:sz w:val="24"/>
        </w:rPr>
      </w:pPr>
    </w:p>
    <w:bookmarkEnd w:id="152"/>
    <w:p>
      <w:pPr>
        <w:spacing w:line="360" w:lineRule="auto"/>
        <w:ind w:firstLine="790" w:firstLineChars="246"/>
        <w:jc w:val="center"/>
        <w:rPr>
          <w:rFonts w:hint="eastAsia" w:asciiTheme="majorEastAsia" w:hAnsiTheme="majorEastAsia" w:eastAsiaTheme="majorEastAsia" w:cstheme="majorEastAsia"/>
          <w:b/>
          <w:sz w:val="32"/>
        </w:rPr>
      </w:pPr>
    </w:p>
    <w:p>
      <w:pPr>
        <w:spacing w:line="36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br w:type="page"/>
      </w:r>
      <w:r>
        <w:rPr>
          <w:rFonts w:hint="eastAsia" w:asciiTheme="majorEastAsia" w:hAnsiTheme="majorEastAsia" w:eastAsiaTheme="majorEastAsia" w:cstheme="majorEastAsia"/>
          <w:b/>
          <w:sz w:val="32"/>
          <w:szCs w:val="32"/>
        </w:rPr>
        <w:t>格式1-3</w:t>
      </w:r>
    </w:p>
    <w:p>
      <w:pPr>
        <w:widowControl/>
        <w:spacing w:line="360" w:lineRule="atLeast"/>
        <w:jc w:val="center"/>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二、承诺函</w:t>
      </w:r>
    </w:p>
    <w:p>
      <w:pPr>
        <w:widowControl/>
        <w:spacing w:line="360" w:lineRule="atLeast"/>
        <w:jc w:val="center"/>
        <w:outlineLvl w:val="1"/>
        <w:rPr>
          <w:rFonts w:hint="eastAsia" w:asciiTheme="majorEastAsia" w:hAnsiTheme="majorEastAsia" w:eastAsiaTheme="majorEastAsia" w:cstheme="majorEastAsia"/>
          <w:b/>
          <w:sz w:val="24"/>
        </w:rPr>
      </w:pPr>
    </w:p>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XXXX（采购代理机构名称）：</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我单位作为本次采购项目的投标人，根据招标文件要求，现郑重承诺如下：</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一、具备《中华人民共和国政府采购法》第二十二条第一款和本项目规定的条件：</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（一）具有独立承担民事责任的能力；</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（二）具有良好的商业信誉和健全的财务会计制度；</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（三）具有履行合同所必需的设备和专业技术能力；</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（四）有依法缴纳税收和社会保障资金的良好记录；</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（五）参加政府采购活动前三年内，在经营活动中没有重大违法记录；</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（六）法律、行政法规规定的其他条件；</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（七）根据采购项目提出的特殊条件。</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二、截至投标截止日未被列入失信被执行人、重大税收违法案件当事人名单、政府采购严重违法失信行为记录名单。</w:t>
      </w:r>
    </w:p>
    <w:p>
      <w:pPr>
        <w:widowControl/>
        <w:spacing w:line="360" w:lineRule="atLeast"/>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本单位对上述承诺的内容事项真实性负责。如经查实上述承诺的内容事项存在虚假，我单位愿意接受以提供虚假材料谋取中标追究法律责任。</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投标人名称：XXXX（单位公章）。</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法定代表人/单位负责人或授权代表（签字或加盖个人名章）：XXXX。</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日    期：XXXX。</w:t>
      </w:r>
    </w:p>
    <w:p>
      <w:pPr>
        <w:spacing w:line="36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sz w:val="24"/>
        </w:rPr>
        <w:br w:type="page"/>
      </w:r>
      <w:r>
        <w:rPr>
          <w:rFonts w:hint="eastAsia" w:asciiTheme="majorEastAsia" w:hAnsiTheme="majorEastAsia" w:eastAsiaTheme="majorEastAsia" w:cstheme="majorEastAsia"/>
          <w:b/>
          <w:sz w:val="32"/>
          <w:szCs w:val="32"/>
        </w:rPr>
        <w:t>格式1-4</w:t>
      </w:r>
    </w:p>
    <w:p>
      <w:pPr>
        <w:spacing w:line="360" w:lineRule="auto"/>
        <w:ind w:firstLine="790" w:firstLineChars="246"/>
        <w:jc w:val="center"/>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投标人和投标产品其他资格、资质性及其他类似效力要求的相关证明材料</w:t>
      </w:r>
    </w:p>
    <w:p>
      <w:pPr>
        <w:spacing w:line="360" w:lineRule="auto"/>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注：投标人应按招标文件第五章相关要求提供佐证材料，有格式要求的从其要求，无格式要求的格式自拟。</w:t>
      </w:r>
    </w:p>
    <w:p>
      <w:pPr>
        <w:widowControl/>
        <w:spacing w:after="0" w:line="240" w:lineRule="auto"/>
        <w:jc w:val="left"/>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br w:type="page"/>
      </w:r>
    </w:p>
    <w:p>
      <w:pPr>
        <w:spacing w:line="36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格式1-5</w:t>
      </w:r>
    </w:p>
    <w:p>
      <w:pPr>
        <w:widowControl/>
        <w:spacing w:line="360" w:lineRule="atLeast"/>
        <w:jc w:val="center"/>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承诺函(如涉及)</w:t>
      </w:r>
    </w:p>
    <w:p>
      <w:pPr>
        <w:widowControl/>
        <w:spacing w:line="360" w:lineRule="atLeast"/>
        <w:jc w:val="center"/>
        <w:outlineLvl w:val="1"/>
        <w:rPr>
          <w:rFonts w:hint="eastAsia" w:asciiTheme="majorEastAsia" w:hAnsiTheme="majorEastAsia" w:eastAsiaTheme="majorEastAsia" w:cstheme="majorEastAsia"/>
          <w:b/>
          <w:sz w:val="24"/>
        </w:rPr>
      </w:pPr>
    </w:p>
    <w:p>
      <w:pPr>
        <w:spacing w:line="360" w:lineRule="auto"/>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XXXX（采购代理机构名称）：</w:t>
      </w:r>
    </w:p>
    <w:p>
      <w:pPr>
        <w:spacing w:line="360" w:lineRule="auto"/>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我单位作为本次采购项目的投标人，现郑重承诺如下：</w:t>
      </w:r>
    </w:p>
    <w:p>
      <w:pPr>
        <w:spacing w:line="360" w:lineRule="auto"/>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根据本项目招标文件第四章资格证明要求中第</w:t>
      </w:r>
      <w:r>
        <w:rPr>
          <w:rFonts w:hint="eastAsia" w:asciiTheme="majorEastAsia" w:hAnsiTheme="majorEastAsia" w:eastAsiaTheme="majorEastAsia" w:cstheme="majorEastAsia"/>
          <w:bCs/>
          <w:sz w:val="24"/>
          <w:u w:val="single"/>
        </w:rPr>
        <w:t xml:space="preserve">  </w:t>
      </w:r>
      <w:r>
        <w:rPr>
          <w:rFonts w:hint="eastAsia" w:asciiTheme="majorEastAsia" w:hAnsiTheme="majorEastAsia" w:eastAsiaTheme="majorEastAsia" w:cstheme="majorEastAsia"/>
          <w:bCs/>
          <w:sz w:val="24"/>
        </w:rPr>
        <w:t>项，我单位应具备</w:t>
      </w:r>
      <w:r>
        <w:rPr>
          <w:rFonts w:hint="eastAsia" w:asciiTheme="majorEastAsia" w:hAnsiTheme="majorEastAsia" w:eastAsiaTheme="majorEastAsia" w:cstheme="majorEastAsia"/>
          <w:bCs/>
          <w:sz w:val="24"/>
          <w:u w:val="single"/>
        </w:rPr>
        <w:t xml:space="preserve">        </w:t>
      </w:r>
      <w:r>
        <w:rPr>
          <w:rFonts w:hint="eastAsia" w:asciiTheme="majorEastAsia" w:hAnsiTheme="majorEastAsia" w:eastAsiaTheme="majorEastAsia" w:cstheme="majorEastAsia"/>
          <w:bCs/>
          <w:sz w:val="24"/>
        </w:rPr>
        <w:t>（备案、登记、其他证照）。但因我单位所在地已对上述备案、登记、其他证照实行“多证合一”，故在此次采购活动中提供满足资格要求：</w:t>
      </w:r>
      <w:r>
        <w:rPr>
          <w:rFonts w:hint="eastAsia" w:asciiTheme="majorEastAsia" w:hAnsiTheme="majorEastAsia" w:eastAsiaTheme="majorEastAsia" w:cstheme="majorEastAsia"/>
          <w:bCs/>
          <w:sz w:val="24"/>
          <w:u w:val="single"/>
        </w:rPr>
        <w:t xml:space="preserve">       </w:t>
      </w:r>
      <w:r>
        <w:rPr>
          <w:rFonts w:hint="eastAsia" w:asciiTheme="majorEastAsia" w:hAnsiTheme="majorEastAsia" w:eastAsiaTheme="majorEastAsia" w:cstheme="majorEastAsia"/>
          <w:bCs/>
          <w:sz w:val="24"/>
        </w:rPr>
        <w:t>（营业执照中对该备案、登记、其他证照的描述）的“多证合一”营业执照。</w:t>
      </w:r>
    </w:p>
    <w:p>
      <w:pPr>
        <w:spacing w:line="360" w:lineRule="auto"/>
        <w:rPr>
          <w:rFonts w:hint="eastAsia" w:asciiTheme="majorEastAsia" w:hAnsiTheme="majorEastAsia" w:eastAsiaTheme="majorEastAsia" w:cstheme="majorEastAsia"/>
          <w:bCs/>
          <w:sz w:val="24"/>
        </w:rPr>
      </w:pPr>
    </w:p>
    <w:p>
      <w:pPr>
        <w:spacing w:line="360" w:lineRule="auto"/>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我单位对上述承诺的内容事项真实性负责。如经查实上述承诺内容存在虚假，我单位愿意接受以提供虚假材料谋取成交追究法律责任。</w:t>
      </w:r>
    </w:p>
    <w:p>
      <w:pPr>
        <w:spacing w:line="360" w:lineRule="auto"/>
        <w:rPr>
          <w:rFonts w:hint="eastAsia" w:asciiTheme="majorEastAsia" w:hAnsiTheme="majorEastAsia" w:eastAsiaTheme="majorEastAsia" w:cstheme="majorEastAsia"/>
          <w:bCs/>
          <w:sz w:val="24"/>
        </w:rPr>
      </w:pPr>
    </w:p>
    <w:p>
      <w:pPr>
        <w:spacing w:line="360" w:lineRule="auto"/>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投标人名称：XXXX（单位公章）。</w:t>
      </w:r>
    </w:p>
    <w:p>
      <w:pPr>
        <w:spacing w:line="360" w:lineRule="auto"/>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法定代表人/单位负责人或授权代表（签字或加盖个人印章）：XXXX。</w:t>
      </w:r>
    </w:p>
    <w:p>
      <w:pPr>
        <w:spacing w:line="360" w:lineRule="auto"/>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日    期：XXXX。</w:t>
      </w:r>
    </w:p>
    <w:p>
      <w:pPr>
        <w:spacing w:line="360" w:lineRule="auto"/>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注：1.根据国务院办公厅关于加快推进“多证合一”改革的指导意见（国办发【2017】41号）等政策要求，</w:t>
      </w:r>
      <w:r>
        <w:rPr>
          <w:rFonts w:hint="eastAsia" w:asciiTheme="majorEastAsia" w:hAnsiTheme="majorEastAsia" w:eastAsiaTheme="majorEastAsia" w:cstheme="majorEastAsia"/>
          <w:b/>
          <w:bCs/>
          <w:sz w:val="24"/>
        </w:rPr>
        <w:t>若资格要求涉及的登记、备案等有关事项和各类证照已实行多证合一导致供应商无法提供该类证明材料的</w:t>
      </w:r>
      <w:r>
        <w:rPr>
          <w:rFonts w:hint="eastAsia" w:asciiTheme="majorEastAsia" w:hAnsiTheme="majorEastAsia" w:eastAsiaTheme="majorEastAsia" w:cstheme="majorEastAsia"/>
          <w:bCs/>
          <w:sz w:val="24"/>
        </w:rPr>
        <w:t>，供应商须提供该承诺。</w:t>
      </w:r>
    </w:p>
    <w:p>
      <w:pPr>
        <w:spacing w:line="360" w:lineRule="auto"/>
        <w:ind w:firstLine="360" w:firstLineChars="150"/>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2.若已提供资格要求涉及的登记、备案等有关事项和各类证照的证明材料，无需提供该承诺。</w:t>
      </w:r>
    </w:p>
    <w:p>
      <w:pPr>
        <w:spacing w:line="360" w:lineRule="auto"/>
        <w:ind w:firstLine="360" w:firstLineChars="150"/>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3.若本项目资格要求不涉及，无需提供该承诺。</w:t>
      </w:r>
    </w:p>
    <w:p>
      <w:pPr>
        <w:spacing w:line="360" w:lineRule="auto"/>
        <w:rPr>
          <w:rFonts w:hint="eastAsia" w:asciiTheme="majorEastAsia" w:hAnsiTheme="majorEastAsia" w:eastAsiaTheme="majorEastAsia" w:cstheme="majorEastAsia"/>
          <w:bCs/>
          <w:sz w:val="24"/>
        </w:rPr>
      </w:pPr>
    </w:p>
    <w:p>
      <w:pPr>
        <w:spacing w:line="360" w:lineRule="auto"/>
        <w:rPr>
          <w:rFonts w:hint="eastAsia" w:asciiTheme="majorEastAsia" w:hAnsiTheme="majorEastAsia" w:eastAsiaTheme="majorEastAsia" w:cstheme="majorEastAsia"/>
          <w:bCs/>
          <w:sz w:val="24"/>
        </w:rPr>
      </w:pPr>
    </w:p>
    <w:p>
      <w:pPr>
        <w:spacing w:line="360" w:lineRule="auto"/>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
          <w:sz w:val="32"/>
        </w:rPr>
        <w:t>第二部分     “其他响应性投标文件”格式</w:t>
      </w:r>
    </w:p>
    <w:p>
      <w:pPr>
        <w:spacing w:line="36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格式2-1</w:t>
      </w:r>
    </w:p>
    <w:p>
      <w:pPr>
        <w:spacing w:line="36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封面：</w:t>
      </w:r>
    </w:p>
    <w:p>
      <w:pPr>
        <w:spacing w:line="360" w:lineRule="auto"/>
        <w:jc w:val="right"/>
        <w:rPr>
          <w:rFonts w:hint="eastAsia" w:asciiTheme="majorEastAsia" w:hAnsiTheme="majorEastAsia" w:eastAsiaTheme="majorEastAsia" w:cstheme="majorEastAsia"/>
          <w:b/>
          <w:sz w:val="36"/>
        </w:rPr>
      </w:pPr>
      <w:r>
        <w:rPr>
          <w:rFonts w:hint="eastAsia" w:asciiTheme="majorEastAsia" w:hAnsiTheme="majorEastAsia" w:eastAsiaTheme="majorEastAsia" w:cstheme="majorEastAsia"/>
          <w:b/>
          <w:sz w:val="36"/>
        </w:rPr>
        <w:t>（正本/副本）</w:t>
      </w:r>
    </w:p>
    <w:p>
      <w:pPr>
        <w:spacing w:line="360" w:lineRule="auto"/>
        <w:rPr>
          <w:rFonts w:hint="eastAsia" w:asciiTheme="majorEastAsia" w:hAnsiTheme="majorEastAsia" w:eastAsiaTheme="majorEastAsia" w:cstheme="majorEastAsia"/>
          <w:b/>
          <w:sz w:val="32"/>
          <w:szCs w:val="32"/>
        </w:rPr>
      </w:pPr>
    </w:p>
    <w:p>
      <w:pPr>
        <w:spacing w:line="360" w:lineRule="auto"/>
        <w:rPr>
          <w:rFonts w:hint="eastAsia" w:asciiTheme="majorEastAsia" w:hAnsiTheme="majorEastAsia" w:eastAsiaTheme="majorEastAsia" w:cstheme="majorEastAsia"/>
          <w:b/>
          <w:sz w:val="32"/>
          <w:szCs w:val="32"/>
        </w:rPr>
      </w:pPr>
    </w:p>
    <w:p>
      <w:pPr>
        <w:spacing w:line="360" w:lineRule="auto"/>
        <w:jc w:val="center"/>
        <w:rPr>
          <w:rFonts w:hint="eastAsia" w:asciiTheme="majorEastAsia" w:hAnsiTheme="majorEastAsia" w:eastAsiaTheme="majorEastAsia" w:cstheme="majorEastAsia"/>
          <w:b/>
          <w:sz w:val="72"/>
        </w:rPr>
      </w:pPr>
      <w:r>
        <w:rPr>
          <w:rFonts w:hint="eastAsia" w:asciiTheme="majorEastAsia" w:hAnsiTheme="majorEastAsia" w:eastAsiaTheme="majorEastAsia" w:cstheme="majorEastAsia"/>
          <w:b/>
          <w:sz w:val="40"/>
          <w:szCs w:val="48"/>
        </w:rPr>
        <w:t>项目</w:t>
      </w:r>
    </w:p>
    <w:p>
      <w:pPr>
        <w:spacing w:line="360" w:lineRule="auto"/>
        <w:rPr>
          <w:rFonts w:hint="eastAsia" w:asciiTheme="majorEastAsia" w:hAnsiTheme="majorEastAsia" w:eastAsiaTheme="majorEastAsia" w:cstheme="majorEastAsia"/>
          <w:b/>
          <w:sz w:val="52"/>
          <w:szCs w:val="52"/>
        </w:rPr>
      </w:pPr>
    </w:p>
    <w:p>
      <w:pPr>
        <w:spacing w:line="360" w:lineRule="auto"/>
        <w:jc w:val="center"/>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52"/>
          <w:szCs w:val="52"/>
        </w:rPr>
        <w:t>其他响应性投标文件</w:t>
      </w:r>
    </w:p>
    <w:p>
      <w:pPr>
        <w:spacing w:line="360" w:lineRule="auto"/>
        <w:rPr>
          <w:rFonts w:hint="eastAsia" w:asciiTheme="majorEastAsia" w:hAnsiTheme="majorEastAsia" w:eastAsiaTheme="majorEastAsia" w:cstheme="majorEastAsia"/>
          <w:b/>
          <w:sz w:val="36"/>
        </w:rPr>
      </w:pPr>
    </w:p>
    <w:p>
      <w:pPr>
        <w:spacing w:line="360" w:lineRule="auto"/>
        <w:jc w:val="left"/>
        <w:rPr>
          <w:rFonts w:hint="eastAsia" w:asciiTheme="majorEastAsia" w:hAnsiTheme="majorEastAsia" w:eastAsiaTheme="majorEastAsia" w:cstheme="majorEastAsia"/>
          <w:b/>
          <w:sz w:val="32"/>
          <w:u w:val="single"/>
        </w:rPr>
      </w:pPr>
      <w:r>
        <w:rPr>
          <w:rFonts w:hint="eastAsia" w:asciiTheme="majorEastAsia" w:hAnsiTheme="majorEastAsia" w:eastAsiaTheme="majorEastAsia" w:cstheme="majorEastAsia"/>
          <w:b/>
          <w:sz w:val="32"/>
        </w:rPr>
        <w:t>投 标 人名称：</w:t>
      </w:r>
    </w:p>
    <w:p>
      <w:pPr>
        <w:spacing w:line="360" w:lineRule="auto"/>
        <w:jc w:val="left"/>
        <w:rPr>
          <w:rFonts w:hint="eastAsia" w:asciiTheme="majorEastAsia" w:hAnsiTheme="majorEastAsia" w:eastAsiaTheme="majorEastAsia" w:cstheme="majorEastAsia"/>
          <w:b/>
          <w:sz w:val="32"/>
          <w:u w:val="single"/>
        </w:rPr>
      </w:pPr>
      <w:r>
        <w:rPr>
          <w:rFonts w:hint="eastAsia" w:asciiTheme="majorEastAsia" w:hAnsiTheme="majorEastAsia" w:eastAsiaTheme="majorEastAsia" w:cstheme="majorEastAsia"/>
          <w:b/>
          <w:sz w:val="32"/>
        </w:rPr>
        <w:t>采购项目编号：</w:t>
      </w:r>
    </w:p>
    <w:p>
      <w:pPr>
        <w:spacing w:line="360" w:lineRule="auto"/>
        <w:jc w:val="left"/>
        <w:rPr>
          <w:rFonts w:hint="eastAsia" w:asciiTheme="majorEastAsia" w:hAnsiTheme="majorEastAsia" w:eastAsiaTheme="majorEastAsia" w:cstheme="majorEastAsia"/>
          <w:b/>
          <w:sz w:val="32"/>
          <w:u w:val="single"/>
        </w:rPr>
      </w:pPr>
      <w:r>
        <w:rPr>
          <w:rFonts w:hint="eastAsia" w:asciiTheme="majorEastAsia" w:hAnsiTheme="majorEastAsia" w:eastAsiaTheme="majorEastAsia" w:cstheme="majorEastAsia"/>
          <w:b/>
          <w:sz w:val="32"/>
        </w:rPr>
        <w:t>包        号：</w:t>
      </w:r>
    </w:p>
    <w:p>
      <w:pPr>
        <w:spacing w:line="360" w:lineRule="auto"/>
        <w:ind w:firstLine="790" w:firstLineChars="246"/>
        <w:jc w:val="center"/>
        <w:rPr>
          <w:rFonts w:hint="eastAsia" w:asciiTheme="majorEastAsia" w:hAnsiTheme="majorEastAsia" w:eastAsiaTheme="majorEastAsia" w:cstheme="majorEastAsia"/>
          <w:b/>
          <w:sz w:val="32"/>
        </w:rPr>
      </w:pPr>
    </w:p>
    <w:p>
      <w:pPr>
        <w:spacing w:line="360" w:lineRule="auto"/>
        <w:ind w:firstLine="790" w:firstLineChars="246"/>
        <w:jc w:val="center"/>
        <w:rPr>
          <w:rFonts w:hint="eastAsia" w:asciiTheme="majorEastAsia" w:hAnsiTheme="majorEastAsia" w:eastAsiaTheme="majorEastAsia" w:cstheme="majorEastAsia"/>
          <w:b/>
          <w:sz w:val="32"/>
        </w:rPr>
      </w:pPr>
      <w:r>
        <w:rPr>
          <w:rFonts w:hint="eastAsia" w:asciiTheme="majorEastAsia" w:hAnsiTheme="majorEastAsia" w:eastAsiaTheme="majorEastAsia" w:cstheme="majorEastAsia"/>
          <w:b/>
          <w:sz w:val="32"/>
        </w:rPr>
        <w:t>投标时间： 年 月 日</w:t>
      </w:r>
    </w:p>
    <w:p>
      <w:pPr>
        <w:spacing w:line="360" w:lineRule="auto"/>
        <w:ind w:firstLine="790" w:firstLineChars="246"/>
        <w:jc w:val="center"/>
        <w:rPr>
          <w:rFonts w:hint="eastAsia" w:asciiTheme="majorEastAsia" w:hAnsiTheme="majorEastAsia" w:eastAsiaTheme="majorEastAsia" w:cstheme="majorEastAsia"/>
          <w:b/>
          <w:sz w:val="32"/>
        </w:rPr>
      </w:pPr>
    </w:p>
    <w:p>
      <w:pPr>
        <w:spacing w:line="360" w:lineRule="auto"/>
        <w:ind w:firstLine="0" w:firstLineChars="0"/>
        <w:jc w:val="both"/>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格式2-2</w:t>
      </w:r>
    </w:p>
    <w:p>
      <w:pPr>
        <w:widowControl/>
        <w:spacing w:line="360" w:lineRule="atLeast"/>
        <w:jc w:val="center"/>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投 标 函</w:t>
      </w:r>
      <w:bookmarkEnd w:id="149"/>
      <w:bookmarkEnd w:id="150"/>
    </w:p>
    <w:p>
      <w:pPr>
        <w:widowControl/>
        <w:spacing w:line="360" w:lineRule="atLeast"/>
        <w:jc w:val="center"/>
        <w:outlineLvl w:val="1"/>
        <w:rPr>
          <w:rFonts w:hint="eastAsia" w:asciiTheme="majorEastAsia" w:hAnsiTheme="majorEastAsia" w:eastAsiaTheme="majorEastAsia" w:cstheme="majorEastAsia"/>
          <w:b/>
          <w:sz w:val="24"/>
        </w:rPr>
      </w:pPr>
    </w:p>
    <w:p>
      <w:pPr>
        <w:widowControl/>
        <w:spacing w:line="360" w:lineRule="auto"/>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XXXX（采购代理机构名称）：</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我方全面研究了“</w:t>
      </w:r>
      <w:r>
        <w:rPr>
          <w:rFonts w:hint="eastAsia" w:asciiTheme="majorEastAsia" w:hAnsiTheme="majorEastAsia" w:eastAsiaTheme="majorEastAsia" w:cstheme="majorEastAsia"/>
          <w:sz w:val="24"/>
          <w:u w:val="single"/>
        </w:rPr>
        <w:t>XXXXXXXX</w:t>
      </w:r>
      <w:r>
        <w:rPr>
          <w:rFonts w:hint="eastAsia" w:asciiTheme="majorEastAsia" w:hAnsiTheme="majorEastAsia" w:eastAsiaTheme="majorEastAsia" w:cstheme="majorEastAsia"/>
          <w:sz w:val="24"/>
        </w:rPr>
        <w:t>”项目（招标编号：</w:t>
      </w:r>
      <w:r>
        <w:rPr>
          <w:rFonts w:hint="eastAsia" w:asciiTheme="majorEastAsia" w:hAnsiTheme="majorEastAsia" w:eastAsiaTheme="majorEastAsia" w:cstheme="majorEastAsia"/>
          <w:sz w:val="24"/>
          <w:u w:val="single"/>
        </w:rPr>
        <w:t>XXXX</w:t>
      </w:r>
      <w:r>
        <w:rPr>
          <w:rFonts w:hint="eastAsia" w:asciiTheme="majorEastAsia" w:hAnsiTheme="majorEastAsia" w:eastAsiaTheme="majorEastAsia" w:cstheme="majorEastAsia"/>
          <w:sz w:val="24"/>
        </w:rPr>
        <w:t>）招标文件，决定参加贵单位组织的本项目投标。我方授权</w:t>
      </w:r>
      <w:r>
        <w:rPr>
          <w:rFonts w:hint="eastAsia" w:asciiTheme="majorEastAsia" w:hAnsiTheme="majorEastAsia" w:eastAsiaTheme="majorEastAsia" w:cstheme="majorEastAsia"/>
          <w:sz w:val="24"/>
          <w:u w:val="single"/>
        </w:rPr>
        <w:t>XXXX</w:t>
      </w:r>
      <w:r>
        <w:rPr>
          <w:rFonts w:hint="eastAsia" w:asciiTheme="majorEastAsia" w:hAnsiTheme="majorEastAsia" w:eastAsiaTheme="majorEastAsia" w:cstheme="majorEastAsia"/>
          <w:sz w:val="24"/>
        </w:rPr>
        <w:t>（姓名、职务）代表我方</w:t>
      </w:r>
      <w:r>
        <w:rPr>
          <w:rFonts w:hint="eastAsia" w:asciiTheme="majorEastAsia" w:hAnsiTheme="majorEastAsia" w:eastAsiaTheme="majorEastAsia" w:cstheme="majorEastAsia"/>
          <w:sz w:val="24"/>
          <w:u w:val="single"/>
        </w:rPr>
        <w:t>XXXXXXXX</w:t>
      </w:r>
      <w:r>
        <w:rPr>
          <w:rFonts w:hint="eastAsia" w:asciiTheme="majorEastAsia" w:hAnsiTheme="majorEastAsia" w:eastAsiaTheme="majorEastAsia" w:cstheme="majorEastAsia"/>
          <w:sz w:val="24"/>
        </w:rPr>
        <w:t>（投标单位的名称）全权处理本项目投标的有关事宜。</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一、我方自愿按照招标文件规定的各项要求向采购人提供所需货物/服务。</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二、一旦我方中标，我方将严格履行政府采购合同规定的责任和义务。</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三、我方为本项目提交的投标文件正本壹份，副本</w:t>
      </w:r>
      <w:r>
        <w:rPr>
          <w:rFonts w:hint="eastAsia" w:asciiTheme="majorEastAsia" w:hAnsiTheme="majorEastAsia" w:eastAsiaTheme="majorEastAsia" w:cstheme="majorEastAsia"/>
          <w:sz w:val="24"/>
          <w:u w:val="single"/>
        </w:rPr>
        <w:t>XXXX</w:t>
      </w:r>
      <w:r>
        <w:rPr>
          <w:rFonts w:hint="eastAsia" w:asciiTheme="majorEastAsia" w:hAnsiTheme="majorEastAsia" w:eastAsiaTheme="majorEastAsia" w:cstheme="majorEastAsia"/>
          <w:sz w:val="24"/>
        </w:rPr>
        <w:t>份。</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四、我方同意本次招标的投标有效期为投标截止时间届满后</w:t>
      </w:r>
      <w:r>
        <w:rPr>
          <w:rFonts w:hint="eastAsia" w:asciiTheme="majorEastAsia" w:hAnsiTheme="majorEastAsia" w:eastAsiaTheme="majorEastAsia" w:cstheme="majorEastAsia"/>
          <w:sz w:val="24"/>
          <w:u w:val="single"/>
        </w:rPr>
        <w:t>XXXX</w:t>
      </w:r>
      <w:r>
        <w:rPr>
          <w:rFonts w:hint="eastAsia" w:asciiTheme="majorEastAsia" w:hAnsiTheme="majorEastAsia" w:eastAsiaTheme="majorEastAsia" w:cstheme="majorEastAsia"/>
          <w:sz w:val="24"/>
        </w:rPr>
        <w:t>天，并同意招标文件中其他关于投标有效期的实质性要求。</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五、我方愿意提供贵单位可能另外要求的，与投标有关的文件资料，并保证我方已提供和将要提供的文件资料是真实、准确的。</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投标人名称：XXXX（单位公章）。</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法定代表人/单位负责人或授权代表（签字或加盖个人名章）：XXXX。</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通讯地址：XXXX。</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邮政编码：XXXX。</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联系电话：XXXX。</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传    真：XXXX。</w:t>
      </w:r>
    </w:p>
    <w:p>
      <w:pPr>
        <w:widowControl/>
        <w:spacing w:line="36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日    期：XXXX年XXXX月XXXX日。</w:t>
      </w:r>
    </w:p>
    <w:p>
      <w:pPr>
        <w:spacing w:line="360" w:lineRule="exact"/>
        <w:rPr>
          <w:rFonts w:hint="eastAsia" w:asciiTheme="majorEastAsia" w:hAnsiTheme="majorEastAsia" w:eastAsiaTheme="majorEastAsia" w:cstheme="majorEastAsia"/>
          <w:b/>
          <w:sz w:val="32"/>
          <w:szCs w:val="32"/>
        </w:rPr>
      </w:pPr>
      <w:bookmarkStart w:id="153" w:name="_Toc308164824"/>
      <w:r>
        <w:rPr>
          <w:rFonts w:hint="eastAsia" w:asciiTheme="majorEastAsia" w:hAnsiTheme="majorEastAsia" w:eastAsiaTheme="majorEastAsia" w:cstheme="majorEastAsia"/>
          <w:b/>
          <w:sz w:val="32"/>
          <w:szCs w:val="32"/>
        </w:rPr>
        <w:br w:type="page"/>
      </w:r>
      <w:r>
        <w:rPr>
          <w:rFonts w:hint="eastAsia" w:asciiTheme="majorEastAsia" w:hAnsiTheme="majorEastAsia" w:eastAsiaTheme="majorEastAsia" w:cstheme="majorEastAsia"/>
          <w:b/>
          <w:sz w:val="32"/>
          <w:szCs w:val="32"/>
        </w:rPr>
        <w:t>格式2-3</w:t>
      </w:r>
    </w:p>
    <w:p>
      <w:pPr>
        <w:widowControl/>
        <w:spacing w:after="0" w:line="240" w:lineRule="auto"/>
        <w:jc w:val="center"/>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承诺函</w:t>
      </w:r>
      <w:r>
        <w:rPr>
          <w:rFonts w:hint="eastAsia" w:asciiTheme="majorEastAsia" w:hAnsiTheme="majorEastAsia" w:eastAsiaTheme="majorEastAsia" w:cstheme="majorEastAsia"/>
          <w:sz w:val="32"/>
          <w:szCs w:val="32"/>
        </w:rPr>
        <w:t>（实质性要求）</w:t>
      </w:r>
    </w:p>
    <w:p>
      <w:pPr>
        <w:widowControl/>
        <w:spacing w:after="0" w:line="240" w:lineRule="auto"/>
        <w:jc w:val="center"/>
        <w:outlineLvl w:val="1"/>
        <w:rPr>
          <w:rFonts w:hint="eastAsia" w:asciiTheme="majorEastAsia" w:hAnsiTheme="majorEastAsia" w:eastAsiaTheme="majorEastAsia" w:cstheme="majorEastAsia"/>
          <w:b/>
          <w:sz w:val="24"/>
        </w:rPr>
      </w:pPr>
    </w:p>
    <w:p>
      <w:pPr>
        <w:widowControl/>
        <w:spacing w:after="0" w:line="240" w:lineRule="auto"/>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XXXX（采购代理机构名称）：</w:t>
      </w:r>
    </w:p>
    <w:p>
      <w:pPr>
        <w:widowControl/>
        <w:spacing w:after="0" w:line="240" w:lineRule="auto"/>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我方作为本次采购项目的投标人，根据招标文件要求，现郑重承诺如下：</w:t>
      </w:r>
    </w:p>
    <w:p>
      <w:pPr>
        <w:widowControl/>
        <w:spacing w:after="0" w:line="240" w:lineRule="auto"/>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一、我方已认真阅读并接受本项目招标文件第二章的全部实质性要求，如对招标文件有异议，已依法进行维权救济，不存在对招标文件有异议的同时又参加投标以求侥幸中标或者为实现其他非法目的的行为。</w:t>
      </w:r>
    </w:p>
    <w:p>
      <w:pPr>
        <w:widowControl/>
        <w:spacing w:after="0" w:line="240" w:lineRule="auto"/>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二、参加本次招标采购活动，不存在与单位负责人为同一人或者存在直接控股、管理关系的其他供应商参与同一合同项下的政府采购活动的行为。</w:t>
      </w:r>
    </w:p>
    <w:p>
      <w:pPr>
        <w:widowControl/>
        <w:spacing w:after="0" w:line="240" w:lineRule="auto"/>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三、为采购项目提供整体设计、规范编制或者项目管理、监理、检测等服务的供应商，不得再参加该采购项目的其他采购活动，我方承诺不属于此类禁止参加本项目的供应商。</w:t>
      </w:r>
    </w:p>
    <w:p>
      <w:pPr>
        <w:widowControl/>
        <w:spacing w:after="0" w:line="240" w:lineRule="auto"/>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四、投标文件中提供的能够给予我方带来优惠、好处的任何材料资料和技术、服务、商务、响应产品等响应承诺情况都是真实的、有效的、合法的。</w:t>
      </w:r>
    </w:p>
    <w:p>
      <w:pPr>
        <w:widowControl/>
        <w:spacing w:after="0" w:line="240" w:lineRule="auto"/>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五、如本项目评标过程中需要提供样品，则我方提供的样品即为中标后将要提供的中标产品，我方对提供样品的性能和质量负责，因样品存在缺陷或者不符合招标文件要求导致未能中标的，我方愿意承担相应不利后果。</w:t>
      </w:r>
    </w:p>
    <w:p>
      <w:pPr>
        <w:widowControl/>
        <w:spacing w:after="0" w:line="240" w:lineRule="auto"/>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六、国家或行业主管部门对采购产品的技术标准、质量标准和资格资质条件等有强制性规定的，我方承诺符合其要求。</w:t>
      </w:r>
    </w:p>
    <w:p>
      <w:pPr>
        <w:widowControl/>
        <w:spacing w:after="0" w:line="240" w:lineRule="auto"/>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七、参加本次招标采购活动，我方完全同意招标文件第二章关于“投标费用”、“合同分包”、“合同转包”、 “履约保证金”的实质性要求，并承诺严格按照招标文件要求履行。</w:t>
      </w:r>
    </w:p>
    <w:p>
      <w:pPr>
        <w:widowControl/>
        <w:spacing w:after="0" w:line="240" w:lineRule="auto"/>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八、我方保证在本项目使用的任何产品和服务（包括部分使用）时，不会产生因第三方提出侵犯其专利权、商标权或其它知识产权而引起的法律和经济纠纷，如因专利权、商标权或其它知识产权而引起法律和经济纠纷，由我方承担所有相关责任。采购人享有本项目实施过程中产生的知识成果及知识产权。如我方在项目实施过程中采用自有知识成果，我方承诺提供开发接口和开发手册等技术文档，并提供无限期技术支持，采购人享有永久使用权（含采购人委托第三方在该项目后续开发的使用权）。如我方在项目实施过程中采用非自有的知识产权，则在投标报价中已包括合法获取该知识产权的相关费用。</w:t>
      </w:r>
    </w:p>
    <w:p>
      <w:pPr>
        <w:widowControl/>
        <w:spacing w:after="0" w:line="240" w:lineRule="auto"/>
        <w:ind w:firstLine="480" w:firstLineChars="200"/>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我方对上述承诺的内容事项真实性负责。如经查实上述承诺的内容事项存在虚假，我方愿意接受以提供虚假材料谋取中标追究法律责任。</w:t>
      </w:r>
    </w:p>
    <w:p>
      <w:pPr>
        <w:widowControl/>
        <w:spacing w:after="0" w:line="240" w:lineRule="auto"/>
        <w:ind w:firstLine="470" w:firstLineChars="196"/>
        <w:jc w:val="left"/>
        <w:outlineLvl w:val="1"/>
        <w:rPr>
          <w:rFonts w:hint="eastAsia" w:asciiTheme="majorEastAsia" w:hAnsiTheme="majorEastAsia" w:eastAsiaTheme="majorEastAsia" w:cstheme="majorEastAsia"/>
          <w:sz w:val="24"/>
        </w:rPr>
      </w:pPr>
    </w:p>
    <w:p>
      <w:pPr>
        <w:widowControl/>
        <w:spacing w:after="0" w:line="24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投标人名称：XXXX（单位公章）。</w:t>
      </w:r>
    </w:p>
    <w:p>
      <w:pPr>
        <w:widowControl/>
        <w:spacing w:after="0" w:line="24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法定代表人/单位负责人或授权代表（签字或加盖个人名章）：XXXX。</w:t>
      </w:r>
    </w:p>
    <w:p>
      <w:pPr>
        <w:widowControl/>
        <w:spacing w:after="0" w:line="240" w:lineRule="auto"/>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日    期：XXXX。</w:t>
      </w:r>
    </w:p>
    <w:p>
      <w:pPr>
        <w:spacing w:line="360" w:lineRule="exact"/>
        <w:rPr>
          <w:rFonts w:hint="eastAsia" w:asciiTheme="majorEastAsia" w:hAnsiTheme="majorEastAsia" w:eastAsiaTheme="majorEastAsia" w:cstheme="majorEastAsia"/>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p>
    <w:p>
      <w:pPr>
        <w:spacing w:line="36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br w:type="page"/>
      </w:r>
      <w:r>
        <w:rPr>
          <w:rFonts w:hint="eastAsia" w:asciiTheme="majorEastAsia" w:hAnsiTheme="majorEastAsia" w:eastAsiaTheme="majorEastAsia" w:cstheme="majorEastAsia"/>
          <w:b/>
          <w:sz w:val="32"/>
          <w:szCs w:val="32"/>
        </w:rPr>
        <w:t>格式2-4</w:t>
      </w:r>
    </w:p>
    <w:bookmarkEnd w:id="146"/>
    <w:bookmarkEnd w:id="153"/>
    <w:p>
      <w:pPr>
        <w:spacing w:line="400" w:lineRule="exact"/>
        <w:ind w:firstLine="643" w:firstLineChars="200"/>
        <w:jc w:val="center"/>
        <w:rPr>
          <w:rFonts w:hint="eastAsia" w:asciiTheme="majorEastAsia" w:hAnsiTheme="majorEastAsia" w:eastAsiaTheme="majorEastAsia" w:cstheme="majorEastAsia"/>
          <w:b/>
          <w:sz w:val="32"/>
          <w:szCs w:val="32"/>
        </w:rPr>
      </w:pPr>
      <w:bookmarkStart w:id="154" w:name="_Toc217446085"/>
      <w:r>
        <w:rPr>
          <w:rFonts w:hint="eastAsia" w:asciiTheme="majorEastAsia" w:hAnsiTheme="majorEastAsia" w:eastAsiaTheme="majorEastAsia" w:cstheme="majorEastAsia"/>
          <w:b/>
          <w:sz w:val="32"/>
          <w:szCs w:val="32"/>
        </w:rPr>
        <w:t>开标一览表</w:t>
      </w:r>
      <w:bookmarkEnd w:id="154"/>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第XX包</w:t>
      </w:r>
    </w:p>
    <w:tbl>
      <w:tblPr>
        <w:tblStyle w:val="25"/>
        <w:tblW w:w="52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1698"/>
        <w:gridCol w:w="1554"/>
        <w:gridCol w:w="1554"/>
        <w:gridCol w:w="1065"/>
        <w:gridCol w:w="573"/>
        <w:gridCol w:w="938"/>
        <w:gridCol w:w="938"/>
        <w:gridCol w:w="6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373" w:type="pc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序号</w:t>
            </w:r>
          </w:p>
        </w:tc>
        <w:tc>
          <w:tcPr>
            <w:tcW w:w="874" w:type="pc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货物名称</w:t>
            </w:r>
          </w:p>
        </w:tc>
        <w:tc>
          <w:tcPr>
            <w:tcW w:w="800" w:type="pct"/>
            <w:vAlign w:val="center"/>
          </w:tcPr>
          <w:p>
            <w:pPr>
              <w:widowControl/>
              <w:spacing w:line="360" w:lineRule="atLeast"/>
              <w:jc w:val="left"/>
              <w:outlineLvl w:val="1"/>
              <w:rPr>
                <w:rFonts w:hint="default" w:asciiTheme="majorEastAsia" w:hAnsiTheme="majorEastAsia" w:eastAsiaTheme="majorEastAsia" w:cstheme="majorEastAsia"/>
                <w:sz w:val="24"/>
                <w:lang w:val="en-US" w:eastAsia="zh-CN"/>
              </w:rPr>
            </w:pPr>
            <w:r>
              <w:rPr>
                <w:rFonts w:hint="eastAsia" w:asciiTheme="majorEastAsia" w:hAnsiTheme="majorEastAsia" w:eastAsiaTheme="majorEastAsia" w:cstheme="majorEastAsia"/>
                <w:sz w:val="24"/>
                <w:lang w:val="en-US" w:eastAsia="zh-CN"/>
              </w:rPr>
              <w:t>产品注册证上产品名称</w:t>
            </w:r>
          </w:p>
        </w:tc>
        <w:tc>
          <w:tcPr>
            <w:tcW w:w="800" w:type="pc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lang w:val="en-US" w:eastAsia="zh-CN"/>
              </w:rPr>
              <w:t>产品注册证上</w:t>
            </w:r>
            <w:r>
              <w:rPr>
                <w:rFonts w:hint="eastAsia" w:asciiTheme="majorEastAsia" w:hAnsiTheme="majorEastAsia" w:eastAsiaTheme="majorEastAsia" w:cstheme="majorEastAsia"/>
                <w:sz w:val="24"/>
              </w:rPr>
              <w:t>规格型号</w:t>
            </w:r>
          </w:p>
        </w:tc>
        <w:tc>
          <w:tcPr>
            <w:tcW w:w="548" w:type="pc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lang w:eastAsia="zh-CN"/>
              </w:rPr>
              <w:t>生产厂家全称</w:t>
            </w:r>
          </w:p>
        </w:tc>
        <w:tc>
          <w:tcPr>
            <w:tcW w:w="295" w:type="pc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数量</w:t>
            </w:r>
          </w:p>
        </w:tc>
        <w:tc>
          <w:tcPr>
            <w:tcW w:w="483" w:type="pc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投标单价（万元）</w:t>
            </w:r>
          </w:p>
        </w:tc>
        <w:tc>
          <w:tcPr>
            <w:tcW w:w="483" w:type="pc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投标总价（万元）</w:t>
            </w:r>
          </w:p>
        </w:tc>
        <w:tc>
          <w:tcPr>
            <w:tcW w:w="341" w:type="pct"/>
            <w:vAlign w:val="center"/>
          </w:tcPr>
          <w:p>
            <w:pPr>
              <w:widowControl/>
              <w:spacing w:line="360" w:lineRule="atLeast"/>
              <w:ind w:left="-8" w:leftChars="-4" w:firstLine="84" w:firstLineChars="35"/>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373" w:type="pct"/>
            <w:vAlign w:val="center"/>
          </w:tcPr>
          <w:p>
            <w:pPr>
              <w:widowControl/>
              <w:spacing w:line="360" w:lineRule="atLeast"/>
              <w:ind w:firstLine="0" w:firstLineChars="0"/>
              <w:jc w:val="center"/>
              <w:outlineLvl w:val="1"/>
              <w:rPr>
                <w:rFonts w:hint="eastAsia" w:asciiTheme="majorEastAsia" w:hAnsiTheme="majorEastAsia" w:eastAsiaTheme="majorEastAsia" w:cstheme="majorEastAsia"/>
                <w:sz w:val="24"/>
                <w:lang w:val="en-US" w:eastAsia="zh-CN"/>
              </w:rPr>
            </w:pPr>
            <w:r>
              <w:rPr>
                <w:rFonts w:hint="eastAsia" w:asciiTheme="majorEastAsia" w:hAnsiTheme="majorEastAsia" w:eastAsiaTheme="majorEastAsia" w:cstheme="majorEastAsia"/>
                <w:sz w:val="24"/>
                <w:lang w:val="en-US" w:eastAsia="zh-CN"/>
              </w:rPr>
              <w:t>1</w:t>
            </w:r>
          </w:p>
        </w:tc>
        <w:tc>
          <w:tcPr>
            <w:tcW w:w="874" w:type="pct"/>
            <w:vAlign w:val="center"/>
          </w:tcPr>
          <w:p>
            <w:pPr>
              <w:pStyle w:val="9"/>
              <w:jc w:val="center"/>
              <w:rPr>
                <w:rFonts w:hint="eastAsia" w:asciiTheme="majorEastAsia" w:hAnsiTheme="majorEastAsia" w:eastAsiaTheme="majorEastAsia" w:cstheme="majorEastAsia"/>
                <w:sz w:val="24"/>
              </w:rPr>
            </w:pPr>
            <w:r>
              <w:rPr>
                <w:rFonts w:hint="eastAsia" w:ascii="宋体" w:hAnsi="宋体" w:eastAsia="宋体" w:cs="宋体"/>
                <w:i w:val="0"/>
                <w:iCs w:val="0"/>
                <w:color w:val="000000"/>
                <w:kern w:val="0"/>
                <w:sz w:val="24"/>
                <w:szCs w:val="24"/>
                <w:u w:val="none"/>
                <w:lang w:val="en-US" w:eastAsia="zh-CN" w:bidi="ar"/>
              </w:rPr>
              <w:t>包埋盒打号机</w:t>
            </w:r>
          </w:p>
        </w:tc>
        <w:tc>
          <w:tcPr>
            <w:tcW w:w="800"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800"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548"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295" w:type="pct"/>
            <w:vAlign w:val="center"/>
          </w:tcPr>
          <w:p>
            <w:pPr>
              <w:pStyle w:val="9"/>
              <w:jc w:val="center"/>
              <w:rPr>
                <w:rFonts w:hint="eastAsia" w:asciiTheme="majorEastAsia" w:hAnsiTheme="majorEastAsia" w:eastAsiaTheme="majorEastAsia" w:cstheme="majorEastAsia"/>
                <w:sz w:val="24"/>
              </w:rPr>
            </w:pPr>
            <w:r>
              <w:rPr>
                <w:rFonts w:hint="eastAsia" w:ascii="宋体" w:hAnsi="宋体" w:eastAsia="宋体" w:cs="宋体"/>
                <w:sz w:val="24"/>
                <w:vertAlign w:val="baseline"/>
                <w:lang w:val="en-US" w:eastAsia="zh-CN"/>
              </w:rPr>
              <w:t>1台</w:t>
            </w:r>
          </w:p>
        </w:tc>
        <w:tc>
          <w:tcPr>
            <w:tcW w:w="483"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483"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341"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373" w:type="pct"/>
            <w:vAlign w:val="center"/>
          </w:tcPr>
          <w:p>
            <w:pPr>
              <w:widowControl/>
              <w:spacing w:line="360" w:lineRule="atLeast"/>
              <w:ind w:firstLine="0" w:firstLineChars="0"/>
              <w:jc w:val="center"/>
              <w:outlineLvl w:val="1"/>
              <w:rPr>
                <w:rFonts w:hint="eastAsia" w:asciiTheme="majorEastAsia" w:hAnsiTheme="majorEastAsia" w:eastAsiaTheme="majorEastAsia" w:cstheme="majorEastAsia"/>
                <w:sz w:val="24"/>
                <w:lang w:val="en-US" w:eastAsia="zh-CN"/>
              </w:rPr>
            </w:pPr>
            <w:r>
              <w:rPr>
                <w:rFonts w:hint="eastAsia" w:asciiTheme="majorEastAsia" w:hAnsiTheme="majorEastAsia" w:eastAsiaTheme="majorEastAsia" w:cstheme="majorEastAsia"/>
                <w:sz w:val="24"/>
                <w:lang w:val="en-US" w:eastAsia="zh-CN"/>
              </w:rPr>
              <w:t>2</w:t>
            </w:r>
          </w:p>
        </w:tc>
        <w:tc>
          <w:tcPr>
            <w:tcW w:w="874" w:type="pct"/>
            <w:vAlign w:val="center"/>
          </w:tcPr>
          <w:p>
            <w:pPr>
              <w:pStyle w:val="9"/>
              <w:jc w:val="center"/>
              <w:rPr>
                <w:rFonts w:hint="eastAsia" w:asciiTheme="majorEastAsia" w:hAnsiTheme="majorEastAsia" w:eastAsiaTheme="majorEastAsia" w:cstheme="majorEastAsia"/>
                <w:sz w:val="24"/>
              </w:rPr>
            </w:pPr>
            <w:r>
              <w:rPr>
                <w:rFonts w:hint="eastAsia" w:ascii="宋体" w:hAnsi="宋体" w:eastAsia="宋体" w:cs="宋体"/>
                <w:i w:val="0"/>
                <w:iCs w:val="0"/>
                <w:color w:val="000000"/>
                <w:kern w:val="0"/>
                <w:sz w:val="24"/>
                <w:szCs w:val="24"/>
                <w:u w:val="none"/>
                <w:lang w:val="en-US" w:eastAsia="zh-CN" w:bidi="ar"/>
              </w:rPr>
              <w:t>载玻片激光书写仪</w:t>
            </w:r>
          </w:p>
        </w:tc>
        <w:tc>
          <w:tcPr>
            <w:tcW w:w="800"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800"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548"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295" w:type="pct"/>
            <w:vAlign w:val="center"/>
          </w:tcPr>
          <w:p>
            <w:pPr>
              <w:pStyle w:val="9"/>
              <w:jc w:val="center"/>
              <w:rPr>
                <w:rFonts w:hint="eastAsia" w:asciiTheme="majorEastAsia" w:hAnsiTheme="majorEastAsia" w:eastAsiaTheme="majorEastAsia" w:cstheme="majorEastAsia"/>
                <w:sz w:val="24"/>
              </w:rPr>
            </w:pPr>
            <w:r>
              <w:rPr>
                <w:rFonts w:hint="eastAsia" w:ascii="宋体" w:hAnsi="宋体" w:eastAsia="宋体" w:cs="宋体"/>
                <w:sz w:val="24"/>
                <w:vertAlign w:val="baseline"/>
                <w:lang w:val="en-US" w:eastAsia="zh-CN"/>
              </w:rPr>
              <w:t>1台</w:t>
            </w:r>
          </w:p>
        </w:tc>
        <w:tc>
          <w:tcPr>
            <w:tcW w:w="483"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483"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341"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373" w:type="pct"/>
            <w:tcBorders>
              <w:right w:val="single" w:color="auto" w:sz="4" w:space="0"/>
            </w:tcBorders>
            <w:vAlign w:val="center"/>
          </w:tcPr>
          <w:p>
            <w:pPr>
              <w:widowControl/>
              <w:spacing w:line="360" w:lineRule="atLeast"/>
              <w:ind w:firstLine="0" w:firstLineChars="0"/>
              <w:jc w:val="center"/>
              <w:outlineLvl w:val="1"/>
              <w:rPr>
                <w:rFonts w:hint="eastAsia" w:asciiTheme="majorEastAsia" w:hAnsiTheme="majorEastAsia" w:eastAsiaTheme="majorEastAsia" w:cstheme="majorEastAsia"/>
                <w:sz w:val="24"/>
                <w:lang w:val="en-US" w:eastAsia="zh-CN"/>
              </w:rPr>
            </w:pPr>
            <w:r>
              <w:rPr>
                <w:rFonts w:hint="eastAsia" w:asciiTheme="majorEastAsia" w:hAnsiTheme="majorEastAsia" w:eastAsiaTheme="majorEastAsia" w:cstheme="majorEastAsia"/>
                <w:sz w:val="24"/>
                <w:lang w:val="en-US" w:eastAsia="zh-CN"/>
              </w:rPr>
              <w:t>3</w:t>
            </w:r>
          </w:p>
        </w:tc>
        <w:tc>
          <w:tcPr>
            <w:tcW w:w="874" w:type="pct"/>
            <w:tcBorders>
              <w:left w:val="single" w:color="auto" w:sz="4" w:space="0"/>
            </w:tcBorders>
            <w:vAlign w:val="center"/>
          </w:tcPr>
          <w:p>
            <w:pPr>
              <w:pStyle w:val="9"/>
              <w:jc w:val="center"/>
              <w:rPr>
                <w:rFonts w:hint="eastAsia" w:asciiTheme="majorEastAsia" w:hAnsiTheme="majorEastAsia" w:eastAsiaTheme="majorEastAsia" w:cstheme="majorEastAsia"/>
                <w:sz w:val="24"/>
              </w:rPr>
            </w:pPr>
            <w:r>
              <w:rPr>
                <w:rFonts w:hint="eastAsia" w:ascii="宋体" w:hAnsi="宋体" w:eastAsia="宋体" w:cs="宋体"/>
                <w:i w:val="0"/>
                <w:iCs w:val="0"/>
                <w:color w:val="000000"/>
                <w:kern w:val="0"/>
                <w:sz w:val="24"/>
                <w:szCs w:val="24"/>
                <w:u w:val="none"/>
                <w:lang w:val="en-US" w:eastAsia="zh-CN" w:bidi="ar"/>
              </w:rPr>
              <w:t>冷台</w:t>
            </w:r>
          </w:p>
        </w:tc>
        <w:tc>
          <w:tcPr>
            <w:tcW w:w="800"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800"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548"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295" w:type="pct"/>
            <w:vAlign w:val="center"/>
          </w:tcPr>
          <w:p>
            <w:pPr>
              <w:pStyle w:val="9"/>
              <w:jc w:val="center"/>
              <w:rPr>
                <w:rFonts w:hint="eastAsia" w:asciiTheme="majorEastAsia" w:hAnsiTheme="majorEastAsia" w:eastAsiaTheme="majorEastAsia" w:cstheme="majorEastAsia"/>
                <w:sz w:val="24"/>
              </w:rPr>
            </w:pPr>
            <w:r>
              <w:rPr>
                <w:rFonts w:hint="eastAsia" w:ascii="宋体" w:hAnsi="宋体" w:eastAsia="宋体" w:cs="宋体"/>
                <w:sz w:val="24"/>
                <w:vertAlign w:val="baseline"/>
                <w:lang w:val="en-US" w:eastAsia="zh-CN"/>
              </w:rPr>
              <w:t>1台</w:t>
            </w:r>
          </w:p>
        </w:tc>
        <w:tc>
          <w:tcPr>
            <w:tcW w:w="483"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483"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341"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373" w:type="pct"/>
            <w:tcBorders>
              <w:right w:val="single" w:color="auto" w:sz="4" w:space="0"/>
            </w:tcBorders>
            <w:vAlign w:val="center"/>
          </w:tcPr>
          <w:p>
            <w:pPr>
              <w:widowControl/>
              <w:spacing w:line="360" w:lineRule="atLeast"/>
              <w:ind w:firstLine="0" w:firstLineChars="0"/>
              <w:jc w:val="center"/>
              <w:outlineLvl w:val="1"/>
              <w:rPr>
                <w:rFonts w:hint="default" w:asciiTheme="majorEastAsia" w:hAnsiTheme="majorEastAsia" w:eastAsiaTheme="majorEastAsia" w:cstheme="majorEastAsia"/>
                <w:sz w:val="24"/>
                <w:lang w:val="en-US" w:eastAsia="zh-CN"/>
              </w:rPr>
            </w:pPr>
            <w:r>
              <w:rPr>
                <w:rFonts w:hint="eastAsia" w:asciiTheme="majorEastAsia" w:hAnsiTheme="majorEastAsia" w:eastAsiaTheme="majorEastAsia" w:cstheme="majorEastAsia"/>
                <w:sz w:val="24"/>
                <w:lang w:val="en-US" w:eastAsia="zh-CN"/>
              </w:rPr>
              <w:t>4</w:t>
            </w:r>
          </w:p>
        </w:tc>
        <w:tc>
          <w:tcPr>
            <w:tcW w:w="874" w:type="pct"/>
            <w:tcBorders>
              <w:left w:val="single" w:color="auto" w:sz="4" w:space="0"/>
            </w:tcBorders>
            <w:vAlign w:val="center"/>
          </w:tcPr>
          <w:p>
            <w:pPr>
              <w:pStyle w:val="9"/>
              <w:jc w:val="center"/>
              <w:rPr>
                <w:rFonts w:hint="eastAsia" w:asciiTheme="majorEastAsia" w:hAnsiTheme="majorEastAsia" w:eastAsiaTheme="majorEastAsia" w:cstheme="majorEastAsia"/>
                <w:sz w:val="24"/>
              </w:rPr>
            </w:pPr>
            <w:r>
              <w:rPr>
                <w:rFonts w:hint="eastAsia" w:ascii="宋体" w:hAnsi="宋体" w:eastAsia="宋体" w:cs="宋体"/>
                <w:i w:val="0"/>
                <w:iCs w:val="0"/>
                <w:color w:val="000000"/>
                <w:kern w:val="0"/>
                <w:sz w:val="24"/>
                <w:szCs w:val="24"/>
                <w:u w:val="none"/>
                <w:lang w:val="en-US" w:eastAsia="zh-CN" w:bidi="ar"/>
              </w:rPr>
              <w:t>医用冷藏柜</w:t>
            </w:r>
          </w:p>
        </w:tc>
        <w:tc>
          <w:tcPr>
            <w:tcW w:w="800"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800"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548"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295" w:type="pct"/>
            <w:vAlign w:val="center"/>
          </w:tcPr>
          <w:p>
            <w:pPr>
              <w:pStyle w:val="9"/>
              <w:jc w:val="center"/>
              <w:rPr>
                <w:rFonts w:hint="eastAsia" w:asciiTheme="majorEastAsia" w:hAnsiTheme="majorEastAsia" w:eastAsiaTheme="majorEastAsia" w:cstheme="majorEastAsia"/>
                <w:sz w:val="24"/>
              </w:rPr>
            </w:pPr>
            <w:r>
              <w:rPr>
                <w:rFonts w:hint="eastAsia" w:ascii="宋体" w:hAnsi="宋体" w:cs="宋体"/>
                <w:sz w:val="24"/>
                <w:vertAlign w:val="baseline"/>
                <w:lang w:val="en-US" w:eastAsia="zh-CN"/>
              </w:rPr>
              <w:t>2</w:t>
            </w:r>
            <w:r>
              <w:rPr>
                <w:rFonts w:hint="eastAsia" w:ascii="宋体" w:hAnsi="宋体" w:eastAsia="宋体" w:cs="宋体"/>
                <w:sz w:val="24"/>
                <w:vertAlign w:val="baseline"/>
                <w:lang w:val="en-US" w:eastAsia="zh-CN"/>
              </w:rPr>
              <w:t>台</w:t>
            </w:r>
          </w:p>
        </w:tc>
        <w:tc>
          <w:tcPr>
            <w:tcW w:w="483"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483"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c>
          <w:tcPr>
            <w:tcW w:w="341" w:type="pct"/>
            <w:vAlign w:val="center"/>
          </w:tcPr>
          <w:p>
            <w:pPr>
              <w:widowControl/>
              <w:spacing w:line="360" w:lineRule="atLeast"/>
              <w:ind w:firstLine="470" w:firstLineChars="196"/>
              <w:jc w:val="center"/>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5000" w:type="pct"/>
            <w:gridSpan w:val="9"/>
            <w:tcBorders>
              <w:bottom w:val="single" w:color="auto" w:sz="4" w:space="0"/>
            </w:tcBorders>
          </w:tcPr>
          <w:p>
            <w:pPr>
              <w:widowControl/>
              <w:spacing w:line="360" w:lineRule="atLeast"/>
              <w:jc w:val="center"/>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报价合计（万元）：          大写：</w:t>
            </w:r>
          </w:p>
        </w:tc>
      </w:tr>
    </w:tbl>
    <w:p>
      <w:pPr>
        <w:widowControl/>
        <w:spacing w:line="360" w:lineRule="atLeast"/>
        <w:jc w:val="left"/>
        <w:outlineLvl w:val="1"/>
        <w:rPr>
          <w:rFonts w:hint="eastAsia" w:asciiTheme="majorEastAsia" w:hAnsiTheme="majorEastAsia" w:eastAsiaTheme="majorEastAsia" w:cstheme="majorEastAsia"/>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注：1. 报价应是最终用户验收合格后的总价，</w:t>
      </w:r>
      <w:r>
        <w:rPr>
          <w:rStyle w:val="27"/>
          <w:rFonts w:hint="eastAsia" w:asciiTheme="majorEastAsia" w:hAnsiTheme="majorEastAsia" w:eastAsiaTheme="majorEastAsia" w:cstheme="majorEastAsia"/>
          <w:color w:val="auto"/>
          <w:sz w:val="24"/>
          <w:szCs w:val="24"/>
          <w:lang w:val="en-US" w:eastAsia="zh-CN" w:bidi="ar"/>
        </w:rPr>
        <w:t>已包括乙方履行合同义务的全部费用及税金（如：设备款、运输费、保险费、装卸费、安装调试费、人工费、税费等），除双方另有约定，甲方不再支付乙方其他任何款项。</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 “开标一览表”为多页的，每页均须加盖投标人印章。</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3、“开标一览表”以包为单位填写。</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4、如是进口设备，须在表格中标明“进口”。招标文件未明确“允许进口”的，供应商以进口产品进行投标时，将视为无效投标。</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投标人名称：XXXX（单位公章）。</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法定代表人/单位负责人或授权代表（签字或加盖个人名章）：XXXX。</w:t>
      </w:r>
    </w:p>
    <w:p>
      <w:pPr>
        <w:widowControl/>
        <w:spacing w:line="360" w:lineRule="atLeast"/>
        <w:ind w:firstLine="470" w:firstLineChars="196"/>
        <w:jc w:val="left"/>
        <w:outlineLvl w:val="1"/>
        <w:rPr>
          <w:rFonts w:hint="eastAsia" w:asciiTheme="majorEastAsia" w:hAnsiTheme="majorEastAsia" w:eastAsiaTheme="majorEastAsia" w:cstheme="majorEastAsia"/>
          <w:b/>
          <w:sz w:val="24"/>
        </w:rPr>
        <w:sectPr>
          <w:pgSz w:w="11907" w:h="16840"/>
          <w:pgMar w:top="1440" w:right="1474" w:bottom="1440" w:left="1474" w:header="851" w:footer="992" w:gutter="0"/>
          <w:cols w:space="720" w:num="1"/>
          <w:docGrid w:linePitch="312" w:charSpace="0"/>
        </w:sectPr>
      </w:pPr>
      <w:r>
        <w:rPr>
          <w:rFonts w:hint="eastAsia" w:asciiTheme="majorEastAsia" w:hAnsiTheme="majorEastAsia" w:eastAsiaTheme="majorEastAsia" w:cstheme="majorEastAsia"/>
          <w:sz w:val="24"/>
        </w:rPr>
        <w:t>投标日期：XXXX。</w:t>
      </w:r>
    </w:p>
    <w:p>
      <w:pPr>
        <w:spacing w:line="360" w:lineRule="auto"/>
        <w:rPr>
          <w:rFonts w:hint="eastAsia" w:asciiTheme="majorEastAsia" w:hAnsiTheme="majorEastAsia" w:eastAsiaTheme="majorEastAsia" w:cstheme="majorEastAsia"/>
          <w:b/>
          <w:sz w:val="32"/>
          <w:szCs w:val="32"/>
        </w:rPr>
      </w:pPr>
      <w:bookmarkStart w:id="155" w:name="_Toc217446086"/>
      <w:r>
        <w:rPr>
          <w:rFonts w:hint="eastAsia" w:asciiTheme="majorEastAsia" w:hAnsiTheme="majorEastAsia" w:eastAsiaTheme="majorEastAsia" w:cstheme="majorEastAsia"/>
          <w:b/>
          <w:sz w:val="32"/>
          <w:szCs w:val="32"/>
        </w:rPr>
        <w:t>格式2-5</w:t>
      </w:r>
    </w:p>
    <w:p>
      <w:pPr>
        <w:widowControl/>
        <w:spacing w:line="360" w:lineRule="atLeast"/>
        <w:jc w:val="center"/>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分项报价明细表</w:t>
      </w:r>
      <w:bookmarkEnd w:id="155"/>
    </w:p>
    <w:p>
      <w:pPr>
        <w:widowControl/>
        <w:spacing w:line="360" w:lineRule="atLeast"/>
        <w:ind w:firstLine="472" w:firstLineChars="196"/>
        <w:jc w:val="left"/>
        <w:outlineLvl w:val="1"/>
        <w:rPr>
          <w:rFonts w:hint="eastAsia" w:asciiTheme="majorEastAsia" w:hAnsiTheme="majorEastAsia" w:eastAsiaTheme="majorEastAsia" w:cstheme="majorEastAsia"/>
          <w:b/>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第XX包</w:t>
      </w:r>
    </w:p>
    <w:tbl>
      <w:tblPr>
        <w:tblStyle w:val="25"/>
        <w:tblW w:w="90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1275"/>
        <w:gridCol w:w="1360"/>
        <w:gridCol w:w="888"/>
        <w:gridCol w:w="1212"/>
        <w:gridCol w:w="840"/>
        <w:gridCol w:w="841"/>
        <w:gridCol w:w="876"/>
        <w:gridCol w:w="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1" w:hRule="exact"/>
          <w:jc w:val="center"/>
        </w:trPr>
        <w:tc>
          <w:tcPr>
            <w:tcW w:w="877" w:type="dxa"/>
            <w:vAlign w:val="center"/>
          </w:tcPr>
          <w:p>
            <w:pPr>
              <w:widowControl/>
              <w:spacing w:line="360" w:lineRule="atLeast"/>
              <w:jc w:val="center"/>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序号</w:t>
            </w:r>
          </w:p>
        </w:tc>
        <w:tc>
          <w:tcPr>
            <w:tcW w:w="1275" w:type="dxa"/>
            <w:vAlign w:val="center"/>
          </w:tcPr>
          <w:p>
            <w:pPr>
              <w:widowControl/>
              <w:spacing w:line="360" w:lineRule="atLeast"/>
              <w:jc w:val="center"/>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产品名称</w:t>
            </w:r>
          </w:p>
        </w:tc>
        <w:tc>
          <w:tcPr>
            <w:tcW w:w="1360" w:type="dxa"/>
            <w:vAlign w:val="center"/>
          </w:tcPr>
          <w:p>
            <w:pPr>
              <w:widowControl/>
              <w:spacing w:line="360" w:lineRule="atLeast"/>
              <w:jc w:val="center"/>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规格型号</w:t>
            </w:r>
          </w:p>
        </w:tc>
        <w:tc>
          <w:tcPr>
            <w:tcW w:w="888" w:type="dxa"/>
            <w:vAlign w:val="center"/>
          </w:tcPr>
          <w:p>
            <w:pPr>
              <w:widowControl/>
              <w:spacing w:line="360" w:lineRule="atLeast"/>
              <w:jc w:val="center"/>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lang w:eastAsia="zh-CN"/>
              </w:rPr>
              <w:t>生产厂家</w:t>
            </w:r>
            <w:r>
              <w:rPr>
                <w:rFonts w:hint="eastAsia" w:asciiTheme="majorEastAsia" w:hAnsiTheme="majorEastAsia" w:eastAsiaTheme="majorEastAsia" w:cstheme="majorEastAsia"/>
                <w:sz w:val="24"/>
                <w:lang w:val="en-US" w:eastAsia="zh-CN"/>
              </w:rPr>
              <w:t>全称</w:t>
            </w:r>
          </w:p>
        </w:tc>
        <w:tc>
          <w:tcPr>
            <w:tcW w:w="1212" w:type="dxa"/>
            <w:vAlign w:val="center"/>
          </w:tcPr>
          <w:p>
            <w:pPr>
              <w:widowControl/>
              <w:spacing w:line="360" w:lineRule="atLeast"/>
              <w:jc w:val="center"/>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单位</w:t>
            </w:r>
          </w:p>
        </w:tc>
        <w:tc>
          <w:tcPr>
            <w:tcW w:w="840" w:type="dxa"/>
            <w:vAlign w:val="center"/>
          </w:tcPr>
          <w:p>
            <w:pPr>
              <w:widowControl/>
              <w:spacing w:line="360" w:lineRule="atLeast"/>
              <w:jc w:val="center"/>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数量</w:t>
            </w:r>
          </w:p>
        </w:tc>
        <w:tc>
          <w:tcPr>
            <w:tcW w:w="841" w:type="dxa"/>
            <w:vAlign w:val="center"/>
          </w:tcPr>
          <w:p>
            <w:pPr>
              <w:widowControl/>
              <w:spacing w:line="360" w:lineRule="atLeast"/>
              <w:jc w:val="center"/>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单价</w:t>
            </w:r>
          </w:p>
        </w:tc>
        <w:tc>
          <w:tcPr>
            <w:tcW w:w="876" w:type="dxa"/>
            <w:vAlign w:val="center"/>
          </w:tcPr>
          <w:p>
            <w:pPr>
              <w:widowControl/>
              <w:spacing w:line="360" w:lineRule="atLeast"/>
              <w:jc w:val="center"/>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金额</w:t>
            </w:r>
          </w:p>
        </w:tc>
        <w:tc>
          <w:tcPr>
            <w:tcW w:w="843" w:type="dxa"/>
            <w:vAlign w:val="center"/>
          </w:tcPr>
          <w:p>
            <w:pPr>
              <w:widowControl/>
              <w:spacing w:line="360" w:lineRule="atLeas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877"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75"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6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8"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12"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76"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3"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877"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75"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6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8"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12"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76"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3"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877"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75"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6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8"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12"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76"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3"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877" w:type="dxa"/>
            <w:tcBorders>
              <w:lef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75"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6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8"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12"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76"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3"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877"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75"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6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8"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12"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76"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3"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877"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75"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6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8"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12"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76"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3"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877"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6416" w:type="dxa"/>
            <w:gridSpan w:val="6"/>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分项报价合计（万元）：   大写：</w:t>
            </w:r>
          </w:p>
        </w:tc>
        <w:tc>
          <w:tcPr>
            <w:tcW w:w="876"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3"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bl>
    <w:p>
      <w:pPr>
        <w:widowControl/>
        <w:spacing w:line="360" w:lineRule="atLeast"/>
        <w:jc w:val="left"/>
        <w:outlineLvl w:val="1"/>
        <w:rPr>
          <w:rFonts w:hint="eastAsia" w:asciiTheme="majorEastAsia" w:hAnsiTheme="majorEastAsia" w:eastAsiaTheme="majorEastAsia" w:cstheme="majorEastAsia"/>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注：1、投标人应按“分项报价明细表”的格式详细报出投标总价的各个组成部分的报价。</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    2、“分项报价明细表”各分项报价合计应当与“开标一览表”报价合计相等。</w:t>
      </w:r>
    </w:p>
    <w:p>
      <w:pPr>
        <w:widowControl/>
        <w:spacing w:line="360" w:lineRule="atLeast"/>
        <w:ind w:firstLine="472" w:firstLineChars="196"/>
        <w:jc w:val="left"/>
        <w:outlineLvl w:val="1"/>
        <w:rPr>
          <w:rFonts w:hint="eastAsia" w:asciiTheme="majorEastAsia" w:hAnsiTheme="majorEastAsia" w:eastAsiaTheme="majorEastAsia" w:cstheme="majorEastAsia"/>
          <w:b/>
          <w:sz w:val="24"/>
        </w:rPr>
      </w:pPr>
    </w:p>
    <w:p>
      <w:pPr>
        <w:widowControl/>
        <w:spacing w:line="360" w:lineRule="atLeast"/>
        <w:ind w:firstLine="472" w:firstLineChars="196"/>
        <w:jc w:val="left"/>
        <w:outlineLvl w:val="1"/>
        <w:rPr>
          <w:rFonts w:hint="eastAsia" w:asciiTheme="majorEastAsia" w:hAnsiTheme="majorEastAsia" w:eastAsiaTheme="majorEastAsia" w:cstheme="majorEastAsia"/>
          <w:b/>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投标人名称：XXXX（单位盖章）。</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法定代表人/单位负责人或授权代表（签字或加盖个人名章）：XXXX。</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投标日期：XXXX</w:t>
      </w:r>
      <w:bookmarkEnd w:id="151"/>
      <w:r>
        <w:rPr>
          <w:rFonts w:hint="eastAsia" w:asciiTheme="majorEastAsia" w:hAnsiTheme="majorEastAsia" w:eastAsiaTheme="majorEastAsia" w:cstheme="majorEastAsia"/>
          <w:sz w:val="24"/>
        </w:rPr>
        <w:t>。</w:t>
      </w:r>
      <w:bookmarkStart w:id="156" w:name="_Toc217446087"/>
    </w:p>
    <w:p>
      <w:pPr>
        <w:widowControl/>
        <w:spacing w:line="360" w:lineRule="atLeast"/>
        <w:ind w:firstLine="470" w:firstLineChars="196"/>
        <w:jc w:val="left"/>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sz w:val="24"/>
        </w:rPr>
        <w:br w:type="page"/>
      </w:r>
      <w:bookmarkStart w:id="157" w:name="PO_默认文件内容_26"/>
      <w:r>
        <w:rPr>
          <w:rFonts w:hint="eastAsia" w:asciiTheme="majorEastAsia" w:hAnsiTheme="majorEastAsia" w:eastAsiaTheme="majorEastAsia" w:cstheme="majorEastAsia"/>
          <w:b/>
          <w:sz w:val="32"/>
          <w:szCs w:val="32"/>
        </w:rPr>
        <w:t>格式2-6</w:t>
      </w:r>
    </w:p>
    <w:p>
      <w:pPr>
        <w:widowControl/>
        <w:spacing w:line="360" w:lineRule="atLeast"/>
        <w:jc w:val="center"/>
        <w:outlineLvl w:val="1"/>
        <w:rPr>
          <w:rFonts w:hint="eastAsia" w:asciiTheme="majorEastAsia" w:hAnsiTheme="majorEastAsia" w:eastAsiaTheme="majorEastAsia" w:cstheme="majorEastAsia"/>
          <w:b/>
          <w:sz w:val="32"/>
          <w:szCs w:val="32"/>
          <w:lang w:val="en-US" w:eastAsia="zh-CN"/>
        </w:rPr>
      </w:pPr>
      <w:r>
        <w:rPr>
          <w:rFonts w:hint="eastAsia" w:asciiTheme="majorEastAsia" w:hAnsiTheme="majorEastAsia" w:eastAsiaTheme="majorEastAsia" w:cstheme="majorEastAsia"/>
          <w:b/>
          <w:sz w:val="32"/>
          <w:szCs w:val="32"/>
          <w:lang w:val="en-US" w:eastAsia="zh-CN"/>
        </w:rPr>
        <w:t>配置清单</w:t>
      </w:r>
    </w:p>
    <w:tbl>
      <w:tblPr>
        <w:tblStyle w:val="25"/>
        <w:tblW w:w="96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1"/>
        <w:gridCol w:w="451"/>
        <w:gridCol w:w="2790"/>
        <w:gridCol w:w="1372"/>
        <w:gridCol w:w="2394"/>
        <w:gridCol w:w="752"/>
        <w:gridCol w:w="8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791" w:hRule="atLeast"/>
          <w:jc w:val="center"/>
        </w:trPr>
        <w:tc>
          <w:tcPr>
            <w:tcW w:w="1111" w:type="dxa"/>
            <w:shd w:val="clear" w:color="auto" w:fill="auto"/>
            <w:vAlign w:val="center"/>
          </w:tcPr>
          <w:p>
            <w:pPr>
              <w:jc w:val="center"/>
              <w:rPr>
                <w:rFonts w:hint="default" w:ascii="宋体" w:hAnsi="宋体" w:eastAsia="宋体" w:cs="宋体"/>
                <w:szCs w:val="21"/>
                <w:lang w:val="en-US" w:eastAsia="zh-CN"/>
              </w:rPr>
            </w:pPr>
            <w:r>
              <w:rPr>
                <w:rFonts w:hint="eastAsia" w:ascii="宋体" w:hAnsi="宋体" w:eastAsia="宋体" w:cs="宋体"/>
                <w:szCs w:val="21"/>
                <w:lang w:val="en-US" w:eastAsia="zh-CN"/>
              </w:rPr>
              <w:t>设备</w:t>
            </w:r>
          </w:p>
          <w:p>
            <w:pPr>
              <w:jc w:val="center"/>
              <w:rPr>
                <w:rFonts w:hint="eastAsia" w:ascii="宋体" w:hAnsi="宋体" w:eastAsia="宋体" w:cs="宋体"/>
                <w:szCs w:val="21"/>
              </w:rPr>
            </w:pPr>
            <w:r>
              <w:rPr>
                <w:rFonts w:hint="eastAsia" w:ascii="宋体" w:hAnsi="宋体" w:eastAsia="宋体" w:cs="宋体"/>
                <w:szCs w:val="21"/>
              </w:rPr>
              <w:t>名称</w:t>
            </w:r>
          </w:p>
        </w:tc>
        <w:tc>
          <w:tcPr>
            <w:tcW w:w="451" w:type="dxa"/>
            <w:vAlign w:val="center"/>
          </w:tcPr>
          <w:p>
            <w:pPr>
              <w:jc w:val="center"/>
              <w:rPr>
                <w:rFonts w:hint="eastAsia" w:ascii="宋体" w:hAnsi="宋体" w:eastAsia="宋体" w:cs="宋体"/>
                <w:szCs w:val="21"/>
              </w:rPr>
            </w:pPr>
            <w:r>
              <w:rPr>
                <w:rFonts w:hint="eastAsia" w:ascii="宋体" w:hAnsi="宋体" w:eastAsia="宋体" w:cs="宋体"/>
                <w:szCs w:val="21"/>
              </w:rPr>
              <w:t>序号</w:t>
            </w:r>
          </w:p>
        </w:tc>
        <w:tc>
          <w:tcPr>
            <w:tcW w:w="2790" w:type="dxa"/>
            <w:vAlign w:val="center"/>
          </w:tcPr>
          <w:p>
            <w:pPr>
              <w:jc w:val="center"/>
              <w:rPr>
                <w:rFonts w:hint="eastAsia" w:ascii="宋体" w:hAnsi="宋体" w:eastAsia="宋体" w:cs="宋体"/>
                <w:szCs w:val="21"/>
              </w:rPr>
            </w:pPr>
            <w:r>
              <w:rPr>
                <w:rFonts w:hint="eastAsia" w:ascii="宋体" w:hAnsi="宋体" w:eastAsia="宋体" w:cs="宋体"/>
                <w:szCs w:val="21"/>
              </w:rPr>
              <w:t>产品名称</w:t>
            </w:r>
          </w:p>
        </w:tc>
        <w:tc>
          <w:tcPr>
            <w:tcW w:w="1372" w:type="dxa"/>
            <w:shd w:val="clear" w:color="auto" w:fill="auto"/>
            <w:vAlign w:val="center"/>
          </w:tcPr>
          <w:p>
            <w:pPr>
              <w:jc w:val="center"/>
              <w:rPr>
                <w:rFonts w:hint="eastAsia" w:ascii="宋体" w:hAnsi="宋体" w:eastAsia="宋体" w:cs="宋体"/>
                <w:szCs w:val="21"/>
              </w:rPr>
            </w:pPr>
            <w:r>
              <w:rPr>
                <w:rFonts w:hint="eastAsia" w:ascii="宋体" w:hAnsi="宋体" w:eastAsia="宋体" w:cs="宋体"/>
                <w:szCs w:val="21"/>
              </w:rPr>
              <w:t>型号</w:t>
            </w:r>
          </w:p>
        </w:tc>
        <w:tc>
          <w:tcPr>
            <w:tcW w:w="2394" w:type="dxa"/>
            <w:shd w:val="clear" w:color="auto" w:fill="auto"/>
            <w:vAlign w:val="center"/>
          </w:tcPr>
          <w:p>
            <w:pPr>
              <w:jc w:val="center"/>
              <w:rPr>
                <w:rFonts w:hint="eastAsia" w:ascii="宋体" w:hAnsi="宋体" w:eastAsia="宋体" w:cs="宋体"/>
                <w:szCs w:val="21"/>
              </w:rPr>
            </w:pPr>
            <w:r>
              <w:rPr>
                <w:rFonts w:hint="eastAsia" w:ascii="宋体" w:hAnsi="宋体" w:eastAsia="宋体" w:cs="宋体"/>
                <w:szCs w:val="21"/>
              </w:rPr>
              <w:t>生产厂家</w:t>
            </w:r>
          </w:p>
        </w:tc>
        <w:tc>
          <w:tcPr>
            <w:tcW w:w="752" w:type="dxa"/>
            <w:vAlign w:val="center"/>
          </w:tcPr>
          <w:p>
            <w:pPr>
              <w:jc w:val="center"/>
              <w:rPr>
                <w:rFonts w:hint="eastAsia" w:ascii="宋体" w:hAnsi="宋体" w:eastAsia="宋体" w:cs="宋体"/>
                <w:szCs w:val="21"/>
              </w:rPr>
            </w:pPr>
            <w:r>
              <w:rPr>
                <w:rFonts w:hint="eastAsia" w:ascii="宋体" w:hAnsi="宋体" w:eastAsia="宋体" w:cs="宋体"/>
                <w:szCs w:val="21"/>
              </w:rPr>
              <w:t>单位</w:t>
            </w:r>
          </w:p>
        </w:tc>
        <w:tc>
          <w:tcPr>
            <w:tcW w:w="826" w:type="dxa"/>
            <w:vAlign w:val="center"/>
          </w:tcPr>
          <w:p>
            <w:pPr>
              <w:jc w:val="center"/>
              <w:rPr>
                <w:rFonts w:hint="eastAsia" w:ascii="宋体" w:hAnsi="宋体" w:eastAsia="宋体" w:cs="宋体"/>
                <w:szCs w:val="21"/>
              </w:rPr>
            </w:pPr>
            <w:r>
              <w:rPr>
                <w:rFonts w:hint="eastAsia" w:ascii="宋体" w:hAnsi="宋体" w:eastAsia="宋体" w:cs="宋体"/>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1111" w:type="dxa"/>
            <w:vMerge w:val="restart"/>
            <w:shd w:val="clear" w:color="auto" w:fill="auto"/>
            <w:vAlign w:val="center"/>
          </w:tcPr>
          <w:p>
            <w:pPr>
              <w:pStyle w:val="2"/>
              <w:jc w:val="center"/>
              <w:rPr>
                <w:rFonts w:hint="eastAsia" w:ascii="宋体" w:hAnsi="宋体" w:eastAsia="宋体" w:cs="宋体"/>
                <w:b w:val="0"/>
              </w:rPr>
            </w:pPr>
          </w:p>
        </w:tc>
        <w:tc>
          <w:tcPr>
            <w:tcW w:w="451" w:type="dxa"/>
            <w:vAlign w:val="center"/>
          </w:tcPr>
          <w:p>
            <w:pPr>
              <w:jc w:val="center"/>
              <w:rPr>
                <w:rFonts w:hint="eastAsia" w:ascii="宋体" w:hAnsi="宋体" w:eastAsia="宋体" w:cs="宋体"/>
                <w:szCs w:val="21"/>
              </w:rPr>
            </w:pPr>
            <w:r>
              <w:rPr>
                <w:rFonts w:hint="eastAsia" w:ascii="宋体" w:hAnsi="宋体" w:eastAsia="宋体" w:cs="宋体"/>
                <w:szCs w:val="21"/>
              </w:rPr>
              <w:t>1</w:t>
            </w:r>
          </w:p>
        </w:tc>
        <w:tc>
          <w:tcPr>
            <w:tcW w:w="2790" w:type="dxa"/>
            <w:vAlign w:val="center"/>
          </w:tcPr>
          <w:p>
            <w:pPr>
              <w:jc w:val="center"/>
              <w:rPr>
                <w:rFonts w:hint="eastAsia" w:ascii="宋体" w:hAnsi="宋体" w:eastAsia="宋体" w:cs="宋体"/>
                <w:szCs w:val="21"/>
              </w:rPr>
            </w:pPr>
          </w:p>
        </w:tc>
        <w:tc>
          <w:tcPr>
            <w:tcW w:w="1372" w:type="dxa"/>
            <w:shd w:val="clear" w:color="auto" w:fill="auto"/>
            <w:vAlign w:val="center"/>
          </w:tcPr>
          <w:p>
            <w:pPr>
              <w:jc w:val="center"/>
              <w:rPr>
                <w:rFonts w:hint="eastAsia" w:ascii="宋体" w:hAnsi="宋体" w:eastAsia="宋体" w:cs="宋体"/>
                <w:szCs w:val="21"/>
              </w:rPr>
            </w:pPr>
          </w:p>
        </w:tc>
        <w:tc>
          <w:tcPr>
            <w:tcW w:w="2394" w:type="dxa"/>
            <w:shd w:val="clear" w:color="auto" w:fill="auto"/>
            <w:vAlign w:val="center"/>
          </w:tcPr>
          <w:p>
            <w:pPr>
              <w:jc w:val="center"/>
              <w:rPr>
                <w:rFonts w:hint="eastAsia" w:ascii="宋体" w:hAnsi="宋体" w:eastAsia="宋体" w:cs="宋体"/>
                <w:szCs w:val="21"/>
              </w:rPr>
            </w:pPr>
          </w:p>
        </w:tc>
        <w:tc>
          <w:tcPr>
            <w:tcW w:w="752" w:type="dxa"/>
            <w:vAlign w:val="center"/>
          </w:tcPr>
          <w:p>
            <w:pPr>
              <w:jc w:val="center"/>
              <w:rPr>
                <w:rFonts w:hint="eastAsia" w:ascii="宋体" w:hAnsi="宋体" w:eastAsia="宋体" w:cs="宋体"/>
                <w:szCs w:val="21"/>
              </w:rPr>
            </w:pPr>
          </w:p>
        </w:tc>
        <w:tc>
          <w:tcPr>
            <w:tcW w:w="826" w:type="dxa"/>
            <w:vAlign w:val="center"/>
          </w:tcPr>
          <w:p>
            <w:pPr>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1111" w:type="dxa"/>
            <w:vMerge w:val="continue"/>
            <w:shd w:val="clear" w:color="auto" w:fill="auto"/>
            <w:vAlign w:val="center"/>
          </w:tcPr>
          <w:p>
            <w:pPr>
              <w:pStyle w:val="2"/>
              <w:rPr>
                <w:rFonts w:hint="eastAsia" w:ascii="宋体" w:hAnsi="宋体" w:eastAsia="宋体" w:cs="宋体"/>
                <w:b w:val="0"/>
              </w:rPr>
            </w:pPr>
          </w:p>
        </w:tc>
        <w:tc>
          <w:tcPr>
            <w:tcW w:w="451" w:type="dxa"/>
            <w:vAlign w:val="center"/>
          </w:tcPr>
          <w:p>
            <w:pPr>
              <w:jc w:val="center"/>
              <w:rPr>
                <w:rFonts w:hint="eastAsia" w:ascii="宋体" w:hAnsi="宋体" w:eastAsia="宋体" w:cs="宋体"/>
                <w:szCs w:val="21"/>
              </w:rPr>
            </w:pPr>
            <w:r>
              <w:rPr>
                <w:rFonts w:hint="eastAsia" w:ascii="宋体" w:hAnsi="宋体" w:eastAsia="宋体" w:cs="宋体"/>
                <w:szCs w:val="21"/>
              </w:rPr>
              <w:t>2</w:t>
            </w:r>
          </w:p>
        </w:tc>
        <w:tc>
          <w:tcPr>
            <w:tcW w:w="2790" w:type="dxa"/>
            <w:vAlign w:val="center"/>
          </w:tcPr>
          <w:p>
            <w:pPr>
              <w:jc w:val="center"/>
              <w:rPr>
                <w:rFonts w:hint="eastAsia" w:ascii="宋体" w:hAnsi="宋体" w:eastAsia="宋体" w:cs="宋体"/>
                <w:szCs w:val="21"/>
              </w:rPr>
            </w:pPr>
          </w:p>
        </w:tc>
        <w:tc>
          <w:tcPr>
            <w:tcW w:w="1372" w:type="dxa"/>
            <w:shd w:val="clear" w:color="auto" w:fill="auto"/>
            <w:vAlign w:val="center"/>
          </w:tcPr>
          <w:p>
            <w:pPr>
              <w:jc w:val="center"/>
              <w:rPr>
                <w:rFonts w:hint="eastAsia" w:ascii="宋体" w:hAnsi="宋体" w:eastAsia="宋体" w:cs="宋体"/>
                <w:szCs w:val="21"/>
              </w:rPr>
            </w:pPr>
          </w:p>
        </w:tc>
        <w:tc>
          <w:tcPr>
            <w:tcW w:w="2394" w:type="dxa"/>
            <w:shd w:val="clear" w:color="auto" w:fill="auto"/>
            <w:vAlign w:val="center"/>
          </w:tcPr>
          <w:p>
            <w:pPr>
              <w:jc w:val="center"/>
              <w:rPr>
                <w:rFonts w:hint="eastAsia" w:ascii="宋体" w:hAnsi="宋体" w:eastAsia="宋体" w:cs="宋体"/>
                <w:szCs w:val="21"/>
              </w:rPr>
            </w:pPr>
          </w:p>
        </w:tc>
        <w:tc>
          <w:tcPr>
            <w:tcW w:w="752" w:type="dxa"/>
            <w:vAlign w:val="center"/>
          </w:tcPr>
          <w:p>
            <w:pPr>
              <w:jc w:val="center"/>
              <w:rPr>
                <w:rFonts w:hint="eastAsia" w:ascii="宋体" w:hAnsi="宋体" w:eastAsia="宋体" w:cs="宋体"/>
                <w:szCs w:val="21"/>
              </w:rPr>
            </w:pPr>
          </w:p>
        </w:tc>
        <w:tc>
          <w:tcPr>
            <w:tcW w:w="826" w:type="dxa"/>
            <w:vAlign w:val="center"/>
          </w:tcPr>
          <w:p>
            <w:pPr>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0" w:hRule="atLeast"/>
          <w:jc w:val="center"/>
        </w:trPr>
        <w:tc>
          <w:tcPr>
            <w:tcW w:w="1111" w:type="dxa"/>
            <w:vMerge w:val="continue"/>
            <w:shd w:val="clear" w:color="auto" w:fill="auto"/>
            <w:vAlign w:val="center"/>
          </w:tcPr>
          <w:p>
            <w:pPr>
              <w:pStyle w:val="2"/>
              <w:rPr>
                <w:rFonts w:hint="eastAsia" w:ascii="宋体" w:hAnsi="宋体" w:eastAsia="宋体" w:cs="宋体"/>
                <w:b w:val="0"/>
              </w:rPr>
            </w:pPr>
          </w:p>
        </w:tc>
        <w:tc>
          <w:tcPr>
            <w:tcW w:w="451" w:type="dxa"/>
            <w:vAlign w:val="center"/>
          </w:tcPr>
          <w:p>
            <w:pPr>
              <w:jc w:val="center"/>
              <w:rPr>
                <w:rFonts w:hint="eastAsia" w:ascii="宋体" w:hAnsi="宋体" w:eastAsia="宋体" w:cs="宋体"/>
                <w:szCs w:val="21"/>
              </w:rPr>
            </w:pPr>
            <w:r>
              <w:rPr>
                <w:rFonts w:hint="eastAsia" w:ascii="宋体" w:hAnsi="宋体" w:eastAsia="宋体" w:cs="宋体"/>
                <w:szCs w:val="21"/>
              </w:rPr>
              <w:t>…</w:t>
            </w:r>
          </w:p>
        </w:tc>
        <w:tc>
          <w:tcPr>
            <w:tcW w:w="2790" w:type="dxa"/>
            <w:vAlign w:val="center"/>
          </w:tcPr>
          <w:p>
            <w:pPr>
              <w:jc w:val="center"/>
              <w:rPr>
                <w:rFonts w:hint="eastAsia" w:ascii="宋体" w:hAnsi="宋体" w:eastAsia="宋体" w:cs="宋体"/>
                <w:szCs w:val="21"/>
              </w:rPr>
            </w:pPr>
          </w:p>
        </w:tc>
        <w:tc>
          <w:tcPr>
            <w:tcW w:w="1372" w:type="dxa"/>
            <w:shd w:val="clear" w:color="auto" w:fill="auto"/>
            <w:vAlign w:val="center"/>
          </w:tcPr>
          <w:p>
            <w:pPr>
              <w:jc w:val="center"/>
              <w:rPr>
                <w:rFonts w:hint="eastAsia" w:ascii="宋体" w:hAnsi="宋体" w:eastAsia="宋体" w:cs="宋体"/>
                <w:szCs w:val="21"/>
              </w:rPr>
            </w:pPr>
          </w:p>
        </w:tc>
        <w:tc>
          <w:tcPr>
            <w:tcW w:w="2394" w:type="dxa"/>
            <w:shd w:val="clear" w:color="auto" w:fill="auto"/>
            <w:vAlign w:val="center"/>
          </w:tcPr>
          <w:p>
            <w:pPr>
              <w:jc w:val="center"/>
              <w:rPr>
                <w:rFonts w:hint="eastAsia" w:ascii="宋体" w:hAnsi="宋体" w:eastAsia="宋体" w:cs="宋体"/>
                <w:szCs w:val="21"/>
              </w:rPr>
            </w:pPr>
          </w:p>
        </w:tc>
        <w:tc>
          <w:tcPr>
            <w:tcW w:w="752" w:type="dxa"/>
            <w:vAlign w:val="center"/>
          </w:tcPr>
          <w:p>
            <w:pPr>
              <w:jc w:val="center"/>
              <w:rPr>
                <w:rFonts w:hint="eastAsia" w:ascii="宋体" w:hAnsi="宋体" w:eastAsia="宋体" w:cs="宋体"/>
                <w:szCs w:val="21"/>
              </w:rPr>
            </w:pPr>
          </w:p>
        </w:tc>
        <w:tc>
          <w:tcPr>
            <w:tcW w:w="826" w:type="dxa"/>
            <w:vAlign w:val="center"/>
          </w:tcPr>
          <w:p>
            <w:pPr>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9696" w:type="dxa"/>
            <w:gridSpan w:val="7"/>
            <w:shd w:val="clear" w:color="auto" w:fill="auto"/>
            <w:vAlign w:val="center"/>
          </w:tcPr>
          <w:p>
            <w:pPr>
              <w:jc w:val="left"/>
              <w:rPr>
                <w:rFonts w:hint="eastAsia" w:ascii="宋体" w:hAnsi="宋体" w:eastAsia="宋体" w:cs="宋体"/>
                <w:szCs w:val="21"/>
              </w:rPr>
            </w:pPr>
            <w:r>
              <w:rPr>
                <w:rFonts w:hint="eastAsia" w:ascii="宋体" w:hAnsi="宋体" w:eastAsia="宋体" w:cs="宋体"/>
                <w:szCs w:val="21"/>
              </w:rPr>
              <w:t>备注：</w:t>
            </w:r>
          </w:p>
          <w:p>
            <w:pPr>
              <w:jc w:val="left"/>
              <w:rPr>
                <w:rFonts w:hint="eastAsia" w:ascii="宋体" w:hAnsi="宋体" w:eastAsia="宋体" w:cs="宋体"/>
                <w:szCs w:val="21"/>
              </w:rPr>
            </w:pPr>
            <w:r>
              <w:rPr>
                <w:rFonts w:hint="eastAsia" w:ascii="宋体" w:hAnsi="宋体" w:eastAsia="宋体" w:cs="宋体"/>
                <w:szCs w:val="21"/>
              </w:rPr>
              <w:t>（1）配置清单即中标供应商交货时提交医院方验收清单。</w:t>
            </w:r>
          </w:p>
          <w:p>
            <w:pPr>
              <w:jc w:val="left"/>
              <w:rPr>
                <w:rFonts w:hint="eastAsia" w:ascii="宋体" w:hAnsi="宋体" w:eastAsia="宋体" w:cs="宋体"/>
                <w:szCs w:val="21"/>
              </w:rPr>
            </w:pPr>
            <w:r>
              <w:rPr>
                <w:rFonts w:hint="eastAsia" w:ascii="宋体" w:hAnsi="宋体" w:eastAsia="宋体" w:cs="宋体"/>
                <w:color w:val="auto"/>
                <w:szCs w:val="21"/>
              </w:rPr>
              <w:t>（2）列出所有设备完整配置清单，如未列出者，视为供应商终身免费提供。</w:t>
            </w:r>
          </w:p>
        </w:tc>
      </w:tr>
    </w:tbl>
    <w:p>
      <w:pPr>
        <w:pStyle w:val="9"/>
        <w:rPr>
          <w:rFonts w:hint="default"/>
          <w:lang w:val="en-US" w:eastAsia="zh-CN"/>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lang w:val="en-US" w:eastAsia="zh-CN"/>
        </w:rPr>
      </w:pPr>
      <w:r>
        <w:rPr>
          <w:rFonts w:hint="eastAsia" w:asciiTheme="majorEastAsia" w:hAnsiTheme="majorEastAsia" w:eastAsiaTheme="majorEastAsia" w:cstheme="majorEastAsia"/>
          <w:b/>
          <w:sz w:val="32"/>
          <w:szCs w:val="32"/>
        </w:rPr>
        <w:t>格式2-</w:t>
      </w:r>
      <w:r>
        <w:rPr>
          <w:rFonts w:hint="eastAsia" w:asciiTheme="majorEastAsia" w:hAnsiTheme="majorEastAsia" w:eastAsiaTheme="majorEastAsia" w:cstheme="majorEastAsia"/>
          <w:b/>
          <w:sz w:val="32"/>
          <w:szCs w:val="32"/>
          <w:lang w:val="en-US" w:eastAsia="zh-CN"/>
        </w:rPr>
        <w:t>7</w:t>
      </w:r>
    </w:p>
    <w:p>
      <w:pPr>
        <w:widowControl/>
        <w:spacing w:line="360" w:lineRule="atLeast"/>
        <w:jc w:val="center"/>
        <w:outlineLvl w:val="1"/>
        <w:rPr>
          <w:rFonts w:hint="default" w:asciiTheme="majorEastAsia" w:hAnsiTheme="majorEastAsia" w:eastAsiaTheme="majorEastAsia" w:cstheme="majorEastAsia"/>
          <w:b/>
          <w:sz w:val="32"/>
          <w:szCs w:val="32"/>
          <w:lang w:val="en-US" w:eastAsia="zh-CN"/>
        </w:rPr>
      </w:pPr>
      <w:r>
        <w:rPr>
          <w:rFonts w:hint="eastAsia" w:asciiTheme="majorEastAsia" w:hAnsiTheme="majorEastAsia" w:eastAsiaTheme="majorEastAsia" w:cstheme="majorEastAsia"/>
          <w:b/>
          <w:sz w:val="32"/>
          <w:szCs w:val="32"/>
          <w:lang w:val="en-US" w:eastAsia="zh-CN"/>
        </w:rPr>
        <w:t>零配件、维修配件报价表</w:t>
      </w:r>
    </w:p>
    <w:tbl>
      <w:tblPr>
        <w:tblStyle w:val="55"/>
        <w:tblW w:w="92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2268"/>
        <w:gridCol w:w="1388"/>
        <w:gridCol w:w="615"/>
        <w:gridCol w:w="767"/>
        <w:gridCol w:w="1003"/>
        <w:gridCol w:w="2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8" w:type="dxa"/>
            <w:vAlign w:val="center"/>
          </w:tcPr>
          <w:p>
            <w:pPr>
              <w:jc w:val="center"/>
              <w:rPr>
                <w:rFonts w:hint="eastAsia" w:ascii="宋体" w:hAnsi="宋体" w:eastAsia="宋体" w:cs="宋体"/>
                <w:szCs w:val="21"/>
              </w:rPr>
            </w:pPr>
            <w:r>
              <w:rPr>
                <w:rFonts w:hint="eastAsia" w:ascii="宋体" w:hAnsi="宋体" w:eastAsia="宋体" w:cs="宋体"/>
                <w:szCs w:val="21"/>
              </w:rPr>
              <w:t>序号</w:t>
            </w:r>
          </w:p>
        </w:tc>
        <w:tc>
          <w:tcPr>
            <w:tcW w:w="2268" w:type="dxa"/>
            <w:vAlign w:val="center"/>
          </w:tcPr>
          <w:p>
            <w:pPr>
              <w:jc w:val="center"/>
              <w:rPr>
                <w:rFonts w:hint="eastAsia" w:ascii="宋体" w:hAnsi="宋体" w:eastAsia="宋体" w:cs="宋体"/>
                <w:szCs w:val="21"/>
              </w:rPr>
            </w:pPr>
            <w:r>
              <w:rPr>
                <w:rFonts w:hint="eastAsia" w:ascii="宋体" w:hAnsi="宋体" w:eastAsia="宋体" w:cs="宋体"/>
                <w:szCs w:val="21"/>
              </w:rPr>
              <w:t>配件名称</w:t>
            </w:r>
          </w:p>
        </w:tc>
        <w:tc>
          <w:tcPr>
            <w:tcW w:w="1388" w:type="dxa"/>
            <w:vAlign w:val="center"/>
          </w:tcPr>
          <w:p>
            <w:pPr>
              <w:jc w:val="center"/>
              <w:rPr>
                <w:rFonts w:hint="eastAsia" w:ascii="宋体" w:hAnsi="宋体" w:eastAsia="宋体" w:cs="宋体"/>
                <w:szCs w:val="21"/>
              </w:rPr>
            </w:pPr>
            <w:r>
              <w:rPr>
                <w:rFonts w:hint="eastAsia" w:ascii="宋体" w:hAnsi="宋体" w:eastAsia="宋体" w:cs="宋体"/>
                <w:szCs w:val="21"/>
              </w:rPr>
              <w:t>型号</w:t>
            </w:r>
          </w:p>
        </w:tc>
        <w:tc>
          <w:tcPr>
            <w:tcW w:w="615" w:type="dxa"/>
            <w:vAlign w:val="center"/>
          </w:tcPr>
          <w:p>
            <w:pPr>
              <w:jc w:val="center"/>
              <w:rPr>
                <w:rFonts w:hint="eastAsia" w:ascii="宋体" w:hAnsi="宋体" w:eastAsia="宋体" w:cs="宋体"/>
                <w:szCs w:val="21"/>
              </w:rPr>
            </w:pPr>
            <w:r>
              <w:rPr>
                <w:rFonts w:hint="eastAsia" w:ascii="宋体" w:hAnsi="宋体" w:eastAsia="宋体" w:cs="宋体"/>
                <w:szCs w:val="21"/>
              </w:rPr>
              <w:t>单位</w:t>
            </w:r>
          </w:p>
        </w:tc>
        <w:tc>
          <w:tcPr>
            <w:tcW w:w="767" w:type="dxa"/>
            <w:vAlign w:val="center"/>
          </w:tcPr>
          <w:p>
            <w:pPr>
              <w:jc w:val="center"/>
              <w:rPr>
                <w:rFonts w:hint="eastAsia" w:ascii="宋体" w:hAnsi="宋体" w:eastAsia="宋体" w:cs="宋体"/>
                <w:szCs w:val="21"/>
              </w:rPr>
            </w:pPr>
            <w:r>
              <w:rPr>
                <w:rFonts w:hint="eastAsia" w:ascii="宋体" w:hAnsi="宋体" w:eastAsia="宋体" w:cs="宋体"/>
                <w:szCs w:val="21"/>
              </w:rPr>
              <w:t>单价</w:t>
            </w:r>
          </w:p>
          <w:p>
            <w:pPr>
              <w:jc w:val="center"/>
              <w:rPr>
                <w:rFonts w:hint="eastAsia" w:ascii="宋体" w:hAnsi="宋体" w:eastAsia="宋体" w:cs="宋体"/>
                <w:szCs w:val="21"/>
              </w:rPr>
            </w:pPr>
            <w:r>
              <w:rPr>
                <w:rFonts w:hint="eastAsia" w:ascii="宋体" w:hAnsi="宋体" w:eastAsia="宋体" w:cs="宋体"/>
                <w:szCs w:val="21"/>
              </w:rPr>
              <w:t>（元）</w:t>
            </w:r>
          </w:p>
        </w:tc>
        <w:tc>
          <w:tcPr>
            <w:tcW w:w="1003" w:type="dxa"/>
            <w:vAlign w:val="center"/>
          </w:tcPr>
          <w:p>
            <w:pPr>
              <w:jc w:val="center"/>
              <w:rPr>
                <w:rFonts w:hint="eastAsia" w:ascii="宋体" w:hAnsi="宋体" w:eastAsia="宋体" w:cs="宋体"/>
                <w:szCs w:val="21"/>
              </w:rPr>
            </w:pPr>
            <w:r>
              <w:rPr>
                <w:rFonts w:hint="eastAsia" w:ascii="宋体" w:hAnsi="宋体" w:eastAsia="宋体" w:cs="宋体"/>
                <w:szCs w:val="21"/>
              </w:rPr>
              <w:t>更换后质保期</w:t>
            </w:r>
          </w:p>
          <w:p>
            <w:pPr>
              <w:jc w:val="center"/>
              <w:rPr>
                <w:rFonts w:hint="eastAsia" w:ascii="宋体" w:hAnsi="宋体" w:eastAsia="宋体" w:cs="宋体"/>
                <w:szCs w:val="21"/>
              </w:rPr>
            </w:pPr>
            <w:r>
              <w:rPr>
                <w:rFonts w:hint="eastAsia" w:ascii="宋体" w:hAnsi="宋体" w:eastAsia="宋体" w:cs="宋体"/>
                <w:szCs w:val="21"/>
              </w:rPr>
              <w:t>（年）</w:t>
            </w:r>
          </w:p>
        </w:tc>
        <w:tc>
          <w:tcPr>
            <w:tcW w:w="2464" w:type="dxa"/>
            <w:vAlign w:val="center"/>
          </w:tcPr>
          <w:p>
            <w:pPr>
              <w:jc w:val="center"/>
              <w:rPr>
                <w:rFonts w:hint="eastAsia" w:ascii="宋体" w:hAnsi="宋体" w:eastAsia="宋体" w:cs="宋体"/>
                <w:szCs w:val="21"/>
              </w:rPr>
            </w:pPr>
            <w:r>
              <w:rPr>
                <w:rFonts w:hint="eastAsia" w:ascii="宋体" w:hAnsi="宋体" w:eastAsia="宋体" w:cs="宋体"/>
                <w:szCs w:val="21"/>
              </w:rPr>
              <w:t>生产厂家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778" w:type="dxa"/>
            <w:vAlign w:val="center"/>
          </w:tcPr>
          <w:p>
            <w:pPr>
              <w:jc w:val="center"/>
              <w:rPr>
                <w:rFonts w:hint="eastAsia" w:ascii="宋体" w:hAnsi="宋体" w:eastAsia="宋体" w:cs="宋体"/>
                <w:szCs w:val="21"/>
              </w:rPr>
            </w:pPr>
            <w:r>
              <w:rPr>
                <w:rFonts w:hint="eastAsia" w:ascii="宋体" w:hAnsi="宋体" w:eastAsia="宋体" w:cs="宋体"/>
                <w:szCs w:val="21"/>
              </w:rPr>
              <w:t>1</w:t>
            </w:r>
          </w:p>
        </w:tc>
        <w:tc>
          <w:tcPr>
            <w:tcW w:w="2268" w:type="dxa"/>
            <w:vAlign w:val="center"/>
          </w:tcPr>
          <w:p>
            <w:pPr>
              <w:jc w:val="center"/>
              <w:rPr>
                <w:rFonts w:hint="eastAsia" w:ascii="宋体" w:hAnsi="宋体" w:eastAsia="宋体" w:cs="宋体"/>
                <w:szCs w:val="21"/>
              </w:rPr>
            </w:pPr>
          </w:p>
        </w:tc>
        <w:tc>
          <w:tcPr>
            <w:tcW w:w="1388" w:type="dxa"/>
            <w:vAlign w:val="center"/>
          </w:tcPr>
          <w:p>
            <w:pPr>
              <w:jc w:val="center"/>
              <w:rPr>
                <w:rFonts w:hint="eastAsia" w:ascii="宋体" w:hAnsi="宋体" w:eastAsia="宋体" w:cs="宋体"/>
                <w:szCs w:val="21"/>
              </w:rPr>
            </w:pPr>
          </w:p>
        </w:tc>
        <w:tc>
          <w:tcPr>
            <w:tcW w:w="615" w:type="dxa"/>
            <w:vAlign w:val="center"/>
          </w:tcPr>
          <w:p>
            <w:pPr>
              <w:jc w:val="center"/>
              <w:rPr>
                <w:rFonts w:hint="eastAsia" w:ascii="宋体" w:hAnsi="宋体" w:eastAsia="宋体" w:cs="宋体"/>
                <w:szCs w:val="21"/>
              </w:rPr>
            </w:pPr>
          </w:p>
        </w:tc>
        <w:tc>
          <w:tcPr>
            <w:tcW w:w="767" w:type="dxa"/>
            <w:vAlign w:val="center"/>
          </w:tcPr>
          <w:p>
            <w:pPr>
              <w:jc w:val="center"/>
              <w:rPr>
                <w:rFonts w:hint="eastAsia" w:ascii="宋体" w:hAnsi="宋体" w:eastAsia="宋体" w:cs="宋体"/>
                <w:szCs w:val="21"/>
              </w:rPr>
            </w:pPr>
          </w:p>
        </w:tc>
        <w:tc>
          <w:tcPr>
            <w:tcW w:w="1003" w:type="dxa"/>
            <w:vAlign w:val="center"/>
          </w:tcPr>
          <w:p>
            <w:pPr>
              <w:jc w:val="center"/>
              <w:rPr>
                <w:rFonts w:hint="eastAsia" w:ascii="宋体" w:hAnsi="宋体" w:eastAsia="宋体" w:cs="宋体"/>
                <w:szCs w:val="21"/>
              </w:rPr>
            </w:pPr>
          </w:p>
        </w:tc>
        <w:tc>
          <w:tcPr>
            <w:tcW w:w="2464" w:type="dxa"/>
            <w:vAlign w:val="center"/>
          </w:tcPr>
          <w:p>
            <w:pPr>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778" w:type="dxa"/>
            <w:vAlign w:val="center"/>
          </w:tcPr>
          <w:p>
            <w:pPr>
              <w:jc w:val="center"/>
              <w:rPr>
                <w:rFonts w:hint="eastAsia" w:ascii="宋体" w:hAnsi="宋体" w:eastAsia="宋体" w:cs="宋体"/>
                <w:szCs w:val="21"/>
              </w:rPr>
            </w:pPr>
            <w:r>
              <w:rPr>
                <w:rFonts w:hint="eastAsia" w:ascii="宋体" w:hAnsi="宋体" w:eastAsia="宋体" w:cs="宋体"/>
                <w:szCs w:val="21"/>
              </w:rPr>
              <w:t>2</w:t>
            </w:r>
          </w:p>
        </w:tc>
        <w:tc>
          <w:tcPr>
            <w:tcW w:w="2268" w:type="dxa"/>
            <w:vAlign w:val="center"/>
          </w:tcPr>
          <w:p>
            <w:pPr>
              <w:jc w:val="center"/>
              <w:rPr>
                <w:rFonts w:hint="eastAsia" w:ascii="宋体" w:hAnsi="宋体" w:eastAsia="宋体" w:cs="宋体"/>
                <w:szCs w:val="21"/>
              </w:rPr>
            </w:pPr>
          </w:p>
        </w:tc>
        <w:tc>
          <w:tcPr>
            <w:tcW w:w="1388" w:type="dxa"/>
            <w:vAlign w:val="center"/>
          </w:tcPr>
          <w:p>
            <w:pPr>
              <w:jc w:val="center"/>
              <w:rPr>
                <w:rFonts w:hint="eastAsia" w:ascii="宋体" w:hAnsi="宋体" w:eastAsia="宋体" w:cs="宋体"/>
                <w:szCs w:val="21"/>
              </w:rPr>
            </w:pPr>
          </w:p>
        </w:tc>
        <w:tc>
          <w:tcPr>
            <w:tcW w:w="615" w:type="dxa"/>
            <w:vAlign w:val="center"/>
          </w:tcPr>
          <w:p>
            <w:pPr>
              <w:jc w:val="center"/>
              <w:rPr>
                <w:rFonts w:hint="eastAsia" w:ascii="宋体" w:hAnsi="宋体" w:eastAsia="宋体" w:cs="宋体"/>
                <w:szCs w:val="21"/>
              </w:rPr>
            </w:pPr>
          </w:p>
        </w:tc>
        <w:tc>
          <w:tcPr>
            <w:tcW w:w="767" w:type="dxa"/>
            <w:vAlign w:val="center"/>
          </w:tcPr>
          <w:p>
            <w:pPr>
              <w:jc w:val="center"/>
              <w:rPr>
                <w:rFonts w:hint="eastAsia" w:ascii="宋体" w:hAnsi="宋体" w:eastAsia="宋体" w:cs="宋体"/>
                <w:szCs w:val="21"/>
              </w:rPr>
            </w:pPr>
          </w:p>
        </w:tc>
        <w:tc>
          <w:tcPr>
            <w:tcW w:w="1003" w:type="dxa"/>
            <w:vAlign w:val="center"/>
          </w:tcPr>
          <w:p>
            <w:pPr>
              <w:jc w:val="center"/>
              <w:rPr>
                <w:rFonts w:hint="eastAsia" w:ascii="宋体" w:hAnsi="宋体" w:eastAsia="宋体" w:cs="宋体"/>
                <w:szCs w:val="21"/>
              </w:rPr>
            </w:pPr>
          </w:p>
        </w:tc>
        <w:tc>
          <w:tcPr>
            <w:tcW w:w="2464" w:type="dxa"/>
            <w:vAlign w:val="center"/>
          </w:tcPr>
          <w:p>
            <w:pPr>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778" w:type="dxa"/>
            <w:vAlign w:val="center"/>
          </w:tcPr>
          <w:p>
            <w:pPr>
              <w:jc w:val="center"/>
              <w:rPr>
                <w:rFonts w:hint="eastAsia" w:ascii="宋体" w:hAnsi="宋体" w:eastAsia="宋体" w:cs="宋体"/>
                <w:szCs w:val="21"/>
              </w:rPr>
            </w:pPr>
            <w:r>
              <w:rPr>
                <w:rFonts w:hint="eastAsia" w:ascii="宋体" w:hAnsi="宋体" w:eastAsia="宋体" w:cs="宋体"/>
                <w:szCs w:val="21"/>
              </w:rPr>
              <w:t>3</w:t>
            </w:r>
          </w:p>
        </w:tc>
        <w:tc>
          <w:tcPr>
            <w:tcW w:w="2268" w:type="dxa"/>
            <w:vAlign w:val="center"/>
          </w:tcPr>
          <w:p>
            <w:pPr>
              <w:jc w:val="center"/>
              <w:rPr>
                <w:rFonts w:hint="eastAsia" w:ascii="宋体" w:hAnsi="宋体" w:eastAsia="宋体" w:cs="宋体"/>
                <w:szCs w:val="21"/>
              </w:rPr>
            </w:pPr>
          </w:p>
        </w:tc>
        <w:tc>
          <w:tcPr>
            <w:tcW w:w="1388" w:type="dxa"/>
            <w:vAlign w:val="center"/>
          </w:tcPr>
          <w:p>
            <w:pPr>
              <w:jc w:val="center"/>
              <w:rPr>
                <w:rFonts w:hint="eastAsia" w:ascii="宋体" w:hAnsi="宋体" w:eastAsia="宋体" w:cs="宋体"/>
                <w:szCs w:val="21"/>
              </w:rPr>
            </w:pPr>
          </w:p>
        </w:tc>
        <w:tc>
          <w:tcPr>
            <w:tcW w:w="615" w:type="dxa"/>
            <w:vAlign w:val="center"/>
          </w:tcPr>
          <w:p>
            <w:pPr>
              <w:jc w:val="center"/>
              <w:rPr>
                <w:rFonts w:hint="eastAsia" w:ascii="宋体" w:hAnsi="宋体" w:eastAsia="宋体" w:cs="宋体"/>
                <w:szCs w:val="21"/>
              </w:rPr>
            </w:pPr>
          </w:p>
        </w:tc>
        <w:tc>
          <w:tcPr>
            <w:tcW w:w="767" w:type="dxa"/>
            <w:vAlign w:val="center"/>
          </w:tcPr>
          <w:p>
            <w:pPr>
              <w:jc w:val="center"/>
              <w:rPr>
                <w:rFonts w:hint="eastAsia" w:ascii="宋体" w:hAnsi="宋体" w:eastAsia="宋体" w:cs="宋体"/>
                <w:szCs w:val="21"/>
              </w:rPr>
            </w:pPr>
          </w:p>
        </w:tc>
        <w:tc>
          <w:tcPr>
            <w:tcW w:w="1003" w:type="dxa"/>
            <w:vAlign w:val="center"/>
          </w:tcPr>
          <w:p>
            <w:pPr>
              <w:jc w:val="center"/>
              <w:rPr>
                <w:rFonts w:hint="eastAsia" w:ascii="宋体" w:hAnsi="宋体" w:eastAsia="宋体" w:cs="宋体"/>
                <w:szCs w:val="21"/>
              </w:rPr>
            </w:pPr>
          </w:p>
        </w:tc>
        <w:tc>
          <w:tcPr>
            <w:tcW w:w="2464" w:type="dxa"/>
            <w:vAlign w:val="center"/>
          </w:tcPr>
          <w:p>
            <w:pPr>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8" w:hRule="atLeast"/>
          <w:jc w:val="center"/>
        </w:trPr>
        <w:tc>
          <w:tcPr>
            <w:tcW w:w="9283" w:type="dxa"/>
            <w:gridSpan w:val="7"/>
            <w:vAlign w:val="center"/>
          </w:tcPr>
          <w:p>
            <w:pPr>
              <w:jc w:val="left"/>
              <w:rPr>
                <w:rFonts w:hint="eastAsia" w:ascii="宋体" w:hAnsi="宋体" w:eastAsia="宋体" w:cs="宋体"/>
                <w:szCs w:val="21"/>
              </w:rPr>
            </w:pPr>
            <w:r>
              <w:rPr>
                <w:rFonts w:hint="eastAsia" w:ascii="宋体" w:hAnsi="宋体" w:eastAsia="宋体" w:cs="宋体"/>
                <w:szCs w:val="21"/>
              </w:rPr>
              <w:t>备注：</w:t>
            </w:r>
          </w:p>
          <w:p>
            <w:pPr>
              <w:jc w:val="left"/>
              <w:rPr>
                <w:rFonts w:hint="eastAsia" w:ascii="宋体" w:hAnsi="宋体" w:eastAsia="宋体" w:cs="宋体"/>
                <w:szCs w:val="21"/>
              </w:rPr>
            </w:pPr>
            <w:r>
              <w:rPr>
                <w:rFonts w:hint="eastAsia" w:ascii="宋体" w:hAnsi="宋体" w:eastAsia="宋体" w:cs="宋体"/>
                <w:szCs w:val="21"/>
              </w:rPr>
              <w:t>（1）若医院未购买设备质保期后的全保服务，按此维修配件报价进行单次维修。</w:t>
            </w:r>
          </w:p>
          <w:p>
            <w:pPr>
              <w:jc w:val="left"/>
              <w:rPr>
                <w:rFonts w:hint="eastAsia" w:ascii="宋体" w:hAnsi="宋体" w:eastAsia="宋体" w:cs="宋体"/>
                <w:szCs w:val="21"/>
              </w:rPr>
            </w:pPr>
            <w:r>
              <w:rPr>
                <w:rFonts w:hint="eastAsia" w:ascii="宋体" w:hAnsi="宋体" w:eastAsia="宋体" w:cs="宋体"/>
                <w:szCs w:val="21"/>
              </w:rPr>
              <w:t>（2）列出所有维修配件报价，如未列出者，视为应标供应商终身免费提供。</w:t>
            </w:r>
          </w:p>
          <w:p>
            <w:pPr>
              <w:jc w:val="left"/>
              <w:rPr>
                <w:rFonts w:hint="eastAsia" w:ascii="宋体" w:hAnsi="宋体" w:eastAsia="宋体" w:cs="宋体"/>
                <w:szCs w:val="21"/>
              </w:rPr>
            </w:pPr>
            <w:r>
              <w:rPr>
                <w:rFonts w:hint="eastAsia" w:ascii="宋体" w:hAnsi="宋体" w:eastAsia="宋体" w:cs="宋体"/>
                <w:szCs w:val="21"/>
              </w:rPr>
              <w:t>（2）报价应是最终用户验收合格后的价格，包括但不限于产品运输费、税费等。</w:t>
            </w:r>
          </w:p>
        </w:tc>
      </w:tr>
    </w:tbl>
    <w:p>
      <w:pPr>
        <w:pStyle w:val="9"/>
        <w:rPr>
          <w:rFonts w:hint="eastAsia"/>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rPr>
      </w:pPr>
    </w:p>
    <w:p>
      <w:pPr>
        <w:widowControl/>
        <w:spacing w:line="360" w:lineRule="atLeast"/>
        <w:ind w:firstLine="630" w:firstLineChars="196"/>
        <w:jc w:val="left"/>
        <w:outlineLvl w:val="1"/>
        <w:rPr>
          <w:rFonts w:hint="eastAsia" w:asciiTheme="majorEastAsia" w:hAnsiTheme="majorEastAsia" w:eastAsiaTheme="majorEastAsia" w:cstheme="majorEastAsia"/>
          <w:b/>
          <w:sz w:val="32"/>
          <w:szCs w:val="32"/>
          <w:lang w:val="en-US" w:eastAsia="zh-CN"/>
        </w:rPr>
      </w:pPr>
      <w:r>
        <w:rPr>
          <w:rFonts w:hint="eastAsia" w:asciiTheme="majorEastAsia" w:hAnsiTheme="majorEastAsia" w:eastAsiaTheme="majorEastAsia" w:cstheme="majorEastAsia"/>
          <w:b/>
          <w:sz w:val="32"/>
          <w:szCs w:val="32"/>
        </w:rPr>
        <w:t>格式2-</w:t>
      </w:r>
      <w:r>
        <w:rPr>
          <w:rFonts w:hint="eastAsia" w:asciiTheme="majorEastAsia" w:hAnsiTheme="majorEastAsia" w:eastAsiaTheme="majorEastAsia" w:cstheme="majorEastAsia"/>
          <w:b/>
          <w:sz w:val="32"/>
          <w:szCs w:val="32"/>
          <w:lang w:val="en-US" w:eastAsia="zh-CN"/>
        </w:rPr>
        <w:t>8</w:t>
      </w:r>
    </w:p>
    <w:p>
      <w:pPr>
        <w:widowControl/>
        <w:spacing w:line="360" w:lineRule="atLeast"/>
        <w:jc w:val="center"/>
        <w:outlineLvl w:val="1"/>
        <w:rPr>
          <w:rFonts w:hint="default" w:asciiTheme="majorEastAsia" w:hAnsiTheme="majorEastAsia" w:eastAsiaTheme="majorEastAsia" w:cstheme="majorEastAsia"/>
          <w:b/>
          <w:sz w:val="32"/>
          <w:szCs w:val="32"/>
          <w:lang w:val="en-US" w:eastAsia="zh-CN"/>
        </w:rPr>
      </w:pPr>
      <w:r>
        <w:rPr>
          <w:rFonts w:hint="eastAsia" w:asciiTheme="majorEastAsia" w:hAnsiTheme="majorEastAsia" w:eastAsiaTheme="majorEastAsia" w:cstheme="majorEastAsia"/>
          <w:b/>
          <w:sz w:val="32"/>
          <w:szCs w:val="32"/>
          <w:lang w:val="en-US" w:eastAsia="zh-CN"/>
        </w:rPr>
        <w:t>耗材报价表</w:t>
      </w:r>
    </w:p>
    <w:tbl>
      <w:tblPr>
        <w:tblStyle w:val="55"/>
        <w:tblW w:w="94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417"/>
        <w:gridCol w:w="1444"/>
        <w:gridCol w:w="1238"/>
        <w:gridCol w:w="1237"/>
        <w:gridCol w:w="523"/>
        <w:gridCol w:w="797"/>
        <w:gridCol w:w="1418"/>
        <w:gridCol w:w="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426" w:type="dxa"/>
            <w:vAlign w:val="center"/>
          </w:tcPr>
          <w:p>
            <w:pPr>
              <w:jc w:val="center"/>
              <w:rPr>
                <w:rFonts w:hint="eastAsia" w:ascii="宋体" w:hAnsi="宋体" w:eastAsia="宋体" w:cs="宋体"/>
                <w:szCs w:val="21"/>
              </w:rPr>
            </w:pPr>
            <w:r>
              <w:rPr>
                <w:rFonts w:hint="eastAsia" w:ascii="宋体" w:hAnsi="宋体" w:eastAsia="宋体" w:cs="宋体"/>
                <w:szCs w:val="21"/>
              </w:rPr>
              <w:t>序号</w:t>
            </w:r>
          </w:p>
        </w:tc>
        <w:tc>
          <w:tcPr>
            <w:tcW w:w="1417" w:type="dxa"/>
            <w:vAlign w:val="center"/>
          </w:tcPr>
          <w:p>
            <w:pPr>
              <w:jc w:val="center"/>
              <w:rPr>
                <w:rFonts w:hint="eastAsia" w:ascii="宋体" w:hAnsi="宋体" w:eastAsia="宋体" w:cs="宋体"/>
                <w:szCs w:val="21"/>
              </w:rPr>
            </w:pPr>
            <w:r>
              <w:rPr>
                <w:rFonts w:hint="eastAsia" w:ascii="宋体" w:hAnsi="宋体" w:eastAsia="宋体" w:cs="宋体"/>
                <w:szCs w:val="21"/>
              </w:rPr>
              <w:t>产品名称</w:t>
            </w:r>
          </w:p>
        </w:tc>
        <w:tc>
          <w:tcPr>
            <w:tcW w:w="1444" w:type="dxa"/>
            <w:vAlign w:val="center"/>
          </w:tcPr>
          <w:p>
            <w:pPr>
              <w:jc w:val="center"/>
              <w:rPr>
                <w:rFonts w:hint="eastAsia" w:ascii="宋体" w:hAnsi="宋体" w:eastAsia="宋体" w:cs="宋体"/>
                <w:szCs w:val="21"/>
              </w:rPr>
            </w:pPr>
            <w:r>
              <w:rPr>
                <w:rFonts w:hint="eastAsia" w:ascii="宋体" w:hAnsi="宋体" w:eastAsia="宋体" w:cs="宋体"/>
                <w:szCs w:val="21"/>
              </w:rPr>
              <w:t>注册证名称/注册证编号</w:t>
            </w:r>
          </w:p>
        </w:tc>
        <w:tc>
          <w:tcPr>
            <w:tcW w:w="1238" w:type="dxa"/>
            <w:vAlign w:val="center"/>
          </w:tcPr>
          <w:p>
            <w:pPr>
              <w:jc w:val="center"/>
              <w:rPr>
                <w:rFonts w:hint="eastAsia" w:ascii="宋体" w:hAnsi="宋体" w:eastAsia="宋体" w:cs="宋体"/>
                <w:szCs w:val="21"/>
              </w:rPr>
            </w:pPr>
            <w:r>
              <w:rPr>
                <w:rFonts w:hint="eastAsia" w:ascii="宋体" w:hAnsi="宋体" w:eastAsia="宋体" w:cs="宋体"/>
                <w:szCs w:val="21"/>
              </w:rPr>
              <w:t>型号</w:t>
            </w:r>
          </w:p>
        </w:tc>
        <w:tc>
          <w:tcPr>
            <w:tcW w:w="1237" w:type="dxa"/>
            <w:vAlign w:val="center"/>
          </w:tcPr>
          <w:p>
            <w:pPr>
              <w:jc w:val="center"/>
              <w:rPr>
                <w:rFonts w:hint="eastAsia" w:ascii="宋体" w:hAnsi="宋体" w:eastAsia="宋体" w:cs="宋体"/>
                <w:szCs w:val="21"/>
              </w:rPr>
            </w:pPr>
            <w:r>
              <w:rPr>
                <w:rFonts w:hint="eastAsia" w:ascii="宋体" w:hAnsi="宋体" w:eastAsia="宋体" w:cs="宋体"/>
                <w:szCs w:val="21"/>
              </w:rPr>
              <w:t>包装规格</w:t>
            </w:r>
          </w:p>
        </w:tc>
        <w:tc>
          <w:tcPr>
            <w:tcW w:w="523" w:type="dxa"/>
            <w:vAlign w:val="center"/>
          </w:tcPr>
          <w:p>
            <w:pPr>
              <w:jc w:val="center"/>
              <w:rPr>
                <w:rFonts w:hint="eastAsia" w:ascii="宋体" w:hAnsi="宋体" w:eastAsia="宋体" w:cs="宋体"/>
                <w:szCs w:val="21"/>
              </w:rPr>
            </w:pPr>
            <w:r>
              <w:rPr>
                <w:rFonts w:hint="eastAsia" w:ascii="宋体" w:hAnsi="宋体" w:eastAsia="宋体" w:cs="宋体"/>
                <w:szCs w:val="21"/>
              </w:rPr>
              <w:t>单位</w:t>
            </w:r>
          </w:p>
        </w:tc>
        <w:tc>
          <w:tcPr>
            <w:tcW w:w="797" w:type="dxa"/>
            <w:vAlign w:val="center"/>
          </w:tcPr>
          <w:p>
            <w:pPr>
              <w:jc w:val="center"/>
              <w:rPr>
                <w:rFonts w:hint="eastAsia" w:ascii="宋体" w:hAnsi="宋体" w:eastAsia="宋体" w:cs="宋体"/>
                <w:szCs w:val="21"/>
              </w:rPr>
            </w:pPr>
            <w:r>
              <w:rPr>
                <w:rFonts w:hint="eastAsia" w:ascii="宋体" w:hAnsi="宋体" w:eastAsia="宋体" w:cs="宋体"/>
                <w:szCs w:val="21"/>
              </w:rPr>
              <w:t>单价</w:t>
            </w:r>
          </w:p>
          <w:p>
            <w:pPr>
              <w:jc w:val="center"/>
              <w:rPr>
                <w:rFonts w:hint="eastAsia" w:ascii="宋体" w:hAnsi="宋体" w:eastAsia="宋体" w:cs="宋体"/>
                <w:szCs w:val="21"/>
              </w:rPr>
            </w:pPr>
            <w:r>
              <w:rPr>
                <w:rFonts w:hint="eastAsia" w:ascii="宋体" w:hAnsi="宋体" w:eastAsia="宋体" w:cs="宋体"/>
                <w:szCs w:val="21"/>
              </w:rPr>
              <w:t>(元)</w:t>
            </w:r>
          </w:p>
        </w:tc>
        <w:tc>
          <w:tcPr>
            <w:tcW w:w="1418" w:type="dxa"/>
            <w:vAlign w:val="center"/>
          </w:tcPr>
          <w:p>
            <w:pPr>
              <w:jc w:val="center"/>
              <w:rPr>
                <w:rFonts w:hint="eastAsia" w:ascii="宋体" w:hAnsi="宋体" w:eastAsia="宋体" w:cs="宋体"/>
                <w:szCs w:val="21"/>
              </w:rPr>
            </w:pPr>
            <w:r>
              <w:rPr>
                <w:rFonts w:hint="eastAsia" w:ascii="宋体" w:hAnsi="宋体" w:eastAsia="宋体" w:cs="宋体"/>
                <w:szCs w:val="21"/>
              </w:rPr>
              <w:t>生产厂家</w:t>
            </w:r>
          </w:p>
        </w:tc>
        <w:tc>
          <w:tcPr>
            <w:tcW w:w="953" w:type="dxa"/>
            <w:vAlign w:val="center"/>
          </w:tcPr>
          <w:p>
            <w:pPr>
              <w:jc w:val="center"/>
              <w:rPr>
                <w:rFonts w:hint="eastAsia" w:ascii="宋体" w:hAnsi="宋体" w:eastAsia="宋体" w:cs="宋体"/>
                <w:szCs w:val="21"/>
              </w:rPr>
            </w:pPr>
            <w:r>
              <w:rPr>
                <w:rFonts w:hint="eastAsia" w:ascii="宋体" w:hAnsi="宋体" w:eastAsia="宋体" w:cs="宋体"/>
                <w:szCs w:val="21"/>
              </w:rPr>
              <w:t>阳光采购挂网号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426" w:type="dxa"/>
            <w:vAlign w:val="center"/>
          </w:tcPr>
          <w:p>
            <w:pPr>
              <w:rPr>
                <w:rFonts w:hint="eastAsia" w:ascii="宋体" w:hAnsi="宋体" w:eastAsia="宋体" w:cs="宋体"/>
                <w:szCs w:val="21"/>
              </w:rPr>
            </w:pPr>
            <w:r>
              <w:rPr>
                <w:rFonts w:hint="eastAsia" w:ascii="宋体" w:hAnsi="宋体" w:eastAsia="宋体" w:cs="宋体"/>
                <w:szCs w:val="21"/>
              </w:rPr>
              <w:t>1</w:t>
            </w:r>
          </w:p>
        </w:tc>
        <w:tc>
          <w:tcPr>
            <w:tcW w:w="1417" w:type="dxa"/>
            <w:vAlign w:val="center"/>
          </w:tcPr>
          <w:p>
            <w:pPr>
              <w:rPr>
                <w:rFonts w:hint="eastAsia" w:ascii="宋体" w:hAnsi="宋体" w:eastAsia="宋体" w:cs="宋体"/>
                <w:szCs w:val="21"/>
              </w:rPr>
            </w:pPr>
          </w:p>
        </w:tc>
        <w:tc>
          <w:tcPr>
            <w:tcW w:w="1444" w:type="dxa"/>
            <w:vAlign w:val="center"/>
          </w:tcPr>
          <w:p>
            <w:pPr>
              <w:rPr>
                <w:rFonts w:hint="eastAsia" w:ascii="宋体" w:hAnsi="宋体" w:eastAsia="宋体" w:cs="宋体"/>
                <w:szCs w:val="21"/>
              </w:rPr>
            </w:pPr>
          </w:p>
        </w:tc>
        <w:tc>
          <w:tcPr>
            <w:tcW w:w="1238" w:type="dxa"/>
            <w:vAlign w:val="center"/>
          </w:tcPr>
          <w:p>
            <w:pPr>
              <w:rPr>
                <w:rFonts w:hint="eastAsia" w:ascii="宋体" w:hAnsi="宋体" w:eastAsia="宋体" w:cs="宋体"/>
                <w:szCs w:val="21"/>
              </w:rPr>
            </w:pPr>
          </w:p>
        </w:tc>
        <w:tc>
          <w:tcPr>
            <w:tcW w:w="1237" w:type="dxa"/>
            <w:vAlign w:val="center"/>
          </w:tcPr>
          <w:p>
            <w:pPr>
              <w:rPr>
                <w:rFonts w:hint="eastAsia" w:ascii="宋体" w:hAnsi="宋体" w:eastAsia="宋体" w:cs="宋体"/>
                <w:szCs w:val="21"/>
              </w:rPr>
            </w:pPr>
          </w:p>
        </w:tc>
        <w:tc>
          <w:tcPr>
            <w:tcW w:w="523" w:type="dxa"/>
            <w:vAlign w:val="center"/>
          </w:tcPr>
          <w:p>
            <w:pPr>
              <w:rPr>
                <w:rFonts w:hint="eastAsia" w:ascii="宋体" w:hAnsi="宋体" w:eastAsia="宋体" w:cs="宋体"/>
                <w:szCs w:val="21"/>
              </w:rPr>
            </w:pPr>
          </w:p>
        </w:tc>
        <w:tc>
          <w:tcPr>
            <w:tcW w:w="797" w:type="dxa"/>
            <w:vAlign w:val="center"/>
          </w:tcPr>
          <w:p>
            <w:pPr>
              <w:rPr>
                <w:rFonts w:hint="eastAsia" w:ascii="宋体" w:hAnsi="宋体" w:eastAsia="宋体" w:cs="宋体"/>
                <w:szCs w:val="21"/>
              </w:rPr>
            </w:pPr>
          </w:p>
        </w:tc>
        <w:tc>
          <w:tcPr>
            <w:tcW w:w="1418" w:type="dxa"/>
            <w:vAlign w:val="center"/>
          </w:tcPr>
          <w:p>
            <w:pPr>
              <w:rPr>
                <w:rFonts w:hint="eastAsia" w:ascii="宋体" w:hAnsi="宋体" w:eastAsia="宋体" w:cs="宋体"/>
                <w:szCs w:val="21"/>
              </w:rPr>
            </w:pPr>
          </w:p>
        </w:tc>
        <w:tc>
          <w:tcPr>
            <w:tcW w:w="953" w:type="dxa"/>
            <w:vAlign w:val="center"/>
          </w:tcPr>
          <w:p>
            <w:pP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426" w:type="dxa"/>
            <w:vAlign w:val="center"/>
          </w:tcPr>
          <w:p>
            <w:pPr>
              <w:rPr>
                <w:rFonts w:hint="eastAsia" w:ascii="宋体" w:hAnsi="宋体" w:eastAsia="宋体" w:cs="宋体"/>
                <w:szCs w:val="21"/>
              </w:rPr>
            </w:pPr>
            <w:r>
              <w:rPr>
                <w:rFonts w:hint="eastAsia" w:ascii="宋体" w:hAnsi="宋体" w:eastAsia="宋体" w:cs="宋体"/>
                <w:szCs w:val="21"/>
              </w:rPr>
              <w:t>2</w:t>
            </w:r>
          </w:p>
        </w:tc>
        <w:tc>
          <w:tcPr>
            <w:tcW w:w="1417" w:type="dxa"/>
            <w:vAlign w:val="center"/>
          </w:tcPr>
          <w:p>
            <w:pPr>
              <w:rPr>
                <w:rFonts w:hint="eastAsia" w:ascii="宋体" w:hAnsi="宋体" w:eastAsia="宋体" w:cs="宋体"/>
                <w:szCs w:val="21"/>
              </w:rPr>
            </w:pPr>
          </w:p>
        </w:tc>
        <w:tc>
          <w:tcPr>
            <w:tcW w:w="1444" w:type="dxa"/>
            <w:vAlign w:val="center"/>
          </w:tcPr>
          <w:p>
            <w:pPr>
              <w:rPr>
                <w:rFonts w:hint="eastAsia" w:ascii="宋体" w:hAnsi="宋体" w:eastAsia="宋体" w:cs="宋体"/>
                <w:szCs w:val="21"/>
              </w:rPr>
            </w:pPr>
          </w:p>
        </w:tc>
        <w:tc>
          <w:tcPr>
            <w:tcW w:w="1238" w:type="dxa"/>
            <w:vAlign w:val="center"/>
          </w:tcPr>
          <w:p>
            <w:pPr>
              <w:rPr>
                <w:rFonts w:hint="eastAsia" w:ascii="宋体" w:hAnsi="宋体" w:eastAsia="宋体" w:cs="宋体"/>
                <w:szCs w:val="21"/>
              </w:rPr>
            </w:pPr>
          </w:p>
        </w:tc>
        <w:tc>
          <w:tcPr>
            <w:tcW w:w="1237" w:type="dxa"/>
            <w:vAlign w:val="center"/>
          </w:tcPr>
          <w:p>
            <w:pPr>
              <w:rPr>
                <w:rFonts w:hint="eastAsia" w:ascii="宋体" w:hAnsi="宋体" w:eastAsia="宋体" w:cs="宋体"/>
                <w:szCs w:val="21"/>
              </w:rPr>
            </w:pPr>
          </w:p>
        </w:tc>
        <w:tc>
          <w:tcPr>
            <w:tcW w:w="523" w:type="dxa"/>
            <w:vAlign w:val="center"/>
          </w:tcPr>
          <w:p>
            <w:pPr>
              <w:rPr>
                <w:rFonts w:hint="eastAsia" w:ascii="宋体" w:hAnsi="宋体" w:eastAsia="宋体" w:cs="宋体"/>
                <w:szCs w:val="21"/>
              </w:rPr>
            </w:pPr>
          </w:p>
        </w:tc>
        <w:tc>
          <w:tcPr>
            <w:tcW w:w="797" w:type="dxa"/>
            <w:vAlign w:val="center"/>
          </w:tcPr>
          <w:p>
            <w:pPr>
              <w:rPr>
                <w:rFonts w:hint="eastAsia" w:ascii="宋体" w:hAnsi="宋体" w:eastAsia="宋体" w:cs="宋体"/>
                <w:szCs w:val="21"/>
              </w:rPr>
            </w:pPr>
          </w:p>
        </w:tc>
        <w:tc>
          <w:tcPr>
            <w:tcW w:w="1418" w:type="dxa"/>
            <w:vAlign w:val="center"/>
          </w:tcPr>
          <w:p>
            <w:pPr>
              <w:rPr>
                <w:rFonts w:hint="eastAsia" w:ascii="宋体" w:hAnsi="宋体" w:eastAsia="宋体" w:cs="宋体"/>
                <w:szCs w:val="21"/>
              </w:rPr>
            </w:pPr>
          </w:p>
        </w:tc>
        <w:tc>
          <w:tcPr>
            <w:tcW w:w="953" w:type="dxa"/>
            <w:vAlign w:val="center"/>
          </w:tcPr>
          <w:p>
            <w:pP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426" w:type="dxa"/>
            <w:vAlign w:val="center"/>
          </w:tcPr>
          <w:p>
            <w:pPr>
              <w:rPr>
                <w:rFonts w:hint="eastAsia" w:ascii="宋体" w:hAnsi="宋体" w:eastAsia="宋体" w:cs="宋体"/>
                <w:szCs w:val="21"/>
              </w:rPr>
            </w:pPr>
            <w:r>
              <w:rPr>
                <w:rFonts w:hint="eastAsia" w:ascii="宋体" w:hAnsi="宋体" w:eastAsia="宋体" w:cs="宋体"/>
                <w:szCs w:val="21"/>
              </w:rPr>
              <w:t>3</w:t>
            </w:r>
          </w:p>
        </w:tc>
        <w:tc>
          <w:tcPr>
            <w:tcW w:w="1417" w:type="dxa"/>
            <w:vAlign w:val="center"/>
          </w:tcPr>
          <w:p>
            <w:pPr>
              <w:rPr>
                <w:rFonts w:hint="eastAsia" w:ascii="宋体" w:hAnsi="宋体" w:eastAsia="宋体" w:cs="宋体"/>
                <w:szCs w:val="21"/>
              </w:rPr>
            </w:pPr>
          </w:p>
        </w:tc>
        <w:tc>
          <w:tcPr>
            <w:tcW w:w="1444" w:type="dxa"/>
            <w:vAlign w:val="center"/>
          </w:tcPr>
          <w:p>
            <w:pPr>
              <w:rPr>
                <w:rFonts w:hint="eastAsia" w:ascii="宋体" w:hAnsi="宋体" w:eastAsia="宋体" w:cs="宋体"/>
                <w:szCs w:val="21"/>
              </w:rPr>
            </w:pPr>
          </w:p>
        </w:tc>
        <w:tc>
          <w:tcPr>
            <w:tcW w:w="1238" w:type="dxa"/>
            <w:vAlign w:val="center"/>
          </w:tcPr>
          <w:p>
            <w:pPr>
              <w:rPr>
                <w:rFonts w:hint="eastAsia" w:ascii="宋体" w:hAnsi="宋体" w:eastAsia="宋体" w:cs="宋体"/>
                <w:szCs w:val="21"/>
              </w:rPr>
            </w:pPr>
          </w:p>
        </w:tc>
        <w:tc>
          <w:tcPr>
            <w:tcW w:w="1237" w:type="dxa"/>
            <w:vAlign w:val="center"/>
          </w:tcPr>
          <w:p>
            <w:pPr>
              <w:rPr>
                <w:rFonts w:hint="eastAsia" w:ascii="宋体" w:hAnsi="宋体" w:eastAsia="宋体" w:cs="宋体"/>
                <w:szCs w:val="21"/>
              </w:rPr>
            </w:pPr>
          </w:p>
        </w:tc>
        <w:tc>
          <w:tcPr>
            <w:tcW w:w="523" w:type="dxa"/>
            <w:vAlign w:val="center"/>
          </w:tcPr>
          <w:p>
            <w:pPr>
              <w:rPr>
                <w:rFonts w:hint="eastAsia" w:ascii="宋体" w:hAnsi="宋体" w:eastAsia="宋体" w:cs="宋体"/>
                <w:szCs w:val="21"/>
              </w:rPr>
            </w:pPr>
          </w:p>
        </w:tc>
        <w:tc>
          <w:tcPr>
            <w:tcW w:w="797" w:type="dxa"/>
            <w:vAlign w:val="center"/>
          </w:tcPr>
          <w:p>
            <w:pPr>
              <w:rPr>
                <w:rFonts w:hint="eastAsia" w:ascii="宋体" w:hAnsi="宋体" w:eastAsia="宋体" w:cs="宋体"/>
                <w:szCs w:val="21"/>
              </w:rPr>
            </w:pPr>
          </w:p>
        </w:tc>
        <w:tc>
          <w:tcPr>
            <w:tcW w:w="1418" w:type="dxa"/>
            <w:vAlign w:val="center"/>
          </w:tcPr>
          <w:p>
            <w:pPr>
              <w:rPr>
                <w:rFonts w:hint="eastAsia" w:ascii="宋体" w:hAnsi="宋体" w:eastAsia="宋体" w:cs="宋体"/>
                <w:szCs w:val="21"/>
              </w:rPr>
            </w:pPr>
          </w:p>
        </w:tc>
        <w:tc>
          <w:tcPr>
            <w:tcW w:w="953" w:type="dxa"/>
            <w:vAlign w:val="center"/>
          </w:tcPr>
          <w:p>
            <w:pP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7" w:hRule="atLeast"/>
          <w:jc w:val="center"/>
        </w:trPr>
        <w:tc>
          <w:tcPr>
            <w:tcW w:w="9453" w:type="dxa"/>
            <w:gridSpan w:val="9"/>
            <w:vAlign w:val="center"/>
          </w:tcPr>
          <w:p>
            <w:pPr>
              <w:jc w:val="left"/>
              <w:rPr>
                <w:rFonts w:hint="eastAsia" w:ascii="宋体" w:hAnsi="宋体" w:eastAsia="宋体" w:cs="宋体"/>
                <w:szCs w:val="21"/>
              </w:rPr>
            </w:pPr>
            <w:r>
              <w:rPr>
                <w:rFonts w:hint="eastAsia" w:ascii="宋体" w:hAnsi="宋体" w:eastAsia="宋体" w:cs="宋体"/>
                <w:szCs w:val="21"/>
              </w:rPr>
              <w:t>备注：</w:t>
            </w:r>
          </w:p>
          <w:p>
            <w:pPr>
              <w:jc w:val="left"/>
              <w:rPr>
                <w:rFonts w:hint="eastAsia" w:ascii="宋体" w:hAnsi="宋体" w:eastAsia="宋体" w:cs="宋体"/>
                <w:szCs w:val="21"/>
              </w:rPr>
            </w:pPr>
            <w:r>
              <w:rPr>
                <w:rFonts w:hint="eastAsia" w:ascii="宋体" w:hAnsi="宋体" w:eastAsia="宋体" w:cs="宋体"/>
                <w:szCs w:val="21"/>
              </w:rPr>
              <w:t>（1）列出所有设备相关耗材报价，如未列出者，视为供应商终身免费提供。</w:t>
            </w:r>
          </w:p>
          <w:p>
            <w:pPr>
              <w:rPr>
                <w:rFonts w:hint="eastAsia" w:ascii="宋体" w:hAnsi="宋体" w:eastAsia="宋体" w:cs="宋体"/>
                <w:szCs w:val="21"/>
              </w:rPr>
            </w:pPr>
            <w:r>
              <w:rPr>
                <w:rFonts w:hint="eastAsia" w:ascii="宋体" w:hAnsi="宋体" w:eastAsia="宋体" w:cs="宋体"/>
                <w:szCs w:val="21"/>
              </w:rPr>
              <w:t>（2）耗材指配套设备使用的，一次性消耗或快速消耗的物品。</w:t>
            </w:r>
          </w:p>
          <w:p>
            <w:pPr>
              <w:rPr>
                <w:rFonts w:hint="eastAsia" w:ascii="宋体" w:hAnsi="宋体" w:eastAsia="宋体" w:cs="宋体"/>
                <w:szCs w:val="21"/>
              </w:rPr>
            </w:pPr>
            <w:r>
              <w:rPr>
                <w:rFonts w:hint="eastAsia" w:ascii="宋体" w:hAnsi="宋体" w:eastAsia="宋体" w:cs="宋体"/>
                <w:szCs w:val="21"/>
              </w:rPr>
              <w:t>（3）若没有耗材则注明无耗材。</w:t>
            </w:r>
          </w:p>
          <w:p>
            <w:pPr>
              <w:rPr>
                <w:rFonts w:hint="eastAsia" w:ascii="宋体" w:hAnsi="宋体" w:eastAsia="宋体" w:cs="宋体"/>
                <w:szCs w:val="21"/>
              </w:rPr>
            </w:pPr>
            <w:r>
              <w:rPr>
                <w:rFonts w:hint="eastAsia" w:ascii="宋体" w:hAnsi="宋体" w:eastAsia="宋体" w:cs="宋体"/>
                <w:szCs w:val="21"/>
              </w:rPr>
              <w:t>（4）如果属于快速消耗的物品，请注明建议使用期限或使用次数。</w:t>
            </w:r>
          </w:p>
          <w:p>
            <w:pPr>
              <w:rPr>
                <w:rFonts w:hint="eastAsia" w:ascii="宋体" w:hAnsi="宋体" w:eastAsia="宋体" w:cs="宋体"/>
                <w:szCs w:val="21"/>
              </w:rPr>
            </w:pPr>
            <w:r>
              <w:rPr>
                <w:rFonts w:hint="eastAsia" w:ascii="宋体" w:hAnsi="宋体" w:eastAsia="宋体" w:cs="宋体"/>
                <w:szCs w:val="21"/>
              </w:rPr>
              <w:t>（5）报价应是最终用户验收合格后的价格，包括但不限于产品、运输费、税费等。</w:t>
            </w:r>
          </w:p>
          <w:p>
            <w:pPr>
              <w:rPr>
                <w:rFonts w:hint="eastAsia" w:ascii="宋体" w:hAnsi="宋体" w:eastAsia="宋体" w:cs="宋体"/>
                <w:szCs w:val="21"/>
              </w:rPr>
            </w:pPr>
            <w:r>
              <w:rPr>
                <w:rFonts w:hint="eastAsia" w:ascii="宋体" w:hAnsi="宋体" w:eastAsia="宋体" w:cs="宋体"/>
                <w:szCs w:val="21"/>
              </w:rPr>
              <w:t>（6）允许同时列明原厂耗材及可匹配的国产耗材。</w:t>
            </w:r>
          </w:p>
          <w:p>
            <w:pPr>
              <w:rPr>
                <w:rFonts w:hint="eastAsia" w:ascii="宋体" w:hAnsi="宋体" w:eastAsia="宋体" w:cs="宋体"/>
                <w:szCs w:val="21"/>
              </w:rPr>
            </w:pPr>
            <w:r>
              <w:rPr>
                <w:rFonts w:hint="eastAsia" w:ascii="宋体" w:hAnsi="宋体" w:eastAsia="宋体" w:cs="宋体"/>
                <w:szCs w:val="21"/>
                <w:highlight w:val="none"/>
              </w:rPr>
              <w:t>（7）若投标标价高于该产品的阳光采购价的按阳光采购价执行。</w:t>
            </w:r>
          </w:p>
        </w:tc>
      </w:tr>
    </w:tbl>
    <w:p>
      <w:pPr>
        <w:widowControl/>
        <w:spacing w:line="360" w:lineRule="atLeast"/>
        <w:ind w:firstLine="420" w:firstLineChars="0"/>
        <w:jc w:val="left"/>
        <w:outlineLvl w:val="1"/>
        <w:rPr>
          <w:rFonts w:hint="eastAsia" w:asciiTheme="majorEastAsia" w:hAnsiTheme="majorEastAsia" w:eastAsiaTheme="majorEastAsia" w:cstheme="majorEastAsia"/>
          <w:b/>
          <w:sz w:val="32"/>
          <w:szCs w:val="32"/>
        </w:rPr>
      </w:pPr>
    </w:p>
    <w:p>
      <w:pPr>
        <w:widowControl/>
        <w:spacing w:line="360" w:lineRule="atLeast"/>
        <w:ind w:firstLine="420" w:firstLineChars="0"/>
        <w:jc w:val="left"/>
        <w:outlineLvl w:val="1"/>
        <w:rPr>
          <w:rFonts w:hint="eastAsia" w:asciiTheme="majorEastAsia" w:hAnsiTheme="majorEastAsia" w:eastAsiaTheme="majorEastAsia" w:cstheme="majorEastAsia"/>
          <w:b/>
          <w:sz w:val="32"/>
          <w:szCs w:val="32"/>
        </w:rPr>
      </w:pPr>
    </w:p>
    <w:p>
      <w:pPr>
        <w:widowControl/>
        <w:spacing w:line="360" w:lineRule="atLeast"/>
        <w:ind w:firstLine="420" w:firstLineChars="0"/>
        <w:jc w:val="left"/>
        <w:outlineLvl w:val="1"/>
        <w:rPr>
          <w:rFonts w:hint="eastAsia" w:asciiTheme="majorEastAsia" w:hAnsiTheme="majorEastAsia" w:eastAsiaTheme="majorEastAsia" w:cstheme="majorEastAsia"/>
          <w:b/>
          <w:sz w:val="32"/>
          <w:szCs w:val="32"/>
        </w:rPr>
      </w:pPr>
    </w:p>
    <w:p>
      <w:pPr>
        <w:widowControl/>
        <w:spacing w:line="360" w:lineRule="atLeast"/>
        <w:ind w:firstLine="420" w:firstLineChars="0"/>
        <w:jc w:val="left"/>
        <w:outlineLvl w:val="1"/>
        <w:rPr>
          <w:rFonts w:hint="eastAsia" w:asciiTheme="majorEastAsia" w:hAnsiTheme="majorEastAsia" w:eastAsiaTheme="majorEastAsia" w:cstheme="majorEastAsia"/>
          <w:b/>
          <w:sz w:val="32"/>
          <w:szCs w:val="32"/>
        </w:rPr>
      </w:pPr>
    </w:p>
    <w:p>
      <w:pPr>
        <w:widowControl/>
        <w:spacing w:line="360" w:lineRule="atLeast"/>
        <w:ind w:firstLine="420" w:firstLineChars="0"/>
        <w:jc w:val="left"/>
        <w:outlineLvl w:val="1"/>
        <w:rPr>
          <w:rFonts w:hint="eastAsia" w:asciiTheme="majorEastAsia" w:hAnsiTheme="majorEastAsia" w:eastAsiaTheme="majorEastAsia" w:cstheme="majorEastAsia"/>
          <w:b/>
          <w:sz w:val="32"/>
          <w:szCs w:val="32"/>
        </w:rPr>
      </w:pPr>
    </w:p>
    <w:p>
      <w:pPr>
        <w:widowControl/>
        <w:spacing w:line="360" w:lineRule="atLeast"/>
        <w:ind w:firstLine="420" w:firstLineChars="0"/>
        <w:jc w:val="left"/>
        <w:outlineLvl w:val="1"/>
        <w:rPr>
          <w:rFonts w:hint="eastAsia" w:asciiTheme="majorEastAsia" w:hAnsiTheme="majorEastAsia" w:eastAsiaTheme="majorEastAsia" w:cstheme="majorEastAsia"/>
          <w:b/>
          <w:sz w:val="32"/>
          <w:szCs w:val="32"/>
        </w:rPr>
      </w:pPr>
    </w:p>
    <w:p>
      <w:pPr>
        <w:widowControl/>
        <w:spacing w:line="360" w:lineRule="atLeast"/>
        <w:ind w:firstLine="420" w:firstLineChars="0"/>
        <w:jc w:val="left"/>
        <w:outlineLvl w:val="1"/>
        <w:rPr>
          <w:rFonts w:hint="eastAsia" w:asciiTheme="majorEastAsia" w:hAnsiTheme="majorEastAsia" w:eastAsiaTheme="majorEastAsia" w:cstheme="majorEastAsia"/>
          <w:b/>
          <w:sz w:val="32"/>
          <w:szCs w:val="32"/>
        </w:rPr>
      </w:pPr>
    </w:p>
    <w:p>
      <w:pPr>
        <w:widowControl/>
        <w:spacing w:line="360" w:lineRule="atLeast"/>
        <w:ind w:firstLine="0" w:firstLineChars="0"/>
        <w:jc w:val="left"/>
        <w:outlineLvl w:val="1"/>
        <w:rPr>
          <w:rFonts w:hint="eastAsia" w:asciiTheme="majorEastAsia" w:hAnsiTheme="majorEastAsia" w:eastAsiaTheme="majorEastAsia" w:cstheme="majorEastAsia"/>
          <w:b/>
          <w:sz w:val="32"/>
          <w:szCs w:val="32"/>
          <w:lang w:val="en-US" w:eastAsia="zh-CN"/>
        </w:rPr>
      </w:pPr>
      <w:r>
        <w:rPr>
          <w:rFonts w:hint="eastAsia" w:asciiTheme="majorEastAsia" w:hAnsiTheme="majorEastAsia" w:eastAsiaTheme="majorEastAsia" w:cstheme="majorEastAsia"/>
          <w:b/>
          <w:sz w:val="32"/>
          <w:szCs w:val="32"/>
        </w:rPr>
        <w:t>格式2-</w:t>
      </w:r>
      <w:r>
        <w:rPr>
          <w:rFonts w:hint="eastAsia" w:asciiTheme="majorEastAsia" w:hAnsiTheme="majorEastAsia" w:eastAsiaTheme="majorEastAsia" w:cstheme="majorEastAsia"/>
          <w:b/>
          <w:sz w:val="32"/>
          <w:szCs w:val="32"/>
          <w:lang w:val="en-US" w:eastAsia="zh-CN"/>
        </w:rPr>
        <w:t>9</w:t>
      </w:r>
    </w:p>
    <w:p>
      <w:pPr>
        <w:widowControl/>
        <w:spacing w:line="360" w:lineRule="atLeast"/>
        <w:jc w:val="center"/>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商务应答表</w:t>
      </w:r>
      <w:bookmarkEnd w:id="156"/>
    </w:p>
    <w:p>
      <w:pPr>
        <w:widowControl/>
        <w:spacing w:line="360" w:lineRule="atLeast"/>
        <w:ind w:firstLine="472" w:firstLineChars="196"/>
        <w:jc w:val="left"/>
        <w:outlineLvl w:val="1"/>
        <w:rPr>
          <w:rFonts w:hint="eastAsia" w:asciiTheme="majorEastAsia" w:hAnsiTheme="majorEastAsia" w:eastAsiaTheme="majorEastAsia" w:cstheme="majorEastAsia"/>
          <w:b/>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招标编号：</w:t>
      </w:r>
    </w:p>
    <w:tbl>
      <w:tblPr>
        <w:tblStyle w:val="25"/>
        <w:tblW w:w="82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956"/>
        <w:gridCol w:w="1516"/>
        <w:gridCol w:w="48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956"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序号</w:t>
            </w:r>
          </w:p>
        </w:tc>
        <w:tc>
          <w:tcPr>
            <w:tcW w:w="956"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包号</w:t>
            </w:r>
          </w:p>
        </w:tc>
        <w:tc>
          <w:tcPr>
            <w:tcW w:w="1516"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招标要求</w:t>
            </w:r>
          </w:p>
        </w:tc>
        <w:tc>
          <w:tcPr>
            <w:tcW w:w="4852"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投标应答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95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5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51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485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95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5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51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485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95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5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51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485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95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5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51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485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bl>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注：1. 供应商必须把招标文件</w:t>
      </w:r>
      <w:r>
        <w:rPr>
          <w:rFonts w:hint="eastAsia" w:asciiTheme="majorEastAsia" w:hAnsiTheme="majorEastAsia" w:eastAsiaTheme="majorEastAsia" w:cstheme="majorEastAsia"/>
          <w:b/>
          <w:bCs/>
          <w:sz w:val="24"/>
        </w:rPr>
        <w:t>第六章全部商务要求</w:t>
      </w:r>
      <w:r>
        <w:rPr>
          <w:rFonts w:hint="eastAsia" w:asciiTheme="majorEastAsia" w:hAnsiTheme="majorEastAsia" w:eastAsiaTheme="majorEastAsia" w:cstheme="majorEastAsia"/>
          <w:sz w:val="24"/>
        </w:rPr>
        <w:t>列入此表。</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2．按照招标项目商务要求的顺序逐条对应填写。</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3．供应商必须据实填写，不得虚假填写，否则将取消其投标或中标资格。</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投标人名称：XXXX（单位盖章）。</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法定代表人/单位负责人或授权代表（签字或加盖个人名章）：XXXX。</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投标日期: XXXX。</w:t>
      </w:r>
    </w:p>
    <w:p>
      <w:pPr>
        <w:spacing w:after="120" w:line="340" w:lineRule="exact"/>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sz w:val="24"/>
        </w:rPr>
        <w:br w:type="page"/>
      </w:r>
      <w:r>
        <w:rPr>
          <w:rFonts w:hint="eastAsia" w:asciiTheme="majorEastAsia" w:hAnsiTheme="majorEastAsia" w:eastAsiaTheme="majorEastAsia" w:cstheme="majorEastAsia"/>
          <w:b/>
          <w:sz w:val="32"/>
          <w:szCs w:val="32"/>
        </w:rPr>
        <w:t>格式2-</w:t>
      </w:r>
      <w:r>
        <w:rPr>
          <w:rFonts w:hint="eastAsia" w:asciiTheme="majorEastAsia" w:hAnsiTheme="majorEastAsia" w:eastAsiaTheme="majorEastAsia" w:cstheme="majorEastAsia"/>
          <w:b/>
          <w:sz w:val="32"/>
          <w:szCs w:val="32"/>
          <w:lang w:val="en-US" w:eastAsia="zh-CN"/>
        </w:rPr>
        <w:t>10</w:t>
      </w:r>
    </w:p>
    <w:p>
      <w:pPr>
        <w:widowControl/>
        <w:spacing w:after="120" w:line="340" w:lineRule="exact"/>
        <w:jc w:val="center"/>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商务、技术、服务应答附表</w:t>
      </w:r>
    </w:p>
    <w:p>
      <w:pPr>
        <w:widowControl/>
        <w:spacing w:after="120" w:line="340" w:lineRule="exact"/>
        <w:jc w:val="center"/>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（仅用于中标、成交结果公告，此表不作为评审内容）</w:t>
      </w:r>
    </w:p>
    <w:p>
      <w:pPr>
        <w:widowControl/>
        <w:spacing w:after="120" w:line="300" w:lineRule="exact"/>
        <w:ind w:firstLine="480"/>
        <w:jc w:val="left"/>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根据《中华人民共和国政府采购法实施条例》第四十三条第三款要求，中标、成交结果公告应当公告中标（成交）供应商的相关内容，请供应商根据响应情况如实完善以下内容，结果公告时公布中标（成交）供应商的相关信息。</w:t>
      </w:r>
    </w:p>
    <w:tbl>
      <w:tblPr>
        <w:tblStyle w:val="25"/>
        <w:tblW w:w="8215"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278"/>
        <w:gridCol w:w="463"/>
        <w:gridCol w:w="1635"/>
        <w:gridCol w:w="275"/>
        <w:gridCol w:w="1075"/>
        <w:gridCol w:w="30"/>
        <w:gridCol w:w="1529"/>
        <w:gridCol w:w="31"/>
        <w:gridCol w:w="1899"/>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8215" w:type="dxa"/>
            <w:gridSpan w:val="9"/>
            <w:vAlign w:val="center"/>
          </w:tcPr>
          <w:p>
            <w:pPr>
              <w:widowControl/>
              <w:spacing w:after="120" w:line="300" w:lineRule="exact"/>
              <w:jc w:val="center"/>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kern w:val="0"/>
                <w:sz w:val="24"/>
              </w:rPr>
              <w:t>中标（成交）供应商的相关信息</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741" w:type="dxa"/>
            <w:gridSpan w:val="2"/>
            <w:vAlign w:val="center"/>
          </w:tcPr>
          <w:p>
            <w:pPr>
              <w:widowControl/>
              <w:spacing w:after="120" w:line="300" w:lineRule="exac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*项目名称</w:t>
            </w:r>
          </w:p>
        </w:tc>
        <w:tc>
          <w:tcPr>
            <w:tcW w:w="6474" w:type="dxa"/>
            <w:gridSpan w:val="7"/>
            <w:vAlign w:val="center"/>
          </w:tcPr>
          <w:p>
            <w:pPr>
              <w:widowControl/>
              <w:spacing w:after="120" w:line="300" w:lineRule="exac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741" w:type="dxa"/>
            <w:gridSpan w:val="2"/>
            <w:vAlign w:val="center"/>
          </w:tcPr>
          <w:p>
            <w:pPr>
              <w:widowControl/>
              <w:spacing w:after="120" w:line="300" w:lineRule="exac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w:t>
            </w:r>
          </w:p>
        </w:tc>
        <w:tc>
          <w:tcPr>
            <w:tcW w:w="6474" w:type="dxa"/>
            <w:gridSpan w:val="7"/>
            <w:vAlign w:val="center"/>
          </w:tcPr>
          <w:p>
            <w:pPr>
              <w:widowControl/>
              <w:spacing w:after="120" w:line="300" w:lineRule="exac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741" w:type="dxa"/>
            <w:gridSpan w:val="2"/>
            <w:vAlign w:val="center"/>
          </w:tcPr>
          <w:p>
            <w:pPr>
              <w:widowControl/>
              <w:spacing w:after="120" w:line="300" w:lineRule="exac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*注册地址</w:t>
            </w:r>
          </w:p>
        </w:tc>
        <w:tc>
          <w:tcPr>
            <w:tcW w:w="2985" w:type="dxa"/>
            <w:gridSpan w:val="3"/>
            <w:tcBorders>
              <w:right w:val="single" w:color="auto" w:sz="4" w:space="0"/>
            </w:tcBorders>
            <w:vAlign w:val="center"/>
          </w:tcPr>
          <w:p>
            <w:pPr>
              <w:widowControl/>
              <w:spacing w:after="120" w:line="300" w:lineRule="exact"/>
              <w:jc w:val="left"/>
              <w:outlineLvl w:val="1"/>
              <w:rPr>
                <w:rFonts w:hint="eastAsia" w:asciiTheme="majorEastAsia" w:hAnsiTheme="majorEastAsia" w:eastAsiaTheme="majorEastAsia" w:cstheme="majorEastAsia"/>
                <w:sz w:val="24"/>
              </w:rPr>
            </w:pPr>
          </w:p>
        </w:tc>
        <w:tc>
          <w:tcPr>
            <w:tcW w:w="1590" w:type="dxa"/>
            <w:gridSpan w:val="3"/>
            <w:tcBorders>
              <w:left w:val="single" w:color="auto" w:sz="4" w:space="0"/>
              <w:right w:val="single" w:color="auto" w:sz="4" w:space="0"/>
            </w:tcBorders>
            <w:vAlign w:val="center"/>
          </w:tcPr>
          <w:p>
            <w:pPr>
              <w:widowControl/>
              <w:spacing w:after="120" w:line="300" w:lineRule="exac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*行政区域</w:t>
            </w:r>
          </w:p>
        </w:tc>
        <w:tc>
          <w:tcPr>
            <w:tcW w:w="1899" w:type="dxa"/>
            <w:tcBorders>
              <w:left w:val="single" w:color="auto" w:sz="4" w:space="0"/>
            </w:tcBorders>
            <w:vAlign w:val="center"/>
          </w:tcPr>
          <w:p>
            <w:pPr>
              <w:widowControl/>
              <w:spacing w:after="120" w:line="300" w:lineRule="exac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741" w:type="dxa"/>
            <w:gridSpan w:val="2"/>
            <w:vAlign w:val="center"/>
          </w:tcPr>
          <w:p>
            <w:pPr>
              <w:widowControl/>
              <w:spacing w:after="120" w:line="300" w:lineRule="exac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*供应商规模</w:t>
            </w:r>
          </w:p>
        </w:tc>
        <w:tc>
          <w:tcPr>
            <w:tcW w:w="6474" w:type="dxa"/>
            <w:gridSpan w:val="7"/>
            <w:vAlign w:val="center"/>
          </w:tcPr>
          <w:p>
            <w:pPr>
              <w:widowControl/>
              <w:spacing w:after="120" w:line="300" w:lineRule="exact"/>
              <w:jc w:val="center"/>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Cs w:val="21"/>
              </w:rPr>
              <w:t>□大型企业   □中型企业   □小微型企业（对应处打“√”）</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741" w:type="dxa"/>
            <w:gridSpan w:val="2"/>
            <w:vMerge w:val="restart"/>
            <w:vAlign w:val="center"/>
          </w:tcPr>
          <w:p>
            <w:pPr>
              <w:widowControl/>
              <w:spacing w:after="120" w:line="300" w:lineRule="exac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*单位联系方式</w:t>
            </w:r>
          </w:p>
        </w:tc>
        <w:tc>
          <w:tcPr>
            <w:tcW w:w="1635" w:type="dxa"/>
            <w:vAlign w:val="center"/>
          </w:tcPr>
          <w:p>
            <w:pPr>
              <w:widowControl/>
              <w:spacing w:after="120" w:line="300" w:lineRule="exac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*单位联系人</w:t>
            </w:r>
          </w:p>
        </w:tc>
        <w:tc>
          <w:tcPr>
            <w:tcW w:w="1380" w:type="dxa"/>
            <w:gridSpan w:val="3"/>
            <w:vAlign w:val="center"/>
          </w:tcPr>
          <w:p>
            <w:pPr>
              <w:widowControl/>
              <w:spacing w:after="120" w:line="300" w:lineRule="exact"/>
              <w:ind w:firstLine="470" w:firstLineChars="196"/>
              <w:jc w:val="left"/>
              <w:outlineLvl w:val="1"/>
              <w:rPr>
                <w:rFonts w:hint="eastAsia" w:asciiTheme="majorEastAsia" w:hAnsiTheme="majorEastAsia" w:eastAsiaTheme="majorEastAsia" w:cstheme="majorEastAsia"/>
                <w:sz w:val="24"/>
              </w:rPr>
            </w:pPr>
          </w:p>
        </w:tc>
        <w:tc>
          <w:tcPr>
            <w:tcW w:w="1529" w:type="dxa"/>
            <w:vAlign w:val="center"/>
          </w:tcPr>
          <w:p>
            <w:pPr>
              <w:widowControl/>
              <w:spacing w:after="120" w:line="300" w:lineRule="exac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*单位电话</w:t>
            </w:r>
          </w:p>
        </w:tc>
        <w:tc>
          <w:tcPr>
            <w:tcW w:w="1930" w:type="dxa"/>
            <w:gridSpan w:val="2"/>
            <w:vAlign w:val="center"/>
          </w:tcPr>
          <w:p>
            <w:pPr>
              <w:widowControl/>
              <w:spacing w:after="120" w:line="300" w:lineRule="exac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741" w:type="dxa"/>
            <w:gridSpan w:val="2"/>
            <w:vMerge w:val="continue"/>
            <w:vAlign w:val="center"/>
          </w:tcPr>
          <w:p>
            <w:pPr>
              <w:spacing w:after="120" w:line="300" w:lineRule="exact"/>
              <w:rPr>
                <w:rFonts w:hint="eastAsia" w:asciiTheme="majorEastAsia" w:hAnsiTheme="majorEastAsia" w:eastAsiaTheme="majorEastAsia" w:cstheme="majorEastAsia"/>
              </w:rPr>
            </w:pPr>
          </w:p>
        </w:tc>
        <w:tc>
          <w:tcPr>
            <w:tcW w:w="1635" w:type="dxa"/>
            <w:vAlign w:val="center"/>
          </w:tcPr>
          <w:p>
            <w:pPr>
              <w:widowControl/>
              <w:spacing w:after="120" w:line="300" w:lineRule="exac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*单位邮箱</w:t>
            </w:r>
          </w:p>
        </w:tc>
        <w:tc>
          <w:tcPr>
            <w:tcW w:w="4839" w:type="dxa"/>
            <w:gridSpan w:val="6"/>
            <w:vAlign w:val="center"/>
          </w:tcPr>
          <w:p>
            <w:pPr>
              <w:widowControl/>
              <w:spacing w:after="120" w:line="300" w:lineRule="exac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278" w:type="dxa"/>
            <w:vMerge w:val="restart"/>
            <w:tcBorders>
              <w:right w:val="single" w:color="auto" w:sz="4" w:space="0"/>
            </w:tcBorders>
            <w:vAlign w:val="center"/>
          </w:tcPr>
          <w:p>
            <w:pPr>
              <w:widowControl/>
              <w:spacing w:after="120" w:line="300" w:lineRule="exact"/>
              <w:jc w:val="left"/>
              <w:outlineLvl w:val="1"/>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供应商应答“采购文件”的主要内容</w:t>
            </w:r>
          </w:p>
        </w:tc>
        <w:tc>
          <w:tcPr>
            <w:tcW w:w="2373" w:type="dxa"/>
            <w:gridSpan w:val="3"/>
            <w:tcBorders>
              <w:left w:val="single" w:color="auto" w:sz="4" w:space="0"/>
              <w:right w:val="single" w:color="auto" w:sz="4" w:space="0"/>
            </w:tcBorders>
            <w:vAlign w:val="center"/>
          </w:tcPr>
          <w:p>
            <w:pPr>
              <w:spacing w:after="120" w:line="300" w:lineRule="exact"/>
              <w:jc w:val="left"/>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Cs/>
                <w:kern w:val="0"/>
                <w:sz w:val="24"/>
              </w:rPr>
              <w:t>主要中标或者成交标的的名称</w:t>
            </w:r>
          </w:p>
        </w:tc>
        <w:tc>
          <w:tcPr>
            <w:tcW w:w="4564" w:type="dxa"/>
            <w:gridSpan w:val="5"/>
            <w:tcBorders>
              <w:left w:val="single" w:color="auto" w:sz="4" w:space="0"/>
            </w:tcBorders>
            <w:vAlign w:val="center"/>
          </w:tcPr>
          <w:p>
            <w:pPr>
              <w:spacing w:after="120" w:line="300" w:lineRule="exact"/>
              <w:jc w:val="left"/>
              <w:rPr>
                <w:rFonts w:hint="eastAsia" w:asciiTheme="majorEastAsia" w:hAnsiTheme="majorEastAsia" w:eastAsiaTheme="majorEastAsia" w:cstheme="majorEastAsia"/>
                <w:b/>
                <w:bCs/>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278" w:type="dxa"/>
            <w:vMerge w:val="continue"/>
            <w:tcBorders>
              <w:right w:val="single" w:color="auto" w:sz="4" w:space="0"/>
            </w:tcBorders>
            <w:vAlign w:val="center"/>
          </w:tcPr>
          <w:p>
            <w:pPr>
              <w:widowControl/>
              <w:spacing w:after="120" w:line="300" w:lineRule="exact"/>
              <w:ind w:firstLine="472" w:firstLineChars="196"/>
              <w:jc w:val="left"/>
              <w:outlineLvl w:val="1"/>
              <w:rPr>
                <w:rFonts w:hint="eastAsia" w:asciiTheme="majorEastAsia" w:hAnsiTheme="majorEastAsia" w:eastAsiaTheme="majorEastAsia" w:cstheme="majorEastAsia"/>
                <w:b/>
                <w:bCs/>
                <w:sz w:val="24"/>
              </w:rPr>
            </w:pPr>
          </w:p>
        </w:tc>
        <w:tc>
          <w:tcPr>
            <w:tcW w:w="2373" w:type="dxa"/>
            <w:gridSpan w:val="3"/>
            <w:tcBorders>
              <w:left w:val="single" w:color="auto" w:sz="4" w:space="0"/>
              <w:right w:val="single" w:color="auto" w:sz="4" w:space="0"/>
            </w:tcBorders>
            <w:vAlign w:val="center"/>
          </w:tcPr>
          <w:p>
            <w:pPr>
              <w:spacing w:after="120" w:line="300" w:lineRule="exact"/>
              <w:jc w:val="left"/>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Cs/>
                <w:kern w:val="0"/>
                <w:sz w:val="24"/>
              </w:rPr>
              <w:t>主要中标或者成交标的的规格型号</w:t>
            </w:r>
          </w:p>
        </w:tc>
        <w:tc>
          <w:tcPr>
            <w:tcW w:w="4564" w:type="dxa"/>
            <w:gridSpan w:val="5"/>
            <w:tcBorders>
              <w:left w:val="single" w:color="auto" w:sz="4" w:space="0"/>
            </w:tcBorders>
            <w:vAlign w:val="center"/>
          </w:tcPr>
          <w:p>
            <w:pPr>
              <w:spacing w:after="120" w:line="300" w:lineRule="exact"/>
              <w:jc w:val="left"/>
              <w:rPr>
                <w:rFonts w:hint="eastAsia" w:asciiTheme="majorEastAsia" w:hAnsiTheme="majorEastAsia" w:eastAsiaTheme="majorEastAsia" w:cstheme="majorEastAsia"/>
                <w:b/>
                <w:bCs/>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278" w:type="dxa"/>
            <w:vMerge w:val="continue"/>
            <w:tcBorders>
              <w:right w:val="single" w:color="auto" w:sz="4" w:space="0"/>
            </w:tcBorders>
            <w:vAlign w:val="center"/>
          </w:tcPr>
          <w:p>
            <w:pPr>
              <w:widowControl/>
              <w:spacing w:after="120" w:line="300" w:lineRule="exact"/>
              <w:ind w:firstLine="472" w:firstLineChars="196"/>
              <w:jc w:val="left"/>
              <w:outlineLvl w:val="1"/>
              <w:rPr>
                <w:rFonts w:hint="eastAsia" w:asciiTheme="majorEastAsia" w:hAnsiTheme="majorEastAsia" w:eastAsiaTheme="majorEastAsia" w:cstheme="majorEastAsia"/>
                <w:b/>
                <w:bCs/>
                <w:sz w:val="24"/>
              </w:rPr>
            </w:pPr>
          </w:p>
        </w:tc>
        <w:tc>
          <w:tcPr>
            <w:tcW w:w="2373" w:type="dxa"/>
            <w:gridSpan w:val="3"/>
            <w:tcBorders>
              <w:left w:val="single" w:color="auto" w:sz="4" w:space="0"/>
              <w:right w:val="single" w:color="auto" w:sz="4" w:space="0"/>
            </w:tcBorders>
            <w:vAlign w:val="center"/>
          </w:tcPr>
          <w:p>
            <w:pPr>
              <w:spacing w:after="120" w:line="300" w:lineRule="exact"/>
              <w:jc w:val="left"/>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Cs/>
                <w:kern w:val="0"/>
                <w:sz w:val="24"/>
              </w:rPr>
              <w:t>主要中标或者成交标的的数量</w:t>
            </w:r>
          </w:p>
        </w:tc>
        <w:tc>
          <w:tcPr>
            <w:tcW w:w="4564" w:type="dxa"/>
            <w:gridSpan w:val="5"/>
            <w:tcBorders>
              <w:left w:val="single" w:color="auto" w:sz="4" w:space="0"/>
            </w:tcBorders>
            <w:vAlign w:val="center"/>
          </w:tcPr>
          <w:p>
            <w:pPr>
              <w:spacing w:after="120" w:line="300" w:lineRule="exact"/>
              <w:jc w:val="left"/>
              <w:rPr>
                <w:rFonts w:hint="eastAsia" w:asciiTheme="majorEastAsia" w:hAnsiTheme="majorEastAsia" w:eastAsiaTheme="majorEastAsia" w:cstheme="majorEastAsia"/>
                <w:b/>
                <w:bCs/>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278" w:type="dxa"/>
            <w:vMerge w:val="continue"/>
            <w:tcBorders>
              <w:right w:val="single" w:color="auto" w:sz="4" w:space="0"/>
            </w:tcBorders>
            <w:vAlign w:val="center"/>
          </w:tcPr>
          <w:p>
            <w:pPr>
              <w:widowControl/>
              <w:spacing w:after="120" w:line="300" w:lineRule="exact"/>
              <w:ind w:firstLine="472" w:firstLineChars="196"/>
              <w:jc w:val="left"/>
              <w:outlineLvl w:val="1"/>
              <w:rPr>
                <w:rFonts w:hint="eastAsia" w:asciiTheme="majorEastAsia" w:hAnsiTheme="majorEastAsia" w:eastAsiaTheme="majorEastAsia" w:cstheme="majorEastAsia"/>
                <w:b/>
                <w:bCs/>
                <w:sz w:val="24"/>
              </w:rPr>
            </w:pPr>
          </w:p>
        </w:tc>
        <w:tc>
          <w:tcPr>
            <w:tcW w:w="2373" w:type="dxa"/>
            <w:gridSpan w:val="3"/>
            <w:tcBorders>
              <w:left w:val="single" w:color="auto" w:sz="4" w:space="0"/>
              <w:right w:val="single" w:color="auto" w:sz="4" w:space="0"/>
            </w:tcBorders>
            <w:vAlign w:val="center"/>
          </w:tcPr>
          <w:p>
            <w:pPr>
              <w:spacing w:after="120" w:line="300" w:lineRule="exact"/>
              <w:jc w:val="left"/>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Cs/>
                <w:kern w:val="0"/>
                <w:sz w:val="24"/>
              </w:rPr>
              <w:t>主要中标或者成交标的的单价</w:t>
            </w:r>
          </w:p>
        </w:tc>
        <w:tc>
          <w:tcPr>
            <w:tcW w:w="4564" w:type="dxa"/>
            <w:gridSpan w:val="5"/>
            <w:tcBorders>
              <w:left w:val="single" w:color="auto" w:sz="4" w:space="0"/>
            </w:tcBorders>
            <w:vAlign w:val="center"/>
          </w:tcPr>
          <w:p>
            <w:pPr>
              <w:spacing w:after="120" w:line="300" w:lineRule="exact"/>
              <w:jc w:val="left"/>
              <w:rPr>
                <w:rFonts w:hint="eastAsia" w:asciiTheme="majorEastAsia" w:hAnsiTheme="majorEastAsia" w:eastAsiaTheme="majorEastAsia" w:cstheme="majorEastAsia"/>
                <w:b/>
                <w:bCs/>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334" w:hRule="atLeast"/>
        </w:trPr>
        <w:tc>
          <w:tcPr>
            <w:tcW w:w="1278" w:type="dxa"/>
            <w:vMerge w:val="continue"/>
            <w:tcBorders>
              <w:right w:val="single" w:color="auto" w:sz="4" w:space="0"/>
            </w:tcBorders>
            <w:vAlign w:val="center"/>
          </w:tcPr>
          <w:p>
            <w:pPr>
              <w:widowControl/>
              <w:spacing w:after="120" w:line="300" w:lineRule="exact"/>
              <w:ind w:firstLine="472" w:firstLineChars="196"/>
              <w:jc w:val="left"/>
              <w:outlineLvl w:val="1"/>
              <w:rPr>
                <w:rFonts w:hint="eastAsia" w:asciiTheme="majorEastAsia" w:hAnsiTheme="majorEastAsia" w:eastAsiaTheme="majorEastAsia" w:cstheme="majorEastAsia"/>
                <w:b/>
                <w:bCs/>
                <w:sz w:val="24"/>
              </w:rPr>
            </w:pPr>
          </w:p>
        </w:tc>
        <w:tc>
          <w:tcPr>
            <w:tcW w:w="2373" w:type="dxa"/>
            <w:gridSpan w:val="3"/>
            <w:tcBorders>
              <w:left w:val="single" w:color="auto" w:sz="4" w:space="0"/>
              <w:right w:val="single" w:color="auto" w:sz="4" w:space="0"/>
            </w:tcBorders>
            <w:vAlign w:val="center"/>
          </w:tcPr>
          <w:p>
            <w:pPr>
              <w:spacing w:after="120" w:line="300" w:lineRule="exact"/>
              <w:jc w:val="left"/>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Cs/>
                <w:kern w:val="0"/>
                <w:sz w:val="24"/>
              </w:rPr>
              <w:t>主要中标或者成交标的的服务要求（如：交货期、质保期、售后服务等等）</w:t>
            </w:r>
          </w:p>
        </w:tc>
        <w:tc>
          <w:tcPr>
            <w:tcW w:w="4564" w:type="dxa"/>
            <w:gridSpan w:val="5"/>
            <w:tcBorders>
              <w:left w:val="single" w:color="auto" w:sz="4" w:space="0"/>
            </w:tcBorders>
            <w:vAlign w:val="center"/>
          </w:tcPr>
          <w:p>
            <w:pPr>
              <w:numPr>
                <w:ilvl w:val="0"/>
                <w:numId w:val="4"/>
              </w:numPr>
              <w:spacing w:after="120" w:line="300" w:lineRule="exact"/>
              <w:jc w:val="left"/>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w:t>
            </w:r>
          </w:p>
          <w:p>
            <w:pPr>
              <w:numPr>
                <w:ilvl w:val="0"/>
                <w:numId w:val="4"/>
              </w:numPr>
              <w:spacing w:after="120" w:line="300" w:lineRule="exact"/>
              <w:jc w:val="left"/>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w:t>
            </w:r>
          </w:p>
          <w:p>
            <w:pPr>
              <w:numPr>
                <w:ilvl w:val="0"/>
                <w:numId w:val="4"/>
              </w:numPr>
              <w:spacing w:after="120" w:line="300" w:lineRule="exact"/>
              <w:jc w:val="left"/>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w:t>
            </w:r>
          </w:p>
          <w:p>
            <w:pPr>
              <w:spacing w:after="120" w:line="300" w:lineRule="exact"/>
              <w:jc w:val="left"/>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Cs/>
                <w:sz w:val="24"/>
              </w:rPr>
              <w:t>......</w:t>
            </w:r>
          </w:p>
        </w:tc>
      </w:tr>
    </w:tbl>
    <w:p>
      <w:pPr>
        <w:spacing w:after="120" w:line="300" w:lineRule="exac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w:t>
      </w:r>
    </w:p>
    <w:p>
      <w:pPr>
        <w:numPr>
          <w:ilvl w:val="0"/>
          <w:numId w:val="5"/>
        </w:numPr>
        <w:spacing w:after="120" w:line="300" w:lineRule="exac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供应商需如实完善表格内容。</w:t>
      </w:r>
    </w:p>
    <w:p>
      <w:pPr>
        <w:numPr>
          <w:ilvl w:val="0"/>
          <w:numId w:val="5"/>
        </w:numPr>
        <w:spacing w:after="120" w:line="300" w:lineRule="exac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供应商应答的主要内容应与投标文件一致，可以进行简要概括性表述。</w:t>
      </w:r>
    </w:p>
    <w:p>
      <w:pPr>
        <w:numPr>
          <w:ilvl w:val="0"/>
          <w:numId w:val="5"/>
        </w:numPr>
        <w:spacing w:after="120" w:line="300" w:lineRule="exac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供应商应答的主要内容仅用于结果公告，供应商自行完善的内容视为不涉及供应商商业秘密。若供应商没有填写或没有递交此表，视为允许采购代理机构将供应商投标文件中所有相关的应答内容进行公告。</w:t>
      </w:r>
    </w:p>
    <w:p>
      <w:pPr>
        <w:widowControl/>
        <w:spacing w:after="120" w:line="300" w:lineRule="exac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投标人名称：XXXX（单位盖章）。</w:t>
      </w:r>
    </w:p>
    <w:p>
      <w:pPr>
        <w:widowControl/>
        <w:spacing w:after="120" w:line="300" w:lineRule="exac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法定代表人/单位负责人或授权代表（签字或加盖个人名章）：XXXX。</w:t>
      </w:r>
    </w:p>
    <w:p>
      <w:pPr>
        <w:widowControl/>
        <w:spacing w:after="120" w:line="300" w:lineRule="exact"/>
        <w:ind w:firstLine="470" w:firstLineChars="196"/>
        <w:jc w:val="left"/>
        <w:outlineLvl w:val="1"/>
        <w:rPr>
          <w:rFonts w:hint="eastAsia" w:asciiTheme="majorEastAsia" w:hAnsiTheme="majorEastAsia" w:eastAsiaTheme="majorEastAsia" w:cstheme="majorEastAsia"/>
          <w:b/>
          <w:sz w:val="24"/>
        </w:rPr>
      </w:pPr>
      <w:r>
        <w:rPr>
          <w:rFonts w:hint="eastAsia" w:asciiTheme="majorEastAsia" w:hAnsiTheme="majorEastAsia" w:eastAsiaTheme="majorEastAsia" w:cstheme="majorEastAsia"/>
          <w:sz w:val="24"/>
        </w:rPr>
        <w:t>投标日期: XXXX。</w:t>
      </w:r>
    </w:p>
    <w:p>
      <w:pPr>
        <w:spacing w:line="360" w:lineRule="auto"/>
        <w:rPr>
          <w:rFonts w:hint="eastAsia" w:asciiTheme="majorEastAsia" w:hAnsiTheme="majorEastAsia" w:eastAsiaTheme="majorEastAsia" w:cstheme="majorEastAsia"/>
          <w:b/>
          <w:sz w:val="32"/>
          <w:szCs w:val="32"/>
        </w:rPr>
      </w:pPr>
      <w:bookmarkStart w:id="158" w:name="_Toc217446088"/>
      <w:r>
        <w:rPr>
          <w:rFonts w:hint="eastAsia" w:asciiTheme="majorEastAsia" w:hAnsiTheme="majorEastAsia" w:eastAsiaTheme="majorEastAsia" w:cstheme="majorEastAsia"/>
          <w:b/>
          <w:sz w:val="32"/>
          <w:szCs w:val="32"/>
        </w:rPr>
        <w:br w:type="page"/>
      </w:r>
      <w:r>
        <w:rPr>
          <w:rFonts w:hint="eastAsia" w:asciiTheme="majorEastAsia" w:hAnsiTheme="majorEastAsia" w:eastAsiaTheme="majorEastAsia" w:cstheme="majorEastAsia"/>
          <w:b/>
          <w:sz w:val="32"/>
          <w:szCs w:val="32"/>
        </w:rPr>
        <w:t>格式2-</w:t>
      </w:r>
      <w:r>
        <w:rPr>
          <w:rFonts w:hint="eastAsia" w:asciiTheme="majorEastAsia" w:hAnsiTheme="majorEastAsia" w:eastAsiaTheme="majorEastAsia" w:cstheme="majorEastAsia"/>
          <w:b/>
          <w:sz w:val="32"/>
          <w:szCs w:val="32"/>
          <w:lang w:val="en-US" w:eastAsia="zh-CN"/>
        </w:rPr>
        <w:t>11</w:t>
      </w:r>
    </w:p>
    <w:p>
      <w:pPr>
        <w:widowControl/>
        <w:spacing w:line="360" w:lineRule="atLeast"/>
        <w:jc w:val="center"/>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投标人基本情况表</w:t>
      </w:r>
      <w:bookmarkEnd w:id="158"/>
    </w:p>
    <w:tbl>
      <w:tblPr>
        <w:tblStyle w:val="25"/>
        <w:tblW w:w="8215"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522"/>
        <w:gridCol w:w="957"/>
        <w:gridCol w:w="1239"/>
        <w:gridCol w:w="1247"/>
        <w:gridCol w:w="1320"/>
        <w:gridCol w:w="158"/>
        <w:gridCol w:w="692"/>
        <w:gridCol w:w="108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52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w:t>
            </w:r>
          </w:p>
        </w:tc>
        <w:tc>
          <w:tcPr>
            <w:tcW w:w="6693" w:type="dxa"/>
            <w:gridSpan w:val="7"/>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52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注册地址</w:t>
            </w:r>
          </w:p>
        </w:tc>
        <w:tc>
          <w:tcPr>
            <w:tcW w:w="3443" w:type="dxa"/>
            <w:gridSpan w:val="3"/>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邮政编码</w:t>
            </w:r>
          </w:p>
        </w:tc>
        <w:tc>
          <w:tcPr>
            <w:tcW w:w="1930" w:type="dxa"/>
            <w:gridSpan w:val="3"/>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522" w:type="dxa"/>
            <w:vMerge w:val="restar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联系方式</w:t>
            </w:r>
          </w:p>
        </w:tc>
        <w:tc>
          <w:tcPr>
            <w:tcW w:w="957"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联系人</w:t>
            </w:r>
          </w:p>
        </w:tc>
        <w:tc>
          <w:tcPr>
            <w:tcW w:w="2486"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电话</w:t>
            </w:r>
          </w:p>
        </w:tc>
        <w:tc>
          <w:tcPr>
            <w:tcW w:w="1930" w:type="dxa"/>
            <w:gridSpan w:val="3"/>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522" w:type="dxa"/>
            <w:vMerge w:val="continue"/>
            <w:vAlign w:val="center"/>
          </w:tcPr>
          <w:p>
            <w:pPr>
              <w:rPr>
                <w:rFonts w:hint="eastAsia" w:asciiTheme="majorEastAsia" w:hAnsiTheme="majorEastAsia" w:eastAsiaTheme="majorEastAsia" w:cstheme="majorEastAsia"/>
              </w:rPr>
            </w:pPr>
          </w:p>
        </w:tc>
        <w:tc>
          <w:tcPr>
            <w:tcW w:w="957"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传真</w:t>
            </w:r>
          </w:p>
        </w:tc>
        <w:tc>
          <w:tcPr>
            <w:tcW w:w="2486"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网址</w:t>
            </w:r>
          </w:p>
        </w:tc>
        <w:tc>
          <w:tcPr>
            <w:tcW w:w="1930" w:type="dxa"/>
            <w:gridSpan w:val="3"/>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52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组织结构</w:t>
            </w:r>
          </w:p>
        </w:tc>
        <w:tc>
          <w:tcPr>
            <w:tcW w:w="6693" w:type="dxa"/>
            <w:gridSpan w:val="7"/>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52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w:t>
            </w:r>
          </w:p>
        </w:tc>
        <w:tc>
          <w:tcPr>
            <w:tcW w:w="957"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姓名</w:t>
            </w:r>
          </w:p>
        </w:tc>
        <w:tc>
          <w:tcPr>
            <w:tcW w:w="1239"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47"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技术职称</w:t>
            </w:r>
          </w:p>
        </w:tc>
        <w:tc>
          <w:tcPr>
            <w:tcW w:w="13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50" w:type="dxa"/>
            <w:gridSpan w:val="2"/>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电话</w:t>
            </w:r>
          </w:p>
        </w:tc>
        <w:tc>
          <w:tcPr>
            <w:tcW w:w="108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52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技术负责人</w:t>
            </w:r>
          </w:p>
        </w:tc>
        <w:tc>
          <w:tcPr>
            <w:tcW w:w="957"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姓名</w:t>
            </w:r>
          </w:p>
        </w:tc>
        <w:tc>
          <w:tcPr>
            <w:tcW w:w="1239"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47"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技术职称</w:t>
            </w:r>
          </w:p>
        </w:tc>
        <w:tc>
          <w:tcPr>
            <w:tcW w:w="13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50" w:type="dxa"/>
            <w:gridSpan w:val="2"/>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电话</w:t>
            </w:r>
          </w:p>
        </w:tc>
        <w:tc>
          <w:tcPr>
            <w:tcW w:w="108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52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成立时间</w:t>
            </w:r>
          </w:p>
        </w:tc>
        <w:tc>
          <w:tcPr>
            <w:tcW w:w="2196"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4497" w:type="dxa"/>
            <w:gridSpan w:val="5"/>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52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企业资质等级</w:t>
            </w:r>
          </w:p>
        </w:tc>
        <w:tc>
          <w:tcPr>
            <w:tcW w:w="2196"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47" w:type="dxa"/>
            <w:vMerge w:val="restart"/>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其中</w:t>
            </w:r>
          </w:p>
        </w:tc>
        <w:tc>
          <w:tcPr>
            <w:tcW w:w="1478" w:type="dxa"/>
            <w:gridSpan w:val="2"/>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项目经理</w:t>
            </w:r>
          </w:p>
        </w:tc>
        <w:tc>
          <w:tcPr>
            <w:tcW w:w="1772"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52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营业执照号</w:t>
            </w:r>
          </w:p>
        </w:tc>
        <w:tc>
          <w:tcPr>
            <w:tcW w:w="2196"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47" w:type="dxa"/>
            <w:vMerge w:val="continue"/>
            <w:vAlign w:val="center"/>
          </w:tcPr>
          <w:p>
            <w:pPr>
              <w:rPr>
                <w:rFonts w:hint="eastAsia" w:asciiTheme="majorEastAsia" w:hAnsiTheme="majorEastAsia" w:eastAsiaTheme="majorEastAsia" w:cstheme="majorEastAsia"/>
              </w:rPr>
            </w:pPr>
          </w:p>
        </w:tc>
        <w:tc>
          <w:tcPr>
            <w:tcW w:w="1478" w:type="dxa"/>
            <w:gridSpan w:val="2"/>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高级职称人员</w:t>
            </w:r>
          </w:p>
        </w:tc>
        <w:tc>
          <w:tcPr>
            <w:tcW w:w="1772"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52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注册资金</w:t>
            </w:r>
          </w:p>
        </w:tc>
        <w:tc>
          <w:tcPr>
            <w:tcW w:w="2196"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47" w:type="dxa"/>
            <w:vMerge w:val="continue"/>
            <w:vAlign w:val="center"/>
          </w:tcPr>
          <w:p>
            <w:pPr>
              <w:rPr>
                <w:rFonts w:hint="eastAsia" w:asciiTheme="majorEastAsia" w:hAnsiTheme="majorEastAsia" w:eastAsiaTheme="majorEastAsia" w:cstheme="majorEastAsia"/>
              </w:rPr>
            </w:pPr>
          </w:p>
        </w:tc>
        <w:tc>
          <w:tcPr>
            <w:tcW w:w="1478" w:type="dxa"/>
            <w:gridSpan w:val="2"/>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中级职称人员</w:t>
            </w:r>
          </w:p>
        </w:tc>
        <w:tc>
          <w:tcPr>
            <w:tcW w:w="1772"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52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开户银行</w:t>
            </w:r>
          </w:p>
        </w:tc>
        <w:tc>
          <w:tcPr>
            <w:tcW w:w="2196"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47" w:type="dxa"/>
            <w:vMerge w:val="continue"/>
            <w:vAlign w:val="center"/>
          </w:tcPr>
          <w:p>
            <w:pPr>
              <w:rPr>
                <w:rFonts w:hint="eastAsia" w:asciiTheme="majorEastAsia" w:hAnsiTheme="majorEastAsia" w:eastAsiaTheme="majorEastAsia" w:cstheme="majorEastAsia"/>
              </w:rPr>
            </w:pPr>
          </w:p>
        </w:tc>
        <w:tc>
          <w:tcPr>
            <w:tcW w:w="1478" w:type="dxa"/>
            <w:gridSpan w:val="2"/>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初级职称人员</w:t>
            </w:r>
          </w:p>
        </w:tc>
        <w:tc>
          <w:tcPr>
            <w:tcW w:w="1772"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522"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账号</w:t>
            </w:r>
          </w:p>
        </w:tc>
        <w:tc>
          <w:tcPr>
            <w:tcW w:w="2196"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47" w:type="dxa"/>
            <w:vMerge w:val="continue"/>
            <w:vAlign w:val="center"/>
          </w:tcPr>
          <w:p>
            <w:pPr>
              <w:rPr>
                <w:rFonts w:hint="eastAsia" w:asciiTheme="majorEastAsia" w:hAnsiTheme="majorEastAsia" w:eastAsiaTheme="majorEastAsia" w:cstheme="majorEastAsia"/>
              </w:rPr>
            </w:pPr>
          </w:p>
        </w:tc>
        <w:tc>
          <w:tcPr>
            <w:tcW w:w="1478"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技工</w:t>
            </w:r>
          </w:p>
        </w:tc>
        <w:tc>
          <w:tcPr>
            <w:tcW w:w="1772" w:type="dxa"/>
            <w:gridSpan w:val="2"/>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442" w:hRule="atLeast"/>
        </w:trPr>
        <w:tc>
          <w:tcPr>
            <w:tcW w:w="152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经营范围</w:t>
            </w:r>
          </w:p>
        </w:tc>
        <w:tc>
          <w:tcPr>
            <w:tcW w:w="6693" w:type="dxa"/>
            <w:gridSpan w:val="7"/>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52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备注</w:t>
            </w:r>
          </w:p>
        </w:tc>
        <w:tc>
          <w:tcPr>
            <w:tcW w:w="6693" w:type="dxa"/>
            <w:gridSpan w:val="7"/>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bl>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投标人名称：XXXX（单位盖章）。</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法定代表人/单位负责人或授权代表（签字或加盖个人名章）：XXXX。</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投标日期: XXXX。</w:t>
      </w:r>
    </w:p>
    <w:p>
      <w:pPr>
        <w:spacing w:line="360" w:lineRule="auto"/>
        <w:rPr>
          <w:rFonts w:hint="eastAsia" w:asciiTheme="majorEastAsia" w:hAnsiTheme="majorEastAsia" w:eastAsiaTheme="majorEastAsia" w:cstheme="majorEastAsia"/>
          <w:b/>
          <w:sz w:val="32"/>
          <w:szCs w:val="32"/>
        </w:rPr>
      </w:pPr>
      <w:bookmarkStart w:id="159" w:name="_Toc217446089"/>
      <w:r>
        <w:rPr>
          <w:rFonts w:hint="eastAsia" w:asciiTheme="majorEastAsia" w:hAnsiTheme="majorEastAsia" w:eastAsiaTheme="majorEastAsia" w:cstheme="majorEastAsia"/>
          <w:b/>
          <w:sz w:val="36"/>
          <w:szCs w:val="36"/>
        </w:rPr>
        <w:br w:type="page"/>
      </w:r>
      <w:r>
        <w:rPr>
          <w:rFonts w:hint="eastAsia" w:asciiTheme="majorEastAsia" w:hAnsiTheme="majorEastAsia" w:eastAsiaTheme="majorEastAsia" w:cstheme="majorEastAsia"/>
          <w:b/>
          <w:sz w:val="32"/>
          <w:szCs w:val="32"/>
        </w:rPr>
        <w:t>格式2-</w:t>
      </w:r>
      <w:r>
        <w:rPr>
          <w:rFonts w:hint="eastAsia" w:asciiTheme="majorEastAsia" w:hAnsiTheme="majorEastAsia" w:eastAsiaTheme="majorEastAsia" w:cstheme="majorEastAsia"/>
          <w:b/>
          <w:sz w:val="32"/>
          <w:szCs w:val="32"/>
          <w:lang w:val="en-US" w:eastAsia="zh-CN"/>
        </w:rPr>
        <w:t>12</w:t>
      </w:r>
    </w:p>
    <w:p>
      <w:pPr>
        <w:widowControl/>
        <w:spacing w:line="360" w:lineRule="atLeast"/>
        <w:jc w:val="center"/>
        <w:outlineLvl w:val="1"/>
        <w:rPr>
          <w:rFonts w:hint="eastAsia" w:asciiTheme="majorEastAsia" w:hAnsiTheme="majorEastAsia" w:eastAsiaTheme="majorEastAsia" w:cstheme="majorEastAsia"/>
          <w:b/>
          <w:sz w:val="36"/>
          <w:szCs w:val="36"/>
        </w:rPr>
      </w:pPr>
      <w:r>
        <w:rPr>
          <w:rFonts w:hint="eastAsia" w:asciiTheme="majorEastAsia" w:hAnsiTheme="majorEastAsia" w:eastAsiaTheme="majorEastAsia" w:cstheme="majorEastAsia"/>
          <w:b/>
          <w:sz w:val="36"/>
          <w:szCs w:val="36"/>
        </w:rPr>
        <w:t>类似项目业绩一览表</w:t>
      </w:r>
      <w:bookmarkEnd w:id="159"/>
    </w:p>
    <w:p>
      <w:pPr>
        <w:widowControl/>
        <w:spacing w:line="360" w:lineRule="atLeast"/>
        <w:ind w:firstLine="472" w:firstLineChars="196"/>
        <w:jc w:val="left"/>
        <w:outlineLvl w:val="1"/>
        <w:rPr>
          <w:rFonts w:hint="eastAsia" w:asciiTheme="majorEastAsia" w:hAnsiTheme="majorEastAsia" w:eastAsiaTheme="majorEastAsia" w:cstheme="majorEastAsia"/>
          <w:b/>
          <w:sz w:val="24"/>
        </w:rPr>
      </w:pPr>
    </w:p>
    <w:tbl>
      <w:tblPr>
        <w:tblStyle w:val="25"/>
        <w:tblW w:w="8523"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20"/>
        <w:gridCol w:w="1440"/>
        <w:gridCol w:w="1320"/>
        <w:gridCol w:w="1161"/>
        <w:gridCol w:w="1260"/>
        <w:gridCol w:w="9"/>
        <w:gridCol w:w="1621"/>
        <w:gridCol w:w="992"/>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tcBorders>
              <w:top w:val="single" w:color="auto" w:sz="4" w:space="0"/>
            </w:tcBorders>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年份</w:t>
            </w:r>
          </w:p>
        </w:tc>
        <w:tc>
          <w:tcPr>
            <w:tcW w:w="1440"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用户名称</w:t>
            </w:r>
          </w:p>
        </w:tc>
        <w:tc>
          <w:tcPr>
            <w:tcW w:w="1320"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项目名称</w:t>
            </w:r>
          </w:p>
        </w:tc>
        <w:tc>
          <w:tcPr>
            <w:tcW w:w="1161"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完成时间</w:t>
            </w:r>
          </w:p>
        </w:tc>
        <w:tc>
          <w:tcPr>
            <w:tcW w:w="1260"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合同金额</w:t>
            </w:r>
          </w:p>
        </w:tc>
        <w:tc>
          <w:tcPr>
            <w:tcW w:w="1630" w:type="dxa"/>
            <w:gridSpan w:val="2"/>
            <w:tcBorders>
              <w:right w:val="single" w:color="auto" w:sz="4" w:space="0"/>
            </w:tcBorders>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是否通过验收</w:t>
            </w:r>
          </w:p>
        </w:tc>
        <w:tc>
          <w:tcPr>
            <w:tcW w:w="992" w:type="dxa"/>
            <w:tcBorders>
              <w:left w:val="single" w:color="auto" w:sz="4" w:space="0"/>
            </w:tcBorders>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30" w:type="dxa"/>
            <w:gridSpan w:val="2"/>
            <w:tcBorders>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lef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30" w:type="dxa"/>
            <w:gridSpan w:val="2"/>
            <w:tcBorders>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lef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30" w:type="dxa"/>
            <w:gridSpan w:val="2"/>
            <w:tcBorders>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lef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tcBorders>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tcBorders>
              <w:lef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30" w:type="dxa"/>
            <w:gridSpan w:val="2"/>
            <w:tcBorders>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lef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tcBorders>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tcBorders>
              <w:left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tcBorders>
              <w:left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tcBorders>
              <w:left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9" w:type="dxa"/>
            <w:gridSpan w:val="2"/>
            <w:tcBorders>
              <w:left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21" w:type="dxa"/>
            <w:tcBorders>
              <w:left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lef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9" w:type="dxa"/>
            <w:gridSpan w:val="2"/>
            <w:tcBorders>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21" w:type="dxa"/>
            <w:tcBorders>
              <w:left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lef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9" w:type="dxa"/>
            <w:gridSpan w:val="2"/>
            <w:tcBorders>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21" w:type="dxa"/>
            <w:tcBorders>
              <w:left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lef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9" w:type="dxa"/>
            <w:gridSpan w:val="2"/>
            <w:tcBorders>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21" w:type="dxa"/>
            <w:tcBorders>
              <w:left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lef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10" w:hRule="atLeast"/>
          <w:jc w:val="center"/>
        </w:trPr>
        <w:tc>
          <w:tcPr>
            <w:tcW w:w="720" w:type="dxa"/>
            <w:tcBorders>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tcBorders>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tcBorders>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tcBorders>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9" w:type="dxa"/>
            <w:gridSpan w:val="2"/>
            <w:tcBorders>
              <w:bottom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21" w:type="dxa"/>
            <w:tcBorders>
              <w:left w:val="single" w:color="auto" w:sz="4" w:space="0"/>
              <w:bottom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left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20"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9" w:type="dxa"/>
            <w:gridSpan w:val="2"/>
            <w:tcBorders>
              <w:top w:val="single" w:color="auto" w:sz="4" w:space="0"/>
              <w:bottom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21" w:type="dxa"/>
            <w:tcBorders>
              <w:top w:val="single" w:color="auto" w:sz="4" w:space="0"/>
              <w:left w:val="single" w:color="auto" w:sz="4" w:space="0"/>
              <w:bottom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top w:val="single" w:color="auto" w:sz="4" w:space="0"/>
              <w:left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20"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9" w:type="dxa"/>
            <w:gridSpan w:val="2"/>
            <w:tcBorders>
              <w:top w:val="single" w:color="auto" w:sz="4" w:space="0"/>
              <w:bottom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21" w:type="dxa"/>
            <w:tcBorders>
              <w:top w:val="single" w:color="auto" w:sz="4" w:space="0"/>
              <w:left w:val="single" w:color="auto" w:sz="4" w:space="0"/>
              <w:bottom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top w:val="single" w:color="auto" w:sz="4" w:space="0"/>
              <w:left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50" w:hRule="atLeast"/>
          <w:jc w:val="center"/>
        </w:trPr>
        <w:tc>
          <w:tcPr>
            <w:tcW w:w="720"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tcBorders>
              <w:top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9" w:type="dxa"/>
            <w:gridSpan w:val="2"/>
            <w:tcBorders>
              <w:top w:val="single" w:color="auto" w:sz="4" w:space="0"/>
              <w:bottom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21" w:type="dxa"/>
            <w:tcBorders>
              <w:top w:val="single" w:color="auto" w:sz="4" w:space="0"/>
              <w:left w:val="single" w:color="auto" w:sz="4" w:space="0"/>
              <w:bottom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top w:val="single" w:color="auto" w:sz="4" w:space="0"/>
              <w:left w:val="single" w:color="auto" w:sz="4" w:space="0"/>
              <w:bottom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35" w:hRule="atLeast"/>
          <w:jc w:val="center"/>
        </w:trPr>
        <w:tc>
          <w:tcPr>
            <w:tcW w:w="720" w:type="dxa"/>
            <w:tcBorders>
              <w:top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440" w:type="dxa"/>
            <w:tcBorders>
              <w:top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320" w:type="dxa"/>
            <w:tcBorders>
              <w:top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161" w:type="dxa"/>
            <w:tcBorders>
              <w:top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269" w:type="dxa"/>
            <w:gridSpan w:val="2"/>
            <w:tcBorders>
              <w:top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621" w:type="dxa"/>
            <w:tcBorders>
              <w:top w:val="single" w:color="auto" w:sz="4" w:space="0"/>
              <w:left w:val="single" w:color="auto" w:sz="4" w:space="0"/>
              <w:righ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92" w:type="dxa"/>
            <w:tcBorders>
              <w:top w:val="single" w:color="auto" w:sz="4" w:space="0"/>
              <w:left w:val="single" w:color="auto" w:sz="4" w:space="0"/>
            </w:tcBorders>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bl>
    <w:p>
      <w:pPr>
        <w:widowControl/>
        <w:spacing w:line="360" w:lineRule="atLeast"/>
        <w:ind w:firstLine="470" w:firstLineChars="196"/>
        <w:jc w:val="left"/>
        <w:outlineLvl w:val="1"/>
        <w:rPr>
          <w:rFonts w:hint="eastAsia" w:asciiTheme="majorEastAsia" w:hAnsiTheme="majorEastAsia" w:eastAsiaTheme="majorEastAsia" w:cstheme="majorEastAsia"/>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注：以上业绩需提供招标文件要求的有关书面证明材料。</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投标人名称：XXXX（单位盖章）。</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法定代表人/单位负责人或授权代表（签字或加盖个人名章）：XXXX。</w:t>
      </w:r>
    </w:p>
    <w:p>
      <w:pPr>
        <w:widowControl/>
        <w:spacing w:line="360" w:lineRule="atLeast"/>
        <w:ind w:firstLine="470" w:firstLineChars="196"/>
        <w:jc w:val="left"/>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sz w:val="24"/>
        </w:rPr>
        <w:t>投标日期: XXXX。</w:t>
      </w:r>
      <w:bookmarkStart w:id="160" w:name="_Toc217446090"/>
      <w:r>
        <w:rPr>
          <w:rFonts w:hint="eastAsia" w:asciiTheme="majorEastAsia" w:hAnsiTheme="majorEastAsia" w:eastAsiaTheme="majorEastAsia" w:cstheme="majorEastAsia"/>
          <w:b/>
          <w:sz w:val="32"/>
          <w:szCs w:val="32"/>
        </w:rPr>
        <w:br w:type="page"/>
      </w:r>
      <w:r>
        <w:rPr>
          <w:rFonts w:hint="eastAsia" w:asciiTheme="majorEastAsia" w:hAnsiTheme="majorEastAsia" w:eastAsiaTheme="majorEastAsia" w:cstheme="majorEastAsia"/>
          <w:b/>
          <w:sz w:val="32"/>
          <w:szCs w:val="32"/>
        </w:rPr>
        <w:t>格式2-</w:t>
      </w:r>
      <w:r>
        <w:rPr>
          <w:rFonts w:hint="eastAsia" w:asciiTheme="majorEastAsia" w:hAnsiTheme="majorEastAsia" w:eastAsiaTheme="majorEastAsia" w:cstheme="majorEastAsia"/>
          <w:b/>
          <w:sz w:val="32"/>
          <w:szCs w:val="32"/>
          <w:lang w:val="en-US" w:eastAsia="zh-CN"/>
        </w:rPr>
        <w:t>13</w:t>
      </w:r>
    </w:p>
    <w:p>
      <w:pPr>
        <w:widowControl/>
        <w:spacing w:line="360" w:lineRule="atLeast"/>
        <w:jc w:val="center"/>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投标产品技术参数表</w:t>
      </w:r>
      <w:bookmarkEnd w:id="160"/>
    </w:p>
    <w:p>
      <w:pPr>
        <w:widowControl/>
        <w:spacing w:line="360" w:lineRule="atLeast"/>
        <w:ind w:firstLine="472" w:firstLineChars="196"/>
        <w:jc w:val="left"/>
        <w:outlineLvl w:val="1"/>
        <w:rPr>
          <w:rFonts w:hint="eastAsia" w:asciiTheme="majorEastAsia" w:hAnsiTheme="majorEastAsia" w:eastAsiaTheme="majorEastAsia" w:cstheme="majorEastAsia"/>
          <w:b/>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招标编号：</w:t>
      </w:r>
    </w:p>
    <w:tbl>
      <w:tblPr>
        <w:tblStyle w:val="25"/>
        <w:tblW w:w="78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881"/>
        <w:gridCol w:w="2050"/>
        <w:gridCol w:w="1851"/>
        <w:gridCol w:w="2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序号</w:t>
            </w:r>
          </w:p>
        </w:tc>
        <w:tc>
          <w:tcPr>
            <w:tcW w:w="881"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包号 </w:t>
            </w:r>
          </w:p>
        </w:tc>
        <w:tc>
          <w:tcPr>
            <w:tcW w:w="2050"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货物（设备）名称</w:t>
            </w:r>
          </w:p>
        </w:tc>
        <w:tc>
          <w:tcPr>
            <w:tcW w:w="1851"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招标文件要求</w:t>
            </w:r>
          </w:p>
        </w:tc>
        <w:tc>
          <w:tcPr>
            <w:tcW w:w="2340"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投标产品技术参数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05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34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05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34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05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34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05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34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05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34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05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34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8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05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1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234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bl>
    <w:p>
      <w:pPr>
        <w:widowControl/>
        <w:spacing w:line="360" w:lineRule="atLeast"/>
        <w:ind w:firstLine="470" w:firstLineChars="196"/>
        <w:jc w:val="left"/>
        <w:outlineLvl w:val="1"/>
        <w:rPr>
          <w:rFonts w:hint="eastAsia" w:asciiTheme="majorEastAsia" w:hAnsiTheme="majorEastAsia" w:eastAsiaTheme="majorEastAsia" w:cstheme="majorEastAsia"/>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注：1. 供应商必须把招标文件</w:t>
      </w:r>
      <w:r>
        <w:rPr>
          <w:rFonts w:hint="eastAsia" w:asciiTheme="majorEastAsia" w:hAnsiTheme="majorEastAsia" w:eastAsiaTheme="majorEastAsia" w:cstheme="majorEastAsia"/>
          <w:b/>
          <w:bCs/>
          <w:sz w:val="24"/>
        </w:rPr>
        <w:t>第六章技术服务要求全部</w:t>
      </w:r>
      <w:r>
        <w:rPr>
          <w:rFonts w:hint="eastAsia" w:asciiTheme="majorEastAsia" w:hAnsiTheme="majorEastAsia" w:eastAsiaTheme="majorEastAsia" w:cstheme="majorEastAsia"/>
          <w:sz w:val="24"/>
        </w:rPr>
        <w:t>列入此表。</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2．按照招标项目技术要求的顺序逐条对应填写。</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3．供应商必须据实填写，不得虚假填写，否则将取消其投标或中标资格。</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投标人名称：XXXX（单位盖章）。</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法定代表人/单位负责人或授权代表（签字或加盖个人名章）：XXXX。</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投标日期: XXXX。</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p>
    <w:p>
      <w:pPr>
        <w:spacing w:line="360" w:lineRule="auto"/>
        <w:rPr>
          <w:rFonts w:hint="eastAsia" w:asciiTheme="majorEastAsia" w:hAnsiTheme="majorEastAsia" w:eastAsiaTheme="majorEastAsia" w:cstheme="majorEastAsia"/>
          <w:b/>
          <w:sz w:val="32"/>
          <w:szCs w:val="32"/>
        </w:rPr>
      </w:pPr>
      <w:bookmarkStart w:id="161" w:name="_Toc217446091"/>
      <w:r>
        <w:rPr>
          <w:rFonts w:hint="eastAsia" w:asciiTheme="majorEastAsia" w:hAnsiTheme="majorEastAsia" w:eastAsiaTheme="majorEastAsia" w:cstheme="majorEastAsia"/>
          <w:b/>
          <w:sz w:val="32"/>
          <w:szCs w:val="32"/>
        </w:rPr>
        <w:br w:type="page"/>
      </w:r>
      <w:r>
        <w:rPr>
          <w:rFonts w:hint="eastAsia" w:asciiTheme="majorEastAsia" w:hAnsiTheme="majorEastAsia" w:eastAsiaTheme="majorEastAsia" w:cstheme="majorEastAsia"/>
          <w:b/>
          <w:sz w:val="32"/>
          <w:szCs w:val="32"/>
        </w:rPr>
        <w:t>格式2-1</w:t>
      </w:r>
      <w:r>
        <w:rPr>
          <w:rFonts w:hint="eastAsia" w:asciiTheme="majorEastAsia" w:hAnsiTheme="majorEastAsia" w:eastAsiaTheme="majorEastAsia" w:cstheme="majorEastAsia"/>
          <w:b/>
          <w:sz w:val="32"/>
          <w:szCs w:val="32"/>
          <w:lang w:val="en-US" w:eastAsia="zh-CN"/>
        </w:rPr>
        <w:t>4</w:t>
      </w:r>
    </w:p>
    <w:p>
      <w:pPr>
        <w:widowControl/>
        <w:spacing w:line="360" w:lineRule="atLeast"/>
        <w:jc w:val="center"/>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投标人本项目管理、技术、服务人员情况表</w:t>
      </w:r>
      <w:bookmarkEnd w:id="161"/>
    </w:p>
    <w:p>
      <w:pPr>
        <w:widowControl/>
        <w:spacing w:line="360" w:lineRule="atLeast"/>
        <w:ind w:firstLine="472" w:firstLineChars="196"/>
        <w:jc w:val="left"/>
        <w:outlineLvl w:val="1"/>
        <w:rPr>
          <w:rFonts w:hint="eastAsia" w:asciiTheme="majorEastAsia" w:hAnsiTheme="majorEastAsia" w:eastAsiaTheme="majorEastAsia" w:cstheme="majorEastAsia"/>
          <w:b/>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招标编号：</w:t>
      </w:r>
    </w:p>
    <w:tbl>
      <w:tblPr>
        <w:tblStyle w:val="25"/>
        <w:tblW w:w="75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4"/>
        <w:gridCol w:w="807"/>
        <w:gridCol w:w="807"/>
        <w:gridCol w:w="807"/>
        <w:gridCol w:w="807"/>
        <w:gridCol w:w="851"/>
        <w:gridCol w:w="960"/>
        <w:gridCol w:w="847"/>
        <w:gridCol w:w="7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954" w:type="dxa"/>
            <w:vMerge w:val="restar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类别</w:t>
            </w:r>
          </w:p>
        </w:tc>
        <w:tc>
          <w:tcPr>
            <w:tcW w:w="807" w:type="dxa"/>
            <w:vMerge w:val="restar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职务</w:t>
            </w:r>
          </w:p>
        </w:tc>
        <w:tc>
          <w:tcPr>
            <w:tcW w:w="807" w:type="dxa"/>
            <w:vMerge w:val="restar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姓名</w:t>
            </w:r>
          </w:p>
        </w:tc>
        <w:tc>
          <w:tcPr>
            <w:tcW w:w="807" w:type="dxa"/>
            <w:vMerge w:val="restar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职称</w:t>
            </w:r>
          </w:p>
        </w:tc>
        <w:tc>
          <w:tcPr>
            <w:tcW w:w="807" w:type="dxa"/>
            <w:vMerge w:val="restart"/>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常住地</w:t>
            </w:r>
          </w:p>
        </w:tc>
        <w:tc>
          <w:tcPr>
            <w:tcW w:w="3390" w:type="dxa"/>
            <w:gridSpan w:val="4"/>
            <w:vAlign w:val="center"/>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资格证明（附复印件）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954" w:type="dxa"/>
            <w:vMerge w:val="continue"/>
            <w:vAlign w:val="center"/>
          </w:tcPr>
          <w:p>
            <w:pPr>
              <w:rPr>
                <w:rFonts w:hint="eastAsia" w:asciiTheme="majorEastAsia" w:hAnsiTheme="majorEastAsia" w:eastAsiaTheme="majorEastAsia" w:cstheme="majorEastAsia"/>
              </w:rPr>
            </w:pPr>
          </w:p>
        </w:tc>
        <w:tc>
          <w:tcPr>
            <w:tcW w:w="807" w:type="dxa"/>
            <w:vMerge w:val="continue"/>
            <w:vAlign w:val="center"/>
          </w:tcPr>
          <w:p>
            <w:pPr>
              <w:rPr>
                <w:rFonts w:hint="eastAsia" w:asciiTheme="majorEastAsia" w:hAnsiTheme="majorEastAsia" w:eastAsiaTheme="majorEastAsia" w:cstheme="majorEastAsia"/>
              </w:rPr>
            </w:pPr>
          </w:p>
        </w:tc>
        <w:tc>
          <w:tcPr>
            <w:tcW w:w="807" w:type="dxa"/>
            <w:vMerge w:val="continue"/>
            <w:vAlign w:val="center"/>
          </w:tcPr>
          <w:p>
            <w:pPr>
              <w:rPr>
                <w:rFonts w:hint="eastAsia" w:asciiTheme="majorEastAsia" w:hAnsiTheme="majorEastAsia" w:eastAsiaTheme="majorEastAsia" w:cstheme="majorEastAsia"/>
              </w:rPr>
            </w:pPr>
          </w:p>
        </w:tc>
        <w:tc>
          <w:tcPr>
            <w:tcW w:w="807" w:type="dxa"/>
            <w:vMerge w:val="continue"/>
            <w:vAlign w:val="center"/>
          </w:tcPr>
          <w:p>
            <w:pPr>
              <w:rPr>
                <w:rFonts w:hint="eastAsia" w:asciiTheme="majorEastAsia" w:hAnsiTheme="majorEastAsia" w:eastAsiaTheme="majorEastAsia" w:cstheme="majorEastAsia"/>
              </w:rPr>
            </w:pPr>
          </w:p>
        </w:tc>
        <w:tc>
          <w:tcPr>
            <w:tcW w:w="807" w:type="dxa"/>
            <w:vMerge w:val="continue"/>
            <w:vAlign w:val="center"/>
          </w:tcPr>
          <w:p>
            <w:pPr>
              <w:rPr>
                <w:rFonts w:hint="eastAsia" w:asciiTheme="majorEastAsia" w:hAnsiTheme="majorEastAsia" w:eastAsiaTheme="majorEastAsia" w:cstheme="majorEastAsia"/>
              </w:rPr>
            </w:pPr>
          </w:p>
        </w:tc>
        <w:tc>
          <w:tcPr>
            <w:tcW w:w="851"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证书</w:t>
            </w:r>
          </w:p>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名称</w:t>
            </w:r>
          </w:p>
        </w:tc>
        <w:tc>
          <w:tcPr>
            <w:tcW w:w="960"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级别</w:t>
            </w:r>
          </w:p>
        </w:tc>
        <w:tc>
          <w:tcPr>
            <w:tcW w:w="847"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证号</w:t>
            </w:r>
          </w:p>
        </w:tc>
        <w:tc>
          <w:tcPr>
            <w:tcW w:w="732" w:type="dxa"/>
            <w:vAlign w:val="center"/>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954" w:type="dxa"/>
            <w:vMerge w:val="restart"/>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管理</w:t>
            </w:r>
          </w:p>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人员</w:t>
            </w: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6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73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954" w:type="dxa"/>
            <w:vMerge w:val="continue"/>
          </w:tcPr>
          <w:p>
            <w:pPr>
              <w:rPr>
                <w:rFonts w:hint="eastAsia" w:asciiTheme="majorEastAsia" w:hAnsiTheme="majorEastAsia" w:eastAsiaTheme="majorEastAsia" w:cstheme="majorEastAsia"/>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6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73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954" w:type="dxa"/>
            <w:vMerge w:val="continue"/>
          </w:tcPr>
          <w:p>
            <w:pPr>
              <w:rPr>
                <w:rFonts w:hint="eastAsia" w:asciiTheme="majorEastAsia" w:hAnsiTheme="majorEastAsia" w:eastAsiaTheme="majorEastAsia" w:cstheme="majorEastAsia"/>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6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73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954" w:type="dxa"/>
            <w:vMerge w:val="restart"/>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技术</w:t>
            </w:r>
          </w:p>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人员</w:t>
            </w: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6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73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954" w:type="dxa"/>
            <w:vMerge w:val="continue"/>
          </w:tcPr>
          <w:p>
            <w:pPr>
              <w:rPr>
                <w:rFonts w:hint="eastAsia" w:asciiTheme="majorEastAsia" w:hAnsiTheme="majorEastAsia" w:eastAsiaTheme="majorEastAsia" w:cstheme="majorEastAsia"/>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6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73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954" w:type="dxa"/>
            <w:vMerge w:val="continue"/>
          </w:tcPr>
          <w:p>
            <w:pPr>
              <w:rPr>
                <w:rFonts w:hint="eastAsia" w:asciiTheme="majorEastAsia" w:hAnsiTheme="majorEastAsia" w:eastAsiaTheme="majorEastAsia" w:cstheme="majorEastAsia"/>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6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73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954" w:type="dxa"/>
            <w:vMerge w:val="restart"/>
          </w:tcPr>
          <w:p>
            <w:pPr>
              <w:widowControl/>
              <w:spacing w:line="360" w:lineRule="atLeast"/>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售后服务人员</w:t>
            </w: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6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73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954" w:type="dxa"/>
            <w:vMerge w:val="continue"/>
            <w:tcBorders>
              <w:bottom w:val="single" w:color="auto" w:sz="4" w:space="0"/>
            </w:tcBorders>
          </w:tcPr>
          <w:p>
            <w:pPr>
              <w:rPr>
                <w:rFonts w:hint="eastAsia" w:asciiTheme="majorEastAsia" w:hAnsiTheme="majorEastAsia" w:eastAsiaTheme="majorEastAsia" w:cstheme="majorEastAsia"/>
              </w:rPr>
            </w:pPr>
          </w:p>
        </w:tc>
        <w:tc>
          <w:tcPr>
            <w:tcW w:w="807" w:type="dxa"/>
            <w:tcBorders>
              <w:bottom w:val="single" w:color="auto" w:sz="4" w:space="0"/>
            </w:tcBorders>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0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51"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960"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847"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c>
          <w:tcPr>
            <w:tcW w:w="732" w:type="dxa"/>
          </w:tcPr>
          <w:p>
            <w:pPr>
              <w:widowControl/>
              <w:spacing w:line="360" w:lineRule="atLeast"/>
              <w:ind w:firstLine="470" w:firstLineChars="196"/>
              <w:jc w:val="left"/>
              <w:outlineLvl w:val="1"/>
              <w:rPr>
                <w:rFonts w:hint="eastAsia" w:asciiTheme="majorEastAsia" w:hAnsiTheme="majorEastAsia" w:eastAsiaTheme="majorEastAsia" w:cstheme="majorEastAsia"/>
                <w:sz w:val="24"/>
              </w:rPr>
            </w:pPr>
          </w:p>
        </w:tc>
      </w:tr>
    </w:tbl>
    <w:p>
      <w:pPr>
        <w:widowControl/>
        <w:spacing w:line="360" w:lineRule="atLeast"/>
        <w:ind w:firstLine="470" w:firstLineChars="196"/>
        <w:jc w:val="left"/>
        <w:outlineLvl w:val="1"/>
        <w:rPr>
          <w:rFonts w:hint="eastAsia" w:asciiTheme="majorEastAsia" w:hAnsiTheme="majorEastAsia" w:eastAsiaTheme="majorEastAsia" w:cstheme="majorEastAsia"/>
          <w:sz w:val="24"/>
        </w:rPr>
      </w:pP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投标人名称：XXXX（单位盖章）。</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法定代表人/单位负责人或授权代表（签字或加盖个人名章）：XXXX。</w:t>
      </w:r>
    </w:p>
    <w:p>
      <w:pPr>
        <w:widowControl/>
        <w:spacing w:line="360" w:lineRule="atLeast"/>
        <w:ind w:firstLine="470" w:firstLineChars="196"/>
        <w:jc w:val="left"/>
        <w:outlineLvl w:val="1"/>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投标日期: XXXX。</w:t>
      </w:r>
    </w:p>
    <w:p>
      <w:pPr>
        <w:widowControl/>
        <w:spacing w:line="360" w:lineRule="atLeast"/>
        <w:ind w:firstLine="472" w:firstLineChars="196"/>
        <w:jc w:val="left"/>
        <w:outlineLvl w:val="1"/>
        <w:rPr>
          <w:rFonts w:hint="eastAsia" w:asciiTheme="majorEastAsia" w:hAnsiTheme="majorEastAsia" w:eastAsiaTheme="majorEastAsia" w:cstheme="majorEastAsia"/>
          <w:b/>
          <w:sz w:val="24"/>
        </w:rPr>
      </w:pPr>
    </w:p>
    <w:p>
      <w:pPr>
        <w:widowControl/>
        <w:spacing w:line="360" w:lineRule="atLeast"/>
        <w:ind w:firstLine="472" w:firstLineChars="196"/>
        <w:jc w:val="left"/>
        <w:outlineLvl w:val="1"/>
        <w:rPr>
          <w:rFonts w:hint="eastAsia" w:asciiTheme="majorEastAsia" w:hAnsiTheme="majorEastAsia" w:eastAsiaTheme="majorEastAsia" w:cstheme="majorEastAsia"/>
          <w:b/>
          <w:sz w:val="24"/>
        </w:rPr>
      </w:pPr>
    </w:p>
    <w:p>
      <w:pPr>
        <w:widowControl/>
        <w:spacing w:line="360" w:lineRule="atLeast"/>
        <w:ind w:firstLine="472" w:firstLineChars="196"/>
        <w:jc w:val="left"/>
        <w:outlineLvl w:val="1"/>
        <w:rPr>
          <w:rFonts w:hint="eastAsia" w:asciiTheme="majorEastAsia" w:hAnsiTheme="majorEastAsia" w:eastAsiaTheme="majorEastAsia" w:cstheme="majorEastAsia"/>
          <w:b/>
          <w:sz w:val="24"/>
        </w:rPr>
      </w:pPr>
    </w:p>
    <w:p>
      <w:pPr>
        <w:spacing w:after="0" w:line="36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24"/>
        </w:rPr>
        <w:br w:type="page"/>
      </w:r>
      <w:r>
        <w:rPr>
          <w:rFonts w:hint="eastAsia" w:asciiTheme="majorEastAsia" w:hAnsiTheme="majorEastAsia" w:eastAsiaTheme="majorEastAsia" w:cstheme="majorEastAsia"/>
          <w:b/>
          <w:sz w:val="32"/>
          <w:szCs w:val="32"/>
        </w:rPr>
        <w:t>格式2-1</w:t>
      </w:r>
      <w:r>
        <w:rPr>
          <w:rFonts w:hint="eastAsia" w:asciiTheme="majorEastAsia" w:hAnsiTheme="majorEastAsia" w:eastAsiaTheme="majorEastAsia" w:cstheme="majorEastAsia"/>
          <w:b/>
          <w:sz w:val="32"/>
          <w:szCs w:val="32"/>
          <w:lang w:val="en-US" w:eastAsia="zh-CN"/>
        </w:rPr>
        <w:t>5</w:t>
      </w:r>
    </w:p>
    <w:p>
      <w:pPr>
        <w:widowControl/>
        <w:spacing w:after="0" w:line="360" w:lineRule="atLeast"/>
        <w:jc w:val="center"/>
        <w:outlineLvl w:val="1"/>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中小企业声明函</w:t>
      </w:r>
    </w:p>
    <w:p>
      <w:pPr>
        <w:widowControl/>
        <w:spacing w:after="0" w:line="360" w:lineRule="atLeast"/>
        <w:jc w:val="center"/>
        <w:outlineLvl w:val="1"/>
        <w:rPr>
          <w:rFonts w:hint="eastAsia" w:asciiTheme="majorEastAsia" w:hAnsiTheme="majorEastAsia" w:eastAsiaTheme="majorEastAsia" w:cstheme="majorEastAsia"/>
          <w:b/>
          <w:sz w:val="32"/>
          <w:szCs w:val="32"/>
        </w:rPr>
      </w:pPr>
    </w:p>
    <w:p>
      <w:pPr>
        <w:spacing w:after="0" w:line="360" w:lineRule="auto"/>
        <w:ind w:firstLine="480" w:firstLineChars="200"/>
        <w:jc w:val="left"/>
        <w:rPr>
          <w:rFonts w:hint="eastAsia" w:asciiTheme="majorEastAsia" w:hAnsiTheme="majorEastAsia" w:eastAsiaTheme="majorEastAsia" w:cstheme="majorEastAsia"/>
          <w:sz w:val="24"/>
          <w:lang w:eastAsia="zh-CN"/>
        </w:rPr>
      </w:pPr>
      <w:bookmarkStart w:id="162" w:name="_Toc28495"/>
      <w:bookmarkStart w:id="163" w:name="_Toc28654"/>
      <w:r>
        <w:rPr>
          <w:rFonts w:hint="eastAsia" w:asciiTheme="majorEastAsia" w:hAnsiTheme="majorEastAsia" w:eastAsiaTheme="majorEastAsia" w:cstheme="majorEastAsia"/>
          <w:sz w:val="24"/>
        </w:rPr>
        <w:t>本公司</w:t>
      </w:r>
      <w:r>
        <w:rPr>
          <w:rFonts w:hint="eastAsia" w:asciiTheme="majorEastAsia" w:hAnsiTheme="majorEastAsia" w:eastAsiaTheme="majorEastAsia" w:cstheme="majorEastAsia"/>
          <w:kern w:val="0"/>
          <w:sz w:val="24"/>
        </w:rPr>
        <w:t>（联合体）</w:t>
      </w:r>
      <w:r>
        <w:rPr>
          <w:rFonts w:hint="eastAsia" w:asciiTheme="majorEastAsia" w:hAnsiTheme="majorEastAsia" w:eastAsiaTheme="majorEastAsia" w:cstheme="majorEastAsia"/>
          <w:sz w:val="24"/>
        </w:rPr>
        <w:t xml:space="preserve">郑重声明，根据《政府采购促进中小企业发展管理办法》（财库〔2020〕46 号）的规定，本公司（联合体）参加 </w:t>
      </w:r>
      <w:r>
        <w:rPr>
          <w:rFonts w:hint="eastAsia" w:asciiTheme="majorEastAsia" w:hAnsiTheme="majorEastAsia" w:eastAsiaTheme="majorEastAsia" w:cstheme="majorEastAsia"/>
          <w:sz w:val="24"/>
          <w:u w:val="single"/>
        </w:rPr>
        <w:t xml:space="preserve">（单位名称） </w:t>
      </w:r>
      <w:r>
        <w:rPr>
          <w:rFonts w:hint="eastAsia" w:asciiTheme="majorEastAsia" w:hAnsiTheme="majorEastAsia" w:eastAsiaTheme="majorEastAsia" w:cstheme="majorEastAsia"/>
          <w:sz w:val="24"/>
        </w:rPr>
        <w:t xml:space="preserve">的 </w:t>
      </w:r>
      <w:r>
        <w:rPr>
          <w:rFonts w:hint="eastAsia" w:asciiTheme="majorEastAsia" w:hAnsiTheme="majorEastAsia" w:eastAsiaTheme="majorEastAsia" w:cstheme="majorEastAsia"/>
          <w:sz w:val="24"/>
          <w:u w:val="single"/>
        </w:rPr>
        <w:t xml:space="preserve">（项目名称） </w:t>
      </w:r>
      <w:r>
        <w:rPr>
          <w:rFonts w:hint="eastAsia" w:asciiTheme="majorEastAsia" w:hAnsiTheme="majorEastAsia" w:eastAsiaTheme="majorEastAsia" w:cstheme="majorEastAsia"/>
          <w:sz w:val="24"/>
        </w:rPr>
        <w:t>采购活动，提供的货物全部由符合政策要求的中小企业制造。相关企业（含联合体中的中小企业、签订分包意向协议的中小企业）的具体情况如下：</w:t>
      </w:r>
    </w:p>
    <w:p>
      <w:pPr>
        <w:spacing w:after="0" w:line="360" w:lineRule="auto"/>
        <w:ind w:firstLine="480" w:firstLineChars="200"/>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w:t>
      </w:r>
      <w:bookmarkStart w:id="164" w:name="_Toc387147344"/>
      <w:bookmarkStart w:id="165" w:name="_Toc419811733"/>
      <w:bookmarkStart w:id="166" w:name="_Toc387658050"/>
      <w:bookmarkStart w:id="167" w:name="_Toc413748654"/>
      <w:bookmarkStart w:id="168" w:name="_Toc417911732"/>
      <w:r>
        <w:rPr>
          <w:rFonts w:hint="eastAsia" w:asciiTheme="majorEastAsia" w:hAnsiTheme="majorEastAsia" w:eastAsiaTheme="majorEastAsia" w:cstheme="majorEastAsia"/>
          <w:sz w:val="24"/>
        </w:rPr>
        <w:t xml:space="preserve">1. </w:t>
      </w:r>
      <w:r>
        <w:rPr>
          <w:rFonts w:hint="eastAsia" w:asciiTheme="majorEastAsia" w:hAnsiTheme="majorEastAsia" w:eastAsiaTheme="majorEastAsia" w:cstheme="majorEastAsia"/>
          <w:sz w:val="24"/>
          <w:u w:val="single"/>
        </w:rPr>
        <w:t xml:space="preserve">（标的名称） </w:t>
      </w:r>
      <w:r>
        <w:rPr>
          <w:rFonts w:hint="eastAsia" w:asciiTheme="majorEastAsia" w:hAnsiTheme="majorEastAsia" w:eastAsiaTheme="majorEastAsia" w:cstheme="majorEastAsia"/>
          <w:sz w:val="24"/>
        </w:rPr>
        <w:t>，属于</w:t>
      </w:r>
      <w:r>
        <w:rPr>
          <w:rFonts w:hint="eastAsia" w:asciiTheme="majorEastAsia" w:hAnsiTheme="majorEastAsia" w:eastAsiaTheme="majorEastAsia" w:cstheme="majorEastAsia"/>
          <w:sz w:val="24"/>
          <w:u w:val="single"/>
        </w:rPr>
        <w:t xml:space="preserve"> （采购文件中明确的所属行业） </w:t>
      </w:r>
      <w:r>
        <w:rPr>
          <w:rFonts w:hint="eastAsia" w:asciiTheme="majorEastAsia" w:hAnsiTheme="majorEastAsia" w:eastAsiaTheme="majorEastAsia" w:cstheme="majorEastAsia"/>
          <w:sz w:val="24"/>
        </w:rPr>
        <w:t>；制造商为</w:t>
      </w:r>
      <w:r>
        <w:rPr>
          <w:rFonts w:hint="eastAsia" w:asciiTheme="majorEastAsia" w:hAnsiTheme="majorEastAsia" w:eastAsiaTheme="majorEastAsia" w:cstheme="majorEastAsia"/>
          <w:sz w:val="24"/>
          <w:u w:val="single"/>
        </w:rPr>
        <w:t xml:space="preserve"> （企业名称） </w:t>
      </w:r>
      <w:r>
        <w:rPr>
          <w:rFonts w:hint="eastAsia" w:asciiTheme="majorEastAsia" w:hAnsiTheme="majorEastAsia" w:eastAsiaTheme="majorEastAsia" w:cstheme="majorEastAsia"/>
          <w:sz w:val="24"/>
        </w:rPr>
        <w:t>，从业人员</w:t>
      </w:r>
      <w:r>
        <w:rPr>
          <w:rFonts w:hint="eastAsia" w:asciiTheme="majorEastAsia" w:hAnsiTheme="majorEastAsia" w:eastAsiaTheme="majorEastAsia" w:cstheme="majorEastAsia"/>
          <w:sz w:val="24"/>
          <w:u w:val="single"/>
        </w:rPr>
        <w:t xml:space="preserve">   </w:t>
      </w:r>
      <w:r>
        <w:rPr>
          <w:rFonts w:hint="eastAsia" w:asciiTheme="majorEastAsia" w:hAnsiTheme="majorEastAsia" w:eastAsiaTheme="majorEastAsia" w:cstheme="majorEastAsia"/>
          <w:sz w:val="24"/>
        </w:rPr>
        <w:t>人，营业收入为</w:t>
      </w:r>
      <w:r>
        <w:rPr>
          <w:rFonts w:hint="eastAsia" w:asciiTheme="majorEastAsia" w:hAnsiTheme="majorEastAsia" w:eastAsiaTheme="majorEastAsia" w:cstheme="majorEastAsia"/>
          <w:sz w:val="24"/>
          <w:u w:val="single"/>
        </w:rPr>
        <w:t xml:space="preserve">    </w:t>
      </w:r>
      <w:r>
        <w:rPr>
          <w:rFonts w:hint="eastAsia" w:asciiTheme="majorEastAsia" w:hAnsiTheme="majorEastAsia" w:eastAsiaTheme="majorEastAsia" w:cstheme="majorEastAsia"/>
          <w:sz w:val="24"/>
        </w:rPr>
        <w:t>万元，资产总额为</w:t>
      </w:r>
      <w:r>
        <w:rPr>
          <w:rFonts w:hint="eastAsia" w:asciiTheme="majorEastAsia" w:hAnsiTheme="majorEastAsia" w:eastAsiaTheme="majorEastAsia" w:cstheme="majorEastAsia"/>
          <w:sz w:val="24"/>
          <w:u w:val="single"/>
        </w:rPr>
        <w:t xml:space="preserve">   </w:t>
      </w:r>
      <w:r>
        <w:rPr>
          <w:rFonts w:hint="eastAsia" w:asciiTheme="majorEastAsia" w:hAnsiTheme="majorEastAsia" w:eastAsiaTheme="majorEastAsia" w:cstheme="majorEastAsia"/>
          <w:sz w:val="24"/>
        </w:rPr>
        <w:t>万元，属于</w:t>
      </w:r>
      <w:r>
        <w:rPr>
          <w:rFonts w:hint="eastAsia" w:asciiTheme="majorEastAsia" w:hAnsiTheme="majorEastAsia" w:eastAsiaTheme="majorEastAsia" w:cstheme="majorEastAsia"/>
          <w:sz w:val="24"/>
          <w:u w:val="single"/>
        </w:rPr>
        <w:t xml:space="preserve"> （中型企业、小型企业、微型企业） </w:t>
      </w:r>
      <w:r>
        <w:rPr>
          <w:rFonts w:hint="eastAsia" w:asciiTheme="majorEastAsia" w:hAnsiTheme="majorEastAsia" w:eastAsiaTheme="majorEastAsia" w:cstheme="majorEastAsia"/>
          <w:sz w:val="24"/>
        </w:rPr>
        <w:t>；</w:t>
      </w:r>
    </w:p>
    <w:p>
      <w:pPr>
        <w:spacing w:after="0" w:line="360" w:lineRule="auto"/>
        <w:ind w:firstLine="600" w:firstLineChars="250"/>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w:t>
      </w:r>
      <w:r>
        <w:rPr>
          <w:rFonts w:hint="eastAsia" w:asciiTheme="majorEastAsia" w:hAnsiTheme="majorEastAsia" w:eastAsiaTheme="majorEastAsia" w:cstheme="majorEastAsia"/>
          <w:sz w:val="24"/>
          <w:u w:val="single"/>
        </w:rPr>
        <w:t xml:space="preserve"> （标的名称） </w:t>
      </w:r>
      <w:r>
        <w:rPr>
          <w:rFonts w:hint="eastAsia" w:asciiTheme="majorEastAsia" w:hAnsiTheme="majorEastAsia" w:eastAsiaTheme="majorEastAsia" w:cstheme="majorEastAsia"/>
          <w:sz w:val="24"/>
        </w:rPr>
        <w:t>，属于</w:t>
      </w:r>
      <w:r>
        <w:rPr>
          <w:rFonts w:hint="eastAsia" w:asciiTheme="majorEastAsia" w:hAnsiTheme="majorEastAsia" w:eastAsiaTheme="majorEastAsia" w:cstheme="majorEastAsia"/>
          <w:sz w:val="24"/>
          <w:u w:val="single"/>
        </w:rPr>
        <w:t xml:space="preserve"> （采购文件中明确的所属行业） </w:t>
      </w:r>
      <w:r>
        <w:rPr>
          <w:rFonts w:hint="eastAsia" w:asciiTheme="majorEastAsia" w:hAnsiTheme="majorEastAsia" w:eastAsiaTheme="majorEastAsia" w:cstheme="majorEastAsia"/>
          <w:sz w:val="24"/>
        </w:rPr>
        <w:t>；制造商为</w:t>
      </w:r>
      <w:r>
        <w:rPr>
          <w:rFonts w:hint="eastAsia" w:asciiTheme="majorEastAsia" w:hAnsiTheme="majorEastAsia" w:eastAsiaTheme="majorEastAsia" w:cstheme="majorEastAsia"/>
          <w:sz w:val="24"/>
          <w:u w:val="single"/>
        </w:rPr>
        <w:t xml:space="preserve"> （企业名称） </w:t>
      </w:r>
      <w:r>
        <w:rPr>
          <w:rFonts w:hint="eastAsia" w:asciiTheme="majorEastAsia" w:hAnsiTheme="majorEastAsia" w:eastAsiaTheme="majorEastAsia" w:cstheme="majorEastAsia"/>
          <w:sz w:val="24"/>
        </w:rPr>
        <w:t>，从业人员</w:t>
      </w:r>
      <w:r>
        <w:rPr>
          <w:rFonts w:hint="eastAsia" w:asciiTheme="majorEastAsia" w:hAnsiTheme="majorEastAsia" w:eastAsiaTheme="majorEastAsia" w:cstheme="majorEastAsia"/>
          <w:sz w:val="24"/>
          <w:u w:val="single"/>
        </w:rPr>
        <w:t xml:space="preserve">   </w:t>
      </w:r>
      <w:r>
        <w:rPr>
          <w:rFonts w:hint="eastAsia" w:asciiTheme="majorEastAsia" w:hAnsiTheme="majorEastAsia" w:eastAsiaTheme="majorEastAsia" w:cstheme="majorEastAsia"/>
          <w:sz w:val="24"/>
        </w:rPr>
        <w:t>人，营业收入为</w:t>
      </w:r>
      <w:r>
        <w:rPr>
          <w:rFonts w:hint="eastAsia" w:asciiTheme="majorEastAsia" w:hAnsiTheme="majorEastAsia" w:eastAsiaTheme="majorEastAsia" w:cstheme="majorEastAsia"/>
          <w:sz w:val="24"/>
          <w:u w:val="single"/>
        </w:rPr>
        <w:t xml:space="preserve">    </w:t>
      </w:r>
      <w:r>
        <w:rPr>
          <w:rFonts w:hint="eastAsia" w:asciiTheme="majorEastAsia" w:hAnsiTheme="majorEastAsia" w:eastAsiaTheme="majorEastAsia" w:cstheme="majorEastAsia"/>
          <w:sz w:val="24"/>
        </w:rPr>
        <w:t>万元，资产总额为</w:t>
      </w:r>
      <w:r>
        <w:rPr>
          <w:rFonts w:hint="eastAsia" w:asciiTheme="majorEastAsia" w:hAnsiTheme="majorEastAsia" w:eastAsiaTheme="majorEastAsia" w:cstheme="majorEastAsia"/>
          <w:sz w:val="24"/>
          <w:u w:val="single"/>
        </w:rPr>
        <w:t xml:space="preserve">   </w:t>
      </w:r>
      <w:r>
        <w:rPr>
          <w:rFonts w:hint="eastAsia" w:asciiTheme="majorEastAsia" w:hAnsiTheme="majorEastAsia" w:eastAsiaTheme="majorEastAsia" w:cstheme="majorEastAsia"/>
          <w:sz w:val="24"/>
        </w:rPr>
        <w:t>万元，属于</w:t>
      </w:r>
      <w:r>
        <w:rPr>
          <w:rFonts w:hint="eastAsia" w:asciiTheme="majorEastAsia" w:hAnsiTheme="majorEastAsia" w:eastAsiaTheme="majorEastAsia" w:cstheme="majorEastAsia"/>
          <w:sz w:val="24"/>
          <w:u w:val="single"/>
        </w:rPr>
        <w:t xml:space="preserve"> （中型企业、小型企业、微型企业） </w:t>
      </w:r>
      <w:r>
        <w:rPr>
          <w:rFonts w:hint="eastAsia" w:asciiTheme="majorEastAsia" w:hAnsiTheme="majorEastAsia" w:eastAsiaTheme="majorEastAsia" w:cstheme="majorEastAsia"/>
          <w:sz w:val="24"/>
        </w:rPr>
        <w:t>；</w:t>
      </w:r>
    </w:p>
    <w:p>
      <w:pPr>
        <w:spacing w:after="0" w:line="360" w:lineRule="auto"/>
        <w:ind w:firstLine="600" w:firstLineChars="250"/>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w:t>
      </w:r>
    </w:p>
    <w:p>
      <w:pPr>
        <w:spacing w:after="0" w:line="360" w:lineRule="auto"/>
        <w:ind w:firstLine="600" w:firstLineChars="250"/>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以上企业，不属于大企业的分支机构，不存在控股股东为大企业的情形，也不存在与大企业的负责人为同一人的情形。</w:t>
      </w:r>
    </w:p>
    <w:p>
      <w:pPr>
        <w:spacing w:after="0" w:line="360" w:lineRule="auto"/>
        <w:ind w:firstLine="600" w:firstLineChars="250"/>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本企业对上述声明内容的真实性负责。如有虚假，将依法承担相应责任。</w:t>
      </w:r>
    </w:p>
    <w:p>
      <w:pPr>
        <w:spacing w:after="0" w:line="360" w:lineRule="auto"/>
        <w:jc w:val="center"/>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                                 企业名称（盖章）：</w:t>
      </w:r>
    </w:p>
    <w:p>
      <w:pPr>
        <w:spacing w:after="0" w:line="360" w:lineRule="auto"/>
        <w:jc w:val="center"/>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                        日 期：</w:t>
      </w:r>
    </w:p>
    <w:p>
      <w:pPr>
        <w:spacing w:after="0" w:line="360" w:lineRule="auto"/>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w:t>
      </w:r>
    </w:p>
    <w:p>
      <w:pPr>
        <w:spacing w:after="0" w:line="360" w:lineRule="auto"/>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w:t>
      </w:r>
      <w:bookmarkEnd w:id="164"/>
      <w:bookmarkEnd w:id="165"/>
      <w:bookmarkEnd w:id="166"/>
      <w:bookmarkEnd w:id="167"/>
      <w:bookmarkEnd w:id="168"/>
      <w:r>
        <w:rPr>
          <w:rFonts w:hint="eastAsia" w:asciiTheme="majorEastAsia" w:hAnsiTheme="majorEastAsia" w:eastAsiaTheme="majorEastAsia" w:cstheme="majorEastAsia"/>
          <w:sz w:val="24"/>
        </w:rPr>
        <w:t>从业人员、营业收入、资产总额填报上一年度数据，无上一年度数据的新成立企业可不填报。</w:t>
      </w:r>
    </w:p>
    <w:p>
      <w:pPr>
        <w:spacing w:line="360" w:lineRule="auto"/>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br w:type="page"/>
      </w:r>
    </w:p>
    <w:p>
      <w:pPr>
        <w:spacing w:line="36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格式2-1</w:t>
      </w:r>
      <w:r>
        <w:rPr>
          <w:rFonts w:hint="eastAsia" w:asciiTheme="majorEastAsia" w:hAnsiTheme="majorEastAsia" w:eastAsiaTheme="majorEastAsia" w:cstheme="majorEastAsia"/>
          <w:b/>
          <w:sz w:val="32"/>
          <w:szCs w:val="32"/>
          <w:lang w:val="en-US" w:eastAsia="zh-CN"/>
        </w:rPr>
        <w:t>6</w:t>
      </w:r>
    </w:p>
    <w:p>
      <w:pPr>
        <w:spacing w:line="240" w:lineRule="auto"/>
        <w:jc w:val="center"/>
        <w:rPr>
          <w:rFonts w:hint="eastAsia" w:asciiTheme="majorEastAsia" w:hAnsiTheme="majorEastAsia" w:eastAsiaTheme="majorEastAsia" w:cstheme="majorEastAsia"/>
          <w:b/>
          <w:spacing w:val="6"/>
          <w:sz w:val="24"/>
        </w:rPr>
      </w:pPr>
      <w:r>
        <w:rPr>
          <w:rFonts w:hint="eastAsia" w:asciiTheme="majorEastAsia" w:hAnsiTheme="majorEastAsia" w:eastAsiaTheme="majorEastAsia" w:cstheme="majorEastAsia"/>
          <w:b/>
          <w:sz w:val="32"/>
          <w:szCs w:val="32"/>
        </w:rPr>
        <w:t xml:space="preserve"> 残疾人福利性单位声明函</w:t>
      </w:r>
    </w:p>
    <w:p>
      <w:pPr>
        <w:spacing w:line="588" w:lineRule="exact"/>
        <w:ind w:firstLine="504" w:firstLineChars="200"/>
        <w:rPr>
          <w:rFonts w:hint="eastAsia" w:asciiTheme="majorEastAsia" w:hAnsiTheme="majorEastAsia" w:eastAsiaTheme="majorEastAsia" w:cstheme="majorEastAsia"/>
          <w:spacing w:val="6"/>
          <w:sz w:val="24"/>
        </w:rPr>
      </w:pPr>
      <w:r>
        <w:rPr>
          <w:rFonts w:hint="eastAsia" w:asciiTheme="majorEastAsia" w:hAnsiTheme="majorEastAsia" w:eastAsiaTheme="majorEastAsia" w:cstheme="majorEastAsia"/>
          <w:spacing w:val="6"/>
          <w:sz w:val="24"/>
        </w:rPr>
        <w:t>本单位郑重声明，根据《财政部 民政部 中国残疾人联合会关于促进残疾人就业政府采购政策的通知》（财库</w:t>
      </w:r>
      <w:r>
        <w:rPr>
          <w:rFonts w:hint="eastAsia" w:asciiTheme="majorEastAsia" w:hAnsiTheme="majorEastAsia" w:eastAsiaTheme="majorEastAsia" w:cstheme="majorEastAsia"/>
          <w:sz w:val="24"/>
        </w:rPr>
        <w:t>〔2017〕 141</w:t>
      </w:r>
      <w:r>
        <w:rPr>
          <w:rFonts w:hint="eastAsia" w:asciiTheme="majorEastAsia" w:hAnsiTheme="majorEastAsia" w:eastAsiaTheme="majorEastAsia" w:cstheme="majorEastAsia"/>
          <w:spacing w:val="6"/>
          <w:sz w:val="24"/>
        </w:rPr>
        <w:t>号）的规定，本单位为符合条件的残疾人福利性单位，且本单位参加</w:t>
      </w:r>
      <w:r>
        <w:rPr>
          <w:rFonts w:hint="eastAsia" w:asciiTheme="majorEastAsia" w:hAnsiTheme="majorEastAsia" w:eastAsiaTheme="majorEastAsia" w:cstheme="majorEastAsia"/>
          <w:sz w:val="24"/>
          <w:u w:val="single"/>
        </w:rPr>
        <w:t>XXXX</w:t>
      </w:r>
      <w:r>
        <w:rPr>
          <w:rFonts w:hint="eastAsia" w:asciiTheme="majorEastAsia" w:hAnsiTheme="majorEastAsia" w:eastAsiaTheme="majorEastAsia" w:cstheme="majorEastAsia"/>
          <w:spacing w:val="6"/>
          <w:sz w:val="24"/>
        </w:rPr>
        <w:t>单位的</w:t>
      </w:r>
      <w:r>
        <w:rPr>
          <w:rFonts w:hint="eastAsia" w:asciiTheme="majorEastAsia" w:hAnsiTheme="majorEastAsia" w:eastAsiaTheme="majorEastAsia" w:cstheme="majorEastAsia"/>
          <w:sz w:val="24"/>
          <w:u w:val="single"/>
        </w:rPr>
        <w:t>XXXX</w:t>
      </w:r>
      <w:r>
        <w:rPr>
          <w:rFonts w:hint="eastAsia" w:asciiTheme="majorEastAsia" w:hAnsiTheme="majorEastAsia" w:eastAsiaTheme="majorEastAsia" w:cstheme="majorEastAsia"/>
          <w:spacing w:val="6"/>
          <w:sz w:val="24"/>
        </w:rPr>
        <w:t>项目采购活动提供本单位制造的货物（由本单位承担工程/提供服务），或者提供其他残疾人福利性单位制造的货物（不包括使用非残疾人福利性单位注册商标的货物）。</w:t>
      </w:r>
    </w:p>
    <w:p>
      <w:pPr>
        <w:spacing w:line="588" w:lineRule="exact"/>
        <w:ind w:firstLine="504" w:firstLineChars="200"/>
        <w:rPr>
          <w:rFonts w:hint="eastAsia" w:asciiTheme="majorEastAsia" w:hAnsiTheme="majorEastAsia" w:eastAsiaTheme="majorEastAsia" w:cstheme="majorEastAsia"/>
          <w:spacing w:val="6"/>
          <w:sz w:val="24"/>
        </w:rPr>
      </w:pPr>
      <w:r>
        <w:rPr>
          <w:rFonts w:hint="eastAsia" w:asciiTheme="majorEastAsia" w:hAnsiTheme="majorEastAsia" w:eastAsiaTheme="majorEastAsia" w:cstheme="majorEastAsia"/>
          <w:spacing w:val="6"/>
          <w:sz w:val="24"/>
        </w:rPr>
        <w:t>本单位对上述声明的真实性负责。如有虚假，将依法承担相应责任。</w:t>
      </w:r>
    </w:p>
    <w:p>
      <w:pPr>
        <w:spacing w:line="588" w:lineRule="exact"/>
        <w:rPr>
          <w:rFonts w:hint="eastAsia" w:asciiTheme="majorEastAsia" w:hAnsiTheme="majorEastAsia" w:eastAsiaTheme="majorEastAsia" w:cstheme="majorEastAsia"/>
          <w:spacing w:val="6"/>
          <w:sz w:val="24"/>
        </w:rPr>
      </w:pPr>
    </w:p>
    <w:p>
      <w:pPr>
        <w:spacing w:line="588" w:lineRule="exact"/>
        <w:rPr>
          <w:rFonts w:hint="eastAsia" w:asciiTheme="majorEastAsia" w:hAnsiTheme="majorEastAsia" w:eastAsiaTheme="majorEastAsia" w:cstheme="majorEastAsia"/>
          <w:spacing w:val="6"/>
          <w:sz w:val="24"/>
        </w:rPr>
      </w:pPr>
    </w:p>
    <w:p>
      <w:pPr>
        <w:tabs>
          <w:tab w:val="left" w:pos="4860"/>
        </w:tabs>
        <w:spacing w:line="588" w:lineRule="exact"/>
        <w:ind w:right="1560"/>
        <w:rPr>
          <w:rFonts w:hint="eastAsia" w:asciiTheme="majorEastAsia" w:hAnsiTheme="majorEastAsia" w:eastAsiaTheme="majorEastAsia" w:cstheme="majorEastAsia"/>
          <w:spacing w:val="6"/>
          <w:sz w:val="24"/>
        </w:rPr>
      </w:pPr>
      <w:r>
        <w:rPr>
          <w:rFonts w:hint="eastAsia" w:asciiTheme="majorEastAsia" w:hAnsiTheme="majorEastAsia" w:eastAsiaTheme="majorEastAsia" w:cstheme="majorEastAsia"/>
          <w:spacing w:val="6"/>
          <w:sz w:val="24"/>
        </w:rPr>
        <w:t>单位名称（盖章）：</w:t>
      </w:r>
    </w:p>
    <w:p>
      <w:pPr>
        <w:rPr>
          <w:rFonts w:hint="eastAsia" w:asciiTheme="majorEastAsia" w:hAnsiTheme="majorEastAsia" w:eastAsiaTheme="majorEastAsia" w:cstheme="majorEastAsia"/>
          <w:spacing w:val="6"/>
          <w:sz w:val="24"/>
        </w:rPr>
      </w:pPr>
      <w:r>
        <w:rPr>
          <w:rFonts w:hint="eastAsia" w:asciiTheme="majorEastAsia" w:hAnsiTheme="majorEastAsia" w:eastAsiaTheme="majorEastAsia" w:cstheme="majorEastAsia"/>
          <w:spacing w:val="6"/>
          <w:sz w:val="24"/>
        </w:rPr>
        <w:t>日  期：</w:t>
      </w:r>
    </w:p>
    <w:p>
      <w:pPr>
        <w:spacing w:line="360" w:lineRule="auto"/>
        <w:rPr>
          <w:rFonts w:hint="eastAsia" w:asciiTheme="majorEastAsia" w:hAnsiTheme="majorEastAsia" w:eastAsiaTheme="majorEastAsia" w:cstheme="majorEastAsia"/>
          <w:sz w:val="24"/>
        </w:rPr>
      </w:pPr>
    </w:p>
    <w:p>
      <w:pPr>
        <w:spacing w:line="360" w:lineRule="auto"/>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w:t>
      </w:r>
    </w:p>
    <w:p>
      <w:pPr>
        <w:numPr>
          <w:ilvl w:val="0"/>
          <w:numId w:val="6"/>
        </w:numPr>
        <w:spacing w:line="360" w:lineRule="auto"/>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残疾人福利性单位视同小型、微型企业，享受预留份额、评审中价格扣除等促进中小企业发展的政府采购政策。残疾人福利性单位属于小型、微型企业的，不重复享受政策。</w:t>
      </w:r>
    </w:p>
    <w:p>
      <w:pPr>
        <w:numPr>
          <w:ilvl w:val="0"/>
          <w:numId w:val="6"/>
        </w:numPr>
        <w:spacing w:line="360" w:lineRule="auto"/>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投标人为非残疾人福利性单位的，可不提供此声明。</w:t>
      </w:r>
    </w:p>
    <w:p>
      <w:pPr>
        <w:widowControl/>
        <w:spacing w:after="0" w:line="240" w:lineRule="auto"/>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br w:type="page"/>
      </w:r>
    </w:p>
    <w:p>
      <w:pPr>
        <w:widowControl/>
        <w:spacing w:after="0" w:line="240" w:lineRule="auto"/>
        <w:jc w:val="left"/>
        <w:rPr>
          <w:rFonts w:hint="eastAsia" w:asciiTheme="majorEastAsia" w:hAnsiTheme="majorEastAsia" w:eastAsiaTheme="majorEastAsia" w:cstheme="majorEastAsia"/>
          <w:sz w:val="24"/>
        </w:rPr>
      </w:pPr>
    </w:p>
    <w:p>
      <w:pPr>
        <w:spacing w:line="360" w:lineRule="auto"/>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格式2-1</w:t>
      </w:r>
      <w:r>
        <w:rPr>
          <w:rFonts w:hint="eastAsia" w:asciiTheme="majorEastAsia" w:hAnsiTheme="majorEastAsia" w:eastAsiaTheme="majorEastAsia" w:cstheme="majorEastAsia"/>
          <w:b/>
          <w:sz w:val="32"/>
          <w:szCs w:val="32"/>
          <w:lang w:val="en-US" w:eastAsia="zh-CN"/>
        </w:rPr>
        <w:t>7</w:t>
      </w:r>
    </w:p>
    <w:p>
      <w:pPr>
        <w:jc w:val="center"/>
        <w:rPr>
          <w:rFonts w:hint="eastAsia"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监狱企业</w:t>
      </w:r>
    </w:p>
    <w:p>
      <w:pPr>
        <w:spacing w:line="588" w:lineRule="exact"/>
        <w:rPr>
          <w:rFonts w:hint="eastAsia" w:asciiTheme="majorEastAsia" w:hAnsiTheme="majorEastAsia" w:eastAsiaTheme="majorEastAsia" w:cstheme="majorEastAsia"/>
          <w:b/>
          <w:spacing w:val="6"/>
          <w:sz w:val="24"/>
        </w:rPr>
      </w:pPr>
    </w:p>
    <w:p>
      <w:pPr>
        <w:spacing w:after="0" w:line="360" w:lineRule="auto"/>
        <w:ind w:firstLine="480" w:firstLineChars="200"/>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根据《政府采购支持监狱企业发展有关问题的通知》（财库〔2014〕68号）的规定监狱企业参加采购活动的，应提供由省级以上监狱管理局、戒毒管理局(含新疆生产建设兵团)出具的属于监狱企业的证明文件。</w:t>
      </w:r>
    </w:p>
    <w:p>
      <w:pPr>
        <w:spacing w:after="0" w:line="360" w:lineRule="auto"/>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w:t>
      </w:r>
    </w:p>
    <w:p>
      <w:pPr>
        <w:spacing w:after="0" w:line="360" w:lineRule="auto"/>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1、投标人符合《政府采购支持监狱企业发展有关问题的通知》（财库〔2014〕68号）规定的划分标准为监狱企业适用。</w:t>
      </w:r>
    </w:p>
    <w:p>
      <w:pPr>
        <w:spacing w:after="0" w:line="360" w:lineRule="auto"/>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2、在政府采购活动中，监狱企业视同小型、微型企业，享受预留份额、评审中价格扣除等政府采购促进中小企业发展的政府采购政策。</w:t>
      </w:r>
    </w:p>
    <w:p>
      <w:pPr>
        <w:spacing w:line="300" w:lineRule="exact"/>
        <w:rPr>
          <w:rFonts w:hint="eastAsia" w:asciiTheme="majorEastAsia" w:hAnsiTheme="majorEastAsia" w:eastAsiaTheme="majorEastAsia" w:cstheme="majorEastAsia"/>
          <w:sz w:val="24"/>
        </w:rPr>
        <w:sectPr>
          <w:footerReference r:id="rId8" w:type="default"/>
          <w:pgSz w:w="11906" w:h="16838"/>
          <w:pgMar w:top="1440" w:right="1800" w:bottom="1440" w:left="1800" w:header="851" w:footer="992" w:gutter="0"/>
          <w:cols w:space="720" w:num="1"/>
          <w:docGrid w:type="lines" w:linePitch="312" w:charSpace="0"/>
        </w:sectPr>
      </w:pPr>
    </w:p>
    <w:p>
      <w:pPr>
        <w:pStyle w:val="2"/>
        <w:jc w:val="center"/>
        <w:rPr>
          <w:rFonts w:hint="eastAsia" w:asciiTheme="majorEastAsia" w:hAnsiTheme="majorEastAsia" w:eastAsiaTheme="majorEastAsia" w:cstheme="majorEastAsia"/>
          <w:sz w:val="36"/>
          <w:szCs w:val="36"/>
        </w:rPr>
      </w:pPr>
      <w:r>
        <w:rPr>
          <w:rFonts w:hint="eastAsia" w:asciiTheme="majorEastAsia" w:hAnsiTheme="majorEastAsia" w:eastAsiaTheme="majorEastAsia" w:cstheme="majorEastAsia"/>
          <w:sz w:val="36"/>
          <w:szCs w:val="36"/>
        </w:rPr>
        <w:t>第四章  投标人和投标产品的资格、资质性及其他类似效力要求</w:t>
      </w:r>
      <w:bookmarkEnd w:id="162"/>
      <w:bookmarkEnd w:id="163"/>
    </w:p>
    <w:p>
      <w:pPr>
        <w:pStyle w:val="3"/>
        <w:spacing w:line="360" w:lineRule="exac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一、投标人资格、资质性及其他类似效力要求</w:t>
      </w:r>
    </w:p>
    <w:p>
      <w:pPr>
        <w:pStyle w:val="46"/>
        <w:spacing w:line="420" w:lineRule="exact"/>
        <w:ind w:firstLine="0" w:firstLineChars="0"/>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（一）资格要求：</w:t>
      </w:r>
    </w:p>
    <w:p>
      <w:pPr>
        <w:pStyle w:val="46"/>
        <w:spacing w:line="420" w:lineRule="exact"/>
        <w:ind w:firstLine="480" w:firstLineChars="0"/>
        <w:rPr>
          <w:rFonts w:hint="eastAsia" w:asciiTheme="majorEastAsia" w:hAnsiTheme="majorEastAsia" w:eastAsiaTheme="majorEastAsia" w:cstheme="majorEastAsia"/>
          <w:sz w:val="24"/>
          <w:lang w:val="en-US" w:eastAsia="zh-CN"/>
        </w:rPr>
      </w:pPr>
      <w:r>
        <w:rPr>
          <w:rFonts w:hint="eastAsia" w:asciiTheme="majorEastAsia" w:hAnsiTheme="majorEastAsia" w:eastAsiaTheme="majorEastAsia" w:cstheme="majorEastAsia"/>
          <w:sz w:val="24"/>
          <w:lang w:val="en-US" w:eastAsia="zh-CN"/>
        </w:rPr>
        <w:t>1、满足《中华人民共和国政府采购法》第二十二条规定；</w:t>
      </w:r>
    </w:p>
    <w:p>
      <w:pPr>
        <w:pStyle w:val="46"/>
        <w:spacing w:line="420" w:lineRule="exact"/>
        <w:ind w:firstLine="480" w:firstLineChars="0"/>
        <w:rPr>
          <w:rFonts w:hint="eastAsia" w:asciiTheme="majorEastAsia" w:hAnsiTheme="majorEastAsia" w:eastAsiaTheme="majorEastAsia" w:cstheme="majorEastAsia"/>
          <w:sz w:val="24"/>
          <w:lang w:val="en-US" w:eastAsia="zh-CN"/>
        </w:rPr>
      </w:pPr>
      <w:r>
        <w:rPr>
          <w:rFonts w:hint="eastAsia" w:asciiTheme="majorEastAsia" w:hAnsiTheme="majorEastAsia" w:eastAsiaTheme="majorEastAsia" w:cstheme="majorEastAsia"/>
          <w:sz w:val="24"/>
          <w:lang w:val="en-US" w:eastAsia="zh-CN"/>
        </w:rPr>
        <w:t>2、</w:t>
      </w:r>
      <w:r>
        <w:rPr>
          <w:rFonts w:hint="eastAsia" w:asciiTheme="majorEastAsia" w:hAnsiTheme="majorEastAsia" w:eastAsiaTheme="majorEastAsia" w:cstheme="majorEastAsia"/>
          <w:sz w:val="24"/>
        </w:rPr>
        <w:t>本项目的特定资格要求</w:t>
      </w:r>
      <w:r>
        <w:rPr>
          <w:rFonts w:hint="eastAsia" w:asciiTheme="majorEastAsia" w:hAnsiTheme="majorEastAsia" w:eastAsiaTheme="majorEastAsia" w:cstheme="majorEastAsia"/>
          <w:sz w:val="24"/>
          <w:lang w:val="en-US" w:eastAsia="zh-CN"/>
        </w:rPr>
        <w:t>：</w:t>
      </w:r>
    </w:p>
    <w:p>
      <w:pPr>
        <w:pStyle w:val="46"/>
        <w:spacing w:line="420" w:lineRule="exact"/>
        <w:ind w:firstLine="480" w:firstLineChars="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lang w:val="en-US" w:eastAsia="zh-CN"/>
        </w:rPr>
        <w:t>2.1</w:t>
      </w:r>
      <w:r>
        <w:rPr>
          <w:rFonts w:ascii="宋体" w:hAnsi="宋体" w:eastAsia="宋体" w:cs="宋体"/>
          <w:sz w:val="24"/>
          <w:szCs w:val="24"/>
        </w:rPr>
        <w:t>若采购产品为医疗器械的，投标人须符合《医疗器械监督管理条例》要求并提供投标人经营该产品的经营许可/经营备案证明材料；投标产品须符合《医疗器械注册与备案管理办法》要求并提供产品的注册/备案证明材料</w:t>
      </w:r>
      <w:r>
        <w:rPr>
          <w:rFonts w:hint="eastAsia" w:asciiTheme="majorEastAsia" w:hAnsiTheme="majorEastAsia" w:eastAsiaTheme="majorEastAsia" w:cstheme="majorEastAsia"/>
          <w:sz w:val="24"/>
          <w:lang w:val="en-US" w:eastAsia="zh-CN"/>
        </w:rPr>
        <w:t>。</w:t>
      </w:r>
    </w:p>
    <w:p>
      <w:pPr>
        <w:pStyle w:val="46"/>
        <w:spacing w:line="420" w:lineRule="exact"/>
        <w:ind w:firstLine="480" w:firstLineChars="0"/>
        <w:rPr>
          <w:rFonts w:hint="eastAsia" w:asciiTheme="majorEastAsia" w:hAnsiTheme="majorEastAsia" w:eastAsiaTheme="majorEastAsia" w:cstheme="majorEastAsia"/>
          <w:sz w:val="24"/>
          <w:lang w:val="en-US" w:eastAsia="zh-CN"/>
        </w:rPr>
      </w:pPr>
      <w:r>
        <w:rPr>
          <w:rFonts w:hint="eastAsia" w:asciiTheme="majorEastAsia" w:hAnsiTheme="majorEastAsia" w:eastAsiaTheme="majorEastAsia" w:cstheme="majorEastAsia"/>
          <w:sz w:val="24"/>
          <w:lang w:val="en-US" w:eastAsia="zh-CN"/>
        </w:rPr>
        <w:t>2.2供应商须提供“截至递交响应文件截止日未被列入失信被执行人、重大税收违法案件当事人名单、政府采购严重违法失信行为记录名单的承诺函”。</w:t>
      </w:r>
    </w:p>
    <w:p>
      <w:pPr>
        <w:pStyle w:val="46"/>
        <w:spacing w:line="420" w:lineRule="exact"/>
        <w:ind w:firstLine="480" w:firstLineChars="0"/>
        <w:rPr>
          <w:rFonts w:hint="eastAsia" w:asciiTheme="majorEastAsia" w:hAnsiTheme="majorEastAsia" w:eastAsiaTheme="majorEastAsia" w:cstheme="majorEastAsia"/>
          <w:sz w:val="24"/>
          <w:lang w:val="en-US" w:eastAsia="zh-CN"/>
        </w:rPr>
      </w:pPr>
      <w:r>
        <w:rPr>
          <w:rFonts w:hint="eastAsia" w:asciiTheme="majorEastAsia" w:hAnsiTheme="majorEastAsia" w:eastAsiaTheme="majorEastAsia" w:cstheme="majorEastAsia"/>
          <w:sz w:val="24"/>
          <w:lang w:val="en-US" w:eastAsia="zh-CN"/>
        </w:rPr>
        <w:t>注：将于资格审查时在‘信用中国’网站、 ‘中国政府采购网’网站等渠道对供应商进行信用记录查询，并将查询记录存档。凡被列入失信被执行人、重大税收违法案件当事人名单、政府采购严重违法失信行为记录名单的，视为存在不良信用记录，参与本项目的将被视为无效响应。（两个以上的自然人、法人或者其他组织组成一个联合体，以一个供应商的身份共同参加政府采购活动的，将对所有联合体成员进行信用记录查询，联合体成员存在不良信用记录的，视同联合体存在不良信用记录）。</w:t>
      </w:r>
    </w:p>
    <w:p>
      <w:pPr>
        <w:pStyle w:val="46"/>
        <w:spacing w:line="420" w:lineRule="exact"/>
        <w:ind w:firstLine="559" w:firstLineChars="233"/>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lang w:val="en-US" w:eastAsia="zh-CN"/>
        </w:rPr>
        <w:t>2</w:t>
      </w:r>
      <w:r>
        <w:rPr>
          <w:rFonts w:hint="eastAsia" w:asciiTheme="majorEastAsia" w:hAnsiTheme="majorEastAsia" w:eastAsiaTheme="majorEastAsia" w:cstheme="majorEastAsia"/>
          <w:sz w:val="24"/>
        </w:rPr>
        <w:t>.</w:t>
      </w:r>
      <w:r>
        <w:rPr>
          <w:rFonts w:hint="eastAsia" w:asciiTheme="majorEastAsia" w:hAnsiTheme="majorEastAsia" w:eastAsiaTheme="majorEastAsia" w:cstheme="majorEastAsia"/>
          <w:sz w:val="24"/>
          <w:lang w:val="en-US" w:eastAsia="zh-CN"/>
        </w:rPr>
        <w:t>3</w:t>
      </w:r>
      <w:r>
        <w:rPr>
          <w:rFonts w:hint="eastAsia" w:asciiTheme="majorEastAsia" w:hAnsiTheme="majorEastAsia" w:eastAsiaTheme="majorEastAsia" w:cstheme="majorEastAsia"/>
          <w:sz w:val="24"/>
          <w:lang w:eastAsia="zh-CN"/>
        </w:rPr>
        <w:t>本项目不允许联合体参加</w:t>
      </w:r>
      <w:r>
        <w:rPr>
          <w:rFonts w:hint="eastAsia" w:asciiTheme="majorEastAsia" w:hAnsiTheme="majorEastAsia" w:eastAsiaTheme="majorEastAsia" w:cstheme="majorEastAsia"/>
          <w:sz w:val="24"/>
        </w:rPr>
        <w:t>。</w:t>
      </w:r>
    </w:p>
    <w:p>
      <w:pPr>
        <w:pStyle w:val="46"/>
        <w:spacing w:line="420" w:lineRule="exact"/>
        <w:ind w:firstLine="0" w:firstLineChars="0"/>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（二）资质性要求：无</w:t>
      </w:r>
    </w:p>
    <w:p>
      <w:pPr>
        <w:pStyle w:val="46"/>
        <w:spacing w:line="420" w:lineRule="exact"/>
        <w:ind w:firstLine="0" w:firstLineChars="0"/>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（三）其他类似效力要求：</w:t>
      </w:r>
    </w:p>
    <w:p>
      <w:pPr>
        <w:pStyle w:val="46"/>
        <w:spacing w:line="420" w:lineRule="exact"/>
        <w:ind w:firstLine="0" w:firstLineChars="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（1）交纳本次招标要求的投标保证金</w:t>
      </w:r>
    </w:p>
    <w:p>
      <w:pPr>
        <w:pStyle w:val="46"/>
        <w:spacing w:line="420" w:lineRule="exact"/>
        <w:ind w:firstLine="0" w:firstLineChars="0"/>
        <w:rPr>
          <w:rFonts w:hint="eastAsia" w:asciiTheme="majorEastAsia" w:hAnsiTheme="majorEastAsia" w:eastAsiaTheme="majorEastAsia" w:cstheme="majorEastAsia"/>
          <w:b/>
          <w:sz w:val="24"/>
        </w:rPr>
      </w:pPr>
      <w:r>
        <w:rPr>
          <w:rFonts w:hint="eastAsia" w:asciiTheme="majorEastAsia" w:hAnsiTheme="majorEastAsia" w:eastAsiaTheme="majorEastAsia" w:cstheme="majorEastAsia"/>
          <w:sz w:val="24"/>
        </w:rPr>
        <w:t>（2）授权参加本次投标活动的供应商代表证明材料</w:t>
      </w:r>
    </w:p>
    <w:p>
      <w:pPr>
        <w:pStyle w:val="3"/>
        <w:spacing w:line="360" w:lineRule="exac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val="0"/>
          <w:bCs w:val="0"/>
          <w:sz w:val="24"/>
          <w:szCs w:val="24"/>
        </w:rPr>
        <w:t>二、</w:t>
      </w:r>
      <w:r>
        <w:rPr>
          <w:rFonts w:hint="eastAsia" w:asciiTheme="majorEastAsia" w:hAnsiTheme="majorEastAsia" w:eastAsiaTheme="majorEastAsia" w:cstheme="majorEastAsia"/>
          <w:sz w:val="24"/>
          <w:szCs w:val="24"/>
        </w:rPr>
        <w:t>投标产品的资格、资质性及其他具有类似效力的要求</w:t>
      </w:r>
    </w:p>
    <w:p>
      <w:pPr>
        <w:rPr>
          <w:rFonts w:hint="eastAsia" w:asciiTheme="majorEastAsia" w:hAnsiTheme="majorEastAsia" w:eastAsiaTheme="majorEastAsia" w:cstheme="majorEastAsia"/>
          <w:b/>
          <w:bCs/>
          <w:sz w:val="24"/>
          <w:lang w:eastAsia="zh-CN"/>
        </w:rPr>
      </w:pPr>
      <w:r>
        <w:rPr>
          <w:rFonts w:hint="eastAsia" w:asciiTheme="majorEastAsia" w:hAnsiTheme="majorEastAsia" w:eastAsiaTheme="majorEastAsia" w:cstheme="majorEastAsia"/>
          <w:b/>
          <w:bCs/>
          <w:sz w:val="24"/>
        </w:rPr>
        <w:t>（一）资格要求：</w:t>
      </w:r>
      <w:r>
        <w:rPr>
          <w:rFonts w:hint="eastAsia" w:asciiTheme="majorEastAsia" w:hAnsiTheme="majorEastAsia" w:eastAsiaTheme="majorEastAsia" w:cstheme="majorEastAsia"/>
          <w:b/>
          <w:bCs/>
          <w:sz w:val="24"/>
          <w:lang w:eastAsia="zh-CN"/>
        </w:rPr>
        <w:t>无</w:t>
      </w:r>
    </w:p>
    <w:p>
      <w:pPr>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（二）资质性要求：无</w:t>
      </w:r>
    </w:p>
    <w:p>
      <w:pPr>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（三）其他类似效力要求：无</w:t>
      </w:r>
    </w:p>
    <w:p>
      <w:pPr>
        <w:pStyle w:val="46"/>
        <w:spacing w:line="420" w:lineRule="exact"/>
        <w:ind w:firstLine="0" w:firstLineChars="0"/>
        <w:rPr>
          <w:rFonts w:hint="eastAsia" w:asciiTheme="majorEastAsia" w:hAnsiTheme="majorEastAsia" w:eastAsiaTheme="majorEastAsia" w:cstheme="majorEastAsia"/>
          <w:b/>
          <w:sz w:val="24"/>
        </w:rPr>
      </w:pPr>
    </w:p>
    <w:p>
      <w:pPr>
        <w:pStyle w:val="46"/>
        <w:spacing w:line="420" w:lineRule="exact"/>
        <w:ind w:firstLine="0" w:firstLineChars="0"/>
        <w:rPr>
          <w:rFonts w:hint="eastAsia" w:asciiTheme="majorEastAsia" w:hAnsiTheme="majorEastAsia" w:eastAsiaTheme="majorEastAsia" w:cstheme="majorEastAsia"/>
          <w:b/>
          <w:sz w:val="24"/>
        </w:rPr>
      </w:pPr>
    </w:p>
    <w:p>
      <w:pPr>
        <w:pStyle w:val="46"/>
        <w:spacing w:line="420" w:lineRule="exact"/>
        <w:ind w:firstLine="0" w:firstLineChars="0"/>
        <w:rPr>
          <w:rFonts w:hint="eastAsia" w:asciiTheme="majorEastAsia" w:hAnsiTheme="majorEastAsia" w:eastAsiaTheme="majorEastAsia" w:cstheme="majorEastAsia"/>
          <w:b/>
          <w:sz w:val="24"/>
        </w:rPr>
      </w:pPr>
      <w:r>
        <w:rPr>
          <w:rFonts w:hint="eastAsia" w:asciiTheme="majorEastAsia" w:hAnsiTheme="majorEastAsia" w:eastAsiaTheme="majorEastAsia" w:cstheme="majorEastAsia"/>
          <w:b/>
          <w:sz w:val="24"/>
        </w:rPr>
        <w:t>注：本项目确定供应商重大违法记录中较大数额罚款的金额标准是指：若采购项目所属行业行政主管部门对较大数额罚款金额标准有明文规定的，以所属行业行政主管部门规定的较大数额罚款金额标准为准；若采购项目所属行业行政主管部门对较大数额罚款金额标准未明文规定的，以处罚所在地省级人民政府规定的行政处罚罚款听证金额标准为准。</w:t>
      </w:r>
    </w:p>
    <w:p>
      <w:pPr>
        <w:pStyle w:val="2"/>
        <w:jc w:val="center"/>
        <w:rPr>
          <w:rFonts w:hint="eastAsia" w:asciiTheme="majorEastAsia" w:hAnsiTheme="majorEastAsia" w:eastAsiaTheme="majorEastAsia" w:cstheme="majorEastAsia"/>
          <w:sz w:val="36"/>
          <w:szCs w:val="36"/>
        </w:rPr>
      </w:pPr>
      <w:bookmarkStart w:id="169" w:name="_Toc3806"/>
      <w:bookmarkStart w:id="170" w:name="_Toc1588"/>
      <w:r>
        <w:rPr>
          <w:rFonts w:hint="eastAsia" w:asciiTheme="majorEastAsia" w:hAnsiTheme="majorEastAsia" w:eastAsiaTheme="majorEastAsia" w:cstheme="majorEastAsia"/>
          <w:sz w:val="36"/>
          <w:szCs w:val="36"/>
        </w:rPr>
        <w:br w:type="page"/>
      </w:r>
      <w:r>
        <w:rPr>
          <w:rFonts w:hint="eastAsia" w:asciiTheme="majorEastAsia" w:hAnsiTheme="majorEastAsia" w:eastAsiaTheme="majorEastAsia" w:cstheme="majorEastAsia"/>
          <w:sz w:val="36"/>
          <w:szCs w:val="36"/>
        </w:rPr>
        <w:t>第五章  投标人应当提供的资格、资质性及其他类似效力要求的相关证明材料</w:t>
      </w:r>
      <w:bookmarkEnd w:id="169"/>
      <w:bookmarkEnd w:id="170"/>
    </w:p>
    <w:p>
      <w:pPr>
        <w:rPr>
          <w:rFonts w:hint="eastAsia" w:asciiTheme="majorEastAsia" w:hAnsiTheme="majorEastAsia" w:eastAsiaTheme="majorEastAsia" w:cstheme="majorEastAsia"/>
        </w:rPr>
      </w:pPr>
    </w:p>
    <w:p>
      <w:pPr>
        <w:pStyle w:val="3"/>
        <w:spacing w:line="360" w:lineRule="exac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一、应当提供的投标人资格、资质性及其他类似效力要求的相关证明材料</w:t>
      </w:r>
    </w:p>
    <w:p>
      <w:pPr>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（一）资格要求相关证明材料：</w:t>
      </w:r>
    </w:p>
    <w:p>
      <w:pPr>
        <w:pStyle w:val="46"/>
        <w:spacing w:line="420" w:lineRule="exact"/>
        <w:ind w:firstLine="0" w:firstLineChars="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具有独立承担民事责任的能力。（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身份证明材料”。以上均提供复印件）；</w:t>
      </w:r>
    </w:p>
    <w:p>
      <w:pPr>
        <w:pStyle w:val="46"/>
        <w:spacing w:line="420" w:lineRule="exact"/>
        <w:ind w:firstLine="0" w:firstLineChars="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2、具备良好商业信誉的证明材料（可提供承诺函，格式详见第三章）；</w:t>
      </w:r>
    </w:p>
    <w:p>
      <w:pPr>
        <w:pStyle w:val="46"/>
        <w:spacing w:line="420" w:lineRule="exact"/>
        <w:ind w:firstLine="0" w:firstLineChars="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3、具备健全的财务会计制度的证明材料；｛注：①可提供20</w:t>
      </w:r>
      <w:r>
        <w:rPr>
          <w:rFonts w:hint="eastAsia" w:asciiTheme="majorEastAsia" w:hAnsiTheme="majorEastAsia" w:eastAsiaTheme="majorEastAsia" w:cstheme="majorEastAsia"/>
          <w:color w:val="000000" w:themeColor="text1"/>
          <w:sz w:val="24"/>
          <w:lang w:val="en-US" w:eastAsia="zh-CN"/>
        </w:rPr>
        <w:t>21</w:t>
      </w:r>
      <w:r>
        <w:rPr>
          <w:rFonts w:hint="eastAsia" w:asciiTheme="majorEastAsia" w:hAnsiTheme="majorEastAsia" w:eastAsiaTheme="majorEastAsia" w:cstheme="majorEastAsia"/>
          <w:color w:val="000000" w:themeColor="text1"/>
          <w:sz w:val="24"/>
        </w:rPr>
        <w:t>或20</w:t>
      </w:r>
      <w:r>
        <w:rPr>
          <w:rFonts w:hint="eastAsia" w:asciiTheme="majorEastAsia" w:hAnsiTheme="majorEastAsia" w:eastAsiaTheme="majorEastAsia" w:cstheme="majorEastAsia"/>
          <w:color w:val="000000" w:themeColor="text1"/>
          <w:sz w:val="24"/>
          <w:lang w:val="en-US" w:eastAsia="zh-CN"/>
        </w:rPr>
        <w:t>22</w:t>
      </w:r>
      <w:r>
        <w:rPr>
          <w:rFonts w:hint="eastAsia" w:asciiTheme="majorEastAsia" w:hAnsiTheme="majorEastAsia" w:eastAsiaTheme="majorEastAsia" w:cstheme="majorEastAsia"/>
          <w:color w:val="000000" w:themeColor="text1"/>
          <w:sz w:val="24"/>
        </w:rPr>
        <w:t>年度经审计的财务报告复印件（包含审计报告和审计报告中所涉及的财务报表和</w:t>
      </w:r>
      <w:r>
        <w:rPr>
          <w:rFonts w:hint="eastAsia" w:asciiTheme="majorEastAsia" w:hAnsiTheme="majorEastAsia" w:eastAsiaTheme="majorEastAsia" w:cstheme="majorEastAsia"/>
          <w:sz w:val="24"/>
        </w:rPr>
        <w:t>报表附注），②也可提供20</w:t>
      </w:r>
      <w:r>
        <w:rPr>
          <w:rFonts w:hint="eastAsia" w:asciiTheme="majorEastAsia" w:hAnsiTheme="majorEastAsia" w:eastAsiaTheme="majorEastAsia" w:cstheme="majorEastAsia"/>
          <w:color w:val="000000" w:themeColor="text1"/>
          <w:sz w:val="24"/>
          <w:lang w:val="en-US" w:eastAsia="zh-CN"/>
        </w:rPr>
        <w:t>21</w:t>
      </w:r>
      <w:r>
        <w:rPr>
          <w:rFonts w:hint="eastAsia" w:asciiTheme="majorEastAsia" w:hAnsiTheme="majorEastAsia" w:eastAsiaTheme="majorEastAsia" w:cstheme="majorEastAsia"/>
          <w:color w:val="000000" w:themeColor="text1"/>
          <w:sz w:val="24"/>
        </w:rPr>
        <w:t>或20</w:t>
      </w:r>
      <w:r>
        <w:rPr>
          <w:rFonts w:hint="eastAsia" w:asciiTheme="majorEastAsia" w:hAnsiTheme="majorEastAsia" w:eastAsiaTheme="majorEastAsia" w:cstheme="majorEastAsia"/>
          <w:color w:val="000000" w:themeColor="text1"/>
          <w:sz w:val="24"/>
          <w:lang w:val="en-US" w:eastAsia="zh-CN"/>
        </w:rPr>
        <w:t>22</w:t>
      </w:r>
      <w:r>
        <w:rPr>
          <w:rFonts w:hint="eastAsia" w:asciiTheme="majorEastAsia" w:hAnsiTheme="majorEastAsia" w:eastAsiaTheme="majorEastAsia" w:cstheme="majorEastAsia"/>
          <w:sz w:val="24"/>
        </w:rPr>
        <w:t>年度供应商内部的财务报表复印件（至少包含资产负债表），③也可提供截至投标文件递交截止日一年内银行出具的资信证明（复印件），④供应商注册时间截至投标文件递交截止日不足一年的，也可提供加盖工商备案主管部门印章的公司章程复印件。｝</w:t>
      </w:r>
    </w:p>
    <w:p>
      <w:pPr>
        <w:pStyle w:val="46"/>
        <w:spacing w:line="420" w:lineRule="exact"/>
        <w:ind w:firstLine="0" w:firstLineChars="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4、具有依法缴纳税收和社会保障资金的良好记录（可提供承诺函，格式详见第三章）；</w:t>
      </w:r>
    </w:p>
    <w:p>
      <w:pPr>
        <w:pStyle w:val="46"/>
        <w:spacing w:line="420" w:lineRule="exact"/>
        <w:ind w:firstLine="0" w:firstLineChars="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5、具备履行合同所必需的设备和专业技术能力的证明材料（可提供承诺函，格式详见第三章）；</w:t>
      </w:r>
    </w:p>
    <w:p>
      <w:pPr>
        <w:pStyle w:val="46"/>
        <w:spacing w:line="420" w:lineRule="exact"/>
        <w:ind w:firstLine="0" w:firstLineChars="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6、参加政府采购活动前3年内在经营活动中没有重大违法记录的承诺函（格式详见第三章）；</w:t>
      </w:r>
    </w:p>
    <w:p>
      <w:pPr>
        <w:pStyle w:val="46"/>
        <w:spacing w:line="420" w:lineRule="exact"/>
        <w:ind w:firstLine="0" w:firstLineChars="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7、具备法律、行政法规规定的其他条件的证明材料（可提供承诺函，格式详见第三章）；</w:t>
      </w:r>
    </w:p>
    <w:p>
      <w:pPr>
        <w:tabs>
          <w:tab w:val="left" w:pos="7665"/>
        </w:tabs>
        <w:spacing w:line="400" w:lineRule="exac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lang w:val="en-US" w:eastAsia="zh-CN"/>
        </w:rPr>
        <w:t>8</w:t>
      </w:r>
      <w:r>
        <w:rPr>
          <w:rFonts w:hint="eastAsia" w:asciiTheme="majorEastAsia" w:hAnsiTheme="majorEastAsia" w:eastAsiaTheme="majorEastAsia" w:cstheme="majorEastAsia"/>
          <w:sz w:val="24"/>
        </w:rPr>
        <w:t>、本项目的特定资格要求：</w:t>
      </w:r>
    </w:p>
    <w:p>
      <w:pPr>
        <w:tabs>
          <w:tab w:val="left" w:pos="7665"/>
        </w:tabs>
        <w:spacing w:line="400" w:lineRule="exact"/>
        <w:ind w:firstLine="480"/>
        <w:rPr>
          <w:rFonts w:hint="eastAsia" w:eastAsia="宋体" w:asciiTheme="majorEastAsia" w:hAnsiTheme="majorEastAsia" w:cstheme="majorEastAsia"/>
          <w:sz w:val="24"/>
          <w:lang w:eastAsia="zh-CN"/>
        </w:rPr>
      </w:pPr>
      <w:r>
        <w:rPr>
          <w:rFonts w:hint="eastAsia" w:asciiTheme="majorEastAsia" w:hAnsiTheme="majorEastAsia" w:eastAsiaTheme="majorEastAsia" w:cstheme="majorEastAsia"/>
          <w:sz w:val="24"/>
          <w:lang w:val="en-US" w:eastAsia="zh-CN"/>
        </w:rPr>
        <w:t>8</w:t>
      </w:r>
      <w:r>
        <w:rPr>
          <w:rFonts w:hint="eastAsia" w:asciiTheme="majorEastAsia" w:hAnsiTheme="majorEastAsia" w:eastAsiaTheme="majorEastAsia" w:cstheme="majorEastAsia"/>
          <w:sz w:val="24"/>
        </w:rPr>
        <w:t>.1</w:t>
      </w:r>
      <w:r>
        <w:rPr>
          <w:rFonts w:ascii="宋体" w:hAnsi="宋体" w:eastAsia="宋体" w:cs="宋体"/>
          <w:sz w:val="24"/>
          <w:szCs w:val="24"/>
        </w:rPr>
        <w:t>若采购产品为医疗器械的，投标人须符合《医疗器械监督管理条例》要求并提供投标人经营该产品的经营许可/经营备案证明材料；投标产品须符合《医疗器械注册与备案管理办法》要求并提供产品的注册/备案证明材料</w:t>
      </w:r>
      <w:r>
        <w:rPr>
          <w:rFonts w:hint="eastAsia" w:ascii="宋体" w:hAnsi="宋体" w:cs="宋体"/>
          <w:sz w:val="24"/>
          <w:szCs w:val="24"/>
          <w:lang w:eastAsia="zh-CN"/>
        </w:rPr>
        <w:t>。</w:t>
      </w:r>
    </w:p>
    <w:p>
      <w:pPr>
        <w:pStyle w:val="46"/>
        <w:spacing w:line="42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lang w:val="en-US" w:eastAsia="zh-CN"/>
        </w:rPr>
        <w:t>8.2</w:t>
      </w:r>
      <w:r>
        <w:rPr>
          <w:rFonts w:hint="eastAsia" w:asciiTheme="majorEastAsia" w:hAnsiTheme="majorEastAsia" w:eastAsiaTheme="majorEastAsia" w:cstheme="majorEastAsia"/>
          <w:sz w:val="24"/>
        </w:rPr>
        <w:t>供应商须提供“截至投标截止日未被列入失信被执行人、重大税收违法案件当事人名单、政府采购严重违法失信行为记录名单的承诺函”。</w:t>
      </w:r>
    </w:p>
    <w:p>
      <w:pPr>
        <w:pStyle w:val="46"/>
        <w:spacing w:line="420" w:lineRule="exact"/>
        <w:ind w:firstLine="199" w:firstLineChars="83"/>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   </w:t>
      </w:r>
      <w:r>
        <w:rPr>
          <w:rFonts w:hint="eastAsia" w:asciiTheme="majorEastAsia" w:hAnsiTheme="majorEastAsia" w:eastAsiaTheme="majorEastAsia" w:cstheme="majorEastAsia"/>
          <w:sz w:val="24"/>
          <w:lang w:val="en-US" w:eastAsia="zh-CN"/>
        </w:rPr>
        <w:t>8</w:t>
      </w:r>
      <w:r>
        <w:rPr>
          <w:rFonts w:hint="eastAsia" w:asciiTheme="majorEastAsia" w:hAnsiTheme="majorEastAsia" w:eastAsiaTheme="majorEastAsia" w:cstheme="majorEastAsia"/>
          <w:sz w:val="24"/>
        </w:rPr>
        <w:t>.</w:t>
      </w:r>
      <w:r>
        <w:rPr>
          <w:rFonts w:hint="eastAsia" w:asciiTheme="majorEastAsia" w:hAnsiTheme="majorEastAsia" w:eastAsiaTheme="majorEastAsia" w:cstheme="majorEastAsia"/>
          <w:sz w:val="24"/>
          <w:lang w:val="en-US" w:eastAsia="zh-CN"/>
        </w:rPr>
        <w:t>3</w:t>
      </w:r>
      <w:r>
        <w:rPr>
          <w:rFonts w:hint="eastAsia" w:asciiTheme="majorEastAsia" w:hAnsiTheme="majorEastAsia" w:eastAsiaTheme="majorEastAsia" w:cstheme="majorEastAsia"/>
          <w:sz w:val="24"/>
          <w:lang w:eastAsia="zh-CN"/>
        </w:rPr>
        <w:t>本项目不允许联合体参加</w:t>
      </w:r>
    </w:p>
    <w:p>
      <w:pPr>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（二）资质性要求相关证明材料：无</w:t>
      </w:r>
    </w:p>
    <w:p>
      <w:pPr>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（三）其他类似效力要求相关证明材料：</w:t>
      </w:r>
    </w:p>
    <w:p>
      <w:pPr>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（1）按招标文件要求交纳投标保证金的证明材料。（注：须符合第二章投标人须知附表投标保证金要求）。</w:t>
      </w:r>
    </w:p>
    <w:p>
      <w:pPr>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（2）法定代表人/单位负责人身份证明材料复印件。</w:t>
      </w:r>
    </w:p>
    <w:p>
      <w:pPr>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（3）法定代表人/单位负责人授权代理书原件及代理人身份证明材料复印件（注：①法定代表人/单位负责人授权代理书原件需加盖公章；②如投标文件均由投标人法定代表人/单位负责人签字</w:t>
      </w:r>
      <w:r>
        <w:rPr>
          <w:rFonts w:hint="eastAsia" w:asciiTheme="majorEastAsia" w:hAnsiTheme="majorEastAsia" w:eastAsiaTheme="majorEastAsia" w:cstheme="majorEastAsia"/>
          <w:bCs/>
          <w:sz w:val="24"/>
        </w:rPr>
        <w:t>或加盖私人印章</w:t>
      </w:r>
      <w:r>
        <w:rPr>
          <w:rFonts w:hint="eastAsia" w:asciiTheme="majorEastAsia" w:hAnsiTheme="majorEastAsia" w:eastAsiaTheme="majorEastAsia" w:cstheme="majorEastAsia"/>
          <w:sz w:val="24"/>
        </w:rPr>
        <w:t>的且法定代表人/单位负责人本人参与投标的，则可不提供。）。</w:t>
      </w:r>
    </w:p>
    <w:p>
      <w:pPr>
        <w:pStyle w:val="3"/>
        <w:spacing w:line="360" w:lineRule="exac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val="0"/>
          <w:bCs w:val="0"/>
          <w:sz w:val="24"/>
          <w:szCs w:val="24"/>
        </w:rPr>
        <w:t>二、</w:t>
      </w:r>
      <w:r>
        <w:rPr>
          <w:rFonts w:hint="eastAsia" w:asciiTheme="majorEastAsia" w:hAnsiTheme="majorEastAsia" w:eastAsiaTheme="majorEastAsia" w:cstheme="majorEastAsia"/>
          <w:sz w:val="24"/>
          <w:szCs w:val="24"/>
        </w:rPr>
        <w:t>应当提供的投标产品的资格、资质性及其他具有类似效力的要求的相关证明材料</w:t>
      </w:r>
    </w:p>
    <w:p>
      <w:pPr>
        <w:rPr>
          <w:rFonts w:hint="eastAsia" w:asciiTheme="majorEastAsia" w:hAnsiTheme="majorEastAsia" w:eastAsiaTheme="majorEastAsia" w:cstheme="majorEastAsia"/>
          <w:b/>
          <w:bCs/>
          <w:sz w:val="24"/>
          <w:lang w:eastAsia="zh-CN"/>
        </w:rPr>
      </w:pPr>
      <w:r>
        <w:rPr>
          <w:rFonts w:hint="eastAsia" w:asciiTheme="majorEastAsia" w:hAnsiTheme="majorEastAsia" w:eastAsiaTheme="majorEastAsia" w:cstheme="majorEastAsia"/>
          <w:b/>
          <w:bCs/>
          <w:sz w:val="24"/>
        </w:rPr>
        <w:t>（一）资格要求相关证明材料：</w:t>
      </w:r>
      <w:r>
        <w:rPr>
          <w:rFonts w:hint="eastAsia" w:asciiTheme="majorEastAsia" w:hAnsiTheme="majorEastAsia" w:eastAsiaTheme="majorEastAsia" w:cstheme="majorEastAsia"/>
          <w:b/>
          <w:bCs/>
          <w:sz w:val="24"/>
          <w:lang w:eastAsia="zh-CN"/>
        </w:rPr>
        <w:t>无</w:t>
      </w:r>
    </w:p>
    <w:p>
      <w:pPr>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（二）资质性要求相关证明材料：无</w:t>
      </w:r>
    </w:p>
    <w:p>
      <w:pPr>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sz w:val="24"/>
        </w:rPr>
        <w:t>（三）其他类似效力要求相关证明材料：无</w:t>
      </w:r>
    </w:p>
    <w:p>
      <w:pPr>
        <w:spacing w:line="360" w:lineRule="auto"/>
        <w:rPr>
          <w:rFonts w:hint="eastAsia" w:asciiTheme="majorEastAsia" w:hAnsiTheme="majorEastAsia" w:eastAsiaTheme="majorEastAsia" w:cstheme="majorEastAsia"/>
          <w:b/>
          <w:kern w:val="0"/>
          <w:sz w:val="24"/>
        </w:rPr>
      </w:pPr>
      <w:r>
        <w:rPr>
          <w:rFonts w:hint="eastAsia" w:asciiTheme="majorEastAsia" w:hAnsiTheme="majorEastAsia" w:eastAsiaTheme="majorEastAsia" w:cstheme="majorEastAsia"/>
          <w:b/>
          <w:kern w:val="0"/>
          <w:sz w:val="24"/>
        </w:rPr>
        <w:t>注：1、以上要求的资料复印件均须加盖投标单位的公章（鲜章）。</w:t>
      </w:r>
    </w:p>
    <w:p>
      <w:pPr>
        <w:ind w:firstLine="482" w:firstLineChars="200"/>
        <w:rPr>
          <w:rFonts w:hint="eastAsia" w:asciiTheme="majorEastAsia" w:hAnsiTheme="majorEastAsia" w:eastAsiaTheme="majorEastAsia" w:cstheme="majorEastAsia"/>
          <w:b/>
          <w:kern w:val="0"/>
          <w:sz w:val="24"/>
        </w:rPr>
      </w:pPr>
      <w:r>
        <w:rPr>
          <w:rFonts w:hint="eastAsia" w:asciiTheme="majorEastAsia" w:hAnsiTheme="majorEastAsia" w:eastAsiaTheme="majorEastAsia" w:cstheme="majorEastAsia"/>
          <w:b/>
          <w:kern w:val="0"/>
          <w:sz w:val="24"/>
        </w:rPr>
        <w:t>2、</w:t>
      </w:r>
      <w:bookmarkStart w:id="171" w:name="_Toc2122"/>
      <w:bookmarkStart w:id="172" w:name="_Toc217446093"/>
      <w:r>
        <w:rPr>
          <w:rFonts w:hint="eastAsia" w:asciiTheme="majorEastAsia" w:hAnsiTheme="majorEastAsia" w:eastAsiaTheme="majorEastAsia" w:cstheme="majorEastAsia"/>
          <w:b/>
          <w:kern w:val="0"/>
          <w:sz w:val="24"/>
        </w:rPr>
        <w:t xml:space="preserve">根据国务院办公厅关于加快推进“多证合一”改革的指导意见（国办发【2017】41号）等政策要求，若资格要求涉及的登记、备案等有关事项和各类证照已实行多证合一导致供应商无法提供该类证明材料的，供应商须提供“多证合一”的营业执照，并就被“多证合一”整合的相关登记、备案和各类证照的真实性作出承诺（承诺函格式详见第三章）。 </w:t>
      </w:r>
      <w:bookmarkEnd w:id="157"/>
    </w:p>
    <w:p>
      <w:pPr>
        <w:spacing w:line="360" w:lineRule="auto"/>
        <w:rPr>
          <w:rFonts w:hint="eastAsia" w:asciiTheme="majorEastAsia" w:hAnsiTheme="majorEastAsia" w:eastAsiaTheme="majorEastAsia" w:cstheme="majorEastAsia"/>
          <w:sz w:val="36"/>
          <w:szCs w:val="36"/>
        </w:rPr>
        <w:sectPr>
          <w:pgSz w:w="11906" w:h="16838"/>
          <w:pgMar w:top="1440" w:right="1800" w:bottom="1440" w:left="1800" w:header="851" w:footer="992" w:gutter="0"/>
          <w:cols w:space="720" w:num="1"/>
          <w:docGrid w:type="lines" w:linePitch="312" w:charSpace="0"/>
        </w:sectPr>
      </w:pPr>
    </w:p>
    <w:p>
      <w:pPr>
        <w:pStyle w:val="2"/>
        <w:jc w:val="center"/>
        <w:rPr>
          <w:rFonts w:hint="eastAsia" w:asciiTheme="majorEastAsia" w:hAnsiTheme="majorEastAsia" w:eastAsiaTheme="majorEastAsia" w:cstheme="majorEastAsia"/>
          <w:sz w:val="36"/>
          <w:szCs w:val="36"/>
        </w:rPr>
      </w:pPr>
      <w:bookmarkStart w:id="173" w:name="PO_默认文件内容_32"/>
      <w:r>
        <w:rPr>
          <w:rFonts w:hint="eastAsia" w:asciiTheme="majorEastAsia" w:hAnsiTheme="majorEastAsia" w:eastAsiaTheme="majorEastAsia" w:cstheme="majorEastAsia"/>
          <w:sz w:val="36"/>
          <w:szCs w:val="36"/>
        </w:rPr>
        <w:t>第六章  招标项目技术、服务、政府采购合同内容条款及其他商务要求</w:t>
      </w:r>
      <w:bookmarkEnd w:id="171"/>
    </w:p>
    <w:bookmarkEnd w:id="172"/>
    <w:p>
      <w:pPr>
        <w:pStyle w:val="3"/>
        <w:spacing w:line="400" w:lineRule="exact"/>
        <w:ind w:firstLine="236" w:firstLineChars="98"/>
        <w:rPr>
          <w:rFonts w:hint="eastAsia" w:asciiTheme="majorEastAsia" w:hAnsiTheme="majorEastAsia" w:eastAsiaTheme="majorEastAsia" w:cstheme="majorEastAsia"/>
          <w:sz w:val="24"/>
          <w:szCs w:val="24"/>
        </w:rPr>
      </w:pPr>
      <w:bookmarkStart w:id="174" w:name="_Toc217446094"/>
      <w:r>
        <w:rPr>
          <w:rFonts w:hint="eastAsia" w:asciiTheme="majorEastAsia" w:hAnsiTheme="majorEastAsia" w:eastAsiaTheme="majorEastAsia" w:cstheme="majorEastAsia"/>
          <w:sz w:val="24"/>
          <w:szCs w:val="24"/>
        </w:rPr>
        <w:t>前提：本章中标注“</w:t>
      </w:r>
      <w:r>
        <w:rPr>
          <w:rFonts w:hint="eastAsia" w:ascii="宋体" w:hAnsi="宋体" w:eastAsia="宋体" w:cs="宋体"/>
          <w:sz w:val="24"/>
          <w:lang w:val="en-US" w:eastAsia="zh-CN"/>
        </w:rPr>
        <w:t>★</w:t>
      </w:r>
      <w:r>
        <w:rPr>
          <w:rFonts w:hint="eastAsia" w:asciiTheme="majorEastAsia" w:hAnsiTheme="majorEastAsia" w:eastAsiaTheme="majorEastAsia" w:cstheme="majorEastAsia"/>
          <w:sz w:val="24"/>
          <w:szCs w:val="24"/>
        </w:rPr>
        <w:t>”的条款为本项目的实质性条款，投标人不满足的，将按照无效投标处理。</w:t>
      </w:r>
    </w:p>
    <w:p>
      <w:pPr>
        <w:pStyle w:val="3"/>
        <w:spacing w:line="400" w:lineRule="exact"/>
        <w:ind w:firstLine="236" w:firstLineChars="98"/>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（一）. 项目概述</w:t>
      </w:r>
      <w:bookmarkEnd w:id="174"/>
    </w:p>
    <w:p>
      <w:pPr>
        <w:pStyle w:val="6"/>
        <w:spacing w:line="400" w:lineRule="exact"/>
        <w:ind w:firstLine="480"/>
        <w:rPr>
          <w:rFonts w:hint="eastAsia" w:asciiTheme="majorEastAsia" w:hAnsiTheme="majorEastAsia" w:eastAsiaTheme="majorEastAsia" w:cstheme="majorEastAsia"/>
          <w:bCs/>
          <w:sz w:val="24"/>
        </w:rPr>
      </w:pPr>
      <w:bookmarkStart w:id="175" w:name="_Toc217446095"/>
      <w:r>
        <w:rPr>
          <w:rFonts w:hint="eastAsia" w:asciiTheme="majorEastAsia" w:hAnsiTheme="majorEastAsia" w:eastAsiaTheme="majorEastAsia" w:cstheme="majorEastAsia"/>
          <w:bCs/>
          <w:sz w:val="24"/>
        </w:rPr>
        <w:t>1.项目概况：本项目共一个包，采购</w:t>
      </w:r>
      <w:r>
        <w:rPr>
          <w:rFonts w:hint="eastAsia" w:asciiTheme="majorEastAsia" w:hAnsiTheme="majorEastAsia" w:eastAsiaTheme="majorEastAsia" w:cstheme="majorEastAsia"/>
          <w:bCs/>
          <w:sz w:val="24"/>
          <w:lang w:val="en-US" w:eastAsia="zh-CN"/>
        </w:rPr>
        <w:t>医疗器械</w:t>
      </w:r>
      <w:r>
        <w:rPr>
          <w:rFonts w:hint="eastAsia" w:asciiTheme="majorEastAsia" w:hAnsiTheme="majorEastAsia" w:eastAsiaTheme="majorEastAsia" w:cstheme="majorEastAsia"/>
          <w:bCs/>
          <w:sz w:val="24"/>
        </w:rPr>
        <w:t>一批。</w:t>
      </w:r>
    </w:p>
    <w:p>
      <w:pPr>
        <w:pStyle w:val="6"/>
        <w:spacing w:line="400" w:lineRule="exact"/>
        <w:ind w:firstLine="480"/>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rPr>
        <w:t>2.标的名称及所属行业：</w:t>
      </w:r>
    </w:p>
    <w:tbl>
      <w:tblPr>
        <w:tblStyle w:val="25"/>
        <w:tblW w:w="9522" w:type="dxa"/>
        <w:tblInd w:w="-5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6"/>
        <w:gridCol w:w="1491"/>
        <w:gridCol w:w="3445"/>
        <w:gridCol w:w="1815"/>
        <w:gridCol w:w="14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296" w:type="dxa"/>
            <w:vAlign w:val="center"/>
          </w:tcPr>
          <w:p>
            <w:pPr>
              <w:widowControl/>
              <w:spacing w:line="360" w:lineRule="atLeast"/>
              <w:jc w:val="center"/>
              <w:outlineLvl w:val="1"/>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序号</w:t>
            </w:r>
          </w:p>
        </w:tc>
        <w:tc>
          <w:tcPr>
            <w:tcW w:w="1491" w:type="dxa"/>
          </w:tcPr>
          <w:p>
            <w:pPr>
              <w:widowControl/>
              <w:spacing w:line="360" w:lineRule="atLeast"/>
              <w:jc w:val="center"/>
              <w:outlineLvl w:val="1"/>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品目号</w:t>
            </w:r>
          </w:p>
        </w:tc>
        <w:tc>
          <w:tcPr>
            <w:tcW w:w="3445" w:type="dxa"/>
            <w:vAlign w:val="center"/>
          </w:tcPr>
          <w:p>
            <w:pPr>
              <w:widowControl/>
              <w:spacing w:line="360" w:lineRule="atLeast"/>
              <w:ind w:firstLine="1200" w:firstLineChars="500"/>
              <w:jc w:val="both"/>
              <w:outlineLvl w:val="1"/>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标的名称</w:t>
            </w:r>
          </w:p>
        </w:tc>
        <w:tc>
          <w:tcPr>
            <w:tcW w:w="1815" w:type="dxa"/>
          </w:tcPr>
          <w:p>
            <w:pPr>
              <w:widowControl/>
              <w:spacing w:line="360" w:lineRule="atLeast"/>
              <w:jc w:val="center"/>
              <w:outlineLvl w:val="1"/>
              <w:rPr>
                <w:rFonts w:hint="default"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采购数量</w:t>
            </w:r>
          </w:p>
        </w:tc>
        <w:tc>
          <w:tcPr>
            <w:tcW w:w="1475" w:type="dxa"/>
          </w:tcPr>
          <w:p>
            <w:pPr>
              <w:widowControl/>
              <w:spacing w:line="360" w:lineRule="atLeast"/>
              <w:jc w:val="center"/>
              <w:outlineLvl w:val="1"/>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1296" w:type="dxa"/>
          </w:tcPr>
          <w:p>
            <w:pPr>
              <w:widowControl/>
              <w:spacing w:line="360" w:lineRule="atLeast"/>
              <w:jc w:val="center"/>
              <w:outlineLvl w:val="1"/>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1</w:t>
            </w:r>
          </w:p>
        </w:tc>
        <w:tc>
          <w:tcPr>
            <w:tcW w:w="1491" w:type="dxa"/>
          </w:tcPr>
          <w:p>
            <w:pPr>
              <w:widowControl/>
              <w:spacing w:line="360" w:lineRule="atLeast"/>
              <w:ind w:firstLine="240" w:firstLineChars="100"/>
              <w:jc w:val="center"/>
              <w:outlineLvl w:val="1"/>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1-1</w:t>
            </w:r>
          </w:p>
        </w:tc>
        <w:tc>
          <w:tcPr>
            <w:tcW w:w="3445" w:type="dxa"/>
            <w:vAlign w:val="top"/>
          </w:tcPr>
          <w:p>
            <w:pPr>
              <w:pStyle w:val="9"/>
              <w:jc w:val="center"/>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i w:val="0"/>
                <w:iCs w:val="0"/>
                <w:kern w:val="2"/>
                <w:sz w:val="24"/>
                <w:szCs w:val="24"/>
                <w:u w:val="none"/>
                <w:lang w:val="en-US" w:eastAsia="zh-CN" w:bidi="ar-SA"/>
              </w:rPr>
              <w:t>包埋盒打号机</w:t>
            </w:r>
          </w:p>
        </w:tc>
        <w:tc>
          <w:tcPr>
            <w:tcW w:w="1815" w:type="dxa"/>
            <w:vAlign w:val="top"/>
          </w:tcPr>
          <w:p>
            <w:pPr>
              <w:pStyle w:val="9"/>
              <w:jc w:val="center"/>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sz w:val="24"/>
                <w:vertAlign w:val="baseline"/>
                <w:lang w:val="en-US" w:eastAsia="zh-CN"/>
              </w:rPr>
              <w:t>1台</w:t>
            </w:r>
          </w:p>
        </w:tc>
        <w:tc>
          <w:tcPr>
            <w:tcW w:w="1475" w:type="dxa"/>
            <w:vMerge w:val="restart"/>
          </w:tcPr>
          <w:p>
            <w:pPr>
              <w:widowControl/>
              <w:spacing w:line="360" w:lineRule="atLeast"/>
              <w:ind w:firstLine="240" w:firstLineChars="100"/>
              <w:jc w:val="both"/>
              <w:outlineLvl w:val="1"/>
              <w:rPr>
                <w:rFonts w:hint="eastAsia" w:asciiTheme="majorEastAsia" w:hAnsiTheme="majorEastAsia" w:eastAsiaTheme="majorEastAsia" w:cstheme="majorEastAsia"/>
                <w:bCs/>
                <w:kern w:val="2"/>
                <w:sz w:val="24"/>
                <w:szCs w:val="24"/>
                <w:lang w:val="en-US" w:eastAsia="zh-CN" w:bidi="ar-SA"/>
              </w:rPr>
            </w:pPr>
          </w:p>
          <w:p>
            <w:pPr>
              <w:widowControl/>
              <w:spacing w:line="360" w:lineRule="atLeast"/>
              <w:ind w:firstLine="240" w:firstLineChars="100"/>
              <w:jc w:val="both"/>
              <w:outlineLvl w:val="1"/>
              <w:rPr>
                <w:rFonts w:hint="eastAsia" w:asciiTheme="majorEastAsia" w:hAnsiTheme="majorEastAsia" w:eastAsiaTheme="majorEastAsia" w:cstheme="majorEastAsia"/>
                <w:bCs/>
                <w:kern w:val="2"/>
                <w:sz w:val="24"/>
                <w:szCs w:val="24"/>
                <w:lang w:val="en-US" w:eastAsia="zh-CN" w:bidi="ar-SA"/>
              </w:rPr>
            </w:pPr>
          </w:p>
          <w:p>
            <w:pPr>
              <w:widowControl/>
              <w:spacing w:line="360" w:lineRule="atLeast"/>
              <w:ind w:firstLine="240" w:firstLineChars="100"/>
              <w:jc w:val="both"/>
              <w:outlineLvl w:val="1"/>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1296" w:type="dxa"/>
          </w:tcPr>
          <w:p>
            <w:pPr>
              <w:widowControl/>
              <w:spacing w:line="360" w:lineRule="atLeast"/>
              <w:jc w:val="center"/>
              <w:outlineLvl w:val="1"/>
              <w:rPr>
                <w:rFonts w:hint="default"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2</w:t>
            </w:r>
          </w:p>
        </w:tc>
        <w:tc>
          <w:tcPr>
            <w:tcW w:w="1491" w:type="dxa"/>
          </w:tcPr>
          <w:p>
            <w:pPr>
              <w:widowControl/>
              <w:spacing w:line="360" w:lineRule="atLeast"/>
              <w:ind w:firstLine="240" w:firstLineChars="100"/>
              <w:jc w:val="center"/>
              <w:outlineLvl w:val="1"/>
              <w:rPr>
                <w:rFonts w:hint="default"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1-2</w:t>
            </w:r>
          </w:p>
        </w:tc>
        <w:tc>
          <w:tcPr>
            <w:tcW w:w="3445" w:type="dxa"/>
            <w:vAlign w:val="top"/>
          </w:tcPr>
          <w:p>
            <w:pPr>
              <w:pStyle w:val="9"/>
              <w:jc w:val="center"/>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i w:val="0"/>
                <w:iCs w:val="0"/>
                <w:kern w:val="2"/>
                <w:sz w:val="24"/>
                <w:szCs w:val="24"/>
                <w:u w:val="none"/>
                <w:lang w:val="en-US" w:eastAsia="zh-CN" w:bidi="ar-SA"/>
              </w:rPr>
              <w:t>载玻片激光书写仪</w:t>
            </w:r>
          </w:p>
        </w:tc>
        <w:tc>
          <w:tcPr>
            <w:tcW w:w="1815" w:type="dxa"/>
            <w:vAlign w:val="top"/>
          </w:tcPr>
          <w:p>
            <w:pPr>
              <w:pStyle w:val="9"/>
              <w:jc w:val="center"/>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sz w:val="24"/>
                <w:vertAlign w:val="baseline"/>
                <w:lang w:val="en-US" w:eastAsia="zh-CN"/>
              </w:rPr>
              <w:t>1台</w:t>
            </w:r>
          </w:p>
        </w:tc>
        <w:tc>
          <w:tcPr>
            <w:tcW w:w="1475" w:type="dxa"/>
            <w:vMerge w:val="continue"/>
          </w:tcPr>
          <w:p>
            <w:pPr>
              <w:widowControl/>
              <w:spacing w:line="360" w:lineRule="atLeast"/>
              <w:ind w:firstLine="240" w:firstLineChars="100"/>
              <w:jc w:val="both"/>
              <w:outlineLvl w:val="1"/>
              <w:rPr>
                <w:rFonts w:hint="eastAsia" w:asciiTheme="majorEastAsia" w:hAnsiTheme="majorEastAsia" w:eastAsiaTheme="majorEastAsia" w:cstheme="majorEastAsia"/>
                <w:bCs/>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1296" w:type="dxa"/>
          </w:tcPr>
          <w:p>
            <w:pPr>
              <w:widowControl/>
              <w:spacing w:line="360" w:lineRule="atLeast"/>
              <w:jc w:val="center"/>
              <w:outlineLvl w:val="1"/>
              <w:rPr>
                <w:rFonts w:hint="default"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3</w:t>
            </w:r>
          </w:p>
        </w:tc>
        <w:tc>
          <w:tcPr>
            <w:tcW w:w="1491" w:type="dxa"/>
          </w:tcPr>
          <w:p>
            <w:pPr>
              <w:widowControl/>
              <w:spacing w:line="360" w:lineRule="atLeast"/>
              <w:ind w:firstLine="240" w:firstLineChars="100"/>
              <w:jc w:val="center"/>
              <w:outlineLvl w:val="1"/>
              <w:rPr>
                <w:rFonts w:hint="default"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1-3</w:t>
            </w:r>
          </w:p>
        </w:tc>
        <w:tc>
          <w:tcPr>
            <w:tcW w:w="3445" w:type="dxa"/>
            <w:vAlign w:val="top"/>
          </w:tcPr>
          <w:p>
            <w:pPr>
              <w:pStyle w:val="9"/>
              <w:jc w:val="center"/>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i w:val="0"/>
                <w:iCs w:val="0"/>
                <w:kern w:val="2"/>
                <w:sz w:val="24"/>
                <w:szCs w:val="24"/>
                <w:u w:val="none"/>
                <w:lang w:val="en-US" w:eastAsia="zh-CN" w:bidi="ar-SA"/>
              </w:rPr>
              <w:t>冷台</w:t>
            </w:r>
          </w:p>
        </w:tc>
        <w:tc>
          <w:tcPr>
            <w:tcW w:w="1815" w:type="dxa"/>
            <w:vAlign w:val="top"/>
          </w:tcPr>
          <w:p>
            <w:pPr>
              <w:pStyle w:val="9"/>
              <w:jc w:val="center"/>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sz w:val="24"/>
                <w:vertAlign w:val="baseline"/>
                <w:lang w:val="en-US" w:eastAsia="zh-CN"/>
              </w:rPr>
              <w:t>1台</w:t>
            </w:r>
          </w:p>
        </w:tc>
        <w:tc>
          <w:tcPr>
            <w:tcW w:w="1475" w:type="dxa"/>
            <w:vMerge w:val="continue"/>
          </w:tcPr>
          <w:p>
            <w:pPr>
              <w:widowControl/>
              <w:spacing w:line="360" w:lineRule="atLeast"/>
              <w:ind w:firstLine="240" w:firstLineChars="100"/>
              <w:jc w:val="both"/>
              <w:outlineLvl w:val="1"/>
              <w:rPr>
                <w:rFonts w:hint="eastAsia" w:asciiTheme="majorEastAsia" w:hAnsiTheme="majorEastAsia" w:eastAsiaTheme="majorEastAsia" w:cstheme="majorEastAsia"/>
                <w:bCs/>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1296" w:type="dxa"/>
          </w:tcPr>
          <w:p>
            <w:pPr>
              <w:widowControl/>
              <w:spacing w:line="360" w:lineRule="atLeast"/>
              <w:jc w:val="center"/>
              <w:outlineLvl w:val="1"/>
              <w:rPr>
                <w:rFonts w:hint="default"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4</w:t>
            </w:r>
          </w:p>
        </w:tc>
        <w:tc>
          <w:tcPr>
            <w:tcW w:w="1491" w:type="dxa"/>
          </w:tcPr>
          <w:p>
            <w:pPr>
              <w:widowControl/>
              <w:spacing w:line="360" w:lineRule="atLeast"/>
              <w:ind w:firstLine="240" w:firstLineChars="100"/>
              <w:jc w:val="center"/>
              <w:outlineLvl w:val="1"/>
              <w:rPr>
                <w:rFonts w:hint="default"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kern w:val="2"/>
                <w:sz w:val="24"/>
                <w:szCs w:val="24"/>
                <w:lang w:val="en-US" w:eastAsia="zh-CN" w:bidi="ar-SA"/>
              </w:rPr>
              <w:t>1-4</w:t>
            </w:r>
          </w:p>
        </w:tc>
        <w:tc>
          <w:tcPr>
            <w:tcW w:w="3445" w:type="dxa"/>
            <w:vAlign w:val="top"/>
          </w:tcPr>
          <w:p>
            <w:pPr>
              <w:pStyle w:val="9"/>
              <w:jc w:val="center"/>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i w:val="0"/>
                <w:iCs w:val="0"/>
                <w:kern w:val="2"/>
                <w:sz w:val="24"/>
                <w:szCs w:val="24"/>
                <w:u w:val="none"/>
                <w:lang w:val="en-US" w:eastAsia="zh-CN" w:bidi="ar-SA"/>
              </w:rPr>
              <w:t>医用冷藏柜</w:t>
            </w:r>
          </w:p>
        </w:tc>
        <w:tc>
          <w:tcPr>
            <w:tcW w:w="1815" w:type="dxa"/>
            <w:vAlign w:val="top"/>
          </w:tcPr>
          <w:p>
            <w:pPr>
              <w:pStyle w:val="9"/>
              <w:jc w:val="center"/>
              <w:rPr>
                <w:rFonts w:hint="eastAsia" w:asciiTheme="majorEastAsia" w:hAnsiTheme="majorEastAsia" w:eastAsiaTheme="majorEastAsia" w:cstheme="majorEastAsia"/>
                <w:bCs/>
                <w:kern w:val="2"/>
                <w:sz w:val="24"/>
                <w:szCs w:val="24"/>
                <w:lang w:val="en-US" w:eastAsia="zh-CN" w:bidi="ar-SA"/>
              </w:rPr>
            </w:pPr>
            <w:r>
              <w:rPr>
                <w:rFonts w:hint="eastAsia" w:asciiTheme="majorEastAsia" w:hAnsiTheme="majorEastAsia" w:eastAsiaTheme="majorEastAsia" w:cstheme="majorEastAsia"/>
                <w:bCs/>
                <w:sz w:val="24"/>
                <w:vertAlign w:val="baseline"/>
                <w:lang w:val="en-US" w:eastAsia="zh-CN"/>
              </w:rPr>
              <w:t>2台</w:t>
            </w:r>
          </w:p>
        </w:tc>
        <w:tc>
          <w:tcPr>
            <w:tcW w:w="1475" w:type="dxa"/>
            <w:vMerge w:val="continue"/>
          </w:tcPr>
          <w:p>
            <w:pPr>
              <w:widowControl/>
              <w:spacing w:line="360" w:lineRule="atLeast"/>
              <w:ind w:firstLine="240" w:firstLineChars="100"/>
              <w:jc w:val="both"/>
              <w:outlineLvl w:val="1"/>
              <w:rPr>
                <w:rFonts w:hint="eastAsia" w:asciiTheme="majorEastAsia" w:hAnsiTheme="majorEastAsia" w:eastAsiaTheme="majorEastAsia" w:cstheme="majorEastAsia"/>
                <w:bCs/>
                <w:kern w:val="2"/>
                <w:sz w:val="24"/>
                <w:szCs w:val="24"/>
                <w:lang w:val="en-US" w:eastAsia="zh-CN" w:bidi="ar-SA"/>
              </w:rPr>
            </w:pPr>
          </w:p>
        </w:tc>
      </w:tr>
    </w:tbl>
    <w:p>
      <w:pPr>
        <w:pStyle w:val="3"/>
        <w:spacing w:line="400" w:lineRule="exact"/>
        <w:rPr>
          <w:rFonts w:hint="eastAsia" w:asciiTheme="majorEastAsia" w:hAnsiTheme="majorEastAsia" w:eastAsiaTheme="majorEastAsia" w:cstheme="majorEastAsia"/>
          <w:sz w:val="24"/>
          <w:szCs w:val="24"/>
        </w:rPr>
      </w:pPr>
      <w:r>
        <w:rPr>
          <w:rFonts w:hint="eastAsia" w:ascii="宋体" w:hAnsi="宋体" w:eastAsia="宋体" w:cs="宋体"/>
          <w:sz w:val="24"/>
          <w:lang w:val="en-US" w:eastAsia="zh-CN"/>
        </w:rPr>
        <w:t>★</w:t>
      </w:r>
      <w:r>
        <w:rPr>
          <w:rFonts w:hint="eastAsia" w:asciiTheme="majorEastAsia" w:hAnsiTheme="majorEastAsia" w:eastAsiaTheme="majorEastAsia" w:cstheme="majorEastAsia"/>
          <w:sz w:val="24"/>
          <w:szCs w:val="24"/>
        </w:rPr>
        <w:t>（二）. 商务要求</w:t>
      </w:r>
    </w:p>
    <w:p>
      <w:pPr>
        <w:spacing w:line="500" w:lineRule="exact"/>
        <w:ind w:firstLine="241" w:firstLineChars="100"/>
        <w:rPr>
          <w:rFonts w:hint="eastAsia" w:asciiTheme="majorEastAsia" w:hAnsiTheme="majorEastAsia" w:eastAsiaTheme="majorEastAsia" w:cstheme="majorEastAsia"/>
          <w:b/>
          <w:bCs w:val="0"/>
          <w:sz w:val="24"/>
        </w:rPr>
      </w:pPr>
      <w:r>
        <w:rPr>
          <w:rFonts w:hint="eastAsia" w:asciiTheme="majorEastAsia" w:hAnsiTheme="majorEastAsia" w:eastAsiaTheme="majorEastAsia" w:cstheme="majorEastAsia"/>
          <w:b/>
          <w:bCs w:val="0"/>
          <w:sz w:val="24"/>
        </w:rPr>
        <w:t>1．交货期及地点</w:t>
      </w:r>
    </w:p>
    <w:p>
      <w:pPr>
        <w:pStyle w:val="6"/>
        <w:spacing w:line="400" w:lineRule="exact"/>
        <w:ind w:firstLine="241" w:firstLineChars="1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bCs/>
          <w:sz w:val="24"/>
        </w:rPr>
        <w:t>1.1 交货期：</w:t>
      </w:r>
      <w:r>
        <w:rPr>
          <w:rFonts w:hint="eastAsia" w:asciiTheme="majorEastAsia" w:hAnsiTheme="majorEastAsia" w:eastAsiaTheme="majorEastAsia" w:cstheme="majorEastAsia"/>
          <w:sz w:val="24"/>
          <w:lang w:val="en-US" w:eastAsia="zh-CN"/>
        </w:rPr>
        <w:t>合同签订后30个日历日内。</w:t>
      </w:r>
    </w:p>
    <w:p>
      <w:pPr>
        <w:pStyle w:val="6"/>
        <w:spacing w:line="400" w:lineRule="exact"/>
        <w:ind w:left="1926" w:leftChars="114" w:hanging="1687" w:hangingChars="700"/>
        <w:rPr>
          <w:rFonts w:hint="eastAsia" w:ascii="宋体" w:hAnsi="宋体" w:eastAsia="宋体" w:cs="宋体"/>
          <w:i w:val="0"/>
          <w:iCs w:val="0"/>
          <w:color w:val="000000"/>
          <w:kern w:val="0"/>
          <w:sz w:val="21"/>
          <w:szCs w:val="21"/>
          <w:u w:val="none"/>
          <w:lang w:val="en-US" w:eastAsia="zh-CN" w:bidi="ar"/>
        </w:rPr>
      </w:pPr>
      <w:r>
        <w:rPr>
          <w:rFonts w:hint="eastAsia" w:asciiTheme="majorEastAsia" w:hAnsiTheme="majorEastAsia" w:eastAsiaTheme="majorEastAsia" w:cstheme="majorEastAsia"/>
          <w:b/>
          <w:bCs/>
          <w:sz w:val="24"/>
        </w:rPr>
        <w:t>1.2 交货地点:</w:t>
      </w:r>
      <w:r>
        <w:rPr>
          <w:rFonts w:hint="eastAsia" w:asciiTheme="majorEastAsia" w:hAnsiTheme="majorEastAsia" w:eastAsiaTheme="majorEastAsia" w:cstheme="majorEastAsia"/>
          <w:sz w:val="24"/>
          <w:lang w:val="en-US" w:eastAsia="zh-CN"/>
        </w:rPr>
        <w:t>西藏自治区妇产儿童医院（西藏自治区</w:t>
      </w:r>
      <w:r>
        <w:rPr>
          <w:rFonts w:hint="eastAsia" w:ascii="宋体" w:hAnsi="宋体" w:eastAsia="宋体" w:cs="宋体"/>
          <w:i w:val="0"/>
          <w:iCs w:val="0"/>
          <w:color w:val="000000"/>
          <w:kern w:val="0"/>
          <w:sz w:val="21"/>
          <w:szCs w:val="21"/>
          <w:u w:val="none"/>
          <w:lang w:val="en-US" w:eastAsia="zh-CN" w:bidi="ar"/>
        </w:rPr>
        <w:t>妇幼保健院）。</w:t>
      </w:r>
    </w:p>
    <w:p>
      <w:pPr>
        <w:pStyle w:val="6"/>
        <w:spacing w:line="360" w:lineRule="auto"/>
        <w:ind w:firstLine="241" w:firstLineChars="100"/>
        <w:rPr>
          <w:rFonts w:hint="eastAsia" w:asciiTheme="majorEastAsia" w:hAnsiTheme="majorEastAsia" w:eastAsiaTheme="majorEastAsia" w:cstheme="majorEastAsia"/>
          <w:sz w:val="24"/>
          <w:lang w:val="en-US" w:eastAsia="zh-CN"/>
        </w:rPr>
      </w:pPr>
      <w:r>
        <w:rPr>
          <w:rFonts w:hint="eastAsia" w:asciiTheme="majorEastAsia" w:hAnsiTheme="majorEastAsia" w:eastAsiaTheme="majorEastAsia" w:cstheme="majorEastAsia"/>
          <w:b/>
          <w:bCs/>
          <w:sz w:val="24"/>
        </w:rPr>
        <w:t>2．付款方法和条件：</w:t>
      </w:r>
      <w:r>
        <w:rPr>
          <w:rFonts w:hint="eastAsia"/>
          <w:color w:val="000000"/>
          <w:sz w:val="24"/>
        </w:rPr>
        <w:t>甲方在货到、安装</w:t>
      </w:r>
      <w:r>
        <w:rPr>
          <w:rFonts w:hint="eastAsia"/>
          <w:color w:val="000000"/>
          <w:sz w:val="24"/>
          <w:lang w:val="en-US" w:eastAsia="zh-CN"/>
        </w:rPr>
        <w:t>调试完成</w:t>
      </w:r>
      <w:r>
        <w:rPr>
          <w:rFonts w:hint="eastAsia"/>
          <w:color w:val="000000"/>
          <w:sz w:val="24"/>
          <w:lang w:eastAsia="zh-CN"/>
        </w:rPr>
        <w:t>、</w:t>
      </w:r>
      <w:r>
        <w:rPr>
          <w:rFonts w:hint="eastAsia"/>
          <w:color w:val="000000"/>
          <w:sz w:val="24"/>
          <w:lang w:val="en-US" w:eastAsia="zh-CN"/>
        </w:rPr>
        <w:t>初验</w:t>
      </w:r>
      <w:r>
        <w:rPr>
          <w:rFonts w:hint="eastAsia"/>
          <w:color w:val="000000"/>
          <w:sz w:val="24"/>
        </w:rPr>
        <w:t>合格，</w:t>
      </w:r>
      <w:r>
        <w:rPr>
          <w:rFonts w:hint="eastAsia"/>
          <w:color w:val="000000"/>
          <w:sz w:val="24"/>
          <w:lang w:val="en-US" w:eastAsia="zh-CN"/>
        </w:rPr>
        <w:t>并</w:t>
      </w:r>
      <w:r>
        <w:rPr>
          <w:rFonts w:hint="eastAsia"/>
          <w:color w:val="000000"/>
          <w:sz w:val="24"/>
        </w:rPr>
        <w:t>收到乙方开具符合要求的发票后，60日内支付验收合格设备总价的</w:t>
      </w:r>
      <w:r>
        <w:rPr>
          <w:rFonts w:hint="eastAsia"/>
          <w:color w:val="000000"/>
          <w:sz w:val="24"/>
          <w:lang w:val="en-US" w:eastAsia="zh-CN"/>
        </w:rPr>
        <w:t>60</w:t>
      </w:r>
      <w:r>
        <w:rPr>
          <w:rFonts w:hint="eastAsia"/>
          <w:color w:val="000000"/>
          <w:sz w:val="24"/>
        </w:rPr>
        <w:t>%</w:t>
      </w:r>
      <w:r>
        <w:rPr>
          <w:rFonts w:hint="eastAsia"/>
          <w:color w:val="000000"/>
          <w:sz w:val="24"/>
          <w:lang w:eastAsia="zh-CN"/>
        </w:rPr>
        <w:t>。</w:t>
      </w:r>
      <w:r>
        <w:rPr>
          <w:rFonts w:hint="eastAsia"/>
          <w:color w:val="000000"/>
          <w:sz w:val="24"/>
          <w:lang w:val="en-US" w:eastAsia="zh-CN"/>
        </w:rPr>
        <w:t>终验合格，并</w:t>
      </w:r>
      <w:r>
        <w:rPr>
          <w:rFonts w:hint="eastAsia"/>
          <w:color w:val="000000"/>
          <w:sz w:val="24"/>
        </w:rPr>
        <w:t>收到乙方开具符合要求的发票后，60日内支付验收合格设备总价的</w:t>
      </w:r>
      <w:r>
        <w:rPr>
          <w:rFonts w:hint="eastAsia"/>
          <w:color w:val="000000"/>
          <w:sz w:val="24"/>
          <w:lang w:val="en-US" w:eastAsia="zh-CN"/>
        </w:rPr>
        <w:t>35</w:t>
      </w:r>
      <w:r>
        <w:rPr>
          <w:rFonts w:hint="eastAsia"/>
          <w:color w:val="000000"/>
          <w:sz w:val="24"/>
        </w:rPr>
        <w:t>%</w:t>
      </w:r>
      <w:r>
        <w:rPr>
          <w:rFonts w:hint="eastAsia"/>
          <w:color w:val="000000"/>
          <w:sz w:val="24"/>
          <w:lang w:eastAsia="zh-CN"/>
        </w:rPr>
        <w:t>。</w:t>
      </w:r>
      <w:r>
        <w:rPr>
          <w:rFonts w:hint="eastAsia"/>
          <w:color w:val="000000"/>
          <w:sz w:val="24"/>
        </w:rPr>
        <w:t>在设备正常使用半年后，产品无质量问题且乙方无违约行为，</w:t>
      </w:r>
      <w:r>
        <w:rPr>
          <w:rFonts w:hint="eastAsia"/>
          <w:color w:val="000000"/>
          <w:sz w:val="24"/>
          <w:lang w:val="en-US" w:eastAsia="zh-CN"/>
        </w:rPr>
        <w:t>在</w:t>
      </w:r>
      <w:r>
        <w:rPr>
          <w:rFonts w:hint="eastAsia"/>
          <w:color w:val="000000"/>
          <w:sz w:val="24"/>
        </w:rPr>
        <w:t>乙方提出付款申请后，</w:t>
      </w:r>
      <w:r>
        <w:rPr>
          <w:rFonts w:hint="eastAsia" w:eastAsiaTheme="minorEastAsia"/>
          <w:sz w:val="24"/>
          <w:szCs w:val="24"/>
          <w:lang w:val="en-US" w:eastAsia="zh-CN"/>
        </w:rPr>
        <w:t>甲方向乙方付清尾款（无息）</w:t>
      </w:r>
      <w:r>
        <w:rPr>
          <w:rFonts w:hint="eastAsia" w:asciiTheme="majorEastAsia" w:hAnsiTheme="majorEastAsia" w:eastAsiaTheme="majorEastAsia" w:cstheme="majorEastAsia"/>
          <w:sz w:val="24"/>
          <w:lang w:val="en-US" w:eastAsia="zh-CN"/>
        </w:rPr>
        <w:t xml:space="preserve">。 </w:t>
      </w:r>
    </w:p>
    <w:p>
      <w:pPr>
        <w:keepNext w:val="0"/>
        <w:keepLines w:val="0"/>
        <w:widowControl/>
        <w:suppressLineNumbers w:val="0"/>
        <w:spacing w:line="360" w:lineRule="auto"/>
        <w:ind w:firstLine="241" w:firstLineChars="100"/>
        <w:jc w:val="both"/>
        <w:textAlignment w:val="center"/>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b/>
          <w:bCs/>
          <w:kern w:val="2"/>
          <w:sz w:val="24"/>
          <w:szCs w:val="24"/>
          <w:lang w:val="en-US" w:eastAsia="zh-CN" w:bidi="ar-SA"/>
        </w:rPr>
        <w:t>3.质保期：</w:t>
      </w:r>
      <w:r>
        <w:rPr>
          <w:rFonts w:hint="eastAsia" w:asciiTheme="majorEastAsia" w:hAnsiTheme="majorEastAsia" w:eastAsiaTheme="majorEastAsia" w:cstheme="majorEastAsia"/>
          <w:kern w:val="2"/>
          <w:sz w:val="24"/>
          <w:szCs w:val="24"/>
          <w:lang w:val="en-US" w:eastAsia="zh-CN" w:bidi="ar-SA"/>
        </w:rPr>
        <w:t>自项目终验之日起不少于3年（质保期内中标人应负责设备的维修及抢修以及及时提供所更换的零部件，维修更换的材料、配件以及中标人技术服务人员的一切费用由中标人承担，包含在总报价中）。</w:t>
      </w:r>
    </w:p>
    <w:p>
      <w:pPr>
        <w:pStyle w:val="9"/>
        <w:ind w:firstLine="241" w:firstLineChars="100"/>
        <w:rPr>
          <w:rFonts w:hint="eastAsia" w:asciiTheme="majorEastAsia" w:hAnsiTheme="majorEastAsia" w:eastAsiaTheme="majorEastAsia" w:cstheme="majorEastAsia"/>
          <w:b/>
          <w:bCs/>
          <w:kern w:val="2"/>
          <w:sz w:val="24"/>
          <w:szCs w:val="24"/>
          <w:lang w:val="en-US" w:eastAsia="zh-CN" w:bidi="ar-SA"/>
        </w:rPr>
      </w:pPr>
      <w:r>
        <w:rPr>
          <w:rFonts w:hint="eastAsia" w:asciiTheme="majorEastAsia" w:hAnsiTheme="majorEastAsia" w:eastAsiaTheme="majorEastAsia" w:cstheme="majorEastAsia"/>
          <w:b/>
          <w:bCs/>
          <w:kern w:val="2"/>
          <w:sz w:val="24"/>
          <w:szCs w:val="24"/>
          <w:lang w:val="en-US" w:eastAsia="zh-CN" w:bidi="ar-SA"/>
        </w:rPr>
        <w:t>4.其他商务要求</w:t>
      </w:r>
    </w:p>
    <w:p>
      <w:pPr>
        <w:keepNext w:val="0"/>
        <w:keepLines w:val="0"/>
        <w:widowControl/>
        <w:suppressLineNumbers w:val="0"/>
        <w:spacing w:line="360" w:lineRule="auto"/>
        <w:ind w:firstLine="240" w:firstLineChars="100"/>
        <w:jc w:val="both"/>
        <w:textAlignment w:val="center"/>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4.1为保证设备正常运行，中标人应在中国境内方便的地方设置备件库，存入所有必须的备件，并保证10年以上的供应期。</w:t>
      </w:r>
    </w:p>
    <w:p>
      <w:pPr>
        <w:pStyle w:val="9"/>
        <w:spacing w:line="360" w:lineRule="auto"/>
        <w:ind w:left="480" w:hanging="480" w:hangingChars="200"/>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4.2中标人将设备运送至采购人约定地点，运输费用由中标人承担。采购人验收</w:t>
      </w:r>
    </w:p>
    <w:p>
      <w:pPr>
        <w:pStyle w:val="9"/>
        <w:spacing w:line="360" w:lineRule="auto"/>
        <w:ind w:left="480" w:hanging="480" w:hangingChars="200"/>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合格前中标商家负责本项目相关产品的安全。</w:t>
      </w:r>
    </w:p>
    <w:p>
      <w:pPr>
        <w:spacing w:line="360" w:lineRule="auto"/>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4.3中标人负责设备的安装调试，确保设备的正常使用后出具安装报告。</w:t>
      </w:r>
    </w:p>
    <w:p>
      <w:pPr>
        <w:pStyle w:val="9"/>
        <w:spacing w:line="360" w:lineRule="auto"/>
        <w:ind w:left="480" w:hanging="480" w:hangingChars="200"/>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4.4中标人免费对采购人技术人员进行技术培训（可多次培训），培训合格后出</w:t>
      </w:r>
    </w:p>
    <w:p>
      <w:pPr>
        <w:pStyle w:val="9"/>
        <w:spacing w:line="360" w:lineRule="auto"/>
        <w:ind w:left="480" w:hanging="480" w:hangingChars="200"/>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具培训报告。</w:t>
      </w:r>
    </w:p>
    <w:p>
      <w:pPr>
        <w:spacing w:line="360" w:lineRule="auto"/>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4.5中标人应按照《中华人民共和国发票管理办法》的规定开具真实、合法、有效的发票，发票内容应开具齐全、正确，商品品名、规格型号与合同保持一致，验收合格后应及时开票，并注明开票人的全名，公司名称和银行账户信息发生变更，必须以书面方式及时通知采购人。</w:t>
      </w:r>
    </w:p>
    <w:p>
      <w:pPr>
        <w:pStyle w:val="9"/>
        <w:spacing w:line="360" w:lineRule="auto"/>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4.6中标人保证全部产品质量符合国家标准和产品说明书，应对设备、耗材或试剂的质量安全负责，若中标人产品包装规格改变应立即书面通知采购人,同时保证在合同有效期内相关产品注册证持续有效。若中标人收到采购人发现质量问题或货物短缺的通知后，及时到现场进行处理。因中标人设备、耗材质量原因导致采购人、采购人员工、采购人患者损失、损害后果或引发医疗纠纷、医疗事故、医疗质量安全事件的，中标人除配合采购人积极妥善处理外，还应承担由此产生的法律责任及全部经济赔偿（包括但不限于因主张权利而产生的交通费、鉴定费、住宿费、律师费、诉讼费等）。</w:t>
      </w:r>
    </w:p>
    <w:p>
      <w:pPr>
        <w:pStyle w:val="8"/>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4.7中标人所交的货物不符合</w:t>
      </w:r>
      <w:r>
        <w:rPr>
          <w:rFonts w:hint="eastAsia" w:asciiTheme="majorEastAsia" w:hAnsiTheme="majorEastAsia" w:eastAsiaTheme="majorEastAsia" w:cstheme="majorEastAsia"/>
          <w:sz w:val="24"/>
          <w:lang w:val="en-US" w:eastAsia="zh-CN"/>
        </w:rPr>
        <w:t>中标响应及合同规定的</w:t>
      </w:r>
      <w:r>
        <w:rPr>
          <w:rFonts w:hint="eastAsia" w:asciiTheme="majorEastAsia" w:hAnsiTheme="majorEastAsia" w:eastAsiaTheme="majorEastAsia" w:cstheme="majorEastAsia"/>
          <w:kern w:val="2"/>
          <w:sz w:val="24"/>
          <w:szCs w:val="24"/>
          <w:lang w:val="en-US" w:eastAsia="zh-CN" w:bidi="ar-SA"/>
        </w:rPr>
        <w:t>，采购人有权要求中标人达到投标文件及合同中规定的要求，否则中标人向采购人偿付货物总价30%的违约金，且中标人退回采购人全部货款。</w:t>
      </w:r>
    </w:p>
    <w:p>
      <w:pPr>
        <w:spacing w:line="360" w:lineRule="auto"/>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4.8</w:t>
      </w:r>
      <w:r>
        <w:rPr>
          <w:rFonts w:hint="eastAsia" w:asciiTheme="majorEastAsia" w:hAnsiTheme="majorEastAsia" w:eastAsiaTheme="majorEastAsia" w:cstheme="majorEastAsia"/>
          <w:i w:val="0"/>
          <w:iCs w:val="0"/>
          <w:kern w:val="2"/>
          <w:sz w:val="24"/>
          <w:szCs w:val="24"/>
          <w:u w:val="none"/>
          <w:lang w:val="en-US" w:eastAsia="zh-CN" w:bidi="ar-SA"/>
        </w:rPr>
        <w:t>在保修期内，若中标人接到采购人维保、抢修通知后4小时未响应、24小时维保、抢修工程师未到现场进行处理的，每延迟1小时，中标人将支付采购人合同总价的0.1‰作为违约金。</w:t>
      </w:r>
    </w:p>
    <w:p>
      <w:pPr>
        <w:pStyle w:val="9"/>
        <w:spacing w:line="360" w:lineRule="auto"/>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4.9若中标人未按照合同约定时间及时完成产品交货及安装的，每延迟一天，中标人应向采购人支付本合同货款总价0.5‰的违约金。</w:t>
      </w:r>
    </w:p>
    <w:p>
      <w:pPr>
        <w:spacing w:line="360" w:lineRule="auto"/>
        <w:rPr>
          <w:rFonts w:hint="eastAsia" w:ascii="宋体" w:hAnsi="宋体" w:eastAsia="宋体" w:cs="宋体"/>
          <w:i w:val="0"/>
          <w:iCs w:val="0"/>
          <w:color w:val="000000"/>
          <w:kern w:val="0"/>
          <w:sz w:val="21"/>
          <w:szCs w:val="21"/>
          <w:u w:val="none"/>
          <w:lang w:val="en-US" w:eastAsia="zh-CN" w:bidi="ar"/>
        </w:rPr>
      </w:pPr>
      <w:r>
        <w:rPr>
          <w:rFonts w:hint="eastAsia" w:asciiTheme="majorEastAsia" w:hAnsiTheme="majorEastAsia" w:eastAsiaTheme="majorEastAsia" w:cstheme="majorEastAsia"/>
          <w:kern w:val="2"/>
          <w:sz w:val="24"/>
          <w:szCs w:val="24"/>
          <w:lang w:val="en-US" w:eastAsia="zh-CN" w:bidi="ar-SA"/>
        </w:rPr>
        <w:t>4.10本合同履行中发生的争议，双方应本着友好协商的原则予以解决，若协商不成，依法向拉萨仲裁委员会申请仲裁，且因解决争议产生的律师费、申请费、鉴定费等相关费用均由</w:t>
      </w:r>
      <w:r>
        <w:rPr>
          <w:rFonts w:hint="eastAsia" w:ascii="宋体" w:hAnsi="宋体" w:eastAsia="宋体" w:cs="宋体"/>
          <w:i w:val="0"/>
          <w:iCs w:val="0"/>
          <w:color w:val="000000"/>
          <w:kern w:val="0"/>
          <w:sz w:val="21"/>
          <w:szCs w:val="21"/>
          <w:u w:val="none"/>
          <w:lang w:val="en-US" w:eastAsia="zh-CN" w:bidi="ar"/>
        </w:rPr>
        <w:t>违约方承担。</w:t>
      </w:r>
    </w:p>
    <w:p>
      <w:pPr>
        <w:pStyle w:val="9"/>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4.11需提供终身软件维护服务，开放接口，提供承诺函。</w:t>
      </w:r>
    </w:p>
    <w:p>
      <w:pPr>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4.12若设备故障不能及时修复，乙方能提供备用机。</w:t>
      </w:r>
    </w:p>
    <w:p>
      <w:pPr>
        <w:pStyle w:val="9"/>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4.13所有供货产品中标后签合同前须提供生产厂家产品销售授权书原件。</w:t>
      </w:r>
    </w:p>
    <w:p>
      <w:pPr>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4.14所有设备均能满足高原（海拔3500米以上）正常使用。</w:t>
      </w:r>
    </w:p>
    <w:p>
      <w:pPr>
        <w:pStyle w:val="9"/>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4.15若中标方提供的售后服务方案中有与商务条要求响应不一致的地方，以商务要求响应为准。</w:t>
      </w:r>
    </w:p>
    <w:p>
      <w:pPr>
        <w:rPr>
          <w:rFonts w:hint="default"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kern w:val="2"/>
          <w:sz w:val="24"/>
          <w:szCs w:val="24"/>
          <w:lang w:val="en-US" w:eastAsia="zh-CN" w:bidi="ar-SA"/>
        </w:rPr>
        <w:t>4.16中标人同意使用采购人合同模板。</w:t>
      </w:r>
    </w:p>
    <w:p>
      <w:pPr>
        <w:pStyle w:val="3"/>
        <w:numPr>
          <w:ilvl w:val="0"/>
          <w:numId w:val="0"/>
        </w:numPr>
        <w:spacing w:line="400" w:lineRule="exact"/>
        <w:ind w:firstLine="241" w:firstLineChars="1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szCs w:val="24"/>
          <w:lang w:eastAsia="zh-CN"/>
        </w:rPr>
        <w:t>（三）</w:t>
      </w:r>
      <w:r>
        <w:rPr>
          <w:rFonts w:hint="eastAsia" w:asciiTheme="majorEastAsia" w:hAnsiTheme="majorEastAsia" w:eastAsiaTheme="majorEastAsia" w:cstheme="majorEastAsia"/>
          <w:sz w:val="24"/>
          <w:szCs w:val="24"/>
        </w:rPr>
        <w:t>.技术要求</w:t>
      </w:r>
      <w:bookmarkEnd w:id="175"/>
    </w:p>
    <w:tbl>
      <w:tblPr>
        <w:tblStyle w:val="25"/>
        <w:tblW w:w="9682" w:type="dxa"/>
        <w:tblInd w:w="-104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34"/>
        <w:gridCol w:w="810"/>
        <w:gridCol w:w="773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产品名称</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54"/>
                <w:lang w:val="en-US" w:eastAsia="zh-CN" w:bidi="ar"/>
              </w:rPr>
              <w:t>序号</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54"/>
                <w:lang w:val="en-US" w:eastAsia="zh-CN" w:bidi="ar"/>
              </w:rPr>
              <w:t>技术要求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包埋盒打号机</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54"/>
                <w:lang w:val="en-US" w:eastAsia="zh-CN" w:bidi="ar"/>
              </w:rPr>
              <w:t>用途：用于在标本取样的组织盒表面打印出超高分辨率的图案和信息。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▲设备前面板配备≥10英寸彩色触摸液晶屏。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▲工作站要求：内置操作电脑及Windows系统，可无需通过外接电脑/平板/手机协助。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除组织盒上载槽装置和输出装置外，整机应采用一体化封闭式设计，设备四周应为平面板材包裹，无突出不见或尖锐部件。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▲书写格式，紫外激光（波长：355nm),无需色带或喷墨，组织盒无需添加激光粉（镭雕粉）。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书写内容：任意中英文、数字、BMP图片、二维码、Logo。</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书写格式：拖拽方式编辑（在组织盒打印区域可以任意打印），支持多个模板。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组织盒输出模式支持不少于：集中打印/先印先出。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▲标配2种组织盒收集/输出装置，可根据应用场景灵活切换：</w:t>
            </w:r>
          </w:p>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集中打印装置：平台式组织盒收集装置，可自动排序≥28个；</w:t>
            </w:r>
          </w:p>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即时打印装置：滑轨式组织盒输出装置，即打即取。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转盘式的上载槽设计，具备≥6个组织盒上载槽位，可一次性装载≥450个不同颜色的组织盒。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内容预览：支持同步预览，可在机器内置屏幕上实时预览。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观察窗：于设备侧面或侧面板设置观察窗（不接受设备正面或前面板设置观察窗)，规避激光光束对操作人员可能的照射或散射。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打印速度：≤4秒/个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兼容LIS/HIS系统；亦可通过局域网设置，达成一台工作站远程控制多台包埋盒打号机工作。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载玻片激光书写仪</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用途：用于在玻片油漆面打印出超高分辨率的图案和信息。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▲设备前面板配备≥10英寸彩色触摸液晶屏。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工作站要求：内置操作电脑及Windows系统，可无需通过外接电脑/平板/手机协助。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书写格式：紫外激光（波长：355nm）,无需色带或喷墨，载玻片无需添加激光粉（镭雕粉）。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书写格式支持不少:任意中英文、数字、BMP图片、二维码、Logo。</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打印介质量：无限制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载玻片输出模式：先印先出（先打印的玻片位于最上方，后打印的玻片依次位于下方)，方便随时取用。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载玻片装载：采用弹匣式上载装置，每次装载≥150张/匣。装载完成后，上载装置可收纳入设备内部，有效阻挡灰尘污染玻片。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▲载玻片输出收集量：标配玻片收集槽，单次不低于150片。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内容预览：支持同步预览，可在机器内置屏幕上实时预览。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标配二维码扫描器/扫码枪，实现即扫即打功能。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打印速度：≤5秒/个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可单机操作、亦可兼容LIS/HIS系统；亦可通过局域网设置，达成一台操作电脑远程控制多台载玻片书写仪工作。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载玻片油漆涂层无需添加激光粉（镭雕粉）。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设备正面的宽度≤280mm。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冷台</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 </w:t>
            </w:r>
            <w:r>
              <w:rPr>
                <w:rStyle w:val="54"/>
                <w:lang w:val="en-US" w:eastAsia="zh-CN" w:bidi="ar"/>
              </w:rPr>
              <w:t>用途：用于病理蜡块的冷冻保存，以便于下一步的切片操作。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54"/>
                <w:lang w:val="en-US" w:eastAsia="zh-CN" w:bidi="ar"/>
              </w:rPr>
              <w:t>▲台面温度：-15℃~0℃。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54"/>
                <w:lang w:val="en-US" w:eastAsia="zh-CN" w:bidi="ar"/>
              </w:rPr>
              <w:t>▲台面可放置包埋盒≥80个。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54"/>
                <w:lang w:val="en-US" w:eastAsia="zh-CN" w:bidi="ar"/>
              </w:rPr>
              <w:t>支持定时开关机设定功能：一周内任意设定。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医用冷藏柜</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54"/>
                <w:lang w:val="en-US" w:eastAsia="zh-CN" w:bidi="ar"/>
              </w:rPr>
              <w:t>用途：用于科室内储存标本。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箱内有效容积≥310L;外部尺寸≤600mm×650mm×1900mm；内部尺寸≥550mm×500mm×1300mm;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 温度控制:芯片控制。箱内控温范围2-8℃，屏幕显示，实时显示箱内温度、湿度；控温精度显示精度均为0.1℃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37</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整体结构：立式，单开真空玻璃门体，外壳应采用预涂钢板外壳，内胆应釆用PS吸附成型内胆，便于箱内清洁、消毒。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核心组件：应采用压缩机及风机，碳氢制冷剂。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制冷系统：应釆用板式蒸发器设计，制冷速度快，丝管式冷凝器设计。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▲温度均匀性：采用高性能保温材料，保温效果好，风冷系统，保证箱体温度均匀度≤3℃，波动度≤4.5℃。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配置温湿度传感器。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支持实时显示箱内温度功能。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门体结构：门体双层钢化LOW-E玻璃并支持上吹风，门体支持自关门设计。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安全系统：多重故障报警，具有蜂鸣报警、灯光闪烁报警方式，支持高低温报警、传感器故障报警功能。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▲数据存储：选配数据存储模块，每6分钟记录一次数据，可通过前置的 USB接口读取，插入U盘导出冰箱使用期间所有数据，数据可导出图表格式，温度数据可存储不少于十年，实现温度数据的可追溯性。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温度监控：产品配置不少于一个测试孔，方便接入各式设备，对箱内温度进行监测。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箱内配置：多层搁架设计，搁架间距可调，充分利用箱内空间；出厂标配</w:t>
            </w:r>
            <w:r>
              <w:rPr>
                <w:rFonts w:hint="eastAsia" w:ascii="宋体" w:hAnsi="宋体" w:eastAsia="宋体" w:cs="宋体"/>
                <w:i w:val="0"/>
                <w:iCs w:val="0"/>
                <w:color w:val="000000"/>
                <w:kern w:val="0"/>
                <w:sz w:val="21"/>
                <w:szCs w:val="21"/>
                <w:u w:val="none"/>
                <w:lang w:val="en-US" w:eastAsia="zh-CN" w:bidi="ar"/>
              </w:rPr>
              <w:t xml:space="preserve"> 6</w:t>
            </w:r>
            <w:r>
              <w:rPr>
                <w:rStyle w:val="54"/>
                <w:lang w:val="en-US" w:eastAsia="zh-CN" w:bidi="ar"/>
              </w:rPr>
              <w:t>个搁架，数量可根据用户需求增加，标配价目条。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节能降噪：低噪音，噪音不超过41分贝。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49</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柜内照明：内设LED照明灯，柜内试剂一目了然。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固定移动：配备4个万向脚轮、不少于2个止动底脚，便于移动且固定方便。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51</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冷凝蒸发：冷凝水汇集后自动蒸发，免除人工处理冷凝水的烦恼。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52</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安全保障：门体带暗锁，同时用户可配置挂锁，双重安全保障。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53</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54"/>
                <w:lang w:val="en-US" w:eastAsia="zh-CN" w:bidi="ar"/>
              </w:rPr>
              <w:t>宽电压带：产品配备宽电压带，适合198-242V电压下使用。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54</w:t>
            </w:r>
          </w:p>
        </w:tc>
        <w:tc>
          <w:tcPr>
            <w:tcW w:w="7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sz w:val="24"/>
                <w:lang w:val="en-US" w:eastAsia="zh-CN"/>
              </w:rPr>
              <w:t>★</w:t>
            </w:r>
            <w:r>
              <w:rPr>
                <w:rStyle w:val="54"/>
                <w:lang w:val="en-US" w:eastAsia="zh-CN" w:bidi="ar"/>
              </w:rPr>
              <w:t>产品</w:t>
            </w:r>
            <w:r>
              <w:rPr>
                <w:rStyle w:val="54"/>
                <w:rFonts w:hint="eastAsia" w:ascii="宋体" w:hAnsi="宋体" w:eastAsia="宋体" w:cs="宋体"/>
                <w:lang w:val="en-US" w:eastAsia="zh-CN" w:bidi="ar"/>
              </w:rPr>
              <w:t>须</w:t>
            </w:r>
            <w:r>
              <w:rPr>
                <w:rStyle w:val="54"/>
                <w:lang w:val="en-US" w:eastAsia="zh-CN" w:bidi="ar"/>
              </w:rPr>
              <w:t>具有医疗器械注册证。</w:t>
            </w:r>
          </w:p>
        </w:tc>
      </w:tr>
    </w:tbl>
    <w:p>
      <w:pPr>
        <w:rPr>
          <w:rFonts w:hint="eastAsia" w:asciiTheme="majorEastAsia" w:hAnsiTheme="majorEastAsia" w:eastAsiaTheme="majorEastAsia" w:cstheme="majorEastAsia"/>
        </w:rPr>
      </w:pPr>
    </w:p>
    <w:p>
      <w:pPr>
        <w:widowControl/>
        <w:jc w:val="left"/>
        <w:rPr>
          <w:rFonts w:hint="eastAsia" w:asciiTheme="majorEastAsia" w:hAnsiTheme="majorEastAsia" w:eastAsiaTheme="majorEastAsia" w:cstheme="majorEastAsia"/>
        </w:rPr>
      </w:pPr>
      <w:r>
        <w:rPr>
          <w:rFonts w:hint="eastAsia" w:asciiTheme="majorEastAsia" w:hAnsiTheme="majorEastAsia" w:eastAsiaTheme="majorEastAsia" w:cstheme="majorEastAsia"/>
          <w:b/>
          <w:sz w:val="32"/>
          <w:szCs w:val="32"/>
        </w:rPr>
        <w:br w:type="page"/>
      </w:r>
    </w:p>
    <w:p>
      <w:pPr>
        <w:pStyle w:val="2"/>
        <w:spacing w:line="400" w:lineRule="exact"/>
        <w:jc w:val="center"/>
        <w:rPr>
          <w:rFonts w:hint="eastAsia" w:asciiTheme="majorEastAsia" w:hAnsiTheme="majorEastAsia" w:eastAsiaTheme="majorEastAsia" w:cstheme="majorEastAsia"/>
          <w:sz w:val="36"/>
          <w:szCs w:val="36"/>
          <w:lang w:val="en-US" w:eastAsia="zh-CN"/>
        </w:rPr>
        <w:sectPr>
          <w:pgSz w:w="11906" w:h="16838"/>
          <w:pgMar w:top="1440" w:right="1800" w:bottom="1440" w:left="1800" w:header="851" w:footer="992" w:gutter="0"/>
          <w:cols w:space="720" w:num="1"/>
          <w:docGrid w:type="lines" w:linePitch="312" w:charSpace="0"/>
        </w:sectPr>
      </w:pPr>
      <w:bookmarkStart w:id="176" w:name="_Toc31810"/>
      <w:bookmarkStart w:id="177" w:name="_Toc24786"/>
    </w:p>
    <w:p>
      <w:pPr>
        <w:pStyle w:val="2"/>
        <w:spacing w:line="400" w:lineRule="exact"/>
        <w:jc w:val="center"/>
        <w:rPr>
          <w:rFonts w:hint="eastAsia" w:asciiTheme="majorEastAsia" w:hAnsiTheme="majorEastAsia" w:eastAsiaTheme="majorEastAsia" w:cstheme="majorEastAsia"/>
          <w:sz w:val="36"/>
          <w:szCs w:val="36"/>
        </w:rPr>
      </w:pPr>
      <w:r>
        <w:rPr>
          <w:rFonts w:hint="eastAsia" w:asciiTheme="majorEastAsia" w:hAnsiTheme="majorEastAsia" w:eastAsiaTheme="majorEastAsia" w:cstheme="majorEastAsia"/>
          <w:sz w:val="36"/>
          <w:szCs w:val="36"/>
        </w:rPr>
        <w:t>第七章  评标办法</w:t>
      </w:r>
      <w:bookmarkEnd w:id="176"/>
      <w:bookmarkEnd w:id="177"/>
      <w:bookmarkStart w:id="178" w:name="_Hlt101846155"/>
      <w:bookmarkEnd w:id="178"/>
      <w:bookmarkStart w:id="179" w:name="_Toc217446097"/>
      <w:bookmarkStart w:id="180" w:name="_Toc183682415"/>
      <w:bookmarkStart w:id="181" w:name="_Toc208849007"/>
      <w:bookmarkStart w:id="182" w:name="_Toc183582280"/>
    </w:p>
    <w:p>
      <w:pPr>
        <w:pStyle w:val="3"/>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 总则</w:t>
      </w:r>
      <w:bookmarkEnd w:id="179"/>
      <w:bookmarkEnd w:id="180"/>
      <w:bookmarkEnd w:id="181"/>
      <w:bookmarkEnd w:id="182"/>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1.1 根据《中华人民共和国政府采购法》、《中华人民共和国政府采购法实施条例》、《政府采购货物和服务招标投标管理办法》等法律制度，结合采购项目特点制定本评标办法。</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1.2 公开招标采购项目开标结束后，采购人或者采购代理机构应当依法对投标人的资格进行审查。依据法律法规和本招标文件的规定，对投标文件是否按照规定要求提供资格性证明材料、是否按照规定交纳投标保证金，以确定投标供应商是否具备投标资格。</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合格投标人不足三家的，不得评标。</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评标工作由采购代理机构负责组织，具体评标事务由采购代理机构依法组建的评标委员会负责。评标委员会由采购人代表和有关技术、经济、法律等方面的专家组成。</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1.3 评标工作应遵循公平、公正、科学及择优的原则，并以相同的评标程序和标准对待所有的投标人。</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1.4 评标委员会按照招标文件规定的评标方法和标准进行评标，并独立履行下列职责：</w:t>
      </w:r>
    </w:p>
    <w:p>
      <w:pPr>
        <w:spacing w:line="400" w:lineRule="exact"/>
        <w:ind w:firstLine="480" w:firstLineChars="200"/>
        <w:rPr>
          <w:rFonts w:hint="eastAsia" w:asciiTheme="majorEastAsia" w:hAnsiTheme="majorEastAsia" w:eastAsiaTheme="majorEastAsia" w:cstheme="majorEastAsia"/>
          <w:sz w:val="24"/>
        </w:rPr>
      </w:pPr>
      <w:bookmarkStart w:id="183" w:name="_Toc217446098"/>
      <w:r>
        <w:rPr>
          <w:rFonts w:hint="eastAsia" w:asciiTheme="majorEastAsia" w:hAnsiTheme="majorEastAsia" w:eastAsiaTheme="majorEastAsia" w:cstheme="majorEastAsia"/>
          <w:sz w:val="24"/>
        </w:rPr>
        <w:t>（一）熟悉和理解招标文件；</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（二）审查供应商（已通过资格审查）的投标文件是否满足招标文件要求，并作出评价；</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（三）根据需要要求招标采购单位对招标文件作出解释；根据需要要求供应商对投标文件有关事项作出澄清、说明或者更正；</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（四）推荐中标候选供应商，或者受采购人委托确定中标供应商；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（五）起草评标报告并进行签署；</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（六）向招标采购单位、财政部门或者其他监督部门报告非法干预评标工作的行为；</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（七）法律、法规和规章规定的其他职责。</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1.5 评标过程独立、保密。投标人非法干预评标过程的行为将导致其投标文件作为无效处理。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1.6 评标委员会评价投标文件的响应性，对于投标人而言，除评标委员会要求其澄清、说明或者更正而提供的资料外，仅依据投标文件本身的内容，不寻求其他外部证据。</w:t>
      </w:r>
    </w:p>
    <w:p>
      <w:pPr>
        <w:pStyle w:val="3"/>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 评标</w:t>
      </w:r>
      <w:bookmarkEnd w:id="183"/>
      <w:r>
        <w:rPr>
          <w:rFonts w:hint="eastAsia" w:asciiTheme="majorEastAsia" w:hAnsiTheme="majorEastAsia" w:eastAsiaTheme="majorEastAsia" w:cstheme="majorEastAsia"/>
          <w:sz w:val="24"/>
          <w:szCs w:val="24"/>
        </w:rPr>
        <w:t>方法</w:t>
      </w:r>
    </w:p>
    <w:p>
      <w:pPr>
        <w:spacing w:line="360" w:lineRule="auto"/>
        <w:ind w:firstLine="480" w:firstLineChars="200"/>
        <w:rPr>
          <w:rFonts w:hint="eastAsia" w:asciiTheme="majorEastAsia" w:hAnsiTheme="majorEastAsia" w:eastAsiaTheme="majorEastAsia" w:cstheme="majorEastAsia"/>
          <w:sz w:val="24"/>
        </w:rPr>
      </w:pPr>
      <w:bookmarkStart w:id="184" w:name="_Toc217446103"/>
      <w:bookmarkStart w:id="185" w:name="_Toc217446099"/>
      <w:r>
        <w:rPr>
          <w:rFonts w:hint="eastAsia" w:asciiTheme="majorEastAsia" w:hAnsiTheme="majorEastAsia" w:eastAsiaTheme="majorEastAsia" w:cstheme="majorEastAsia"/>
          <w:sz w:val="24"/>
        </w:rPr>
        <w:t>2.1本项目评标方法为：</w:t>
      </w:r>
      <w:r>
        <w:rPr>
          <w:rFonts w:hint="eastAsia" w:asciiTheme="majorEastAsia" w:hAnsiTheme="majorEastAsia" w:eastAsiaTheme="majorEastAsia" w:cstheme="majorEastAsia"/>
          <w:b/>
          <w:bCs/>
          <w:sz w:val="24"/>
        </w:rPr>
        <w:t>综合评分法</w:t>
      </w:r>
      <w:r>
        <w:rPr>
          <w:rFonts w:hint="eastAsia" w:asciiTheme="majorEastAsia" w:hAnsiTheme="majorEastAsia" w:eastAsiaTheme="majorEastAsia" w:cstheme="majorEastAsia"/>
          <w:sz w:val="24"/>
        </w:rPr>
        <w:t>。</w:t>
      </w:r>
    </w:p>
    <w:p>
      <w:pPr>
        <w:pStyle w:val="3"/>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 评标程序</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3.1熟悉和理解招标文件和停止评标。</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3.1.1评标委员会正式评标前，应当对招标文件进行熟悉和理解，内容主要包括招标文件中投标人资格条件要求、采购项目技术、服务和商务要求、评标方法和标准以及可能涉及签订政府采购合同的内容等。</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3.1.2评标委员会熟悉和理解招标文件以及评标过程中，</w:t>
      </w:r>
      <w:r>
        <w:rPr>
          <w:rFonts w:hint="eastAsia" w:asciiTheme="majorEastAsia" w:hAnsiTheme="majorEastAsia" w:eastAsiaTheme="majorEastAsia" w:cstheme="majorEastAsia"/>
          <w:kern w:val="0"/>
          <w:sz w:val="24"/>
        </w:rPr>
        <w:t>发现招标文件内容违反国家有关强制性规定或者采购文件存在歧义、重大缺陷导致评标工作无法进行时,应当停止评标并向采购人或者采购代理机构书面说明情况。</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3.1.3除“3.1.2”规定的情形外，评标委员会成员不得以任何方式和理由停止评标。</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3.2符合性检查。</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3.2.1评标委员会依据本招标文件的实质性要求，对符合资格的投标文件进行审查，以确定其是否满足本招标文件的实质性要求。本项目符合性审查事项仅限于本招标文件的明确规定。投标文件是否满足招标文件的实质性要求，必须以本招标文件的明确规定作为依据，否则，不能对投标文件作为无效处理，评标委员会不得臆测符合性审查事项。</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3.2.2投标文件有下列情形的，本项目不作为实质性要求进行规定，即不作为符合性审查事项，不得作为无效投标处理：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（一）存在个别地方（不超过2个）没有法定代表人/单位负责人签字，但有法定代表人/单位负责人的私人印章或者有效授权代理人签字的；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（二）除招标文件明确要求加盖单位(法人)公章的以外，其他地方以相关专用章加盖的；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（三）以骑缝章的形式代替投标文件内容逐页盖章的（但是骑缝章模糊不清，印章名称无法辨认的除外）；</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（四）其他不影响采购项目实质性要求的情形。</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3.2.3除政府采购法律制度规定的情形外，本项目投标人或者其投标文件有下列情形之一的，作为无效投标处理：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（一）投标文件正副本数量不足的；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（二）投标文件组成明显不符合招标文件的规定要求，影响评标委员会评判的；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（三）投标文件的语言、计量单位、报价货币、知识产权、投标有效期等不符合招标文件的规定，影响评标委员会评判的；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（四）投标报价不符合招标文件规定的采购预算或限价或其他报价规定的；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（五）商务、技术、服务应答内容没有完全响应招标文件的实质性要求的；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（六）未载明或者载明的招标项目履约时间、方式、数量及其他政府采购合同实质性内容与招标文件要求不一致，且招标采购单位无法接受的。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（七）没有完全响应招标文件的其他实质性要求或属于招标文件中投标无效情形的。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3.3比较与评价。按招标文件中规定的评标方法和标准，对未作无效投标处理的投标文件进行技术、服务、商务等方面评估，综合比较与评价。</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3.4复核。评分汇总结束后，评标委员会应当进行复核，特别要对拟推荐为中标候选供应商的、报价最低的、投标文件被认定为无效的进行重点复核。</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3.5推荐中标候选供应商。中标候选供应商应当排序。本项目采用综合评分法，评标结果按评审后得分由高到低顺序排列。得分相同的，按投标报价由低到高顺序排列；得分且投标报价相同的，不发达地区或少数民族地区的供应商排列顺序在非不发达地区或少数民族地区的供应商之前；得分且投标报价相同的，且均为不发达地区或少数民族地区的供应商并列；得分且投标报价相同的，且不能判定为不发达地区或少数民族地区的供应商并列。（不发达地区或少数民族地区的供应商需提供属于不发达地区或少数民族地区企业的相关证明材料，或供应商注册地为少数民族地区。）</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评标委员会可推荐的中标候选供应商数量不能满足招标文件规定的数量的，只有在获得采购人书面同意后，可以根据实际情况推荐中标候选供应商。未获得采购人的书面同意,评标委员会不得在招标文件规定之外推荐中标候选供应商，否则，采购人可以不予认可。</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3.6出具评标报告。评标委员会推荐中标候选供应商后，应当向招标采购单位出具评标报告。评标报告应当包括下列内容：</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（一）招标公告刊登的媒体名称、开标日期和地点；</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（二）获取招标文件的投标人名单和评标委员会成员名单；</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（三）评标方法和标准；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（四）开标记录和评标情况及说明，包括无效投标人名单及原因；</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（五）评标结果和中标候选供应商排序表；</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（六）评标委员会授标建议；</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（七）报价最高的投标人为中标候选人的，评标委员会应当对其报价的合理性予以特别说明。</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3.7评标争议处理规则。评标委员会在评审过程中，对于符合性审查、对供应商投标文件做无效投标处理及其他需要共同认定的事项存在争议的，应当以少数服从多数的原则做出结论，但不得违背法律法规和招标文件规定。有不同意见的评标委员会成员认为认定过程和结果不符合法律法规或者招标文件规定的，应当及时向招标采购单位书面反映。招标采购单位收到书面反映后，应当书面报告采购项目同级财政部门依法处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3.8供应商应当书面澄清、说明或者更正。</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3.8.1在评标过程中，评标委员会对投标文件中含义不明确、同类问题表述不一致或者有明显文字和计算错误的内容，应当以书面形式（须由评标委员会全体成员签字）要求供应商作出必要的书面澄清、说明或者更正，并给予供应商必要的反馈时间。</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3.8.2供应商应当书面澄清、说明或者更正，并加盖公章或签字确认（供应商为法人的，应当由其法定代表人/单位负责人或者代理人签字确认；供应商为其他组织的，应当由其主要负责人或者代理人签字确认；供应商为自然人的，应当由其本人或者代理人签字确认），否则无效。澄清、说明或者更正不影响投标文件的效力，有效的澄清、说明或者更正材料，是投标文件的组成部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3.8.3评标委员会要求供应商澄清、说明或者更正，不得超出招标文件的范围，不得以此让供应商实质改变投标文件的内容，不得影响供应商公平竞争。本项目下列内容不得澄清：</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（一）按财政部规定应当在评标时不予承认的投标文件内容事项；</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（二）投标文件中已经明确的内容事项；</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3.8.4 本项目采购过程中，投标文件报价出现前后不一致的，按照下列规定修正：</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（一）投标文件中开标一览表（报价表）内容与投标文件中相应内容不一致的，以开标一览表（报价表）为准；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（二）大写金额和小写金额不一致的，以大写金额为准；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（三）单价金额小数点或者百分比有明显错位的，以开标一览表的总价为准，并修改单价；</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（四）总价金额与按单价汇总金额不一致的，以单价金额计算结果为准。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同时出现两种以上不一致的，按照前款规定的顺序修正。修正后的报价按照本章3.8.1-3.8.3的规定经投标人确认后产生约束力，投标人不确认的，其投标无效。</w:t>
      </w:r>
    </w:p>
    <w:p>
      <w:pPr>
        <w:spacing w:line="400" w:lineRule="exact"/>
        <w:ind w:firstLine="482" w:firstLineChars="200"/>
        <w:rPr>
          <w:rFonts w:hint="eastAsia" w:asciiTheme="majorEastAsia" w:hAnsiTheme="majorEastAsia" w:eastAsiaTheme="majorEastAsia" w:cstheme="majorEastAsia"/>
          <w:b/>
          <w:sz w:val="24"/>
        </w:rPr>
      </w:pPr>
      <w:r>
        <w:rPr>
          <w:rFonts w:hint="eastAsia" w:asciiTheme="majorEastAsia" w:hAnsiTheme="majorEastAsia" w:eastAsiaTheme="majorEastAsia" w:cstheme="majorEastAsia"/>
          <w:b/>
          <w:sz w:val="24"/>
        </w:rPr>
        <w:t>注：评标委员会当积极履行澄清、说明或者更正的职责，不得滥用权力。供应商的投标文件应当要求澄清、说明或者更正的，不得未经澄清、说明或者更正而直接作无效投标处理。</w:t>
      </w:r>
    </w:p>
    <w:p>
      <w:pPr>
        <w:pStyle w:val="45"/>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3.9低于成本价投标处理。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45"/>
        <w:ind w:firstLine="480" w:firstLineChars="200"/>
        <w:jc w:val="both"/>
        <w:rPr>
          <w:rFonts w:hint="eastAsia" w:asciiTheme="majorEastAsia" w:hAnsiTheme="majorEastAsia" w:eastAsiaTheme="majorEastAsia" w:cstheme="majorEastAsia"/>
        </w:rPr>
      </w:pPr>
    </w:p>
    <w:p>
      <w:pPr>
        <w:pStyle w:val="45"/>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3.10招标采购单位现场复核评标结果。</w:t>
      </w:r>
    </w:p>
    <w:p>
      <w:pPr>
        <w:pStyle w:val="45"/>
        <w:spacing w:line="360" w:lineRule="auto"/>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3.10.1评标结果汇总完成后，评标委员会拟出具评标报告前，招标采购单位应当组织2名以上的本单位工作人员，在采购现场监督人员的监督之下，依据有关的法律制度和采购文件对评标结果进行复核，出具复核报告。除下列情形外，任何人不得修改评标结果：</w:t>
      </w:r>
    </w:p>
    <w:p>
      <w:pPr>
        <w:pStyle w:val="45"/>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（一）分值汇总计算错误的；</w:t>
      </w:r>
    </w:p>
    <w:p>
      <w:pPr>
        <w:pStyle w:val="45"/>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（二）分项评分超出评分标准范围的；</w:t>
      </w:r>
    </w:p>
    <w:p>
      <w:pPr>
        <w:pStyle w:val="45"/>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（三）客观评分不一致的；</w:t>
      </w:r>
    </w:p>
    <w:p>
      <w:pPr>
        <w:pStyle w:val="45"/>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（四）经评标委员会认定评分畸高畸低的。</w:t>
      </w:r>
    </w:p>
    <w:p>
      <w:pPr>
        <w:pStyle w:val="45"/>
        <w:spacing w:line="360" w:lineRule="auto"/>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存在本条上述规定情形的，由评标委员会自主决定是否采纳招标采购单位的书面建议，并承担独立评审责任。评标委员会采纳招标采购单位书面建议的，应当按照规定现场修改评标结果或者重新评审，并在评标报告中详细记载有关事宜；不采纳招标采购单位书面建议的，应当书面说明理由。招标采购单位书面建议未被评标委员会采纳的，应当按照规定程序要求继续组织实施采购活动，不得擅自中止采购活动。招标采购单位认为评标委员会评标结果不合法的，应当书面报告采购项目同级财政部门依法处理。</w:t>
      </w:r>
    </w:p>
    <w:p>
      <w:pPr>
        <w:pStyle w:val="45"/>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3.10.2有下列情形之一的，不得修改评标结果或者重新评审：</w:t>
      </w:r>
    </w:p>
    <w:p>
      <w:pPr>
        <w:pStyle w:val="45"/>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（一）招标采购单位现场复核时，复核工作人员数量不足的；</w:t>
      </w:r>
    </w:p>
    <w:p>
      <w:pPr>
        <w:pStyle w:val="45"/>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（二）招标采购单位现场复核时，没有采购监督人员现场监督的；</w:t>
      </w:r>
    </w:p>
    <w:p>
      <w:pPr>
        <w:pStyle w:val="45"/>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（三）招标采购单位现场复核内容超出规定范围的；</w:t>
      </w:r>
    </w:p>
    <w:p>
      <w:pPr>
        <w:pStyle w:val="45"/>
        <w:ind w:firstLine="480" w:firstLineChars="200"/>
        <w:jc w:val="both"/>
        <w:rPr>
          <w:rFonts w:hint="eastAsia" w:asciiTheme="majorEastAsia" w:hAnsiTheme="majorEastAsia" w:eastAsiaTheme="majorEastAsia" w:cstheme="majorEastAsia"/>
        </w:rPr>
      </w:pPr>
      <w:r>
        <w:rPr>
          <w:rFonts w:hint="eastAsia" w:asciiTheme="majorEastAsia" w:hAnsiTheme="majorEastAsia" w:eastAsiaTheme="majorEastAsia" w:cstheme="majorEastAsia"/>
        </w:rPr>
        <w:t>（四）招标采购单位未提供书面建议的。</w:t>
      </w:r>
    </w:p>
    <w:p>
      <w:pPr>
        <w:pStyle w:val="3"/>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 评标细则及标准</w:t>
      </w:r>
      <w:bookmarkEnd w:id="184"/>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4.1本项目采用综合评分法，评分因素详见综合评分明细表。</w:t>
      </w:r>
    </w:p>
    <w:p>
      <w:pPr>
        <w:pStyle w:val="10"/>
        <w:tabs>
          <w:tab w:val="left" w:pos="600"/>
        </w:tabs>
        <w:spacing w:line="400" w:lineRule="exact"/>
        <w:ind w:firstLine="480" w:firstLineChars="20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4.2综合评分明细表</w:t>
      </w:r>
    </w:p>
    <w:p>
      <w:pPr>
        <w:widowControl/>
        <w:ind w:firstLine="480" w:firstLineChars="200"/>
        <w:jc w:val="left"/>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4.2.1 综合评分明细表按须知表中的相关要求进行价格调整，再参与价格分评审。</w:t>
      </w:r>
    </w:p>
    <w:p>
      <w:pPr>
        <w:pStyle w:val="10"/>
        <w:tabs>
          <w:tab w:val="left" w:pos="600"/>
        </w:tabs>
        <w:spacing w:line="400" w:lineRule="exact"/>
        <w:ind w:firstLine="480" w:firstLineChars="20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4.2.2综合评分明细表</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7"/>
        <w:gridCol w:w="780"/>
        <w:gridCol w:w="566"/>
        <w:gridCol w:w="66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序号</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kern w:val="0"/>
                <w:sz w:val="21"/>
                <w:szCs w:val="21"/>
              </w:rPr>
            </w:pPr>
            <w:r>
              <w:rPr>
                <w:rFonts w:hint="eastAsia" w:ascii="宋体" w:hAnsi="宋体" w:eastAsia="宋体" w:cs="宋体"/>
                <w:kern w:val="0"/>
                <w:sz w:val="21"/>
                <w:szCs w:val="21"/>
              </w:rPr>
              <w:t>评标</w:t>
            </w:r>
          </w:p>
          <w:p>
            <w:pPr>
              <w:widowControl/>
              <w:spacing w:line="240" w:lineRule="auto"/>
              <w:jc w:val="center"/>
              <w:rPr>
                <w:rFonts w:hint="eastAsia" w:ascii="宋体" w:hAnsi="宋体" w:eastAsia="宋体" w:cs="宋体"/>
                <w:kern w:val="0"/>
                <w:sz w:val="21"/>
                <w:szCs w:val="21"/>
              </w:rPr>
            </w:pPr>
            <w:r>
              <w:rPr>
                <w:rFonts w:hint="eastAsia" w:ascii="宋体" w:hAnsi="宋体" w:eastAsia="宋体" w:cs="宋体"/>
                <w:kern w:val="0"/>
                <w:sz w:val="21"/>
                <w:szCs w:val="21"/>
              </w:rPr>
              <w:t>项目</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分值</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kern w:val="0"/>
                <w:sz w:val="21"/>
                <w:szCs w:val="21"/>
              </w:rPr>
            </w:pPr>
            <w:r>
              <w:rPr>
                <w:rFonts w:hint="eastAsia" w:ascii="宋体" w:hAnsi="宋体" w:eastAsia="宋体" w:cs="宋体"/>
                <w:kern w:val="0"/>
                <w:sz w:val="21"/>
                <w:szCs w:val="21"/>
              </w:rPr>
              <w:t>评标办法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b/>
                <w:bCs/>
                <w:kern w:val="0"/>
                <w:sz w:val="21"/>
                <w:szCs w:val="21"/>
                <w:lang w:eastAsia="zh-CN"/>
              </w:rPr>
            </w:pPr>
            <w:r>
              <w:rPr>
                <w:rFonts w:hint="eastAsia" w:ascii="宋体" w:hAnsi="宋体" w:eastAsia="宋体" w:cs="宋体"/>
                <w:b w:val="0"/>
                <w:bCs w:val="0"/>
                <w:kern w:val="0"/>
                <w:sz w:val="21"/>
                <w:szCs w:val="21"/>
                <w:lang w:val="en-US" w:eastAsia="zh-CN"/>
              </w:rPr>
              <w:t>1</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报价</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kern w:val="0"/>
                <w:sz w:val="21"/>
                <w:szCs w:val="21"/>
              </w:rPr>
            </w:pPr>
            <w:r>
              <w:rPr>
                <w:rFonts w:hint="eastAsia" w:ascii="宋体" w:hAnsi="宋体" w:eastAsia="宋体" w:cs="宋体"/>
                <w:kern w:val="0"/>
                <w:sz w:val="21"/>
                <w:szCs w:val="21"/>
              </w:rPr>
              <w:t>30</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满足招标文件要求且投标价格最低的投标报价为评标基准价，其投标人的报 价分为满分。其他投标人的报价分按以下公式计算:报价得分=(评标基准价/投标报价)×30%×100。</w:t>
            </w:r>
          </w:p>
          <w:p>
            <w:pPr>
              <w:widowControl/>
              <w:spacing w:line="240" w:lineRule="auto"/>
              <w:jc w:val="left"/>
              <w:rPr>
                <w:rFonts w:hint="eastAsia"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对小型和微型企业、监狱企业产品、残疾人福利性单位产品的价格给予10%优惠。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二</w:t>
            </w:r>
          </w:p>
        </w:tc>
        <w:tc>
          <w:tcPr>
            <w:tcW w:w="0" w:type="auto"/>
            <w:gridSpan w:val="3"/>
            <w:tcBorders>
              <w:top w:val="single" w:color="auto" w:sz="4" w:space="0"/>
              <w:left w:val="single" w:color="auto" w:sz="4" w:space="0"/>
              <w:bottom w:val="single" w:color="auto" w:sz="4" w:space="0"/>
              <w:right w:val="single" w:color="auto" w:sz="4" w:space="0"/>
            </w:tcBorders>
            <w:vAlign w:val="center"/>
          </w:tcPr>
          <w:p>
            <w:pPr>
              <w:widowControl/>
              <w:spacing w:line="240" w:lineRule="auto"/>
              <w:rPr>
                <w:rFonts w:hint="eastAsia" w:ascii="宋体" w:hAnsi="宋体" w:eastAsia="宋体" w:cs="宋体"/>
                <w:b/>
                <w:bCs/>
                <w:sz w:val="21"/>
                <w:szCs w:val="21"/>
              </w:rPr>
            </w:pPr>
            <w:r>
              <w:rPr>
                <w:rFonts w:hint="eastAsia" w:ascii="宋体" w:hAnsi="宋体" w:eastAsia="宋体" w:cs="宋体"/>
                <w:b/>
                <w:bCs/>
                <w:sz w:val="21"/>
                <w:szCs w:val="21"/>
                <w:lang w:val="en-US" w:eastAsia="zh-CN"/>
              </w:rPr>
              <w:t>技术部分（65分）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kern w:val="0"/>
                <w:sz w:val="21"/>
                <w:szCs w:val="21"/>
              </w:rPr>
            </w:pPr>
            <w:r>
              <w:rPr>
                <w:rFonts w:hint="eastAsia" w:ascii="宋体" w:hAnsi="宋体" w:eastAsia="宋体" w:cs="宋体"/>
                <w:kern w:val="0"/>
                <w:sz w:val="21"/>
                <w:szCs w:val="21"/>
              </w:rPr>
              <w:t>1</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b/>
                <w:bCs/>
                <w:sz w:val="21"/>
                <w:szCs w:val="21"/>
              </w:rPr>
            </w:pPr>
            <w:r>
              <w:rPr>
                <w:rFonts w:hint="eastAsia" w:ascii="宋体" w:hAnsi="宋体" w:eastAsia="宋体" w:cs="宋体"/>
                <w:b/>
                <w:bCs/>
                <w:sz w:val="21"/>
                <w:szCs w:val="21"/>
                <w:lang w:val="en-US" w:eastAsia="zh-CN"/>
              </w:rPr>
              <w:t>技术要求</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spacing w:val="-8"/>
                <w:sz w:val="21"/>
                <w:szCs w:val="21"/>
                <w:lang w:val="en-US" w:eastAsia="zh-CN"/>
              </w:rPr>
            </w:pPr>
            <w:r>
              <w:rPr>
                <w:rFonts w:hint="eastAsia" w:ascii="宋体" w:hAnsi="宋体" w:eastAsia="宋体" w:cs="宋体"/>
                <w:sz w:val="21"/>
                <w:szCs w:val="21"/>
                <w:lang w:val="en-US" w:eastAsia="zh-CN"/>
              </w:rPr>
              <w:t>33</w:t>
            </w:r>
          </w:p>
        </w:tc>
        <w:tc>
          <w:tcPr>
            <w:tcW w:w="0" w:type="auto"/>
            <w:tcBorders>
              <w:top w:val="single" w:color="auto" w:sz="4" w:space="0"/>
              <w:left w:val="single" w:color="auto" w:sz="4" w:space="0"/>
              <w:right w:val="single" w:color="auto" w:sz="4" w:space="0"/>
            </w:tcBorders>
            <w:vAlign w:val="center"/>
          </w:tcPr>
          <w:p>
            <w:pPr>
              <w:widowControl/>
              <w:spacing w:line="240" w:lineRule="auto"/>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完全</w:t>
            </w:r>
            <w:r>
              <w:rPr>
                <w:rFonts w:hint="eastAsia"/>
                <w:lang w:val="en-US" w:eastAsia="zh-CN"/>
              </w:rPr>
              <w:t>满足招标文件第六章“（二）商务要求”“（三）技术要求”</w:t>
            </w:r>
            <w:r>
              <w:rPr>
                <w:rFonts w:hint="eastAsia" w:ascii="宋体" w:hAnsi="宋体" w:eastAsia="宋体" w:cs="宋体"/>
                <w:i w:val="0"/>
                <w:iCs w:val="0"/>
                <w:color w:val="000000"/>
                <w:kern w:val="0"/>
                <w:sz w:val="21"/>
                <w:szCs w:val="21"/>
                <w:u w:val="none"/>
                <w:lang w:val="en-US" w:eastAsia="zh-CN" w:bidi="ar"/>
              </w:rPr>
              <w:t>的得33分，满分33分。</w:t>
            </w:r>
          </w:p>
          <w:p>
            <w:pPr>
              <w:widowControl/>
              <w:spacing w:line="240" w:lineRule="auto"/>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技术要求标“★”为</w:t>
            </w:r>
            <w:r>
              <w:rPr>
                <w:rFonts w:hint="eastAsia" w:ascii="宋体" w:hAnsi="宋体" w:cs="宋体"/>
                <w:i w:val="0"/>
                <w:iCs w:val="0"/>
                <w:color w:val="000000"/>
                <w:kern w:val="0"/>
                <w:sz w:val="21"/>
                <w:szCs w:val="21"/>
                <w:u w:val="none"/>
                <w:lang w:val="en-US" w:eastAsia="zh-CN" w:bidi="ar"/>
              </w:rPr>
              <w:t>实质性要求</w:t>
            </w:r>
            <w:r>
              <w:rPr>
                <w:rFonts w:hint="eastAsia" w:ascii="宋体" w:hAnsi="宋体" w:eastAsia="宋体" w:cs="宋体"/>
                <w:i w:val="0"/>
                <w:iCs w:val="0"/>
                <w:color w:val="000000"/>
                <w:kern w:val="0"/>
                <w:sz w:val="21"/>
                <w:szCs w:val="21"/>
                <w:u w:val="none"/>
                <w:lang w:val="en-US" w:eastAsia="zh-CN" w:bidi="ar"/>
              </w:rPr>
              <w:t>，负偏离</w:t>
            </w:r>
            <w:r>
              <w:rPr>
                <w:rFonts w:hint="eastAsia" w:ascii="宋体" w:hAnsi="宋体" w:cs="宋体"/>
                <w:i w:val="0"/>
                <w:iCs w:val="0"/>
                <w:color w:val="000000"/>
                <w:kern w:val="0"/>
                <w:sz w:val="21"/>
                <w:szCs w:val="21"/>
                <w:u w:val="none"/>
                <w:lang w:val="en-US" w:eastAsia="zh-CN" w:bidi="ar"/>
              </w:rPr>
              <w:t>作废标处理</w:t>
            </w:r>
            <w:r>
              <w:rPr>
                <w:rFonts w:hint="eastAsia" w:ascii="宋体" w:hAnsi="宋体" w:eastAsia="宋体" w:cs="宋体"/>
                <w:i w:val="0"/>
                <w:iCs w:val="0"/>
                <w:color w:val="000000"/>
                <w:kern w:val="0"/>
                <w:sz w:val="21"/>
                <w:szCs w:val="21"/>
                <w:u w:val="none"/>
                <w:lang w:val="en-US" w:eastAsia="zh-CN" w:bidi="ar"/>
              </w:rPr>
              <w:t>。</w:t>
            </w:r>
          </w:p>
          <w:p>
            <w:pPr>
              <w:widowControl/>
              <w:spacing w:line="240" w:lineRule="auto"/>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技术要求标“▲”为核心参数，每一条款负偏离扣</w:t>
            </w:r>
            <w:r>
              <w:rPr>
                <w:rFonts w:hint="eastAsia" w:ascii="宋体" w:hAnsi="宋体" w:cs="宋体"/>
                <w:i w:val="0"/>
                <w:iCs w:val="0"/>
                <w:color w:val="000000"/>
                <w:kern w:val="0"/>
                <w:sz w:val="21"/>
                <w:szCs w:val="21"/>
                <w:u w:val="none"/>
                <w:lang w:val="en-US" w:eastAsia="zh-CN" w:bidi="ar"/>
              </w:rPr>
              <w:t>5</w:t>
            </w:r>
            <w:r>
              <w:rPr>
                <w:rFonts w:hint="eastAsia" w:ascii="宋体" w:hAnsi="宋体" w:eastAsia="宋体" w:cs="宋体"/>
                <w:i w:val="0"/>
                <w:iCs w:val="0"/>
                <w:color w:val="000000"/>
                <w:kern w:val="0"/>
                <w:sz w:val="21"/>
                <w:szCs w:val="21"/>
                <w:u w:val="none"/>
                <w:lang w:val="en-US" w:eastAsia="zh-CN" w:bidi="ar"/>
              </w:rPr>
              <w:t>分。</w:t>
            </w:r>
          </w:p>
          <w:p>
            <w:pPr>
              <w:widowControl/>
              <w:spacing w:line="240" w:lineRule="auto"/>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技术要求中未标“▲”为普通参数，每一条款负偏离扣1分。</w:t>
            </w:r>
          </w:p>
          <w:p>
            <w:pPr>
              <w:widowControl/>
              <w:spacing w:line="240" w:lineRule="auto"/>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分值扣完为止。</w:t>
            </w:r>
          </w:p>
          <w:p>
            <w:pPr>
              <w:widowControl/>
              <w:spacing w:line="240" w:lineRule="auto"/>
              <w:jc w:val="left"/>
              <w:rPr>
                <w:rFonts w:hint="eastAsia" w:ascii="宋体" w:hAnsi="宋体" w:eastAsia="宋体" w:cs="宋体"/>
                <w:spacing w:val="-8"/>
                <w:sz w:val="21"/>
                <w:szCs w:val="21"/>
                <w:lang w:val="en-US" w:eastAsia="zh-CN"/>
              </w:rPr>
            </w:pPr>
            <w:r>
              <w:rPr>
                <w:rFonts w:hint="eastAsia" w:ascii="宋体" w:hAnsi="宋体" w:eastAsia="宋体" w:cs="宋体"/>
                <w:i w:val="0"/>
                <w:iCs w:val="0"/>
                <w:color w:val="000000"/>
                <w:kern w:val="0"/>
                <w:sz w:val="21"/>
                <w:szCs w:val="21"/>
                <w:u w:val="none"/>
                <w:lang w:val="en-US" w:eastAsia="zh-CN" w:bidi="ar"/>
              </w:rPr>
              <w:t>备注：标有（提供证明材料）的条款，须提供证明材料，不提供视为负偏离。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9"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2</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整体方案</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12</w:t>
            </w:r>
          </w:p>
        </w:tc>
        <w:tc>
          <w:tcPr>
            <w:tcW w:w="0" w:type="auto"/>
            <w:tcBorders>
              <w:top w:val="single" w:color="auto" w:sz="4" w:space="0"/>
              <w:left w:val="single" w:color="auto" w:sz="4" w:space="0"/>
              <w:right w:val="single" w:color="auto" w:sz="4" w:space="0"/>
            </w:tcBorders>
            <w:vAlign w:val="center"/>
          </w:tcPr>
          <w:p>
            <w:pPr>
              <w:widowControl/>
              <w:spacing w:line="240" w:lineRule="auto"/>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根据投标人提供的整体方案进行综合评审，</w:t>
            </w:r>
            <w:r>
              <w:rPr>
                <w:rFonts w:hint="eastAsia" w:ascii="宋体" w:hAnsi="宋体" w:cs="宋体"/>
                <w:i w:val="0"/>
                <w:iCs w:val="0"/>
                <w:color w:val="000000"/>
                <w:kern w:val="0"/>
                <w:sz w:val="21"/>
                <w:szCs w:val="21"/>
                <w:u w:val="none"/>
                <w:lang w:val="en-US" w:eastAsia="zh-CN" w:bidi="ar"/>
              </w:rPr>
              <w:t>包括但不限于</w:t>
            </w:r>
            <w:r>
              <w:rPr>
                <w:rFonts w:hint="eastAsia" w:ascii="宋体" w:hAnsi="宋体" w:eastAsia="宋体" w:cs="宋体"/>
                <w:i w:val="0"/>
                <w:iCs w:val="0"/>
                <w:color w:val="000000"/>
                <w:kern w:val="0"/>
                <w:sz w:val="21"/>
                <w:szCs w:val="21"/>
                <w:u w:val="none"/>
                <w:lang w:val="en-US" w:eastAsia="zh-CN" w:bidi="ar"/>
              </w:rPr>
              <w:t>①系统设计，②安全设计，③性能设计。</w:t>
            </w:r>
          </w:p>
          <w:p>
            <w:pPr>
              <w:widowControl/>
              <w:spacing w:line="240" w:lineRule="auto"/>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满分12分，每缺少一项或提供的方案与本项目无关的扣4分；每有一项存在缺陷或漏洞的，且不利于项目实施的扣2分，分值扣完为止。</w:t>
            </w:r>
          </w:p>
          <w:p>
            <w:pPr>
              <w:widowControl/>
              <w:spacing w:line="240" w:lineRule="auto"/>
              <w:jc w:val="left"/>
              <w:rPr>
                <w:rFonts w:hint="eastAsia" w:ascii="宋体" w:hAnsi="宋体" w:eastAsia="宋体" w:cs="宋体"/>
                <w:sz w:val="21"/>
                <w:szCs w:val="21"/>
                <w:lang w:val="en-US" w:eastAsia="zh-CN"/>
              </w:rPr>
            </w:pPr>
            <w:r>
              <w:rPr>
                <w:rFonts w:hint="eastAsia" w:ascii="宋体" w:hAnsi="宋体" w:eastAsia="宋体" w:cs="宋体"/>
                <w:i w:val="0"/>
                <w:iCs w:val="0"/>
                <w:color w:val="000000"/>
                <w:kern w:val="0"/>
                <w:sz w:val="21"/>
                <w:szCs w:val="21"/>
                <w:u w:val="none"/>
                <w:lang w:val="en-US" w:eastAsia="zh-CN" w:bidi="ar"/>
              </w:rPr>
              <w:t>注：其中方案中存在不适用项目实际情况的情形、凭空编造、逻辑漏洞、科学原理错误以及不可能实现的夸大情形等的不进行加分。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3</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培训方案</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10</w:t>
            </w:r>
          </w:p>
        </w:tc>
        <w:tc>
          <w:tcPr>
            <w:tcW w:w="0" w:type="auto"/>
            <w:tcBorders>
              <w:top w:val="single" w:color="auto" w:sz="4" w:space="0"/>
              <w:left w:val="single" w:color="auto" w:sz="4" w:space="0"/>
              <w:right w:val="single" w:color="auto" w:sz="4" w:space="0"/>
            </w:tcBorders>
            <w:vAlign w:val="center"/>
          </w:tcPr>
          <w:p>
            <w:pPr>
              <w:widowControl/>
              <w:spacing w:line="240" w:lineRule="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投标人需要为本项目提供培训方案，包含但不限于：①培训流程，②线上培训方案，③线下培训方案，④培训考核和评价。</w:t>
            </w:r>
          </w:p>
          <w:p>
            <w:pPr>
              <w:widowControl/>
              <w:spacing w:line="240" w:lineRule="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满分10分，每缺少一项或提供的方案与本项目无关的扣2.5分；每有一项存在缺陷或漏洞的，且不利于项目实施的扣1.5分，分值扣完为止。</w:t>
            </w:r>
          </w:p>
          <w:p>
            <w:pPr>
              <w:widowControl/>
              <w:spacing w:line="240" w:lineRule="auto"/>
              <w:rPr>
                <w:rFonts w:hint="eastAsia" w:ascii="宋体" w:hAnsi="宋体" w:eastAsia="宋体" w:cs="宋体"/>
                <w:spacing w:val="-8"/>
                <w:sz w:val="21"/>
                <w:szCs w:val="21"/>
                <w:lang w:val="en-US" w:eastAsia="zh-CN"/>
              </w:rPr>
            </w:pPr>
            <w:r>
              <w:rPr>
                <w:rFonts w:hint="eastAsia" w:ascii="宋体" w:hAnsi="宋体" w:eastAsia="宋体" w:cs="宋体"/>
                <w:i w:val="0"/>
                <w:iCs w:val="0"/>
                <w:color w:val="000000"/>
                <w:kern w:val="0"/>
                <w:sz w:val="21"/>
                <w:szCs w:val="21"/>
                <w:u w:val="none"/>
                <w:lang w:val="en-US" w:eastAsia="zh-CN" w:bidi="ar"/>
              </w:rPr>
              <w:t>注：其中方案中存在不适用项目实际情况的情形、凭空编造、逻辑漏洞、科学原理错误以及不可能实现的夸大情形等的不进行加分。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4</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b/>
                <w:bCs/>
                <w:sz w:val="21"/>
                <w:szCs w:val="21"/>
                <w:lang w:eastAsia="zh-CN"/>
              </w:rPr>
            </w:pPr>
            <w:r>
              <w:rPr>
                <w:rFonts w:hint="eastAsia" w:ascii="宋体" w:hAnsi="宋体" w:eastAsia="宋体" w:cs="宋体"/>
                <w:b/>
                <w:bCs/>
                <w:sz w:val="21"/>
                <w:szCs w:val="21"/>
                <w:lang w:val="en-US" w:eastAsia="zh-CN"/>
              </w:rPr>
              <w:t>售后服务方案</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w:t>
            </w:r>
          </w:p>
        </w:tc>
        <w:tc>
          <w:tcPr>
            <w:tcW w:w="0" w:type="auto"/>
            <w:tcBorders>
              <w:top w:val="single" w:color="auto" w:sz="4" w:space="0"/>
              <w:left w:val="single" w:color="auto" w:sz="4" w:space="0"/>
              <w:bottom w:val="single" w:color="auto" w:sz="4" w:space="0"/>
              <w:right w:val="single" w:color="auto" w:sz="4" w:space="0"/>
            </w:tcBorders>
            <w:vAlign w:val="center"/>
          </w:tcPr>
          <w:p>
            <w:pPr>
              <w:pStyle w:val="51"/>
              <w:numPr>
                <w:ilvl w:val="0"/>
                <w:numId w:val="0"/>
              </w:numPr>
              <w:spacing w:before="54" w:line="240" w:lineRule="auto"/>
              <w:ind w:right="107" w:rightChars="0"/>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投标人需要为本项目提供售后服务方案，包含但不限于：①售后人员安排方案；②售后响应时间方案；③产品维护方案；④产品使用培训方案；⑤应急处置措施。</w:t>
            </w:r>
          </w:p>
          <w:p>
            <w:pPr>
              <w:pStyle w:val="51"/>
              <w:numPr>
                <w:ilvl w:val="0"/>
                <w:numId w:val="0"/>
              </w:numPr>
              <w:spacing w:before="54" w:line="240" w:lineRule="auto"/>
              <w:ind w:right="107" w:rightChars="0"/>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满分10分，每缺少一项或提供的方案与本项目无关的扣2分；每有一项存在缺陷或漏洞的，且不利于项目实施的扣1分，分值扣完为止。</w:t>
            </w:r>
          </w:p>
          <w:p>
            <w:pPr>
              <w:pStyle w:val="51"/>
              <w:numPr>
                <w:ilvl w:val="0"/>
                <w:numId w:val="0"/>
              </w:numPr>
              <w:spacing w:before="54" w:line="240" w:lineRule="auto"/>
              <w:ind w:right="107" w:rightChars="0"/>
              <w:rPr>
                <w:rFonts w:hint="eastAsia" w:ascii="宋体" w:hAnsi="宋体" w:eastAsia="宋体" w:cs="宋体"/>
                <w:sz w:val="21"/>
                <w:szCs w:val="21"/>
                <w:lang w:val="en-US" w:eastAsia="zh-CN"/>
              </w:rPr>
            </w:pPr>
            <w:r>
              <w:rPr>
                <w:rFonts w:hint="eastAsia" w:ascii="宋体" w:hAnsi="宋体" w:eastAsia="宋体" w:cs="宋体"/>
                <w:i w:val="0"/>
                <w:iCs w:val="0"/>
                <w:color w:val="000000"/>
                <w:kern w:val="0"/>
                <w:sz w:val="21"/>
                <w:szCs w:val="21"/>
                <w:u w:val="none"/>
                <w:lang w:val="en-US" w:eastAsia="zh-CN" w:bidi="ar"/>
              </w:rPr>
              <w:t>注：其中方案中存在不适用项目实际情况的情形、凭空编造、逻辑漏洞、科学原理错误以及不可能实现的夸大情形等的不进行加分。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rPr>
              <w:t>三</w:t>
            </w:r>
          </w:p>
        </w:tc>
        <w:tc>
          <w:tcPr>
            <w:tcW w:w="0" w:type="auto"/>
            <w:gridSpan w:val="3"/>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hint="eastAsia" w:ascii="宋体" w:hAnsi="宋体" w:eastAsia="宋体" w:cs="宋体"/>
                <w:b/>
                <w:sz w:val="21"/>
                <w:szCs w:val="21"/>
              </w:rPr>
            </w:pPr>
            <w:r>
              <w:rPr>
                <w:rFonts w:hint="eastAsia" w:ascii="宋体" w:hAnsi="宋体" w:eastAsia="宋体" w:cs="宋体"/>
                <w:b/>
                <w:sz w:val="21"/>
                <w:szCs w:val="21"/>
                <w:lang w:val="en-US" w:eastAsia="zh-CN"/>
              </w:rPr>
              <w:t>商务部分（</w:t>
            </w:r>
            <w:r>
              <w:rPr>
                <w:rFonts w:hint="eastAsia" w:ascii="宋体" w:hAnsi="宋体" w:cs="宋体"/>
                <w:b/>
                <w:sz w:val="21"/>
                <w:szCs w:val="21"/>
                <w:lang w:val="en-US" w:eastAsia="zh-CN"/>
              </w:rPr>
              <w:t>5</w:t>
            </w:r>
            <w:r>
              <w:rPr>
                <w:rFonts w:hint="eastAsia" w:ascii="宋体" w:hAnsi="宋体" w:eastAsia="宋体" w:cs="宋体"/>
                <w:b/>
                <w:sz w:val="21"/>
                <w:szCs w:val="21"/>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kern w:val="0"/>
                <w:sz w:val="21"/>
                <w:szCs w:val="21"/>
              </w:rPr>
            </w:pPr>
            <w:r>
              <w:rPr>
                <w:rFonts w:hint="eastAsia" w:ascii="宋体" w:hAnsi="宋体" w:eastAsia="宋体" w:cs="宋体"/>
                <w:b w:val="0"/>
                <w:bCs w:val="0"/>
                <w:kern w:val="0"/>
                <w:sz w:val="21"/>
                <w:szCs w:val="21"/>
              </w:rPr>
              <w:t>1</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b/>
                <w:bCs/>
                <w:sz w:val="21"/>
                <w:szCs w:val="21"/>
              </w:rPr>
            </w:pPr>
            <w:r>
              <w:rPr>
                <w:rFonts w:hint="eastAsia" w:ascii="宋体" w:hAnsi="宋体" w:eastAsia="宋体" w:cs="宋体"/>
                <w:b/>
                <w:bCs/>
                <w:sz w:val="21"/>
                <w:szCs w:val="21"/>
              </w:rPr>
              <w:t>业绩</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sz w:val="21"/>
                <w:szCs w:val="21"/>
                <w:lang w:eastAsia="zh-CN"/>
              </w:rPr>
            </w:pPr>
            <w:r>
              <w:rPr>
                <w:rFonts w:hint="eastAsia" w:ascii="宋体" w:hAnsi="宋体" w:cs="宋体"/>
                <w:sz w:val="21"/>
                <w:szCs w:val="21"/>
                <w:lang w:val="en-US" w:eastAsia="zh-CN"/>
              </w:rPr>
              <w:t>2.5</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投标人需提供2020年1月1日以来的类似产品销售业绩进行评比，每提供1个业绩得</w:t>
            </w:r>
            <w:r>
              <w:rPr>
                <w:rFonts w:hint="eastAsia" w:ascii="宋体" w:hAnsi="宋体" w:cs="宋体"/>
                <w:i w:val="0"/>
                <w:iCs w:val="0"/>
                <w:color w:val="000000"/>
                <w:kern w:val="0"/>
                <w:sz w:val="21"/>
                <w:szCs w:val="21"/>
                <w:u w:val="none"/>
                <w:lang w:val="en-US" w:eastAsia="zh-CN" w:bidi="ar"/>
              </w:rPr>
              <w:t>0.5</w:t>
            </w:r>
            <w:r>
              <w:rPr>
                <w:rFonts w:hint="eastAsia" w:ascii="宋体" w:hAnsi="宋体" w:eastAsia="宋体" w:cs="宋体"/>
                <w:i w:val="0"/>
                <w:iCs w:val="0"/>
                <w:color w:val="000000"/>
                <w:kern w:val="0"/>
                <w:sz w:val="21"/>
                <w:szCs w:val="21"/>
                <w:u w:val="none"/>
                <w:lang w:val="en-US" w:eastAsia="zh-CN" w:bidi="ar"/>
              </w:rPr>
              <w:t>分，满分</w:t>
            </w:r>
            <w:r>
              <w:rPr>
                <w:rFonts w:hint="eastAsia" w:ascii="宋体" w:hAnsi="宋体" w:cs="宋体"/>
                <w:i w:val="0"/>
                <w:iCs w:val="0"/>
                <w:color w:val="000000"/>
                <w:kern w:val="0"/>
                <w:sz w:val="21"/>
                <w:szCs w:val="21"/>
                <w:u w:val="none"/>
                <w:lang w:val="en-US" w:eastAsia="zh-CN" w:bidi="ar"/>
              </w:rPr>
              <w:t>2.5</w:t>
            </w:r>
            <w:r>
              <w:rPr>
                <w:rFonts w:hint="eastAsia" w:ascii="宋体" w:hAnsi="宋体" w:eastAsia="宋体" w:cs="宋体"/>
                <w:i w:val="0"/>
                <w:iCs w:val="0"/>
                <w:color w:val="000000"/>
                <w:kern w:val="0"/>
                <w:sz w:val="21"/>
                <w:szCs w:val="21"/>
                <w:u w:val="none"/>
                <w:lang w:val="en-US" w:eastAsia="zh-CN" w:bidi="ar"/>
              </w:rPr>
              <w:t>分。</w:t>
            </w:r>
          </w:p>
          <w:p>
            <w:pPr>
              <w:widowControl/>
              <w:spacing w:line="240" w:lineRule="auto"/>
              <w:rPr>
                <w:rFonts w:hint="eastAsia"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注：须提供销售采购合同或中标通知书复印件加盖投标人公章，不提供，不得分。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宋体" w:hAnsi="宋体" w:eastAsia="宋体" w:cs="宋体"/>
                <w:b w:val="0"/>
                <w:bCs w:val="0"/>
                <w:kern w:val="0"/>
                <w:sz w:val="21"/>
                <w:szCs w:val="21"/>
                <w:lang w:val="en-US" w:eastAsia="zh-CN"/>
              </w:rPr>
            </w:pPr>
            <w:r>
              <w:rPr>
                <w:rFonts w:hint="eastAsia" w:ascii="宋体" w:hAnsi="宋体" w:cs="宋体"/>
                <w:b w:val="0"/>
                <w:bCs w:val="0"/>
                <w:kern w:val="0"/>
                <w:sz w:val="21"/>
                <w:szCs w:val="21"/>
                <w:lang w:val="en-US" w:eastAsia="zh-CN"/>
              </w:rPr>
              <w:t>2</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default" w:ascii="宋体" w:hAnsi="宋体" w:eastAsia="宋体" w:cs="宋体"/>
                <w:b/>
                <w:bCs/>
                <w:sz w:val="21"/>
                <w:szCs w:val="21"/>
                <w:lang w:val="en-US" w:eastAsia="zh-CN"/>
              </w:rPr>
            </w:pPr>
            <w:r>
              <w:rPr>
                <w:rFonts w:hint="eastAsia" w:ascii="宋体" w:hAnsi="宋体" w:cs="宋体"/>
                <w:b/>
                <w:bCs/>
                <w:sz w:val="21"/>
                <w:szCs w:val="21"/>
                <w:lang w:val="en-US" w:eastAsia="zh-CN"/>
              </w:rPr>
              <w:t>厂家资质</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2.5</w:t>
            </w:r>
          </w:p>
        </w:tc>
        <w:tc>
          <w:tcPr>
            <w:tcW w:w="0" w:type="auto"/>
            <w:tcBorders>
              <w:top w:val="single" w:color="auto" w:sz="4" w:space="0"/>
              <w:left w:val="single" w:color="auto" w:sz="4" w:space="0"/>
              <w:bottom w:val="single" w:color="auto" w:sz="4" w:space="0"/>
              <w:right w:val="single" w:color="auto" w:sz="4" w:space="0"/>
            </w:tcBorders>
            <w:vAlign w:val="center"/>
          </w:tcPr>
          <w:p>
            <w:pPr>
              <w:widowControl/>
              <w:spacing w:line="240" w:lineRule="auto"/>
              <w:rPr>
                <w:rStyle w:val="54"/>
                <w:rFonts w:hint="eastAsia"/>
                <w:lang w:val="en-US" w:eastAsia="zh-CN" w:bidi="ar"/>
              </w:rPr>
            </w:pPr>
            <w:r>
              <w:rPr>
                <w:rFonts w:hint="eastAsia" w:ascii="宋体" w:hAnsi="宋体" w:eastAsia="宋体" w:cs="宋体"/>
                <w:i w:val="0"/>
                <w:iCs w:val="0"/>
                <w:color w:val="000000"/>
                <w:kern w:val="0"/>
                <w:sz w:val="21"/>
                <w:szCs w:val="21"/>
                <w:u w:val="none"/>
                <w:lang w:val="en-US" w:eastAsia="zh-CN" w:bidi="ar"/>
              </w:rPr>
              <w:t>医用冷藏柜</w:t>
            </w:r>
            <w:r>
              <w:rPr>
                <w:rFonts w:hint="eastAsia" w:ascii="宋体" w:hAnsi="宋体" w:cs="宋体"/>
                <w:i w:val="0"/>
                <w:iCs w:val="0"/>
                <w:color w:val="000000"/>
                <w:kern w:val="0"/>
                <w:sz w:val="21"/>
                <w:szCs w:val="21"/>
                <w:u w:val="none"/>
                <w:lang w:val="en-US" w:eastAsia="zh-CN" w:bidi="ar"/>
              </w:rPr>
              <w:t>生产厂家</w:t>
            </w:r>
            <w:r>
              <w:rPr>
                <w:rStyle w:val="54"/>
                <w:rFonts w:hint="eastAsia"/>
                <w:lang w:val="en-US" w:eastAsia="zh-CN" w:bidi="ar"/>
              </w:rPr>
              <w:t>应</w:t>
            </w:r>
            <w:r>
              <w:rPr>
                <w:rStyle w:val="54"/>
                <w:lang w:val="en-US" w:eastAsia="zh-CN" w:bidi="ar"/>
              </w:rPr>
              <w:t>具有IS09001证书、IS014001证书、IS013485、证书、IS045001 证书、IS027001 证书，每</w:t>
            </w:r>
            <w:r>
              <w:rPr>
                <w:rStyle w:val="54"/>
                <w:rFonts w:hint="eastAsia"/>
                <w:lang w:val="en-US" w:eastAsia="zh-CN" w:bidi="ar"/>
              </w:rPr>
              <w:t>具</w:t>
            </w:r>
            <w:r>
              <w:rPr>
                <w:rStyle w:val="54"/>
                <w:lang w:val="en-US" w:eastAsia="zh-CN" w:bidi="ar"/>
              </w:rPr>
              <w:t>有一个得</w:t>
            </w:r>
            <w:r>
              <w:rPr>
                <w:rStyle w:val="54"/>
                <w:rFonts w:hint="eastAsia"/>
                <w:lang w:val="en-US" w:eastAsia="zh-CN" w:bidi="ar"/>
              </w:rPr>
              <w:t>0.5，满分2.5分。</w:t>
            </w:r>
          </w:p>
          <w:p>
            <w:pPr>
              <w:widowControl/>
              <w:spacing w:line="240" w:lineRule="auto"/>
              <w:rPr>
                <w:rStyle w:val="54"/>
                <w:rFonts w:hint="default"/>
                <w:lang w:val="en-US" w:eastAsia="zh-CN" w:bidi="ar"/>
              </w:rPr>
            </w:pPr>
            <w:r>
              <w:rPr>
                <w:rFonts w:hint="eastAsia" w:ascii="宋体" w:hAnsi="宋体" w:eastAsia="宋体" w:cs="宋体"/>
                <w:i w:val="0"/>
                <w:iCs w:val="0"/>
                <w:color w:val="000000"/>
                <w:kern w:val="0"/>
                <w:sz w:val="21"/>
                <w:szCs w:val="21"/>
                <w:u w:val="none"/>
                <w:lang w:val="en-US" w:eastAsia="zh-CN" w:bidi="ar"/>
              </w:rPr>
              <w:t>备注：须提供证明材料，不提供</w:t>
            </w:r>
            <w:r>
              <w:rPr>
                <w:rFonts w:hint="eastAsia" w:ascii="宋体" w:hAnsi="宋体" w:cs="宋体"/>
                <w:i w:val="0"/>
                <w:iCs w:val="0"/>
                <w:color w:val="000000"/>
                <w:kern w:val="0"/>
                <w:sz w:val="21"/>
                <w:szCs w:val="21"/>
                <w:u w:val="none"/>
                <w:lang w:val="en-US" w:eastAsia="zh-CN" w:bidi="ar"/>
              </w:rPr>
              <w:t>不得分</w:t>
            </w:r>
            <w:r>
              <w:rPr>
                <w:rFonts w:hint="eastAsia" w:ascii="宋体" w:hAnsi="宋体" w:eastAsia="宋体" w:cs="宋体"/>
                <w:i w:val="0"/>
                <w:iCs w:val="0"/>
                <w:color w:val="000000"/>
                <w:kern w:val="0"/>
                <w:sz w:val="21"/>
                <w:szCs w:val="21"/>
                <w:u w:val="none"/>
                <w:lang w:val="en-US" w:eastAsia="zh-CN" w:bidi="ar"/>
              </w:rPr>
              <w:t>。</w:t>
            </w:r>
          </w:p>
        </w:tc>
      </w:tr>
    </w:tbl>
    <w:p>
      <w:pPr>
        <w:pStyle w:val="10"/>
        <w:tabs>
          <w:tab w:val="left" w:pos="600"/>
        </w:tabs>
        <w:spacing w:line="400" w:lineRule="exact"/>
        <w:ind w:left="0" w:leftChars="0" w:firstLine="0" w:firstLineChars="0"/>
        <w:rPr>
          <w:rFonts w:hint="eastAsia" w:asciiTheme="majorEastAsia" w:hAnsiTheme="majorEastAsia" w:eastAsiaTheme="majorEastAsia" w:cstheme="majorEastAsia"/>
          <w:sz w:val="24"/>
          <w:szCs w:val="24"/>
        </w:rPr>
      </w:pPr>
    </w:p>
    <w:p>
      <w:pPr>
        <w:ind w:firstLine="360" w:firstLineChars="15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注： 评分的取值按四舍五入法，保留小数点后两位。</w:t>
      </w:r>
    </w:p>
    <w:p>
      <w:pPr>
        <w:pStyle w:val="3"/>
        <w:spacing w:line="400" w:lineRule="exact"/>
        <w:ind w:firstLine="472" w:firstLineChars="196"/>
        <w:rPr>
          <w:rFonts w:hint="eastAsia" w:asciiTheme="majorEastAsia" w:hAnsiTheme="majorEastAsia" w:eastAsiaTheme="majorEastAsia" w:cstheme="majorEastAsia"/>
          <w:sz w:val="24"/>
          <w:szCs w:val="24"/>
        </w:rPr>
      </w:pPr>
      <w:bookmarkStart w:id="186" w:name="_Toc217446060"/>
      <w:r>
        <w:rPr>
          <w:rFonts w:hint="eastAsia" w:asciiTheme="majorEastAsia" w:hAnsiTheme="majorEastAsia" w:eastAsiaTheme="majorEastAsia" w:cstheme="majorEastAsia"/>
          <w:sz w:val="24"/>
          <w:szCs w:val="24"/>
        </w:rPr>
        <w:t>5、 废 标</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5.1本次政府采购活动中，出现下列情形之一的，予以废标：</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（1）符合专业条件的供应商或者对招标文件作实质响应的供应商不足三家的；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（2）出现影响采购公正的违法、违规行为的；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（3）投标人的报价均超过了采购预算，采购人不能支付的；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（4）因重大变故，采购任务取消的。</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废标后，采购代理机构将在</w:t>
      </w:r>
      <w:r>
        <w:rPr>
          <w:rFonts w:hint="eastAsia" w:asciiTheme="majorEastAsia" w:hAnsiTheme="majorEastAsia" w:eastAsiaTheme="majorEastAsia" w:cstheme="majorEastAsia"/>
          <w:sz w:val="24"/>
          <w:lang w:eastAsia="zh-CN"/>
        </w:rPr>
        <w:t>西藏自治区</w:t>
      </w:r>
      <w:r>
        <w:rPr>
          <w:rFonts w:hint="eastAsia" w:asciiTheme="majorEastAsia" w:hAnsiTheme="majorEastAsia" w:eastAsiaTheme="majorEastAsia" w:cstheme="majorEastAsia"/>
          <w:sz w:val="24"/>
        </w:rPr>
        <w:t>政府采购网上公告，并公告废标的情形。投标人需要知晓导致废标情形的具体原因和理由的，可以通过书面形式询问招标采购单位。</w:t>
      </w:r>
    </w:p>
    <w:p>
      <w:pPr>
        <w:spacing w:line="400" w:lineRule="exact"/>
        <w:ind w:firstLine="480" w:firstLineChars="200"/>
        <w:rPr>
          <w:rFonts w:hint="eastAsia" w:asciiTheme="majorEastAsia" w:hAnsiTheme="majorEastAsia" w:eastAsiaTheme="majorEastAsia" w:cstheme="majorEastAsia"/>
          <w:sz w:val="24"/>
        </w:rPr>
      </w:pPr>
    </w:p>
    <w:p>
      <w:pPr>
        <w:pStyle w:val="3"/>
        <w:spacing w:line="400" w:lineRule="exact"/>
        <w:ind w:firstLine="472" w:firstLineChars="196"/>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6、定标</w:t>
      </w:r>
      <w:bookmarkEnd w:id="186"/>
      <w:bookmarkStart w:id="187" w:name="_Toc217446061"/>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6.1. 定标原则</w:t>
      </w:r>
      <w:bookmarkEnd w:id="187"/>
      <w:r>
        <w:rPr>
          <w:rFonts w:hint="eastAsia" w:asciiTheme="majorEastAsia" w:hAnsiTheme="majorEastAsia" w:eastAsiaTheme="majorEastAsia" w:cstheme="majorEastAsia"/>
          <w:sz w:val="24"/>
        </w:rPr>
        <w:t>：本项目根据评标委员会推荐的中标候选供应商名单，按顺序确定中标供应商。本项目由采购人委托评标委员会直接确定中标供应商</w:t>
      </w:r>
      <w:r>
        <w:rPr>
          <w:rFonts w:hint="eastAsia" w:asciiTheme="majorEastAsia" w:hAnsiTheme="majorEastAsia" w:eastAsiaTheme="majorEastAsia" w:cstheme="majorEastAsia"/>
        </w:rPr>
        <w:t>。</w:t>
      </w:r>
    </w:p>
    <w:p>
      <w:pPr>
        <w:spacing w:line="400" w:lineRule="exact"/>
        <w:ind w:firstLine="480" w:firstLineChars="200"/>
        <w:rPr>
          <w:rFonts w:hint="eastAsia" w:asciiTheme="majorEastAsia" w:hAnsiTheme="majorEastAsia" w:eastAsiaTheme="majorEastAsia" w:cstheme="majorEastAsia"/>
          <w:sz w:val="24"/>
        </w:rPr>
      </w:pPr>
      <w:bookmarkStart w:id="188" w:name="_Toc217446062"/>
      <w:r>
        <w:rPr>
          <w:rFonts w:hint="eastAsia" w:asciiTheme="majorEastAsia" w:hAnsiTheme="majorEastAsia" w:eastAsiaTheme="majorEastAsia" w:cstheme="majorEastAsia"/>
          <w:sz w:val="24"/>
        </w:rPr>
        <w:t>6.2. 定标程序</w:t>
      </w:r>
      <w:bookmarkEnd w:id="188"/>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6.2.1 评标委员会将评标情况写出书面报告，推荐中标候选供应商。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6.2.2 评委会按照评标报告中推荐的中标候选人顺序确定中标人。</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6.2.3 根据评委会确定的中标人，采购代理机构在</w:t>
      </w:r>
      <w:r>
        <w:rPr>
          <w:rFonts w:hint="eastAsia" w:asciiTheme="majorEastAsia" w:hAnsiTheme="majorEastAsia" w:eastAsiaTheme="majorEastAsia" w:cstheme="majorEastAsia"/>
          <w:sz w:val="24"/>
          <w:lang w:eastAsia="zh-CN"/>
        </w:rPr>
        <w:t>西藏自治区</w:t>
      </w:r>
      <w:r>
        <w:rPr>
          <w:rFonts w:hint="eastAsia" w:asciiTheme="majorEastAsia" w:hAnsiTheme="majorEastAsia" w:eastAsiaTheme="majorEastAsia" w:cstheme="majorEastAsia"/>
          <w:sz w:val="24"/>
        </w:rPr>
        <w:t>政府采购网上发布中标公告，同时向中标人发出中标通知书。</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6.2.</w:t>
      </w:r>
      <w:r>
        <w:rPr>
          <w:rFonts w:hint="eastAsia" w:asciiTheme="majorEastAsia" w:hAnsiTheme="majorEastAsia" w:eastAsiaTheme="majorEastAsia" w:cstheme="majorEastAsia"/>
          <w:sz w:val="24"/>
          <w:lang w:val="en-US" w:eastAsia="zh-CN"/>
        </w:rPr>
        <w:t>4</w:t>
      </w:r>
      <w:r>
        <w:rPr>
          <w:rFonts w:hint="eastAsia" w:asciiTheme="majorEastAsia" w:hAnsiTheme="majorEastAsia" w:eastAsiaTheme="majorEastAsia" w:cstheme="majorEastAsia"/>
          <w:sz w:val="24"/>
        </w:rPr>
        <w:t xml:space="preserve"> 招标采购单位不退回投标人投标文件和其他投标资料。</w:t>
      </w:r>
    </w:p>
    <w:bookmarkEnd w:id="185"/>
    <w:p>
      <w:pPr>
        <w:pStyle w:val="3"/>
        <w:spacing w:line="400" w:lineRule="exact"/>
        <w:ind w:firstLine="482" w:firstLineChars="200"/>
        <w:rPr>
          <w:rFonts w:hint="eastAsia" w:asciiTheme="majorEastAsia" w:hAnsiTheme="majorEastAsia" w:eastAsiaTheme="majorEastAsia" w:cstheme="majorEastAsia"/>
          <w:bCs w:val="0"/>
          <w:sz w:val="24"/>
          <w:szCs w:val="24"/>
        </w:rPr>
      </w:pPr>
      <w:bookmarkStart w:id="189" w:name="_Toc183582297"/>
      <w:bookmarkStart w:id="190" w:name="_Toc183682432"/>
      <w:bookmarkStart w:id="191" w:name="_Toc217446105"/>
      <w:bookmarkStart w:id="192" w:name="_Toc208849022"/>
      <w:r>
        <w:rPr>
          <w:rFonts w:hint="eastAsia" w:asciiTheme="majorEastAsia" w:hAnsiTheme="majorEastAsia" w:eastAsiaTheme="majorEastAsia" w:cstheme="majorEastAsia"/>
          <w:bCs w:val="0"/>
          <w:sz w:val="24"/>
          <w:szCs w:val="24"/>
        </w:rPr>
        <w:t xml:space="preserve">7. </w:t>
      </w:r>
      <w:bookmarkEnd w:id="189"/>
      <w:bookmarkEnd w:id="190"/>
      <w:bookmarkEnd w:id="191"/>
      <w:bookmarkEnd w:id="192"/>
      <w:r>
        <w:rPr>
          <w:rFonts w:hint="eastAsia" w:asciiTheme="majorEastAsia" w:hAnsiTheme="majorEastAsia" w:eastAsiaTheme="majorEastAsia" w:cstheme="majorEastAsia"/>
          <w:sz w:val="24"/>
          <w:szCs w:val="24"/>
        </w:rPr>
        <w:t>评标专家在</w:t>
      </w:r>
      <w:r>
        <w:rPr>
          <w:rFonts w:hint="eastAsia" w:asciiTheme="majorEastAsia" w:hAnsiTheme="majorEastAsia" w:eastAsiaTheme="majorEastAsia" w:cstheme="majorEastAsia"/>
          <w:sz w:val="24"/>
        </w:rPr>
        <w:t>政府采购活动</w:t>
      </w:r>
      <w:r>
        <w:rPr>
          <w:rFonts w:hint="eastAsia" w:asciiTheme="majorEastAsia" w:hAnsiTheme="majorEastAsia" w:eastAsiaTheme="majorEastAsia" w:cstheme="majorEastAsia"/>
          <w:sz w:val="24"/>
          <w:szCs w:val="24"/>
        </w:rPr>
        <w:t>中承担以下义务：</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 xml:space="preserve">（一）遵守评审工作纪律； </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（二）按照客观、公正、审慎的原则，根据采购文件规定的评审程序、评审方法和评审标准进行独立评审；</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（三）不得泄露评审文件、评审情况和在评审过程中获悉的商业秘密；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（四）及时向监督部门报告评审过程中采购组织单位向评审专家做倾向性、误导性的解释或者说明，供应商行贿、提供虚假材料或者串通、受到的非法干预情况等违法违规行为；</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（五）发现采购文件内容违反国家有关强制性规定或者存在歧义、重大缺陷导致评审工作无法进行时，停止评审并向采购组织单位书面说明情况；</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（六）配合答复处理供应商的询问、质疑和投诉等事项；</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（七）法律、法规和规章规定的其他义务。</w:t>
      </w:r>
    </w:p>
    <w:p>
      <w:pPr>
        <w:pStyle w:val="3"/>
        <w:spacing w:line="400" w:lineRule="exact"/>
        <w:ind w:firstLine="482" w:firstLineChars="200"/>
        <w:rPr>
          <w:rFonts w:hint="eastAsia" w:asciiTheme="majorEastAsia" w:hAnsiTheme="majorEastAsia" w:eastAsiaTheme="majorEastAsia" w:cstheme="majorEastAsia"/>
          <w:bCs w:val="0"/>
          <w:sz w:val="24"/>
          <w:szCs w:val="24"/>
        </w:rPr>
      </w:pPr>
      <w:r>
        <w:rPr>
          <w:rFonts w:hint="eastAsia" w:asciiTheme="majorEastAsia" w:hAnsiTheme="majorEastAsia" w:eastAsiaTheme="majorEastAsia" w:cstheme="majorEastAsia"/>
          <w:bCs w:val="0"/>
          <w:sz w:val="24"/>
          <w:szCs w:val="24"/>
        </w:rPr>
        <w:t>8.评标专家在政府采购活动中应当遵守以下工作纪律：</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（一）遵行《政府采购法》第十二条和《政府采购法实施条例》第九条及财政部关于回避的规定。</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（二）评标前，应当将通讯工具或者相关电子设备交由招标采购单位统一保管。</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（三）评标过程中，不得与外界联系，因发生不可预见情况，确实需要与外界联系的，应当在监督人员监督之下办理。</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四）评标过程中，不得干预或者影响正常评标工作，不得发表倾向性、引导性意见，不得修改或细化招标文件确定的评标程序、评标方法、评标因素和评标标准，不得接受供应商主动提出的澄清和解释，不得征询采购人代表的意见，不得协商评分，不得违反规定的评标格式评分和撰写评标意见，不得拒绝对自己的评标意见签字确认。</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（五）在评标过程中和评标结束后，不得记录、复制或带走任何评标资料，除因规定的义务外，不得向外界透露评标内容。</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（六）服从评标现场招标采购单位的现场秩序管理，接受评标现场监督人员的合法监督。</w:t>
      </w:r>
    </w:p>
    <w:p>
      <w:pPr>
        <w:spacing w:line="400" w:lineRule="exact"/>
        <w:ind w:firstLine="480" w:firstLineChars="200"/>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（七）遵守有关廉洁自律规定，不得私下接触供应商，不得收受供应商及有关业务单位和个人的财物或好处，不得接受采购组织单位的请托。</w:t>
      </w:r>
    </w:p>
    <w:p>
      <w:pPr>
        <w:pStyle w:val="2"/>
        <w:spacing w:line="400" w:lineRule="exact"/>
        <w:jc w:val="center"/>
        <w:rPr>
          <w:rFonts w:hint="eastAsia" w:asciiTheme="majorEastAsia" w:hAnsiTheme="majorEastAsia" w:eastAsiaTheme="majorEastAsia" w:cstheme="majorEastAsia"/>
        </w:rPr>
      </w:pPr>
      <w:bookmarkStart w:id="193" w:name="_Toc23042"/>
      <w:bookmarkStart w:id="194" w:name="_Toc5845"/>
      <w:r>
        <w:rPr>
          <w:rFonts w:hint="eastAsia" w:asciiTheme="majorEastAsia" w:hAnsiTheme="majorEastAsia" w:eastAsiaTheme="majorEastAsia" w:cstheme="majorEastAsia"/>
          <w:sz w:val="36"/>
          <w:szCs w:val="36"/>
        </w:rPr>
        <w:br w:type="page"/>
      </w:r>
      <w:r>
        <w:rPr>
          <w:rFonts w:hint="eastAsia" w:asciiTheme="majorEastAsia" w:hAnsiTheme="majorEastAsia" w:eastAsiaTheme="majorEastAsia" w:cstheme="majorEastAsia"/>
          <w:sz w:val="36"/>
          <w:szCs w:val="36"/>
        </w:rPr>
        <w:t>第八章  政府采购合同</w:t>
      </w:r>
      <w:bookmarkEnd w:id="193"/>
      <w:bookmarkEnd w:id="194"/>
    </w:p>
    <w:p>
      <w:pPr>
        <w:spacing w:line="360" w:lineRule="auto"/>
        <w:rPr>
          <w:sz w:val="24"/>
        </w:rPr>
      </w:pPr>
      <w:r>
        <w:rPr>
          <w:sz w:val="24"/>
        </w:rPr>
        <w:t>甲方合同编号：</w:t>
      </w:r>
    </w:p>
    <w:p>
      <w:pPr>
        <w:spacing w:line="360" w:lineRule="auto"/>
        <w:rPr>
          <w:rFonts w:hint="eastAsia" w:ascii="Times New Roman" w:hAnsi="Times New Roman" w:eastAsiaTheme="minorEastAsia"/>
          <w:b/>
          <w:bCs/>
          <w:sz w:val="24"/>
          <w:szCs w:val="24"/>
          <w:lang w:eastAsia="zh-CN"/>
        </w:rPr>
      </w:pPr>
      <w:r>
        <w:rPr>
          <w:b/>
          <w:sz w:val="24"/>
        </w:rPr>
        <w:t>甲方：</w:t>
      </w:r>
      <w:r>
        <w:rPr>
          <w:rFonts w:hint="eastAsia" w:ascii="Times New Roman" w:hAnsi="Times New Roman" w:eastAsiaTheme="minorEastAsia"/>
          <w:b/>
          <w:bCs/>
          <w:sz w:val="24"/>
          <w:szCs w:val="24"/>
          <w:lang w:eastAsia="zh-CN"/>
        </w:rPr>
        <w:t>西藏自治区妇产儿童医院（西藏自治区妇幼保健院）</w:t>
      </w:r>
    </w:p>
    <w:p>
      <w:pPr>
        <w:spacing w:line="360" w:lineRule="auto"/>
        <w:rPr>
          <w:b/>
          <w:sz w:val="24"/>
        </w:rPr>
      </w:pPr>
      <w:r>
        <w:rPr>
          <w:b/>
          <w:sz w:val="24"/>
        </w:rPr>
        <w:t>乙方：</w:t>
      </w:r>
    </w:p>
    <w:p>
      <w:pPr>
        <w:spacing w:line="440" w:lineRule="exact"/>
        <w:ind w:firstLine="480" w:firstLineChars="200"/>
        <w:rPr>
          <w:sz w:val="24"/>
          <w:highlight w:val="yellow"/>
        </w:rPr>
      </w:pPr>
      <w:bookmarkStart w:id="195" w:name="OLE_LINK10"/>
      <w:r>
        <w:rPr>
          <w:rFonts w:hint="eastAsia"/>
          <w:sz w:val="24"/>
        </w:rPr>
        <w:t>根据《中国人民共和国民法典》等相关规定，</w:t>
      </w:r>
      <w:r>
        <w:rPr>
          <w:sz w:val="24"/>
        </w:rPr>
        <w:t>甲乙方通过</w:t>
      </w:r>
      <w:r>
        <w:rPr>
          <w:rFonts w:hint="eastAsia"/>
          <w:sz w:val="24"/>
        </w:rPr>
        <w:t>平等、自愿、</w:t>
      </w:r>
      <w:r>
        <w:rPr>
          <w:sz w:val="24"/>
        </w:rPr>
        <w:t>友好协商，就甲方购买乙方设备，达成</w:t>
      </w:r>
      <w:r>
        <w:rPr>
          <w:rFonts w:hint="eastAsia"/>
          <w:sz w:val="24"/>
        </w:rPr>
        <w:t>以下协议。</w:t>
      </w:r>
    </w:p>
    <w:p>
      <w:pPr>
        <w:spacing w:after="156" w:afterLines="50" w:line="440" w:lineRule="exact"/>
        <w:ind w:firstLine="482" w:firstLineChars="200"/>
        <w:rPr>
          <w:sz w:val="24"/>
        </w:rPr>
      </w:pPr>
      <w:r>
        <w:rPr>
          <w:rFonts w:hint="eastAsia"/>
          <w:b/>
          <w:bCs/>
          <w:sz w:val="24"/>
        </w:rPr>
        <w:t xml:space="preserve">一、标的物  </w:t>
      </w:r>
      <w:r>
        <w:rPr>
          <w:sz w:val="24"/>
        </w:rPr>
        <w:t>甲方向乙方购买，详见下表：</w:t>
      </w:r>
    </w:p>
    <w:bookmarkEnd w:id="195"/>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
        <w:gridCol w:w="983"/>
        <w:gridCol w:w="751"/>
        <w:gridCol w:w="936"/>
        <w:gridCol w:w="983"/>
        <w:gridCol w:w="936"/>
        <w:gridCol w:w="1031"/>
        <w:gridCol w:w="936"/>
        <w:gridCol w:w="10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0" w:type="auto"/>
            <w:vAlign w:val="center"/>
          </w:tcPr>
          <w:p>
            <w:pPr>
              <w:spacing w:line="240" w:lineRule="auto"/>
              <w:jc w:val="center"/>
              <w:rPr>
                <w:b/>
                <w:szCs w:val="21"/>
              </w:rPr>
            </w:pPr>
            <w:r>
              <w:rPr>
                <w:b/>
                <w:szCs w:val="21"/>
              </w:rPr>
              <w:t>序号</w:t>
            </w:r>
          </w:p>
        </w:tc>
        <w:tc>
          <w:tcPr>
            <w:tcW w:w="0" w:type="auto"/>
            <w:vAlign w:val="center"/>
          </w:tcPr>
          <w:p>
            <w:pPr>
              <w:spacing w:line="240" w:lineRule="auto"/>
              <w:jc w:val="center"/>
              <w:rPr>
                <w:b/>
                <w:szCs w:val="21"/>
              </w:rPr>
            </w:pPr>
            <w:r>
              <w:rPr>
                <w:b/>
                <w:szCs w:val="21"/>
              </w:rPr>
              <w:t>产品名称</w:t>
            </w:r>
          </w:p>
        </w:tc>
        <w:tc>
          <w:tcPr>
            <w:tcW w:w="0" w:type="auto"/>
            <w:vAlign w:val="center"/>
          </w:tcPr>
          <w:p>
            <w:pPr>
              <w:spacing w:line="240" w:lineRule="auto"/>
              <w:jc w:val="center"/>
              <w:rPr>
                <w:rFonts w:hint="default" w:eastAsia="宋体"/>
                <w:b/>
                <w:szCs w:val="21"/>
                <w:lang w:val="en-US" w:eastAsia="zh-CN"/>
              </w:rPr>
            </w:pPr>
            <w:r>
              <w:rPr>
                <w:rFonts w:hint="eastAsia"/>
                <w:b/>
                <w:szCs w:val="21"/>
                <w:lang w:val="en-US" w:eastAsia="zh-CN"/>
              </w:rPr>
              <w:t>注册证产品名称</w:t>
            </w:r>
          </w:p>
        </w:tc>
        <w:tc>
          <w:tcPr>
            <w:tcW w:w="0" w:type="auto"/>
            <w:vAlign w:val="center"/>
          </w:tcPr>
          <w:p>
            <w:pPr>
              <w:spacing w:line="240" w:lineRule="auto"/>
              <w:jc w:val="center"/>
              <w:rPr>
                <w:b/>
                <w:szCs w:val="21"/>
              </w:rPr>
            </w:pPr>
            <w:r>
              <w:rPr>
                <w:b/>
                <w:szCs w:val="21"/>
              </w:rPr>
              <w:t>型号</w:t>
            </w:r>
          </w:p>
        </w:tc>
        <w:tc>
          <w:tcPr>
            <w:tcW w:w="0" w:type="auto"/>
            <w:vAlign w:val="center"/>
          </w:tcPr>
          <w:p>
            <w:pPr>
              <w:spacing w:line="240" w:lineRule="auto"/>
              <w:rPr>
                <w:b/>
                <w:szCs w:val="21"/>
              </w:rPr>
            </w:pPr>
            <w:r>
              <w:rPr>
                <w:b/>
                <w:szCs w:val="21"/>
              </w:rPr>
              <w:t>生产厂家</w:t>
            </w:r>
          </w:p>
        </w:tc>
        <w:tc>
          <w:tcPr>
            <w:tcW w:w="0" w:type="auto"/>
            <w:vAlign w:val="center"/>
          </w:tcPr>
          <w:p>
            <w:pPr>
              <w:spacing w:line="240" w:lineRule="auto"/>
              <w:jc w:val="center"/>
              <w:rPr>
                <w:b/>
                <w:szCs w:val="21"/>
              </w:rPr>
            </w:pPr>
            <w:r>
              <w:rPr>
                <w:rFonts w:hint="eastAsia"/>
                <w:b/>
                <w:szCs w:val="21"/>
              </w:rPr>
              <w:t>单位</w:t>
            </w:r>
          </w:p>
        </w:tc>
        <w:tc>
          <w:tcPr>
            <w:tcW w:w="0" w:type="auto"/>
            <w:vAlign w:val="center"/>
          </w:tcPr>
          <w:p>
            <w:pPr>
              <w:spacing w:line="240" w:lineRule="auto"/>
              <w:rPr>
                <w:b/>
                <w:szCs w:val="21"/>
              </w:rPr>
            </w:pPr>
            <w:r>
              <w:rPr>
                <w:b/>
                <w:szCs w:val="21"/>
              </w:rPr>
              <w:t>单</w:t>
            </w:r>
            <w:r>
              <w:rPr>
                <w:rFonts w:hint="eastAsia"/>
                <w:b/>
                <w:szCs w:val="21"/>
              </w:rPr>
              <w:t>价（</w:t>
            </w:r>
            <w:r>
              <w:rPr>
                <w:b/>
                <w:szCs w:val="21"/>
              </w:rPr>
              <w:t>元</w:t>
            </w:r>
            <w:r>
              <w:rPr>
                <w:rFonts w:hint="eastAsia"/>
                <w:b/>
                <w:szCs w:val="21"/>
              </w:rPr>
              <w:t>）</w:t>
            </w:r>
          </w:p>
        </w:tc>
        <w:tc>
          <w:tcPr>
            <w:tcW w:w="0" w:type="auto"/>
            <w:vAlign w:val="center"/>
          </w:tcPr>
          <w:p>
            <w:pPr>
              <w:spacing w:line="240" w:lineRule="auto"/>
              <w:jc w:val="center"/>
              <w:rPr>
                <w:b/>
                <w:szCs w:val="21"/>
              </w:rPr>
            </w:pPr>
            <w:r>
              <w:rPr>
                <w:b/>
                <w:szCs w:val="21"/>
              </w:rPr>
              <w:t>数量</w:t>
            </w:r>
          </w:p>
        </w:tc>
        <w:tc>
          <w:tcPr>
            <w:tcW w:w="0" w:type="auto"/>
            <w:vAlign w:val="center"/>
          </w:tcPr>
          <w:p>
            <w:pPr>
              <w:spacing w:line="240" w:lineRule="auto"/>
              <w:ind w:firstLine="0" w:firstLineChars="0"/>
              <w:jc w:val="both"/>
              <w:rPr>
                <w:b/>
                <w:szCs w:val="21"/>
              </w:rPr>
            </w:pPr>
            <w:r>
              <w:rPr>
                <w:b/>
                <w:szCs w:val="21"/>
              </w:rPr>
              <w:t>总价</w:t>
            </w:r>
            <w:r>
              <w:rPr>
                <w:rFonts w:hint="eastAsia"/>
                <w:b/>
                <w:szCs w:val="21"/>
              </w:rPr>
              <w:t>（</w:t>
            </w:r>
            <w:r>
              <w:rPr>
                <w:b/>
                <w:szCs w:val="21"/>
              </w:rPr>
              <w:t>元</w:t>
            </w:r>
            <w:r>
              <w:rPr>
                <w:rFonts w:hint="eastAsia"/>
                <w:b/>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9" w:hRule="exact"/>
          <w:jc w:val="center"/>
        </w:trPr>
        <w:tc>
          <w:tcPr>
            <w:tcW w:w="0" w:type="auto"/>
            <w:vAlign w:val="center"/>
          </w:tcPr>
          <w:p>
            <w:pPr>
              <w:spacing w:line="240" w:lineRule="auto"/>
              <w:jc w:val="center"/>
              <w:rPr>
                <w:szCs w:val="21"/>
              </w:rPr>
            </w:pPr>
            <w:r>
              <w:rPr>
                <w:szCs w:val="21"/>
              </w:rPr>
              <w:t>1</w:t>
            </w:r>
          </w:p>
        </w:tc>
        <w:tc>
          <w:tcPr>
            <w:tcW w:w="0" w:type="auto"/>
            <w:vAlign w:val="center"/>
          </w:tcPr>
          <w:p>
            <w:pPr>
              <w:spacing w:line="240" w:lineRule="auto"/>
              <w:ind w:firstLine="420" w:firstLineChars="200"/>
              <w:jc w:val="center"/>
              <w:rPr>
                <w:szCs w:val="21"/>
              </w:rPr>
            </w:pPr>
          </w:p>
        </w:tc>
        <w:tc>
          <w:tcPr>
            <w:tcW w:w="0" w:type="auto"/>
            <w:vAlign w:val="center"/>
          </w:tcPr>
          <w:p>
            <w:pPr>
              <w:spacing w:line="240" w:lineRule="auto"/>
              <w:ind w:firstLine="420" w:firstLineChars="200"/>
              <w:jc w:val="center"/>
              <w:rPr>
                <w:szCs w:val="21"/>
              </w:rPr>
            </w:pPr>
          </w:p>
        </w:tc>
        <w:tc>
          <w:tcPr>
            <w:tcW w:w="0" w:type="auto"/>
            <w:vAlign w:val="center"/>
          </w:tcPr>
          <w:p>
            <w:pPr>
              <w:spacing w:line="240" w:lineRule="auto"/>
              <w:ind w:firstLine="420" w:firstLineChars="200"/>
              <w:jc w:val="center"/>
              <w:rPr>
                <w:szCs w:val="21"/>
              </w:rPr>
            </w:pPr>
          </w:p>
        </w:tc>
        <w:tc>
          <w:tcPr>
            <w:tcW w:w="0" w:type="auto"/>
            <w:vAlign w:val="center"/>
          </w:tcPr>
          <w:p>
            <w:pPr>
              <w:spacing w:line="240" w:lineRule="auto"/>
              <w:ind w:firstLine="420" w:firstLineChars="200"/>
              <w:jc w:val="center"/>
              <w:rPr>
                <w:szCs w:val="21"/>
              </w:rPr>
            </w:pPr>
          </w:p>
        </w:tc>
        <w:tc>
          <w:tcPr>
            <w:tcW w:w="0" w:type="auto"/>
            <w:vAlign w:val="center"/>
          </w:tcPr>
          <w:p>
            <w:pPr>
              <w:spacing w:line="240" w:lineRule="auto"/>
              <w:ind w:firstLine="420" w:firstLineChars="200"/>
              <w:jc w:val="center"/>
              <w:rPr>
                <w:color w:val="FF0000"/>
                <w:szCs w:val="21"/>
              </w:rPr>
            </w:pPr>
          </w:p>
        </w:tc>
        <w:tc>
          <w:tcPr>
            <w:tcW w:w="0" w:type="auto"/>
            <w:vAlign w:val="center"/>
          </w:tcPr>
          <w:p>
            <w:pPr>
              <w:spacing w:line="240" w:lineRule="auto"/>
              <w:ind w:firstLine="420" w:firstLineChars="200"/>
              <w:jc w:val="center"/>
              <w:rPr>
                <w:color w:val="FF0000"/>
                <w:szCs w:val="21"/>
              </w:rPr>
            </w:pPr>
          </w:p>
        </w:tc>
        <w:tc>
          <w:tcPr>
            <w:tcW w:w="0" w:type="auto"/>
            <w:vAlign w:val="center"/>
          </w:tcPr>
          <w:p>
            <w:pPr>
              <w:spacing w:line="240" w:lineRule="auto"/>
              <w:ind w:firstLine="420" w:firstLineChars="200"/>
              <w:jc w:val="center"/>
              <w:rPr>
                <w:szCs w:val="21"/>
              </w:rPr>
            </w:pPr>
          </w:p>
        </w:tc>
        <w:tc>
          <w:tcPr>
            <w:tcW w:w="0" w:type="auto"/>
            <w:vAlign w:val="center"/>
          </w:tcPr>
          <w:p>
            <w:pPr>
              <w:spacing w:line="240" w:lineRule="auto"/>
              <w:ind w:firstLine="420" w:firstLineChars="20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5" w:hRule="exact"/>
          <w:jc w:val="center"/>
        </w:trPr>
        <w:tc>
          <w:tcPr>
            <w:tcW w:w="0" w:type="auto"/>
            <w:vAlign w:val="center"/>
          </w:tcPr>
          <w:p>
            <w:pPr>
              <w:spacing w:line="240" w:lineRule="auto"/>
              <w:jc w:val="center"/>
              <w:rPr>
                <w:szCs w:val="21"/>
              </w:rPr>
            </w:pPr>
            <w:r>
              <w:rPr>
                <w:rFonts w:hint="eastAsia"/>
                <w:szCs w:val="21"/>
              </w:rPr>
              <w:t>2</w:t>
            </w:r>
          </w:p>
        </w:tc>
        <w:tc>
          <w:tcPr>
            <w:tcW w:w="0" w:type="auto"/>
            <w:vAlign w:val="center"/>
          </w:tcPr>
          <w:p>
            <w:pPr>
              <w:spacing w:line="240" w:lineRule="auto"/>
              <w:ind w:firstLine="420" w:firstLineChars="200"/>
              <w:jc w:val="center"/>
              <w:rPr>
                <w:szCs w:val="21"/>
              </w:rPr>
            </w:pPr>
          </w:p>
        </w:tc>
        <w:tc>
          <w:tcPr>
            <w:tcW w:w="0" w:type="auto"/>
            <w:vAlign w:val="center"/>
          </w:tcPr>
          <w:p>
            <w:pPr>
              <w:spacing w:line="240" w:lineRule="auto"/>
              <w:ind w:firstLine="420" w:firstLineChars="200"/>
              <w:jc w:val="center"/>
              <w:rPr>
                <w:szCs w:val="21"/>
              </w:rPr>
            </w:pPr>
          </w:p>
        </w:tc>
        <w:tc>
          <w:tcPr>
            <w:tcW w:w="0" w:type="auto"/>
            <w:vAlign w:val="center"/>
          </w:tcPr>
          <w:p>
            <w:pPr>
              <w:spacing w:line="240" w:lineRule="auto"/>
              <w:ind w:firstLine="420" w:firstLineChars="200"/>
              <w:jc w:val="center"/>
              <w:rPr>
                <w:szCs w:val="21"/>
              </w:rPr>
            </w:pPr>
          </w:p>
        </w:tc>
        <w:tc>
          <w:tcPr>
            <w:tcW w:w="0" w:type="auto"/>
            <w:vAlign w:val="center"/>
          </w:tcPr>
          <w:p>
            <w:pPr>
              <w:spacing w:line="240" w:lineRule="auto"/>
              <w:ind w:firstLine="420" w:firstLineChars="200"/>
              <w:jc w:val="center"/>
              <w:rPr>
                <w:szCs w:val="21"/>
              </w:rPr>
            </w:pPr>
          </w:p>
        </w:tc>
        <w:tc>
          <w:tcPr>
            <w:tcW w:w="0" w:type="auto"/>
            <w:vAlign w:val="center"/>
          </w:tcPr>
          <w:p>
            <w:pPr>
              <w:spacing w:line="240" w:lineRule="auto"/>
              <w:ind w:firstLine="420" w:firstLineChars="200"/>
              <w:jc w:val="center"/>
              <w:rPr>
                <w:color w:val="FF0000"/>
                <w:szCs w:val="21"/>
              </w:rPr>
            </w:pPr>
          </w:p>
        </w:tc>
        <w:tc>
          <w:tcPr>
            <w:tcW w:w="0" w:type="auto"/>
            <w:vAlign w:val="center"/>
          </w:tcPr>
          <w:p>
            <w:pPr>
              <w:spacing w:line="240" w:lineRule="auto"/>
              <w:ind w:firstLine="420" w:firstLineChars="200"/>
              <w:jc w:val="center"/>
              <w:rPr>
                <w:color w:val="FF0000"/>
                <w:szCs w:val="21"/>
              </w:rPr>
            </w:pPr>
          </w:p>
        </w:tc>
        <w:tc>
          <w:tcPr>
            <w:tcW w:w="0" w:type="auto"/>
            <w:vAlign w:val="center"/>
          </w:tcPr>
          <w:p>
            <w:pPr>
              <w:spacing w:line="240" w:lineRule="auto"/>
              <w:ind w:firstLine="420" w:firstLineChars="200"/>
              <w:jc w:val="center"/>
              <w:rPr>
                <w:szCs w:val="21"/>
              </w:rPr>
            </w:pPr>
          </w:p>
        </w:tc>
        <w:tc>
          <w:tcPr>
            <w:tcW w:w="0" w:type="auto"/>
            <w:vAlign w:val="center"/>
          </w:tcPr>
          <w:p>
            <w:pPr>
              <w:spacing w:line="240" w:lineRule="auto"/>
              <w:ind w:firstLine="420" w:firstLineChars="20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5" w:hRule="exact"/>
          <w:jc w:val="center"/>
        </w:trPr>
        <w:tc>
          <w:tcPr>
            <w:tcW w:w="0" w:type="auto"/>
            <w:vAlign w:val="center"/>
          </w:tcPr>
          <w:p>
            <w:pPr>
              <w:spacing w:line="240" w:lineRule="auto"/>
              <w:ind w:firstLine="422" w:firstLineChars="200"/>
              <w:jc w:val="center"/>
              <w:rPr>
                <w:szCs w:val="21"/>
              </w:rPr>
            </w:pPr>
            <w:r>
              <w:rPr>
                <w:rFonts w:hint="eastAsia"/>
                <w:b/>
                <w:szCs w:val="21"/>
              </w:rPr>
              <w:t>…</w:t>
            </w:r>
          </w:p>
        </w:tc>
        <w:tc>
          <w:tcPr>
            <w:tcW w:w="0" w:type="auto"/>
            <w:vAlign w:val="center"/>
          </w:tcPr>
          <w:p>
            <w:pPr>
              <w:spacing w:line="240" w:lineRule="auto"/>
              <w:ind w:firstLine="422" w:firstLineChars="200"/>
              <w:jc w:val="center"/>
              <w:rPr>
                <w:szCs w:val="21"/>
              </w:rPr>
            </w:pPr>
            <w:r>
              <w:rPr>
                <w:rFonts w:hint="eastAsia"/>
                <w:b/>
                <w:szCs w:val="21"/>
              </w:rPr>
              <w:t>…</w:t>
            </w:r>
          </w:p>
        </w:tc>
        <w:tc>
          <w:tcPr>
            <w:tcW w:w="0" w:type="auto"/>
            <w:vAlign w:val="center"/>
          </w:tcPr>
          <w:p>
            <w:pPr>
              <w:spacing w:line="240" w:lineRule="auto"/>
              <w:ind w:firstLine="422" w:firstLineChars="200"/>
              <w:jc w:val="center"/>
              <w:rPr>
                <w:rFonts w:hint="eastAsia"/>
                <w:b/>
                <w:szCs w:val="21"/>
              </w:rPr>
            </w:pPr>
          </w:p>
        </w:tc>
        <w:tc>
          <w:tcPr>
            <w:tcW w:w="0" w:type="auto"/>
            <w:vAlign w:val="center"/>
          </w:tcPr>
          <w:p>
            <w:pPr>
              <w:spacing w:line="240" w:lineRule="auto"/>
              <w:ind w:firstLine="422" w:firstLineChars="200"/>
              <w:jc w:val="center"/>
              <w:rPr>
                <w:szCs w:val="21"/>
              </w:rPr>
            </w:pPr>
            <w:r>
              <w:rPr>
                <w:rFonts w:hint="eastAsia"/>
                <w:b/>
                <w:szCs w:val="21"/>
              </w:rPr>
              <w:t>…</w:t>
            </w:r>
          </w:p>
        </w:tc>
        <w:tc>
          <w:tcPr>
            <w:tcW w:w="0" w:type="auto"/>
            <w:vAlign w:val="center"/>
          </w:tcPr>
          <w:p>
            <w:pPr>
              <w:spacing w:line="240" w:lineRule="auto"/>
              <w:ind w:firstLine="422" w:firstLineChars="200"/>
              <w:jc w:val="center"/>
              <w:rPr>
                <w:szCs w:val="21"/>
              </w:rPr>
            </w:pPr>
            <w:r>
              <w:rPr>
                <w:rFonts w:hint="eastAsia"/>
                <w:b/>
                <w:szCs w:val="21"/>
              </w:rPr>
              <w:t>…</w:t>
            </w:r>
          </w:p>
        </w:tc>
        <w:tc>
          <w:tcPr>
            <w:tcW w:w="0" w:type="auto"/>
            <w:vAlign w:val="center"/>
          </w:tcPr>
          <w:p>
            <w:pPr>
              <w:spacing w:line="240" w:lineRule="auto"/>
              <w:ind w:firstLine="422" w:firstLineChars="200"/>
              <w:jc w:val="center"/>
              <w:rPr>
                <w:color w:val="FF0000"/>
                <w:szCs w:val="21"/>
              </w:rPr>
            </w:pPr>
            <w:r>
              <w:rPr>
                <w:rFonts w:hint="eastAsia"/>
                <w:b/>
                <w:szCs w:val="21"/>
              </w:rPr>
              <w:t>…</w:t>
            </w:r>
          </w:p>
        </w:tc>
        <w:tc>
          <w:tcPr>
            <w:tcW w:w="0" w:type="auto"/>
            <w:vAlign w:val="center"/>
          </w:tcPr>
          <w:p>
            <w:pPr>
              <w:spacing w:line="240" w:lineRule="auto"/>
              <w:ind w:firstLine="422" w:firstLineChars="200"/>
              <w:jc w:val="center"/>
              <w:rPr>
                <w:color w:val="FF0000"/>
                <w:szCs w:val="21"/>
              </w:rPr>
            </w:pPr>
            <w:r>
              <w:rPr>
                <w:rFonts w:hint="eastAsia"/>
                <w:b/>
                <w:szCs w:val="21"/>
              </w:rPr>
              <w:t>…</w:t>
            </w:r>
          </w:p>
        </w:tc>
        <w:tc>
          <w:tcPr>
            <w:tcW w:w="0" w:type="auto"/>
            <w:vAlign w:val="center"/>
          </w:tcPr>
          <w:p>
            <w:pPr>
              <w:spacing w:line="240" w:lineRule="auto"/>
              <w:ind w:firstLine="422" w:firstLineChars="200"/>
              <w:jc w:val="center"/>
              <w:rPr>
                <w:szCs w:val="21"/>
              </w:rPr>
            </w:pPr>
            <w:r>
              <w:rPr>
                <w:rFonts w:hint="eastAsia"/>
                <w:b/>
                <w:szCs w:val="21"/>
              </w:rPr>
              <w:t>…</w:t>
            </w:r>
          </w:p>
        </w:tc>
        <w:tc>
          <w:tcPr>
            <w:tcW w:w="0" w:type="auto"/>
            <w:vAlign w:val="center"/>
          </w:tcPr>
          <w:p>
            <w:pPr>
              <w:spacing w:line="240" w:lineRule="auto"/>
              <w:ind w:firstLine="422" w:firstLineChars="200"/>
              <w:rPr>
                <w:szCs w:val="21"/>
              </w:rPr>
            </w:pPr>
            <w:r>
              <w:rPr>
                <w:rFonts w:hint="eastAsia"/>
                <w:b/>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exact"/>
          <w:jc w:val="center"/>
        </w:trPr>
        <w:tc>
          <w:tcPr>
            <w:tcW w:w="0" w:type="auto"/>
            <w:gridSpan w:val="9"/>
            <w:vAlign w:val="center"/>
          </w:tcPr>
          <w:p>
            <w:pPr>
              <w:spacing w:line="240" w:lineRule="auto"/>
              <w:ind w:firstLine="0" w:firstLineChars="0"/>
              <w:jc w:val="center"/>
              <w:rPr>
                <w:szCs w:val="21"/>
              </w:rPr>
            </w:pPr>
            <w:r>
              <w:rPr>
                <w:b/>
                <w:szCs w:val="21"/>
              </w:rPr>
              <w:t>总计: ￥</w:t>
            </w:r>
            <w:r>
              <w:rPr>
                <w:rFonts w:hint="eastAsia"/>
                <w:b/>
                <w:szCs w:val="21"/>
              </w:rPr>
              <w:t xml:space="preserve">   </w:t>
            </w:r>
            <w:r>
              <w:rPr>
                <w:b/>
                <w:szCs w:val="21"/>
              </w:rPr>
              <w:t>(元)           大写：人民币***元整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0" w:type="auto"/>
            <w:gridSpan w:val="9"/>
            <w:vAlign w:val="center"/>
          </w:tcPr>
          <w:p>
            <w:pPr>
              <w:spacing w:line="240" w:lineRule="auto"/>
              <w:ind w:firstLine="0" w:firstLineChars="0"/>
              <w:jc w:val="left"/>
              <w:rPr>
                <w:rFonts w:hint="eastAsia"/>
                <w:b/>
                <w:szCs w:val="21"/>
                <w:lang w:val="en-US" w:eastAsia="zh-CN"/>
              </w:rPr>
            </w:pPr>
            <w:r>
              <w:rPr>
                <w:rFonts w:hint="eastAsia"/>
                <w:b/>
                <w:szCs w:val="21"/>
                <w:lang w:val="en-US" w:eastAsia="zh-CN"/>
              </w:rPr>
              <w:t>备注：</w:t>
            </w:r>
          </w:p>
          <w:p>
            <w:pPr>
              <w:spacing w:line="240" w:lineRule="auto"/>
              <w:ind w:firstLine="0" w:firstLineChars="0"/>
              <w:jc w:val="left"/>
              <w:rPr>
                <w:rFonts w:hint="eastAsia"/>
                <w:b w:val="0"/>
                <w:bCs/>
                <w:szCs w:val="21"/>
              </w:rPr>
            </w:pPr>
            <w:r>
              <w:rPr>
                <w:rFonts w:hint="eastAsia"/>
                <w:b/>
                <w:szCs w:val="21"/>
                <w:lang w:val="en-US" w:eastAsia="zh-CN"/>
              </w:rPr>
              <w:t>（1）</w:t>
            </w:r>
            <w:r>
              <w:rPr>
                <w:rFonts w:hint="eastAsia"/>
                <w:b w:val="0"/>
                <w:bCs/>
                <w:szCs w:val="21"/>
              </w:rPr>
              <w:t>上述款项为含税价，已包括乙方履行合同义务的全部费用及税金（如：设备款、运输费、保险费、装卸费、安装调试费、人工费、税费等，除双方另有约定，甲方不再支付乙方其他任何款项）。</w:t>
            </w:r>
          </w:p>
          <w:p>
            <w:pPr>
              <w:jc w:val="left"/>
              <w:rPr>
                <w:rFonts w:hint="eastAsia"/>
                <w:b w:val="0"/>
                <w:bCs/>
                <w:szCs w:val="21"/>
              </w:rPr>
            </w:pPr>
            <w:r>
              <w:rPr>
                <w:rFonts w:hint="eastAsia"/>
                <w:b w:val="0"/>
                <w:bCs/>
                <w:szCs w:val="21"/>
                <w:lang w:eastAsia="zh-CN"/>
              </w:rPr>
              <w:t>（</w:t>
            </w:r>
            <w:r>
              <w:rPr>
                <w:rFonts w:hint="eastAsia"/>
                <w:b w:val="0"/>
                <w:bCs/>
                <w:szCs w:val="21"/>
                <w:lang w:val="en-US" w:eastAsia="zh-CN"/>
              </w:rPr>
              <w:t>2</w:t>
            </w:r>
            <w:r>
              <w:rPr>
                <w:rFonts w:hint="eastAsia"/>
                <w:b w:val="0"/>
                <w:bCs/>
                <w:szCs w:val="21"/>
                <w:lang w:eastAsia="zh-CN"/>
              </w:rPr>
              <w:t>）</w:t>
            </w:r>
            <w:r>
              <w:rPr>
                <w:rFonts w:hint="eastAsia"/>
                <w:b w:val="0"/>
                <w:bCs/>
                <w:sz w:val="21"/>
                <w:szCs w:val="21"/>
                <w:lang w:val="en-US" w:eastAsia="zh-CN"/>
              </w:rPr>
              <w:t>分项报价表详见</w:t>
            </w:r>
            <w:r>
              <w:rPr>
                <w:rFonts w:hint="eastAsia"/>
                <w:b w:val="0"/>
                <w:bCs/>
                <w:sz w:val="21"/>
                <w:szCs w:val="21"/>
              </w:rPr>
              <w:t>附件1</w:t>
            </w:r>
            <w:r>
              <w:rPr>
                <w:rFonts w:hint="eastAsia"/>
                <w:b w:val="0"/>
                <w:bCs/>
                <w:sz w:val="21"/>
                <w:szCs w:val="21"/>
                <w:lang w:eastAsia="zh-CN"/>
              </w:rPr>
              <w:t>，</w:t>
            </w:r>
            <w:r>
              <w:rPr>
                <w:rFonts w:hint="eastAsia"/>
                <w:b w:val="0"/>
                <w:bCs/>
                <w:sz w:val="21"/>
                <w:szCs w:val="21"/>
              </w:rPr>
              <w:t>配置清单</w:t>
            </w:r>
            <w:r>
              <w:rPr>
                <w:rFonts w:hint="eastAsia"/>
                <w:b w:val="0"/>
                <w:bCs/>
                <w:sz w:val="21"/>
                <w:szCs w:val="21"/>
                <w:lang w:val="en-US" w:eastAsia="zh-CN"/>
              </w:rPr>
              <w:t>详见附件2，</w:t>
            </w:r>
            <w:r>
              <w:rPr>
                <w:rFonts w:hint="eastAsia"/>
                <w:b w:val="0"/>
                <w:bCs/>
                <w:sz w:val="21"/>
                <w:szCs w:val="21"/>
                <w:lang w:eastAsia="zh-CN"/>
              </w:rPr>
              <w:t>耗材清单</w:t>
            </w:r>
            <w:r>
              <w:rPr>
                <w:rFonts w:hint="eastAsia"/>
                <w:b w:val="0"/>
                <w:bCs/>
                <w:sz w:val="21"/>
                <w:szCs w:val="21"/>
                <w:lang w:val="en-US" w:eastAsia="zh-CN"/>
              </w:rPr>
              <w:t>详见</w:t>
            </w:r>
            <w:r>
              <w:rPr>
                <w:rFonts w:hint="eastAsia"/>
                <w:b w:val="0"/>
                <w:bCs/>
                <w:sz w:val="21"/>
                <w:szCs w:val="21"/>
              </w:rPr>
              <w:t>附件</w:t>
            </w:r>
            <w:r>
              <w:rPr>
                <w:rFonts w:hint="eastAsia"/>
                <w:b w:val="0"/>
                <w:bCs/>
                <w:sz w:val="21"/>
                <w:szCs w:val="21"/>
                <w:lang w:val="en-US" w:eastAsia="zh-CN"/>
              </w:rPr>
              <w:t>3，</w:t>
            </w:r>
          </w:p>
          <w:p>
            <w:pPr>
              <w:widowControl/>
              <w:ind w:firstLine="0" w:firstLineChars="0"/>
              <w:jc w:val="left"/>
              <w:rPr>
                <w:rFonts w:hint="eastAsia"/>
                <w:b w:val="0"/>
                <w:bCs/>
                <w:sz w:val="21"/>
                <w:szCs w:val="21"/>
              </w:rPr>
            </w:pPr>
            <w:r>
              <w:rPr>
                <w:rFonts w:hint="eastAsia"/>
                <w:b w:val="0"/>
                <w:bCs/>
                <w:sz w:val="21"/>
                <w:szCs w:val="21"/>
              </w:rPr>
              <w:t>零配件、易损件报价表</w:t>
            </w:r>
            <w:r>
              <w:rPr>
                <w:rFonts w:hint="eastAsia"/>
                <w:b w:val="0"/>
                <w:bCs/>
                <w:sz w:val="21"/>
                <w:szCs w:val="21"/>
                <w:lang w:val="en-US" w:eastAsia="zh-CN"/>
              </w:rPr>
              <w:t>详见</w:t>
            </w:r>
            <w:r>
              <w:rPr>
                <w:rFonts w:hint="eastAsia"/>
                <w:b w:val="0"/>
                <w:bCs/>
                <w:sz w:val="21"/>
                <w:szCs w:val="21"/>
              </w:rPr>
              <w:t>附件</w:t>
            </w:r>
            <w:r>
              <w:rPr>
                <w:rFonts w:hint="eastAsia"/>
                <w:b w:val="0"/>
                <w:bCs/>
                <w:sz w:val="21"/>
                <w:szCs w:val="21"/>
                <w:lang w:val="en-US" w:eastAsia="zh-CN"/>
              </w:rPr>
              <w:t>4，</w:t>
            </w:r>
            <w:r>
              <w:rPr>
                <w:rFonts w:hint="eastAsia"/>
                <w:b w:val="0"/>
                <w:bCs/>
                <w:sz w:val="21"/>
                <w:szCs w:val="21"/>
              </w:rPr>
              <w:t>技术</w:t>
            </w:r>
            <w:r>
              <w:rPr>
                <w:rFonts w:hint="eastAsia"/>
                <w:b w:val="0"/>
                <w:bCs/>
                <w:sz w:val="21"/>
                <w:szCs w:val="21"/>
                <w:lang w:val="en-US" w:eastAsia="zh-CN"/>
              </w:rPr>
              <w:t>要求</w:t>
            </w:r>
            <w:r>
              <w:rPr>
                <w:rFonts w:hint="eastAsia"/>
                <w:b w:val="0"/>
                <w:bCs/>
                <w:sz w:val="21"/>
                <w:szCs w:val="21"/>
              </w:rPr>
              <w:t>响应表</w:t>
            </w:r>
            <w:r>
              <w:rPr>
                <w:rFonts w:hint="eastAsia"/>
                <w:b w:val="0"/>
                <w:bCs/>
                <w:sz w:val="21"/>
                <w:szCs w:val="21"/>
                <w:lang w:val="en-US" w:eastAsia="zh-CN"/>
              </w:rPr>
              <w:t>详见</w:t>
            </w:r>
            <w:r>
              <w:rPr>
                <w:rFonts w:hint="eastAsia"/>
                <w:b w:val="0"/>
                <w:bCs/>
                <w:sz w:val="21"/>
                <w:szCs w:val="21"/>
              </w:rPr>
              <w:t>附件</w:t>
            </w:r>
            <w:r>
              <w:rPr>
                <w:rFonts w:hint="eastAsia"/>
                <w:b w:val="0"/>
                <w:bCs/>
                <w:sz w:val="21"/>
                <w:szCs w:val="21"/>
                <w:lang w:val="en-US" w:eastAsia="zh-CN"/>
              </w:rPr>
              <w:t>5</w:t>
            </w:r>
            <w:r>
              <w:rPr>
                <w:rFonts w:hint="eastAsia"/>
                <w:b w:val="0"/>
                <w:bCs/>
                <w:sz w:val="21"/>
                <w:szCs w:val="21"/>
                <w:lang w:eastAsia="zh-CN"/>
              </w:rPr>
              <w:t>，</w:t>
            </w:r>
            <w:r>
              <w:rPr>
                <w:rFonts w:hint="eastAsia"/>
                <w:b w:val="0"/>
                <w:bCs/>
                <w:sz w:val="21"/>
                <w:szCs w:val="21"/>
                <w:lang w:val="en-US" w:eastAsia="zh-CN"/>
              </w:rPr>
              <w:t>商务要求</w:t>
            </w:r>
            <w:r>
              <w:rPr>
                <w:rFonts w:hint="eastAsia"/>
                <w:b w:val="0"/>
                <w:bCs/>
                <w:sz w:val="21"/>
                <w:szCs w:val="21"/>
              </w:rPr>
              <w:t>响应表</w:t>
            </w:r>
            <w:r>
              <w:rPr>
                <w:rFonts w:hint="eastAsia"/>
                <w:b w:val="0"/>
                <w:bCs/>
                <w:sz w:val="21"/>
                <w:szCs w:val="21"/>
                <w:lang w:val="en-US" w:eastAsia="zh-CN"/>
              </w:rPr>
              <w:t>详见</w:t>
            </w:r>
            <w:r>
              <w:rPr>
                <w:rFonts w:hint="eastAsia"/>
                <w:b w:val="0"/>
                <w:bCs/>
                <w:sz w:val="21"/>
                <w:szCs w:val="21"/>
              </w:rPr>
              <w:t>附件</w:t>
            </w:r>
            <w:r>
              <w:rPr>
                <w:rFonts w:hint="eastAsia"/>
                <w:b w:val="0"/>
                <w:bCs/>
                <w:sz w:val="21"/>
                <w:szCs w:val="21"/>
                <w:lang w:val="en-US" w:eastAsia="zh-CN"/>
              </w:rPr>
              <w:t>6</w:t>
            </w:r>
            <w:r>
              <w:rPr>
                <w:rFonts w:hint="eastAsia"/>
                <w:b w:val="0"/>
                <w:bCs/>
                <w:sz w:val="21"/>
                <w:szCs w:val="21"/>
                <w:lang w:eastAsia="zh-CN"/>
              </w:rPr>
              <w:t>，</w:t>
            </w:r>
            <w:r>
              <w:rPr>
                <w:rFonts w:hint="eastAsia"/>
                <w:b w:val="0"/>
                <w:bCs/>
                <w:sz w:val="21"/>
                <w:szCs w:val="21"/>
              </w:rPr>
              <w:t>售后服务承诺书</w:t>
            </w:r>
            <w:r>
              <w:rPr>
                <w:rFonts w:hint="eastAsia"/>
                <w:b w:val="0"/>
                <w:bCs/>
                <w:sz w:val="21"/>
                <w:szCs w:val="21"/>
                <w:lang w:val="en-US" w:eastAsia="zh-CN"/>
              </w:rPr>
              <w:t>详见</w:t>
            </w:r>
            <w:r>
              <w:rPr>
                <w:rFonts w:hint="eastAsia"/>
                <w:b w:val="0"/>
                <w:bCs/>
                <w:sz w:val="21"/>
                <w:szCs w:val="21"/>
              </w:rPr>
              <w:t>附件</w:t>
            </w:r>
            <w:r>
              <w:rPr>
                <w:rFonts w:hint="eastAsia"/>
                <w:b w:val="0"/>
                <w:bCs/>
                <w:sz w:val="21"/>
                <w:szCs w:val="21"/>
                <w:lang w:val="en-US" w:eastAsia="zh-CN"/>
              </w:rPr>
              <w:t>7。</w:t>
            </w:r>
          </w:p>
          <w:p>
            <w:pPr>
              <w:spacing w:line="240" w:lineRule="auto"/>
              <w:ind w:firstLine="0" w:firstLineChars="0"/>
              <w:jc w:val="left"/>
              <w:rPr>
                <w:rFonts w:hint="eastAsia" w:eastAsia="宋体"/>
                <w:b w:val="0"/>
                <w:bCs/>
                <w:szCs w:val="21"/>
                <w:lang w:eastAsia="zh-CN"/>
              </w:rPr>
            </w:pPr>
          </w:p>
        </w:tc>
      </w:tr>
    </w:tbl>
    <w:p>
      <w:pPr>
        <w:spacing w:before="156" w:beforeLines="50" w:line="440" w:lineRule="exact"/>
        <w:ind w:firstLine="482" w:firstLineChars="200"/>
        <w:rPr>
          <w:b/>
          <w:bCs/>
          <w:sz w:val="24"/>
        </w:rPr>
      </w:pPr>
      <w:r>
        <w:rPr>
          <w:rFonts w:hint="eastAsia"/>
          <w:b/>
          <w:bCs/>
          <w:sz w:val="24"/>
        </w:rPr>
        <w:t>二、甲方的权利与义务</w:t>
      </w:r>
    </w:p>
    <w:p>
      <w:pPr>
        <w:numPr>
          <w:ilvl w:val="255"/>
          <w:numId w:val="0"/>
        </w:numPr>
        <w:spacing w:line="440" w:lineRule="exact"/>
        <w:ind w:firstLine="480" w:firstLineChars="200"/>
        <w:rPr>
          <w:sz w:val="24"/>
        </w:rPr>
      </w:pPr>
      <w:r>
        <w:rPr>
          <w:rFonts w:hint="eastAsia"/>
          <w:sz w:val="24"/>
        </w:rPr>
        <w:t>1、在开箱验收设备时，甲方确保使用科室人员、管理部门验收人员</w:t>
      </w:r>
      <w:r>
        <w:rPr>
          <w:rFonts w:hint="eastAsia"/>
          <w:sz w:val="24"/>
          <w:lang w:eastAsia="zh-CN"/>
        </w:rPr>
        <w:t>、</w:t>
      </w:r>
      <w:r>
        <w:rPr>
          <w:rFonts w:hint="eastAsia"/>
          <w:sz w:val="24"/>
          <w:lang w:val="en-US" w:eastAsia="zh-CN"/>
        </w:rPr>
        <w:t>乙方代表</w:t>
      </w:r>
      <w:r>
        <w:rPr>
          <w:rFonts w:hint="eastAsia"/>
          <w:sz w:val="24"/>
        </w:rPr>
        <w:t>在场，按合同约定的包装外观、数量进行点货。设备经乙方安装调试并正常运行后，甲方使用科室、管理部门验收人员、乙方</w:t>
      </w:r>
      <w:r>
        <w:rPr>
          <w:rFonts w:hint="eastAsia"/>
          <w:sz w:val="24"/>
          <w:lang w:val="en-US" w:eastAsia="zh-CN"/>
        </w:rPr>
        <w:t>代表</w:t>
      </w:r>
      <w:r>
        <w:rPr>
          <w:rFonts w:hint="eastAsia"/>
          <w:sz w:val="24"/>
        </w:rPr>
        <w:t>应在验收单上签字确认，作为验收合格的标志。</w:t>
      </w:r>
    </w:p>
    <w:p>
      <w:pPr>
        <w:numPr>
          <w:ilvl w:val="255"/>
          <w:numId w:val="0"/>
        </w:numPr>
        <w:spacing w:line="440" w:lineRule="exact"/>
        <w:ind w:firstLine="480" w:firstLineChars="200"/>
        <w:rPr>
          <w:sz w:val="24"/>
        </w:rPr>
      </w:pPr>
      <w:r>
        <w:rPr>
          <w:rFonts w:hint="eastAsia"/>
          <w:sz w:val="24"/>
        </w:rPr>
        <w:t>2、甲方有权对标签不明确、包装破损、包装污染、损坏的设备拒收。</w:t>
      </w:r>
    </w:p>
    <w:p>
      <w:pPr>
        <w:numPr>
          <w:ilvl w:val="255"/>
          <w:numId w:val="0"/>
        </w:numPr>
        <w:spacing w:line="440" w:lineRule="exact"/>
        <w:ind w:firstLine="480" w:firstLineChars="200"/>
        <w:rPr>
          <w:sz w:val="24"/>
        </w:rPr>
      </w:pPr>
      <w:r>
        <w:rPr>
          <w:rFonts w:hint="eastAsia"/>
          <w:sz w:val="24"/>
        </w:rPr>
        <w:t>3、甲方有权对乙方所交的不符合招标文件及合同中规定的设备予以拒收。</w:t>
      </w:r>
    </w:p>
    <w:p>
      <w:pPr>
        <w:numPr>
          <w:ilvl w:val="255"/>
          <w:numId w:val="0"/>
        </w:numPr>
        <w:spacing w:line="440" w:lineRule="exact"/>
        <w:ind w:firstLine="480" w:firstLineChars="200"/>
        <w:rPr>
          <w:sz w:val="24"/>
        </w:rPr>
      </w:pPr>
      <w:r>
        <w:rPr>
          <w:rFonts w:hint="eastAsia"/>
          <w:sz w:val="24"/>
        </w:rPr>
        <w:t>4、甲方核对无误收货后，应及时签收并将签收单其中一联交给乙方。</w:t>
      </w:r>
    </w:p>
    <w:p>
      <w:pPr>
        <w:numPr>
          <w:ilvl w:val="255"/>
          <w:numId w:val="0"/>
        </w:numPr>
        <w:spacing w:line="440" w:lineRule="exact"/>
        <w:ind w:firstLine="480" w:firstLineChars="200"/>
        <w:rPr>
          <w:sz w:val="24"/>
        </w:rPr>
      </w:pPr>
      <w:r>
        <w:rPr>
          <w:rFonts w:hint="eastAsia"/>
          <w:sz w:val="24"/>
        </w:rPr>
        <w:t>5、设备结算数量以实际验收合格数量为准。</w:t>
      </w:r>
    </w:p>
    <w:p>
      <w:pPr>
        <w:numPr>
          <w:ilvl w:val="255"/>
          <w:numId w:val="0"/>
        </w:numPr>
        <w:spacing w:line="440" w:lineRule="exact"/>
        <w:ind w:firstLine="480" w:firstLineChars="200"/>
        <w:rPr>
          <w:sz w:val="24"/>
        </w:rPr>
      </w:pPr>
      <w:r>
        <w:rPr>
          <w:rFonts w:hint="eastAsia"/>
          <w:sz w:val="24"/>
        </w:rPr>
        <w:t>6、甲方对乙方开具的不真实、不合法、无效的发票，有权拒收并拒绝支付合同款项。</w:t>
      </w:r>
    </w:p>
    <w:p>
      <w:pPr>
        <w:numPr>
          <w:ilvl w:val="255"/>
          <w:numId w:val="0"/>
        </w:numPr>
        <w:spacing w:line="440" w:lineRule="exact"/>
        <w:ind w:firstLine="480" w:firstLineChars="200"/>
        <w:rPr>
          <w:sz w:val="24"/>
        </w:rPr>
      </w:pPr>
      <w:r>
        <w:rPr>
          <w:rFonts w:hint="eastAsia"/>
          <w:sz w:val="24"/>
        </w:rPr>
        <w:t>7、甲方在验收时或产品使用中发现质量问题或设备数量短缺，应及时通知乙方，若乙方接到甲方通知后10个工作日之内没有处理，甲方有权在产品问题解决前拒绝支付</w:t>
      </w:r>
      <w:bookmarkStart w:id="196" w:name="_Hlk66653213"/>
      <w:r>
        <w:rPr>
          <w:rFonts w:hint="eastAsia"/>
          <w:sz w:val="24"/>
        </w:rPr>
        <w:t>当期应付货款或解除合同，且不承担违约责任</w:t>
      </w:r>
      <w:bookmarkEnd w:id="196"/>
      <w:r>
        <w:rPr>
          <w:rFonts w:hint="eastAsia"/>
          <w:sz w:val="24"/>
        </w:rPr>
        <w:t>。</w:t>
      </w:r>
    </w:p>
    <w:p>
      <w:pPr>
        <w:numPr>
          <w:ilvl w:val="255"/>
          <w:numId w:val="0"/>
        </w:numPr>
        <w:spacing w:line="440" w:lineRule="exact"/>
        <w:ind w:firstLine="480" w:firstLineChars="200"/>
        <w:rPr>
          <w:sz w:val="24"/>
        </w:rPr>
      </w:pPr>
      <w:r>
        <w:rPr>
          <w:rFonts w:hint="eastAsia"/>
          <w:sz w:val="24"/>
        </w:rPr>
        <w:t>8、甲方负责及时向乙方提供合同内产品在科室使用的各项信息，特别是有关产品性能、质量以及待改进的措施，及时向乙方提供各种意见和建议。乙方需在甲方规定时间内进行回复，并提供改进方案（乙方应进行公章确认）及时进行整改。</w:t>
      </w:r>
    </w:p>
    <w:p>
      <w:pPr>
        <w:numPr>
          <w:ilvl w:val="255"/>
          <w:numId w:val="0"/>
        </w:numPr>
        <w:spacing w:line="440" w:lineRule="exact"/>
        <w:ind w:firstLine="480" w:firstLineChars="200"/>
        <w:rPr>
          <w:sz w:val="24"/>
        </w:rPr>
      </w:pPr>
      <w:r>
        <w:rPr>
          <w:rFonts w:hint="eastAsia"/>
          <w:sz w:val="24"/>
        </w:rPr>
        <w:t>9、甲方在参加乙方免费技术培训并出具培训报告后，应在培训报告上签字。</w:t>
      </w:r>
    </w:p>
    <w:p>
      <w:pPr>
        <w:numPr>
          <w:ilvl w:val="255"/>
          <w:numId w:val="0"/>
        </w:numPr>
        <w:spacing w:line="440" w:lineRule="exact"/>
        <w:ind w:firstLine="480" w:firstLineChars="200"/>
        <w:rPr>
          <w:sz w:val="24"/>
        </w:rPr>
      </w:pPr>
      <w:r>
        <w:rPr>
          <w:rFonts w:hint="eastAsia"/>
          <w:sz w:val="24"/>
        </w:rPr>
        <w:t>10、甲方有权到供应商生产场地（或仓库）检查设备质量和生产进度。</w:t>
      </w:r>
    </w:p>
    <w:p>
      <w:pPr>
        <w:numPr>
          <w:ilvl w:val="255"/>
          <w:numId w:val="0"/>
        </w:numPr>
        <w:spacing w:line="440" w:lineRule="exact"/>
        <w:ind w:firstLine="482" w:firstLineChars="200"/>
        <w:rPr>
          <w:b/>
          <w:bCs/>
          <w:kern w:val="0"/>
          <w:sz w:val="24"/>
        </w:rPr>
      </w:pPr>
      <w:r>
        <w:rPr>
          <w:rFonts w:hint="eastAsia"/>
          <w:b/>
          <w:bCs/>
          <w:kern w:val="0"/>
          <w:sz w:val="24"/>
        </w:rPr>
        <w:t>三、乙方的权利与义务</w:t>
      </w:r>
    </w:p>
    <w:p>
      <w:pPr>
        <w:numPr>
          <w:ilvl w:val="255"/>
          <w:numId w:val="0"/>
        </w:numPr>
        <w:spacing w:line="440" w:lineRule="exact"/>
        <w:ind w:firstLine="480" w:firstLineChars="200"/>
        <w:rPr>
          <w:rFonts w:eastAsiaTheme="minorEastAsia"/>
          <w:sz w:val="24"/>
        </w:rPr>
      </w:pPr>
      <w:r>
        <w:rPr>
          <w:rFonts w:hint="eastAsia" w:eastAsiaTheme="minorEastAsia"/>
          <w:sz w:val="24"/>
        </w:rPr>
        <w:t>1、</w:t>
      </w:r>
      <w:r>
        <w:rPr>
          <w:rFonts w:eastAsiaTheme="minorEastAsia"/>
          <w:sz w:val="24"/>
        </w:rPr>
        <w:t>乙方负责提供符合国家有关法律法规</w:t>
      </w:r>
      <w:r>
        <w:rPr>
          <w:rFonts w:hint="eastAsia" w:eastAsiaTheme="minorEastAsia"/>
          <w:sz w:val="24"/>
        </w:rPr>
        <w:t>的</w:t>
      </w:r>
      <w:r>
        <w:rPr>
          <w:rFonts w:eastAsiaTheme="minorEastAsia"/>
          <w:sz w:val="24"/>
        </w:rPr>
        <w:t>生产及销售相关产品的各种证明文件，并做到换证后及时向甲方更新，且保证所提供文件的真实性、可靠性</w:t>
      </w:r>
      <w:r>
        <w:rPr>
          <w:rFonts w:hint="eastAsia" w:eastAsiaTheme="minorEastAsia"/>
          <w:sz w:val="24"/>
        </w:rPr>
        <w:t>、合法性，购买的耗材需保证注册证在合同有效期内持续有效</w:t>
      </w:r>
      <w:r>
        <w:rPr>
          <w:rFonts w:eastAsiaTheme="minorEastAsia"/>
          <w:sz w:val="24"/>
        </w:rPr>
        <w:t>。</w:t>
      </w:r>
    </w:p>
    <w:p>
      <w:pPr>
        <w:numPr>
          <w:ilvl w:val="255"/>
          <w:numId w:val="0"/>
        </w:numPr>
        <w:spacing w:line="440" w:lineRule="exact"/>
        <w:ind w:firstLine="480" w:firstLineChars="200"/>
        <w:rPr>
          <w:rFonts w:eastAsiaTheme="minorEastAsia"/>
          <w:kern w:val="0"/>
          <w:sz w:val="24"/>
        </w:rPr>
      </w:pPr>
      <w:r>
        <w:rPr>
          <w:rFonts w:hint="eastAsia" w:eastAsiaTheme="minorEastAsia"/>
          <w:sz w:val="24"/>
        </w:rPr>
        <w:t>2、</w:t>
      </w:r>
      <w:r>
        <w:rPr>
          <w:rFonts w:hint="eastAsia"/>
          <w:sz w:val="24"/>
        </w:rPr>
        <w:t>若乙方的法定代表人、企业资质、企业规模、企业股权等发生变化，应及时以书面形式通知甲方。</w:t>
      </w:r>
    </w:p>
    <w:p>
      <w:pPr>
        <w:numPr>
          <w:ilvl w:val="255"/>
          <w:numId w:val="0"/>
        </w:numPr>
        <w:spacing w:line="440" w:lineRule="exact"/>
        <w:ind w:firstLine="480" w:firstLineChars="200"/>
        <w:rPr>
          <w:sz w:val="24"/>
        </w:rPr>
      </w:pPr>
      <w:r>
        <w:rPr>
          <w:rFonts w:hint="eastAsia"/>
          <w:kern w:val="0"/>
          <w:sz w:val="24"/>
        </w:rPr>
        <w:t>3、乙方应在</w:t>
      </w:r>
      <w:r>
        <w:rPr>
          <w:rFonts w:hint="eastAsia"/>
          <w:kern w:val="0"/>
          <w:sz w:val="24"/>
          <w:highlight w:val="yellow"/>
        </w:rPr>
        <w:t>合同签订后   日</w:t>
      </w:r>
      <w:r>
        <w:rPr>
          <w:rFonts w:hint="eastAsia"/>
          <w:kern w:val="0"/>
          <w:sz w:val="24"/>
        </w:rPr>
        <w:t>内向甲方交付</w:t>
      </w:r>
      <w:r>
        <w:rPr>
          <w:sz w:val="24"/>
        </w:rPr>
        <w:t>符合招标文件及</w:t>
      </w:r>
      <w:r>
        <w:rPr>
          <w:rFonts w:hint="eastAsia"/>
          <w:sz w:val="24"/>
        </w:rPr>
        <w:t>本</w:t>
      </w:r>
      <w:r>
        <w:rPr>
          <w:sz w:val="24"/>
        </w:rPr>
        <w:t>合同规定</w:t>
      </w:r>
      <w:r>
        <w:rPr>
          <w:rFonts w:hint="eastAsia"/>
          <w:sz w:val="24"/>
        </w:rPr>
        <w:t>的设备，在10日内全部完成设备的安装调试验收合格交付使用，可根据甲方实际工作安排进行相应时间顺延（此情形须以甲方通知为准，若无甲方通知，则不免除乙方逾期责任）。验收时乙方须提供产品质检部门从同类产品中抽样检查合格的检测报告。</w:t>
      </w:r>
    </w:p>
    <w:p>
      <w:pPr>
        <w:numPr>
          <w:ilvl w:val="255"/>
          <w:numId w:val="0"/>
        </w:numPr>
        <w:tabs>
          <w:tab w:val="left" w:pos="360"/>
        </w:tabs>
        <w:spacing w:line="440" w:lineRule="exact"/>
        <w:ind w:firstLine="480" w:firstLineChars="200"/>
        <w:rPr>
          <w:sz w:val="24"/>
        </w:rPr>
      </w:pPr>
      <w:bookmarkStart w:id="197" w:name="OLE_LINK7"/>
      <w:r>
        <w:rPr>
          <w:rFonts w:hint="eastAsia"/>
          <w:sz w:val="24"/>
        </w:rPr>
        <w:t>4、乙方须提供全新的设备（含零部件、配件等），表面无划伤、无碰撞痕迹、产权清晰。验收时如发现所交付的设备有短装、次品、损坏或其它不符合标准及合同规定之情形者，乙方应按甲方要求的时间内补充和更换损坏部件，由此产生的时间延误与有关费用由乙方承担，交付、验收期限不顺延。</w:t>
      </w:r>
    </w:p>
    <w:p>
      <w:pPr>
        <w:numPr>
          <w:ilvl w:val="255"/>
          <w:numId w:val="0"/>
        </w:numPr>
        <w:spacing w:line="440" w:lineRule="exact"/>
        <w:ind w:firstLine="480" w:firstLineChars="200"/>
        <w:rPr>
          <w:rFonts w:eastAsiaTheme="minorEastAsia"/>
          <w:sz w:val="24"/>
        </w:rPr>
      </w:pPr>
      <w:r>
        <w:rPr>
          <w:rFonts w:hint="eastAsia" w:eastAsiaTheme="minorEastAsia"/>
          <w:sz w:val="24"/>
        </w:rPr>
        <w:t>5、</w:t>
      </w:r>
      <w:r>
        <w:rPr>
          <w:rFonts w:eastAsiaTheme="minorEastAsia"/>
          <w:sz w:val="24"/>
        </w:rPr>
        <w:t>乙方保证全部产品质量符合国家标准和产品说明书</w:t>
      </w:r>
      <w:r>
        <w:rPr>
          <w:rFonts w:hint="eastAsia" w:eastAsiaTheme="minorEastAsia"/>
          <w:sz w:val="24"/>
        </w:rPr>
        <w:t>，</w:t>
      </w:r>
      <w:r>
        <w:rPr>
          <w:rFonts w:hint="eastAsia"/>
          <w:kern w:val="0"/>
          <w:sz w:val="24"/>
        </w:rPr>
        <w:t>应对设备的质量</w:t>
      </w:r>
      <w:r>
        <w:rPr>
          <w:kern w:val="0"/>
          <w:sz w:val="24"/>
        </w:rPr>
        <w:t>及</w:t>
      </w:r>
      <w:r>
        <w:rPr>
          <w:rFonts w:hint="eastAsia"/>
          <w:kern w:val="0"/>
          <w:sz w:val="24"/>
        </w:rPr>
        <w:t>安全</w:t>
      </w:r>
      <w:r>
        <w:rPr>
          <w:kern w:val="0"/>
          <w:sz w:val="24"/>
        </w:rPr>
        <w:t>性能</w:t>
      </w:r>
      <w:r>
        <w:rPr>
          <w:rFonts w:hint="eastAsia"/>
          <w:kern w:val="0"/>
          <w:sz w:val="24"/>
        </w:rPr>
        <w:t>负责</w:t>
      </w:r>
      <w:r>
        <w:rPr>
          <w:rFonts w:hint="eastAsia" w:eastAsiaTheme="minorEastAsia"/>
          <w:sz w:val="24"/>
        </w:rPr>
        <w:t>。</w:t>
      </w:r>
    </w:p>
    <w:p>
      <w:pPr>
        <w:numPr>
          <w:ilvl w:val="255"/>
          <w:numId w:val="0"/>
        </w:numPr>
        <w:spacing w:line="440" w:lineRule="exact"/>
        <w:ind w:firstLine="480" w:firstLineChars="200"/>
        <w:rPr>
          <w:sz w:val="24"/>
        </w:rPr>
      </w:pPr>
      <w:r>
        <w:rPr>
          <w:rFonts w:hint="eastAsia"/>
          <w:kern w:val="0"/>
          <w:sz w:val="24"/>
        </w:rPr>
        <w:t>6、乙方应按照甲方要求及时足额向甲方提供符合招标文件及本合同要求的设备。</w:t>
      </w:r>
    </w:p>
    <w:p>
      <w:pPr>
        <w:numPr>
          <w:ilvl w:val="255"/>
          <w:numId w:val="0"/>
        </w:numPr>
        <w:spacing w:line="440" w:lineRule="exact"/>
        <w:ind w:firstLine="480" w:firstLineChars="200"/>
        <w:rPr>
          <w:rFonts w:eastAsiaTheme="minorEastAsia"/>
          <w:sz w:val="24"/>
        </w:rPr>
      </w:pPr>
      <w:bookmarkStart w:id="198" w:name="OLE_LINK11"/>
      <w:r>
        <w:rPr>
          <w:rFonts w:hint="eastAsia" w:eastAsiaTheme="minorEastAsia"/>
          <w:sz w:val="24"/>
        </w:rPr>
        <w:t>7、乙方</w:t>
      </w:r>
      <w:r>
        <w:rPr>
          <w:rFonts w:eastAsiaTheme="minorEastAsia"/>
          <w:sz w:val="24"/>
        </w:rPr>
        <w:t>负责按</w:t>
      </w:r>
      <w:r>
        <w:rPr>
          <w:rFonts w:hint="eastAsia" w:eastAsiaTheme="minorEastAsia"/>
          <w:sz w:val="24"/>
        </w:rPr>
        <w:t>合同</w:t>
      </w:r>
      <w:r>
        <w:rPr>
          <w:rFonts w:eastAsiaTheme="minorEastAsia"/>
          <w:sz w:val="24"/>
        </w:rPr>
        <w:t>价格</w:t>
      </w:r>
      <w:r>
        <w:rPr>
          <w:rFonts w:hint="eastAsia" w:eastAsiaTheme="minorEastAsia"/>
          <w:sz w:val="24"/>
        </w:rPr>
        <w:t>及甲方规定，</w:t>
      </w:r>
      <w:r>
        <w:rPr>
          <w:rFonts w:eastAsiaTheme="minorEastAsia"/>
          <w:sz w:val="24"/>
        </w:rPr>
        <w:t>及时准确地提供相关合格产品，不能因送货不及时</w:t>
      </w:r>
      <w:r>
        <w:rPr>
          <w:rFonts w:hint="eastAsia" w:eastAsiaTheme="minorEastAsia"/>
          <w:sz w:val="24"/>
        </w:rPr>
        <w:t>或设备质量问题</w:t>
      </w:r>
      <w:r>
        <w:rPr>
          <w:rFonts w:eastAsiaTheme="minorEastAsia"/>
          <w:sz w:val="24"/>
        </w:rPr>
        <w:t>影响甲方使用</w:t>
      </w:r>
      <w:r>
        <w:rPr>
          <w:rFonts w:hint="eastAsia" w:eastAsiaTheme="minorEastAsia"/>
          <w:sz w:val="24"/>
        </w:rPr>
        <w:t>。若乙方产品有质量问题，应在接到甲方通知后</w:t>
      </w:r>
      <w:r>
        <w:rPr>
          <w:rFonts w:hint="eastAsia" w:eastAsiaTheme="minorEastAsia"/>
          <w:sz w:val="24"/>
          <w:highlight w:val="none"/>
        </w:rPr>
        <w:t>10个工作日内</w:t>
      </w:r>
      <w:r>
        <w:rPr>
          <w:rFonts w:eastAsiaTheme="minorEastAsia"/>
          <w:sz w:val="24"/>
          <w:highlight w:val="none"/>
        </w:rPr>
        <w:t>进行更换或者维修</w:t>
      </w:r>
      <w:r>
        <w:rPr>
          <w:rFonts w:hint="eastAsia" w:eastAsiaTheme="minorEastAsia"/>
          <w:sz w:val="24"/>
          <w:highlight w:val="none"/>
        </w:rPr>
        <w:t>，</w:t>
      </w:r>
      <w:r>
        <w:rPr>
          <w:rFonts w:hint="eastAsia" w:eastAsiaTheme="minorEastAsia"/>
          <w:sz w:val="24"/>
        </w:rPr>
        <w:t>甲方有权在上述产品问题解决前拒绝支付</w:t>
      </w:r>
      <w:bookmarkStart w:id="199" w:name="_Hlk66653334"/>
      <w:r>
        <w:rPr>
          <w:rFonts w:hint="eastAsia" w:eastAsiaTheme="minorEastAsia"/>
          <w:sz w:val="24"/>
        </w:rPr>
        <w:t>当期应付货款</w:t>
      </w:r>
      <w:bookmarkEnd w:id="199"/>
      <w:r>
        <w:rPr>
          <w:rFonts w:hint="eastAsia" w:eastAsiaTheme="minorEastAsia"/>
          <w:sz w:val="24"/>
        </w:rPr>
        <w:t>或解除合同，且不承担违约责任。</w:t>
      </w:r>
    </w:p>
    <w:bookmarkEnd w:id="198"/>
    <w:p>
      <w:pPr>
        <w:numPr>
          <w:ilvl w:val="255"/>
          <w:numId w:val="0"/>
        </w:numPr>
        <w:spacing w:line="440" w:lineRule="exact"/>
        <w:ind w:firstLine="480" w:firstLineChars="200"/>
        <w:rPr>
          <w:rFonts w:eastAsiaTheme="minorEastAsia"/>
          <w:sz w:val="24"/>
        </w:rPr>
      </w:pPr>
      <w:r>
        <w:rPr>
          <w:rFonts w:hint="eastAsia"/>
          <w:sz w:val="24"/>
        </w:rPr>
        <w:t>8、乙方将设备运送至甲方约定地点，</w:t>
      </w:r>
      <w:r>
        <w:rPr>
          <w:rFonts w:eastAsiaTheme="minorEastAsia"/>
          <w:sz w:val="24"/>
        </w:rPr>
        <w:t>包装、运输及甲方验收前搬运、保管</w:t>
      </w:r>
      <w:r>
        <w:rPr>
          <w:rFonts w:hint="eastAsia" w:eastAsiaTheme="minorEastAsia"/>
          <w:sz w:val="24"/>
        </w:rPr>
        <w:t>等</w:t>
      </w:r>
      <w:r>
        <w:rPr>
          <w:rFonts w:eastAsiaTheme="minorEastAsia"/>
          <w:sz w:val="24"/>
        </w:rPr>
        <w:t>费</w:t>
      </w:r>
      <w:r>
        <w:rPr>
          <w:rFonts w:hint="eastAsia" w:eastAsiaTheme="minorEastAsia"/>
          <w:sz w:val="24"/>
        </w:rPr>
        <w:t>用</w:t>
      </w:r>
      <w:r>
        <w:rPr>
          <w:rFonts w:eastAsiaTheme="minorEastAsia"/>
          <w:sz w:val="24"/>
        </w:rPr>
        <w:t>全部由乙方承担</w:t>
      </w:r>
      <w:r>
        <w:rPr>
          <w:rFonts w:hint="eastAsia" w:eastAsiaTheme="minorEastAsia"/>
          <w:sz w:val="24"/>
        </w:rPr>
        <w:t>。</w:t>
      </w:r>
      <w:r>
        <w:rPr>
          <w:rFonts w:eastAsiaTheme="minorEastAsia"/>
          <w:sz w:val="24"/>
        </w:rPr>
        <w:t>凡因包装、运输</w:t>
      </w:r>
      <w:r>
        <w:rPr>
          <w:rFonts w:hint="eastAsia" w:eastAsiaTheme="minorEastAsia"/>
          <w:sz w:val="24"/>
        </w:rPr>
        <w:t>以及储存</w:t>
      </w:r>
      <w:r>
        <w:rPr>
          <w:rFonts w:eastAsiaTheme="minorEastAsia"/>
          <w:sz w:val="24"/>
        </w:rPr>
        <w:t>不当造成</w:t>
      </w:r>
      <w:r>
        <w:rPr>
          <w:rFonts w:hint="eastAsia" w:eastAsiaTheme="minorEastAsia"/>
          <w:sz w:val="24"/>
        </w:rPr>
        <w:t>货品</w:t>
      </w:r>
      <w:r>
        <w:rPr>
          <w:rFonts w:eastAsiaTheme="minorEastAsia"/>
          <w:sz w:val="24"/>
        </w:rPr>
        <w:t>损失</w:t>
      </w:r>
      <w:r>
        <w:rPr>
          <w:rFonts w:hint="eastAsia" w:eastAsiaTheme="minorEastAsia"/>
          <w:sz w:val="24"/>
        </w:rPr>
        <w:t>的，由</w:t>
      </w:r>
      <w:r>
        <w:rPr>
          <w:rFonts w:eastAsiaTheme="minorEastAsia"/>
          <w:sz w:val="24"/>
        </w:rPr>
        <w:t>乙方承担</w:t>
      </w:r>
      <w:r>
        <w:rPr>
          <w:rFonts w:hint="eastAsia" w:eastAsiaTheme="minorEastAsia"/>
          <w:sz w:val="24"/>
        </w:rPr>
        <w:t>全部责任</w:t>
      </w:r>
      <w:r>
        <w:rPr>
          <w:rFonts w:eastAsiaTheme="minorEastAsia"/>
          <w:sz w:val="24"/>
        </w:rPr>
        <w:t>。乙方可根据具体情况自费办理运输保险。</w:t>
      </w:r>
      <w:r>
        <w:rPr>
          <w:rFonts w:hint="eastAsia" w:eastAsiaTheme="minorEastAsia"/>
          <w:sz w:val="24"/>
          <w:lang w:val="en-US" w:eastAsia="zh-CN"/>
        </w:rPr>
        <w:t>并</w:t>
      </w:r>
      <w:r>
        <w:rPr>
          <w:rFonts w:hint="eastAsia"/>
          <w:sz w:val="24"/>
        </w:rPr>
        <w:t>乙方必须清理设备外包装等垃圾，由此产生的费用由乙方承担。</w:t>
      </w:r>
    </w:p>
    <w:p>
      <w:pPr>
        <w:numPr>
          <w:ilvl w:val="255"/>
          <w:numId w:val="0"/>
        </w:numPr>
        <w:tabs>
          <w:tab w:val="left" w:pos="360"/>
        </w:tabs>
        <w:spacing w:line="440" w:lineRule="exact"/>
        <w:ind w:firstLine="480" w:firstLineChars="200"/>
        <w:rPr>
          <w:rFonts w:eastAsiaTheme="minorEastAsia"/>
          <w:sz w:val="24"/>
        </w:rPr>
      </w:pPr>
      <w:r>
        <w:rPr>
          <w:rFonts w:hint="eastAsia"/>
          <w:sz w:val="24"/>
        </w:rPr>
        <w:t>9、货物在安装调试验收合格前的损坏、灭失风险均由乙方承担，与甲方无关。</w:t>
      </w:r>
    </w:p>
    <w:bookmarkEnd w:id="197"/>
    <w:p>
      <w:pPr>
        <w:numPr>
          <w:ilvl w:val="255"/>
          <w:numId w:val="0"/>
        </w:numPr>
        <w:spacing w:line="440" w:lineRule="exact"/>
        <w:ind w:firstLine="480" w:firstLineChars="200"/>
        <w:rPr>
          <w:sz w:val="24"/>
        </w:rPr>
      </w:pPr>
      <w:r>
        <w:rPr>
          <w:rFonts w:hint="eastAsia"/>
          <w:sz w:val="24"/>
        </w:rPr>
        <w:t>10、</w:t>
      </w:r>
      <w:r>
        <w:rPr>
          <w:sz w:val="24"/>
        </w:rPr>
        <w:t>乙方负责</w:t>
      </w:r>
      <w:r>
        <w:rPr>
          <w:rFonts w:hint="eastAsia"/>
          <w:sz w:val="24"/>
        </w:rPr>
        <w:t>设备</w:t>
      </w:r>
      <w:r>
        <w:rPr>
          <w:sz w:val="24"/>
        </w:rPr>
        <w:t>的安装调试，在</w:t>
      </w:r>
      <w:r>
        <w:rPr>
          <w:rFonts w:hint="eastAsia"/>
          <w:sz w:val="24"/>
        </w:rPr>
        <w:t>确保设备正常使用后</w:t>
      </w:r>
      <w:r>
        <w:rPr>
          <w:sz w:val="24"/>
        </w:rPr>
        <w:t>，向甲方</w:t>
      </w:r>
      <w:r>
        <w:rPr>
          <w:rFonts w:hint="eastAsia"/>
          <w:sz w:val="24"/>
        </w:rPr>
        <w:t>出具验收报告。</w:t>
      </w:r>
      <w:r>
        <w:rPr>
          <w:rFonts w:hint="eastAsia"/>
          <w:sz w:val="24"/>
          <w:lang w:val="en-US" w:eastAsia="zh-CN"/>
        </w:rPr>
        <w:t>并</w:t>
      </w:r>
      <w:r>
        <w:rPr>
          <w:rFonts w:hint="eastAsia"/>
          <w:sz w:val="24"/>
        </w:rPr>
        <w:t>配合由于甲方科室变动、医院搬迁等造成的设备使用地址变动。</w:t>
      </w:r>
    </w:p>
    <w:p>
      <w:pPr>
        <w:numPr>
          <w:ilvl w:val="255"/>
          <w:numId w:val="0"/>
        </w:numPr>
        <w:spacing w:line="440" w:lineRule="exact"/>
        <w:ind w:firstLine="480" w:firstLineChars="200"/>
        <w:rPr>
          <w:rFonts w:eastAsiaTheme="minorEastAsia"/>
          <w:sz w:val="24"/>
        </w:rPr>
      </w:pPr>
      <w:bookmarkStart w:id="200" w:name="OLE_LINK12"/>
      <w:r>
        <w:rPr>
          <w:rFonts w:hint="eastAsia" w:eastAsiaTheme="minorEastAsia"/>
          <w:sz w:val="24"/>
        </w:rPr>
        <w:t>11、</w:t>
      </w:r>
      <w:r>
        <w:rPr>
          <w:rFonts w:eastAsiaTheme="minorEastAsia"/>
          <w:sz w:val="24"/>
        </w:rPr>
        <w:t>乙方保证</w:t>
      </w:r>
      <w:r>
        <w:rPr>
          <w:rFonts w:hint="eastAsia" w:eastAsiaTheme="minorEastAsia"/>
          <w:sz w:val="24"/>
        </w:rPr>
        <w:t>其设备</w:t>
      </w:r>
      <w:r>
        <w:rPr>
          <w:rFonts w:eastAsiaTheme="minorEastAsia"/>
          <w:sz w:val="24"/>
        </w:rPr>
        <w:t>质量符合国家标准。若乙方产品包装规格改变</w:t>
      </w:r>
      <w:r>
        <w:rPr>
          <w:rFonts w:hint="eastAsia" w:eastAsiaTheme="minorEastAsia"/>
          <w:sz w:val="24"/>
        </w:rPr>
        <w:t>，</w:t>
      </w:r>
      <w:r>
        <w:rPr>
          <w:rFonts w:eastAsiaTheme="minorEastAsia"/>
          <w:sz w:val="24"/>
        </w:rPr>
        <w:t>应</w:t>
      </w:r>
      <w:r>
        <w:rPr>
          <w:rFonts w:hint="eastAsia" w:eastAsiaTheme="minorEastAsia"/>
          <w:sz w:val="24"/>
        </w:rPr>
        <w:t>立即书面</w:t>
      </w:r>
      <w:r>
        <w:rPr>
          <w:rFonts w:eastAsiaTheme="minorEastAsia"/>
          <w:sz w:val="24"/>
        </w:rPr>
        <w:t>通知甲方</w:t>
      </w:r>
      <w:r>
        <w:rPr>
          <w:rFonts w:hint="eastAsia" w:eastAsiaTheme="minorEastAsia"/>
          <w:sz w:val="24"/>
        </w:rPr>
        <w:t>。</w:t>
      </w:r>
    </w:p>
    <w:bookmarkEnd w:id="200"/>
    <w:p>
      <w:pPr>
        <w:numPr>
          <w:ilvl w:val="255"/>
          <w:numId w:val="0"/>
        </w:numPr>
        <w:spacing w:line="440" w:lineRule="exact"/>
        <w:ind w:firstLine="480" w:firstLineChars="200"/>
        <w:rPr>
          <w:sz w:val="24"/>
        </w:rPr>
      </w:pPr>
      <w:r>
        <w:rPr>
          <w:rFonts w:hint="eastAsia"/>
          <w:sz w:val="24"/>
        </w:rPr>
        <w:t>12、乙方应全面配合甲方进行验收、付款等相关工作，并按照甲方要求提供清晰、准确、真实的签收单、验收单及送货清单等相关资料。</w:t>
      </w:r>
    </w:p>
    <w:p>
      <w:pPr>
        <w:numPr>
          <w:ilvl w:val="255"/>
          <w:numId w:val="0"/>
        </w:numPr>
        <w:spacing w:line="440" w:lineRule="exact"/>
        <w:ind w:firstLine="480" w:firstLineChars="200"/>
        <w:rPr>
          <w:sz w:val="24"/>
        </w:rPr>
      </w:pPr>
      <w:r>
        <w:rPr>
          <w:rFonts w:hint="eastAsia"/>
          <w:sz w:val="24"/>
        </w:rPr>
        <w:t>13、质保期内，乙方对设备质量出现问题的设备承诺三包（包修、包换、包退），费用由乙方负担。</w:t>
      </w:r>
    </w:p>
    <w:p>
      <w:pPr>
        <w:numPr>
          <w:ilvl w:val="255"/>
          <w:numId w:val="0"/>
        </w:numPr>
        <w:tabs>
          <w:tab w:val="left" w:pos="360"/>
        </w:tabs>
        <w:spacing w:line="440" w:lineRule="exact"/>
        <w:ind w:firstLine="480" w:firstLineChars="200"/>
        <w:rPr>
          <w:sz w:val="24"/>
        </w:rPr>
      </w:pPr>
      <w:r>
        <w:rPr>
          <w:rFonts w:hint="eastAsia"/>
          <w:sz w:val="24"/>
        </w:rPr>
        <w:t>14、乙方负责免费对甲方技术人员进行技术培训（可多次培训），并出具培训报告，由甲方被培训的人员签字和乙方培训人员签字。乙方将验收报告及培训报告和报关单交甲方管理部门后视为验收合格。</w:t>
      </w:r>
    </w:p>
    <w:p>
      <w:pPr>
        <w:numPr>
          <w:ilvl w:val="255"/>
          <w:numId w:val="0"/>
        </w:numPr>
        <w:tabs>
          <w:tab w:val="left" w:pos="360"/>
        </w:tabs>
        <w:spacing w:line="440" w:lineRule="exact"/>
        <w:ind w:firstLine="480" w:firstLineChars="200"/>
        <w:rPr>
          <w:sz w:val="24"/>
        </w:rPr>
      </w:pPr>
      <w:r>
        <w:rPr>
          <w:rFonts w:hint="eastAsia"/>
          <w:sz w:val="24"/>
        </w:rPr>
        <w:t>15、乙方应将所提供设备的装箱清单、配件、随机工具、用户使用手册、原厂保修卡等资料交付给甲方。乙方不能完整交付设备及本款规定的单证和工具的，必须负责补齐，否则视为未按约定交货。</w:t>
      </w:r>
    </w:p>
    <w:p>
      <w:pPr>
        <w:spacing w:line="420" w:lineRule="exact"/>
        <w:ind w:firstLine="480" w:firstLineChars="200"/>
        <w:rPr>
          <w:sz w:val="24"/>
        </w:rPr>
      </w:pPr>
      <w:r>
        <w:rPr>
          <w:rFonts w:hint="eastAsia"/>
          <w:sz w:val="24"/>
        </w:rPr>
        <w:t>16、</w:t>
      </w:r>
      <w:r>
        <w:rPr>
          <w:sz w:val="24"/>
        </w:rPr>
        <w:t>乙方的试剂、耗材在</w:t>
      </w:r>
      <w:r>
        <w:rPr>
          <w:rFonts w:hint="eastAsia"/>
          <w:sz w:val="24"/>
          <w:lang w:val="en-US" w:eastAsia="zh-CN"/>
        </w:rPr>
        <w:t>西藏自治区</w:t>
      </w:r>
      <w:r>
        <w:rPr>
          <w:rFonts w:hint="eastAsia"/>
          <w:sz w:val="24"/>
        </w:rPr>
        <w:t>药械集中采购及医药价格监管平台</w:t>
      </w:r>
      <w:r>
        <w:rPr>
          <w:sz w:val="24"/>
        </w:rPr>
        <w:t>挂网后，乙方以书面形式告知甲方挂网号及挂网价；乙方保</w:t>
      </w:r>
      <w:r>
        <w:rPr>
          <w:rFonts w:hint="eastAsia"/>
          <w:sz w:val="24"/>
          <w:lang w:val="en-US" w:eastAsia="zh-CN"/>
        </w:rPr>
        <w:t>西藏自治区</w:t>
      </w:r>
      <w:r>
        <w:rPr>
          <w:rFonts w:hint="eastAsia"/>
          <w:sz w:val="24"/>
        </w:rPr>
        <w:t>药械集中采购及医药价格监管平台</w:t>
      </w:r>
      <w:r>
        <w:rPr>
          <w:sz w:val="24"/>
        </w:rPr>
        <w:t>挂网上的试剂、耗材在合同有效执行期内价格不上涨</w:t>
      </w:r>
      <w:r>
        <w:rPr>
          <w:rFonts w:hint="eastAsia"/>
          <w:sz w:val="24"/>
        </w:rPr>
        <w:t>，但可根据国家政策</w:t>
      </w:r>
      <w:r>
        <w:rPr>
          <w:sz w:val="24"/>
        </w:rPr>
        <w:t>及</w:t>
      </w:r>
      <w:r>
        <w:rPr>
          <w:rFonts w:hint="eastAsia"/>
          <w:sz w:val="24"/>
        </w:rPr>
        <w:t>市场价格行情适当下调。当价格下调（低于与甲方的合同价格）时，乙方须按照已经下调后的价格与甲方进行结算，并将调价函提供给甲方备案。</w:t>
      </w:r>
    </w:p>
    <w:p>
      <w:pPr>
        <w:numPr>
          <w:ilvl w:val="255"/>
          <w:numId w:val="0"/>
        </w:numPr>
        <w:tabs>
          <w:tab w:val="left" w:pos="360"/>
        </w:tabs>
        <w:spacing w:line="440" w:lineRule="exact"/>
        <w:ind w:firstLine="480" w:firstLineChars="200"/>
        <w:rPr>
          <w:sz w:val="24"/>
        </w:rPr>
      </w:pPr>
      <w:r>
        <w:rPr>
          <w:rFonts w:hint="eastAsia"/>
          <w:sz w:val="24"/>
        </w:rPr>
        <w:t>1</w:t>
      </w:r>
      <w:r>
        <w:rPr>
          <w:sz w:val="24"/>
        </w:rPr>
        <w:t>7</w:t>
      </w:r>
      <w:r>
        <w:rPr>
          <w:rFonts w:hint="eastAsia"/>
          <w:sz w:val="24"/>
        </w:rPr>
        <w:t>、质保期内，如设备经乙方2次维修仍不能达到合同约定的质量标准，无法满足正常使用的情况，甲方有权追究乙方违约责任，</w:t>
      </w:r>
      <w:r>
        <w:rPr>
          <w:rFonts w:hint="eastAsia"/>
          <w:sz w:val="24"/>
          <w:lang w:val="en-US" w:eastAsia="zh-CN"/>
        </w:rPr>
        <w:t>并</w:t>
      </w:r>
      <w:r>
        <w:rPr>
          <w:rFonts w:hint="eastAsia"/>
          <w:sz w:val="24"/>
        </w:rPr>
        <w:t>甲方还有权单方面解除合同进行退货，乙方应当退还甲方已付全部款项。</w:t>
      </w:r>
    </w:p>
    <w:p>
      <w:pPr>
        <w:numPr>
          <w:ilvl w:val="255"/>
          <w:numId w:val="0"/>
        </w:numPr>
        <w:spacing w:line="440" w:lineRule="exact"/>
        <w:ind w:firstLine="480" w:firstLineChars="200"/>
        <w:rPr>
          <w:sz w:val="24"/>
        </w:rPr>
      </w:pPr>
      <w:r>
        <w:rPr>
          <w:rFonts w:hint="eastAsia"/>
          <w:sz w:val="24"/>
        </w:rPr>
        <w:t>1</w:t>
      </w:r>
      <w:r>
        <w:rPr>
          <w:sz w:val="24"/>
        </w:rPr>
        <w:t>8</w:t>
      </w:r>
      <w:r>
        <w:rPr>
          <w:rFonts w:hint="eastAsia"/>
          <w:sz w:val="24"/>
        </w:rPr>
        <w:t>、若乙方提供的设备为进口设备，乙方在交货时需要提供</w:t>
      </w:r>
      <w:r>
        <w:rPr>
          <w:sz w:val="24"/>
        </w:rPr>
        <w:t>《中华人民共和国海关进口货物报关单》</w:t>
      </w:r>
      <w:r>
        <w:rPr>
          <w:rFonts w:hint="eastAsia"/>
          <w:sz w:val="24"/>
        </w:rPr>
        <w:t>《检验检疫报告》</w:t>
      </w:r>
      <w:r>
        <w:rPr>
          <w:sz w:val="24"/>
        </w:rPr>
        <w:t>等资料</w:t>
      </w:r>
      <w:r>
        <w:rPr>
          <w:rFonts w:hint="eastAsia"/>
          <w:sz w:val="24"/>
        </w:rPr>
        <w:t>。</w:t>
      </w:r>
    </w:p>
    <w:p>
      <w:pPr>
        <w:numPr>
          <w:ilvl w:val="255"/>
          <w:numId w:val="0"/>
        </w:numPr>
        <w:spacing w:line="440" w:lineRule="exact"/>
        <w:ind w:firstLine="480" w:firstLineChars="200"/>
        <w:rPr>
          <w:rFonts w:eastAsiaTheme="minorEastAsia"/>
          <w:sz w:val="24"/>
        </w:rPr>
      </w:pPr>
      <w:r>
        <w:rPr>
          <w:rFonts w:hint="eastAsia" w:eastAsiaTheme="minorEastAsia"/>
          <w:sz w:val="24"/>
        </w:rPr>
        <w:t>1</w:t>
      </w:r>
      <w:r>
        <w:rPr>
          <w:rFonts w:eastAsiaTheme="minorEastAsia"/>
          <w:sz w:val="24"/>
        </w:rPr>
        <w:t>9</w:t>
      </w:r>
      <w:r>
        <w:rPr>
          <w:rFonts w:hint="eastAsia" w:eastAsiaTheme="minorEastAsia"/>
          <w:sz w:val="24"/>
        </w:rPr>
        <w:t>、</w:t>
      </w:r>
      <w:r>
        <w:rPr>
          <w:rFonts w:eastAsiaTheme="minorEastAsia"/>
          <w:sz w:val="24"/>
        </w:rPr>
        <w:t>甲方在产品使用中发现质量问题或</w:t>
      </w:r>
      <w:r>
        <w:rPr>
          <w:rFonts w:hint="eastAsia" w:eastAsiaTheme="minorEastAsia"/>
          <w:sz w:val="24"/>
        </w:rPr>
        <w:t>设备</w:t>
      </w:r>
      <w:r>
        <w:rPr>
          <w:rFonts w:eastAsiaTheme="minorEastAsia"/>
          <w:sz w:val="24"/>
        </w:rPr>
        <w:t>短缺，经乙方认可或经</w:t>
      </w:r>
      <w:r>
        <w:rPr>
          <w:rFonts w:hint="eastAsia" w:eastAsiaTheme="minorEastAsia"/>
          <w:sz w:val="24"/>
        </w:rPr>
        <w:t>有关机构</w:t>
      </w:r>
      <w:r>
        <w:rPr>
          <w:rFonts w:eastAsiaTheme="minorEastAsia"/>
          <w:sz w:val="24"/>
        </w:rPr>
        <w:t>鉴定确认后，乙方应无条件</w:t>
      </w:r>
      <w:bookmarkStart w:id="201" w:name="_Hlk66653436"/>
      <w:r>
        <w:rPr>
          <w:rFonts w:hint="eastAsia" w:eastAsiaTheme="minorEastAsia"/>
          <w:sz w:val="24"/>
        </w:rPr>
        <w:t>根据甲方要求进行</w:t>
      </w:r>
      <w:bookmarkEnd w:id="201"/>
      <w:r>
        <w:rPr>
          <w:rFonts w:eastAsiaTheme="minorEastAsia"/>
          <w:sz w:val="24"/>
        </w:rPr>
        <w:t>换货</w:t>
      </w:r>
      <w:r>
        <w:rPr>
          <w:rFonts w:hint="eastAsia" w:eastAsiaTheme="minorEastAsia"/>
          <w:sz w:val="24"/>
        </w:rPr>
        <w:t>、退货</w:t>
      </w:r>
      <w:r>
        <w:rPr>
          <w:rFonts w:eastAsiaTheme="minorEastAsia"/>
          <w:sz w:val="24"/>
        </w:rPr>
        <w:t>并赔偿由此</w:t>
      </w:r>
      <w:r>
        <w:rPr>
          <w:rFonts w:hint="eastAsia" w:eastAsiaTheme="minorEastAsia"/>
          <w:sz w:val="24"/>
        </w:rPr>
        <w:t>给甲方或甲方患者</w:t>
      </w:r>
      <w:r>
        <w:rPr>
          <w:rFonts w:eastAsiaTheme="minorEastAsia"/>
          <w:sz w:val="24"/>
        </w:rPr>
        <w:t>造成的</w:t>
      </w:r>
      <w:r>
        <w:rPr>
          <w:rFonts w:hint="eastAsia" w:eastAsiaTheme="minorEastAsia"/>
          <w:sz w:val="24"/>
        </w:rPr>
        <w:t>全部</w:t>
      </w:r>
      <w:r>
        <w:rPr>
          <w:rFonts w:eastAsiaTheme="minorEastAsia"/>
          <w:sz w:val="24"/>
        </w:rPr>
        <w:t>损失</w:t>
      </w:r>
      <w:r>
        <w:rPr>
          <w:rFonts w:hint="eastAsia" w:eastAsiaTheme="minorEastAsia"/>
          <w:sz w:val="24"/>
        </w:rPr>
        <w:t>或损害（包括但不限于甲方因主张权利而产生的鉴定费、交通费、住宿费、律师费、诉讼费等）。</w:t>
      </w:r>
    </w:p>
    <w:p>
      <w:pPr>
        <w:numPr>
          <w:ilvl w:val="255"/>
          <w:numId w:val="0"/>
        </w:numPr>
        <w:spacing w:line="440" w:lineRule="exact"/>
        <w:ind w:firstLine="480" w:firstLineChars="200"/>
        <w:rPr>
          <w:kern w:val="0"/>
          <w:sz w:val="24"/>
        </w:rPr>
      </w:pPr>
      <w:r>
        <w:rPr>
          <w:rFonts w:eastAsiaTheme="minorEastAsia"/>
          <w:sz w:val="24"/>
        </w:rPr>
        <w:t>20</w:t>
      </w:r>
      <w:r>
        <w:rPr>
          <w:rFonts w:hint="eastAsia" w:eastAsiaTheme="minorEastAsia"/>
          <w:sz w:val="24"/>
        </w:rPr>
        <w:t>、因乙</w:t>
      </w:r>
      <w:r>
        <w:rPr>
          <w:rFonts w:hint="eastAsia"/>
          <w:kern w:val="0"/>
          <w:sz w:val="24"/>
        </w:rPr>
        <w:t>方设备及耗材质量原因导致甲方、甲方员工、甲方患者损失、损害后果或引发</w:t>
      </w:r>
      <w:r>
        <w:rPr>
          <w:color w:val="000000"/>
          <w:sz w:val="24"/>
        </w:rPr>
        <w:t>纠纷、事故</w:t>
      </w:r>
      <w:r>
        <w:rPr>
          <w:rFonts w:hint="eastAsia"/>
          <w:color w:val="000000"/>
          <w:sz w:val="24"/>
        </w:rPr>
        <w:t>、医疗质量安全事件的</w:t>
      </w:r>
      <w:r>
        <w:rPr>
          <w:rFonts w:hint="eastAsia"/>
          <w:kern w:val="0"/>
          <w:sz w:val="24"/>
        </w:rPr>
        <w:t>，由</w:t>
      </w:r>
      <w:r>
        <w:rPr>
          <w:color w:val="000000"/>
          <w:sz w:val="24"/>
        </w:rPr>
        <w:t>乙方</w:t>
      </w:r>
      <w:r>
        <w:rPr>
          <w:rFonts w:hint="eastAsia"/>
          <w:color w:val="000000"/>
          <w:sz w:val="24"/>
        </w:rPr>
        <w:t>负责积极妥善处理，</w:t>
      </w:r>
      <w:r>
        <w:rPr>
          <w:color w:val="000000"/>
          <w:sz w:val="24"/>
        </w:rPr>
        <w:t>甲方</w:t>
      </w:r>
      <w:r>
        <w:rPr>
          <w:rFonts w:hint="eastAsia"/>
          <w:color w:val="000000"/>
          <w:sz w:val="24"/>
        </w:rPr>
        <w:t>应</w:t>
      </w:r>
      <w:r>
        <w:rPr>
          <w:color w:val="000000"/>
          <w:sz w:val="24"/>
        </w:rPr>
        <w:t>积极</w:t>
      </w:r>
      <w:r>
        <w:rPr>
          <w:rFonts w:hint="eastAsia"/>
          <w:color w:val="000000"/>
          <w:sz w:val="24"/>
        </w:rPr>
        <w:t>配合</w:t>
      </w:r>
      <w:r>
        <w:rPr>
          <w:color w:val="000000"/>
          <w:sz w:val="24"/>
        </w:rPr>
        <w:t>，</w:t>
      </w:r>
      <w:r>
        <w:rPr>
          <w:rFonts w:hint="eastAsia"/>
          <w:color w:val="000000"/>
          <w:sz w:val="24"/>
        </w:rPr>
        <w:t>乙方</w:t>
      </w:r>
      <w:r>
        <w:rPr>
          <w:rFonts w:hint="eastAsia"/>
          <w:kern w:val="0"/>
          <w:sz w:val="24"/>
        </w:rPr>
        <w:t>还应承担由此产生的法律责任及全部经济赔偿（包括但不限于甲方因主张权利而产生的交通费、鉴定费、住宿费、律师费、诉讼费等）。</w:t>
      </w:r>
    </w:p>
    <w:p>
      <w:pPr>
        <w:numPr>
          <w:ilvl w:val="255"/>
          <w:numId w:val="0"/>
        </w:numPr>
        <w:spacing w:line="440" w:lineRule="exact"/>
        <w:ind w:firstLine="480" w:firstLineChars="200"/>
        <w:rPr>
          <w:kern w:val="0"/>
          <w:sz w:val="24"/>
        </w:rPr>
      </w:pPr>
      <w:r>
        <w:rPr>
          <w:rFonts w:hint="eastAsia"/>
          <w:kern w:val="0"/>
          <w:sz w:val="24"/>
        </w:rPr>
        <w:t>2</w:t>
      </w:r>
      <w:r>
        <w:rPr>
          <w:kern w:val="0"/>
          <w:sz w:val="24"/>
        </w:rPr>
        <w:t>1</w:t>
      </w:r>
      <w:r>
        <w:rPr>
          <w:rFonts w:hint="eastAsia"/>
          <w:kern w:val="0"/>
          <w:sz w:val="24"/>
        </w:rPr>
        <w:t>、</w:t>
      </w:r>
      <w:r>
        <w:rPr>
          <w:kern w:val="0"/>
          <w:sz w:val="24"/>
        </w:rPr>
        <w:t>乙方承诺</w:t>
      </w:r>
      <w:r>
        <w:rPr>
          <w:rFonts w:hint="eastAsia"/>
          <w:kern w:val="0"/>
          <w:sz w:val="24"/>
        </w:rPr>
        <w:t>其</w:t>
      </w:r>
      <w:r>
        <w:rPr>
          <w:kern w:val="0"/>
          <w:sz w:val="24"/>
        </w:rPr>
        <w:t>提供的全部</w:t>
      </w:r>
      <w:r>
        <w:rPr>
          <w:rFonts w:hint="eastAsia"/>
          <w:kern w:val="0"/>
          <w:sz w:val="24"/>
        </w:rPr>
        <w:t>设备及耗材</w:t>
      </w:r>
      <w:r>
        <w:rPr>
          <w:kern w:val="0"/>
          <w:sz w:val="24"/>
        </w:rPr>
        <w:t>不存在任何知识产权争议或其他纠纷，</w:t>
      </w:r>
      <w:r>
        <w:rPr>
          <w:rFonts w:hint="eastAsia"/>
          <w:kern w:val="0"/>
          <w:sz w:val="24"/>
        </w:rPr>
        <w:t>否则，由此</w:t>
      </w:r>
      <w:r>
        <w:rPr>
          <w:kern w:val="0"/>
          <w:sz w:val="24"/>
        </w:rPr>
        <w:t>造成</w:t>
      </w:r>
      <w:r>
        <w:rPr>
          <w:rFonts w:hint="eastAsia"/>
          <w:kern w:val="0"/>
          <w:sz w:val="24"/>
        </w:rPr>
        <w:t>设备无法</w:t>
      </w:r>
      <w:r>
        <w:rPr>
          <w:kern w:val="0"/>
          <w:sz w:val="24"/>
        </w:rPr>
        <w:t>正常</w:t>
      </w:r>
      <w:r>
        <w:rPr>
          <w:rFonts w:hint="eastAsia"/>
          <w:kern w:val="0"/>
          <w:sz w:val="24"/>
        </w:rPr>
        <w:t>工作</w:t>
      </w:r>
      <w:r>
        <w:rPr>
          <w:kern w:val="0"/>
          <w:sz w:val="24"/>
        </w:rPr>
        <w:t>或第三方向甲方主张权利等纠纷，均与甲方无关，由乙方自行</w:t>
      </w:r>
      <w:r>
        <w:rPr>
          <w:rFonts w:hint="eastAsia"/>
          <w:kern w:val="0"/>
          <w:sz w:val="24"/>
        </w:rPr>
        <w:t>解决并</w:t>
      </w:r>
      <w:r>
        <w:rPr>
          <w:kern w:val="0"/>
          <w:sz w:val="24"/>
        </w:rPr>
        <w:t>承担</w:t>
      </w:r>
      <w:r>
        <w:rPr>
          <w:rFonts w:hint="eastAsia"/>
          <w:kern w:val="0"/>
          <w:sz w:val="24"/>
        </w:rPr>
        <w:t>全部赔偿责任（包括但不限于甲方因主张权利而产生的交通费、住宿费、律师费、诉讼费等）</w:t>
      </w:r>
      <w:r>
        <w:rPr>
          <w:kern w:val="0"/>
          <w:sz w:val="24"/>
        </w:rPr>
        <w:t>。</w:t>
      </w:r>
    </w:p>
    <w:p>
      <w:pPr>
        <w:numPr>
          <w:ilvl w:val="255"/>
          <w:numId w:val="0"/>
        </w:numPr>
        <w:spacing w:line="440" w:lineRule="exact"/>
        <w:ind w:firstLine="480" w:firstLineChars="200"/>
        <w:rPr>
          <w:kern w:val="0"/>
          <w:sz w:val="24"/>
        </w:rPr>
      </w:pPr>
      <w:r>
        <w:rPr>
          <w:rFonts w:hint="eastAsia"/>
          <w:kern w:val="0"/>
          <w:sz w:val="24"/>
        </w:rPr>
        <w:t>2</w:t>
      </w:r>
      <w:r>
        <w:rPr>
          <w:kern w:val="0"/>
          <w:sz w:val="24"/>
        </w:rPr>
        <w:t>2</w:t>
      </w:r>
      <w:r>
        <w:rPr>
          <w:rFonts w:hint="eastAsia"/>
          <w:kern w:val="0"/>
          <w:sz w:val="24"/>
        </w:rPr>
        <w:t>、</w:t>
      </w:r>
      <w:r>
        <w:rPr>
          <w:kern w:val="0"/>
          <w:sz w:val="24"/>
        </w:rPr>
        <w:t>乙方应按照《中华人民共和国发票管理办法》的规定开具真实、合法、有效的</w:t>
      </w:r>
      <w:r>
        <w:rPr>
          <w:rFonts w:hint="eastAsia"/>
          <w:kern w:val="0"/>
          <w:sz w:val="24"/>
        </w:rPr>
        <w:t>发票</w:t>
      </w:r>
      <w:r>
        <w:rPr>
          <w:kern w:val="0"/>
          <w:sz w:val="24"/>
        </w:rPr>
        <w:t>，</w:t>
      </w:r>
      <w:r>
        <w:rPr>
          <w:rFonts w:hint="eastAsia"/>
          <w:kern w:val="0"/>
          <w:sz w:val="24"/>
        </w:rPr>
        <w:t>发票</w:t>
      </w:r>
      <w:r>
        <w:rPr>
          <w:kern w:val="0"/>
          <w:sz w:val="24"/>
        </w:rPr>
        <w:t>内容</w:t>
      </w:r>
      <w:r>
        <w:rPr>
          <w:rFonts w:hint="eastAsia"/>
          <w:kern w:val="0"/>
          <w:sz w:val="24"/>
        </w:rPr>
        <w:t>应开具齐全、正确，商品品名、规格型号与</w:t>
      </w:r>
      <w:r>
        <w:rPr>
          <w:rFonts w:hint="eastAsia"/>
          <w:sz w:val="24"/>
        </w:rPr>
        <w:t>合同、甲方设备验收单保持一致</w:t>
      </w:r>
      <w:r>
        <w:rPr>
          <w:sz w:val="24"/>
        </w:rPr>
        <w:t>。验收</w:t>
      </w:r>
      <w:r>
        <w:rPr>
          <w:kern w:val="0"/>
          <w:sz w:val="24"/>
        </w:rPr>
        <w:t>合格后应及时开票，并注明开票人的全名。</w:t>
      </w:r>
      <w:r>
        <w:rPr>
          <w:rFonts w:hint="eastAsia"/>
          <w:sz w:val="24"/>
        </w:rPr>
        <w:t>公司名称和银行账户信息发生变更，必须以书面方式及时通知甲方。</w:t>
      </w:r>
    </w:p>
    <w:p>
      <w:pPr>
        <w:numPr>
          <w:ilvl w:val="255"/>
          <w:numId w:val="0"/>
        </w:numPr>
        <w:spacing w:line="440" w:lineRule="exact"/>
        <w:ind w:firstLine="480" w:firstLineChars="200"/>
        <w:rPr>
          <w:sz w:val="24"/>
        </w:rPr>
      </w:pPr>
      <w:r>
        <w:rPr>
          <w:rFonts w:hint="eastAsia"/>
          <w:kern w:val="0"/>
          <w:sz w:val="24"/>
        </w:rPr>
        <w:t>2</w:t>
      </w:r>
      <w:r>
        <w:rPr>
          <w:kern w:val="0"/>
          <w:sz w:val="24"/>
        </w:rPr>
        <w:t>3</w:t>
      </w:r>
      <w:r>
        <w:rPr>
          <w:rFonts w:hint="eastAsia"/>
          <w:kern w:val="0"/>
          <w:sz w:val="24"/>
        </w:rPr>
        <w:t>、乙方必须按时完整在甲方物资管理系统上上传信息资料，因上传信息资料不完整或不及时造成的验收延迟，由乙方承担责任。</w:t>
      </w:r>
    </w:p>
    <w:p>
      <w:pPr>
        <w:numPr>
          <w:ilvl w:val="255"/>
          <w:numId w:val="0"/>
        </w:numPr>
        <w:spacing w:line="440" w:lineRule="exact"/>
        <w:ind w:firstLine="480" w:firstLineChars="200"/>
        <w:rPr>
          <w:rFonts w:hint="eastAsia"/>
          <w:kern w:val="0"/>
          <w:sz w:val="24"/>
        </w:rPr>
      </w:pPr>
      <w:r>
        <w:rPr>
          <w:rFonts w:hint="eastAsia"/>
          <w:kern w:val="0"/>
          <w:sz w:val="24"/>
        </w:rPr>
        <w:t>2</w:t>
      </w:r>
      <w:r>
        <w:rPr>
          <w:kern w:val="0"/>
          <w:sz w:val="24"/>
        </w:rPr>
        <w:t>4</w:t>
      </w:r>
      <w:r>
        <w:rPr>
          <w:rFonts w:hint="eastAsia"/>
          <w:kern w:val="0"/>
          <w:sz w:val="24"/>
        </w:rPr>
        <w:t>、乙方在设备保修期内免费向甲方提供维保、抢修服务，接到甲方维保、抢修通知后</w:t>
      </w:r>
      <w:r>
        <w:rPr>
          <w:kern w:val="0"/>
          <w:sz w:val="24"/>
        </w:rPr>
        <w:t>乙方</w:t>
      </w:r>
      <w:r>
        <w:rPr>
          <w:rFonts w:hint="eastAsia"/>
          <w:kern w:val="0"/>
          <w:sz w:val="24"/>
        </w:rPr>
        <w:t>工作人员应在</w:t>
      </w:r>
      <w:r>
        <w:rPr>
          <w:rFonts w:hint="eastAsia"/>
          <w:color w:val="auto"/>
          <w:kern w:val="0"/>
          <w:sz w:val="24"/>
          <w:u w:val="single"/>
          <w:lang w:val="en-US" w:eastAsia="zh-CN"/>
        </w:rPr>
        <w:t xml:space="preserve">  </w:t>
      </w:r>
      <w:r>
        <w:rPr>
          <w:rFonts w:hint="eastAsia"/>
          <w:kern w:val="0"/>
          <w:sz w:val="24"/>
        </w:rPr>
        <w:t>小时内响应到场，</w:t>
      </w:r>
      <w:r>
        <w:rPr>
          <w:rFonts w:hint="eastAsia"/>
          <w:color w:val="auto"/>
          <w:kern w:val="0"/>
          <w:sz w:val="24"/>
          <w:u w:val="single"/>
          <w:lang w:val="en-US" w:eastAsia="zh-CN"/>
        </w:rPr>
        <w:t xml:space="preserve">  </w:t>
      </w:r>
      <w:r>
        <w:rPr>
          <w:rFonts w:hint="eastAsia"/>
          <w:kern w:val="0"/>
          <w:sz w:val="24"/>
        </w:rPr>
        <w:t>小时内完成维保、抢修。</w:t>
      </w:r>
    </w:p>
    <w:p>
      <w:pPr>
        <w:numPr>
          <w:ilvl w:val="255"/>
          <w:numId w:val="0"/>
        </w:numPr>
        <w:spacing w:line="440" w:lineRule="exact"/>
        <w:ind w:firstLine="480" w:firstLineChars="200"/>
        <w:rPr>
          <w:kern w:val="0"/>
          <w:sz w:val="24"/>
        </w:rPr>
      </w:pPr>
      <w:r>
        <w:rPr>
          <w:rFonts w:hint="eastAsia"/>
          <w:kern w:val="0"/>
          <w:sz w:val="24"/>
        </w:rPr>
        <w:t>25、在合同效期内，乙方需严格按照合同执行，若发生任何变更（降价除外），甲方有权中止合同且追究乙方责任。</w:t>
      </w:r>
    </w:p>
    <w:p>
      <w:pPr>
        <w:numPr>
          <w:ilvl w:val="255"/>
          <w:numId w:val="0"/>
        </w:numPr>
        <w:spacing w:line="440" w:lineRule="exact"/>
        <w:ind w:firstLine="482" w:firstLineChars="200"/>
        <w:rPr>
          <w:b/>
          <w:bCs/>
          <w:kern w:val="0"/>
          <w:sz w:val="24"/>
        </w:rPr>
      </w:pPr>
      <w:r>
        <w:rPr>
          <w:rFonts w:hint="eastAsia"/>
          <w:b/>
          <w:bCs/>
          <w:kern w:val="0"/>
          <w:sz w:val="24"/>
        </w:rPr>
        <w:t>四、验收方式</w:t>
      </w:r>
    </w:p>
    <w:p>
      <w:pPr>
        <w:numPr>
          <w:ilvl w:val="255"/>
          <w:numId w:val="0"/>
        </w:numPr>
        <w:spacing w:line="440" w:lineRule="exact"/>
        <w:ind w:firstLine="480" w:firstLineChars="200"/>
        <w:rPr>
          <w:kern w:val="0"/>
          <w:sz w:val="24"/>
        </w:rPr>
      </w:pPr>
      <w:r>
        <w:rPr>
          <w:rFonts w:hint="eastAsia"/>
          <w:kern w:val="0"/>
          <w:sz w:val="24"/>
        </w:rPr>
        <w:t>1、开箱验收时必须有甲方使用科室、管理部门验收人员和乙方代表在场，按合同点货。</w:t>
      </w:r>
    </w:p>
    <w:p>
      <w:pPr>
        <w:numPr>
          <w:ilvl w:val="255"/>
          <w:numId w:val="0"/>
        </w:numPr>
        <w:spacing w:line="440" w:lineRule="exact"/>
        <w:ind w:firstLine="480" w:firstLineChars="200"/>
        <w:rPr>
          <w:kern w:val="0"/>
          <w:sz w:val="24"/>
        </w:rPr>
      </w:pPr>
      <w:r>
        <w:rPr>
          <w:rFonts w:hint="eastAsia"/>
          <w:kern w:val="0"/>
          <w:sz w:val="24"/>
        </w:rPr>
        <w:t>2、乙方负责仪器的安装调试，正常运行后并负责出具安装报告，报告上应有甲方使用科室、管理部门验收人员及</w:t>
      </w:r>
      <w:r>
        <w:rPr>
          <w:rFonts w:hint="eastAsia"/>
          <w:kern w:val="0"/>
          <w:sz w:val="24"/>
          <w:lang w:val="en-US" w:eastAsia="zh-CN"/>
        </w:rPr>
        <w:t>乙方代表</w:t>
      </w:r>
      <w:r>
        <w:rPr>
          <w:rFonts w:hint="eastAsia"/>
          <w:kern w:val="0"/>
          <w:sz w:val="24"/>
        </w:rPr>
        <w:t>的签字；</w:t>
      </w:r>
    </w:p>
    <w:p>
      <w:pPr>
        <w:numPr>
          <w:ilvl w:val="255"/>
          <w:numId w:val="0"/>
        </w:numPr>
        <w:spacing w:line="440" w:lineRule="exact"/>
        <w:ind w:firstLine="480" w:firstLineChars="200"/>
        <w:rPr>
          <w:kern w:val="0"/>
          <w:sz w:val="24"/>
        </w:rPr>
      </w:pPr>
      <w:r>
        <w:rPr>
          <w:rFonts w:hint="eastAsia"/>
          <w:kern w:val="0"/>
          <w:sz w:val="24"/>
        </w:rPr>
        <w:t>3、乙方负责免费对甲方技术人员进行技术培训，并出具培训报告，由甲方被培训的人员签字和甲方工程师签字；乙方将安装验收报告及培训报告和报关单（或合格证）交甲方管理部门后视为验收合格。</w:t>
      </w:r>
    </w:p>
    <w:p>
      <w:pPr>
        <w:tabs>
          <w:tab w:val="left" w:pos="360"/>
        </w:tabs>
        <w:spacing w:line="440" w:lineRule="exact"/>
        <w:ind w:firstLine="482" w:firstLineChars="200"/>
        <w:rPr>
          <w:b/>
          <w:bCs/>
          <w:sz w:val="24"/>
        </w:rPr>
      </w:pPr>
      <w:r>
        <w:rPr>
          <w:rFonts w:hint="eastAsia"/>
          <w:b/>
          <w:bCs/>
          <w:sz w:val="24"/>
        </w:rPr>
        <w:t>五、质量保修期（质保期）</w:t>
      </w:r>
    </w:p>
    <w:p>
      <w:pPr>
        <w:numPr>
          <w:ilvl w:val="0"/>
          <w:numId w:val="7"/>
        </w:numPr>
        <w:tabs>
          <w:tab w:val="left" w:pos="360"/>
        </w:tabs>
        <w:spacing w:line="440" w:lineRule="exact"/>
        <w:ind w:firstLine="480" w:firstLineChars="200"/>
        <w:rPr>
          <w:sz w:val="24"/>
        </w:rPr>
      </w:pPr>
      <w:r>
        <w:rPr>
          <w:sz w:val="24"/>
        </w:rPr>
        <w:t>设备</w:t>
      </w:r>
      <w:r>
        <w:rPr>
          <w:rFonts w:hint="eastAsia"/>
          <w:sz w:val="24"/>
        </w:rPr>
        <w:t>质量保修</w:t>
      </w:r>
      <w:r>
        <w:rPr>
          <w:sz w:val="24"/>
        </w:rPr>
        <w:t>期为</w:t>
      </w:r>
      <w:r>
        <w:rPr>
          <w:rFonts w:hint="eastAsia"/>
          <w:color w:val="auto"/>
          <w:kern w:val="0"/>
          <w:sz w:val="24"/>
          <w:u w:val="single"/>
          <w:lang w:val="en-US" w:eastAsia="zh-CN"/>
        </w:rPr>
        <w:t xml:space="preserve">  </w:t>
      </w:r>
      <w:r>
        <w:rPr>
          <w:rFonts w:hint="eastAsia"/>
          <w:sz w:val="24"/>
        </w:rPr>
        <w:t>年</w:t>
      </w:r>
      <w:r>
        <w:rPr>
          <w:sz w:val="24"/>
        </w:rPr>
        <w:t>，从</w:t>
      </w:r>
      <w:r>
        <w:rPr>
          <w:rFonts w:hint="eastAsia"/>
          <w:sz w:val="24"/>
        </w:rPr>
        <w:t>设备安装调试验收合格之日起</w:t>
      </w:r>
      <w:r>
        <w:rPr>
          <w:sz w:val="24"/>
        </w:rPr>
        <w:t>计算</w:t>
      </w:r>
      <w:r>
        <w:rPr>
          <w:rFonts w:hint="eastAsia"/>
          <w:sz w:val="24"/>
        </w:rPr>
        <w:t>。质量保修期内乙方应负责设备的维修及抢修以及及时提供所更换的零部件，维修更换的材料、配件以及乙方技术服务人员的一切费用由乙方承担。质量保修期后，若甲方购买维保（全保）</w:t>
      </w:r>
      <w:r>
        <w:rPr>
          <w:sz w:val="24"/>
        </w:rPr>
        <w:t>，</w:t>
      </w:r>
      <w:r>
        <w:rPr>
          <w:rFonts w:hint="eastAsia"/>
          <w:sz w:val="24"/>
        </w:rPr>
        <w:t>每</w:t>
      </w:r>
      <w:r>
        <w:rPr>
          <w:sz w:val="24"/>
        </w:rPr>
        <w:t>年</w:t>
      </w:r>
      <w:r>
        <w:rPr>
          <w:rFonts w:hint="eastAsia"/>
          <w:sz w:val="24"/>
        </w:rPr>
        <w:t>维保（全保）价格不高于本合同总价的</w:t>
      </w:r>
      <w:r>
        <w:rPr>
          <w:color w:val="auto"/>
          <w:sz w:val="24"/>
          <w:u w:val="single"/>
        </w:rPr>
        <w:t xml:space="preserve">  </w:t>
      </w:r>
      <w:r>
        <w:rPr>
          <w:color w:val="auto"/>
          <w:sz w:val="24"/>
        </w:rPr>
        <w:t>%/年</w:t>
      </w:r>
      <w:r>
        <w:rPr>
          <w:rFonts w:hint="eastAsia"/>
          <w:sz w:val="24"/>
        </w:rPr>
        <w:t>；若不购买维保（全保），单次维修仅收取配件费（配件费详见附件</w:t>
      </w:r>
      <w:r>
        <w:rPr>
          <w:sz w:val="24"/>
        </w:rPr>
        <w:t>3</w:t>
      </w:r>
      <w:r>
        <w:rPr>
          <w:rFonts w:hint="eastAsia"/>
          <w:sz w:val="24"/>
        </w:rPr>
        <w:t>），不收取其他任何费用，维修零配件清单中未包含部分视为乙方终身免费维修更换。售后服务详见附件。</w:t>
      </w:r>
    </w:p>
    <w:p>
      <w:pPr>
        <w:numPr>
          <w:ilvl w:val="0"/>
          <w:numId w:val="7"/>
        </w:numPr>
        <w:tabs>
          <w:tab w:val="left" w:pos="360"/>
        </w:tabs>
        <w:spacing w:line="440" w:lineRule="exact"/>
        <w:ind w:firstLine="480" w:firstLineChars="200"/>
        <w:rPr>
          <w:sz w:val="24"/>
        </w:rPr>
      </w:pPr>
      <w:r>
        <w:rPr>
          <w:rFonts w:hint="eastAsia"/>
          <w:sz w:val="24"/>
        </w:rPr>
        <w:t>若乙方在质量保修期内发生变动</w:t>
      </w:r>
      <w:r>
        <w:rPr>
          <w:sz w:val="24"/>
        </w:rPr>
        <w:t>（指合并、分立、解散、破产等情形）</w:t>
      </w:r>
      <w:r>
        <w:rPr>
          <w:rFonts w:hint="eastAsia"/>
          <w:sz w:val="24"/>
        </w:rPr>
        <w:t>，</w:t>
      </w:r>
      <w:r>
        <w:rPr>
          <w:kern w:val="0"/>
          <w:sz w:val="24"/>
        </w:rPr>
        <w:t>乙方应在发生变动的30个工作日前</w:t>
      </w:r>
      <w:r>
        <w:rPr>
          <w:rFonts w:hint="eastAsia"/>
          <w:kern w:val="0"/>
          <w:sz w:val="24"/>
        </w:rPr>
        <w:t>以书面形式</w:t>
      </w:r>
      <w:r>
        <w:rPr>
          <w:kern w:val="0"/>
          <w:sz w:val="24"/>
        </w:rPr>
        <w:t>通知甲方，</w:t>
      </w:r>
      <w:r>
        <w:rPr>
          <w:rFonts w:hint="eastAsia"/>
          <w:sz w:val="24"/>
        </w:rPr>
        <w:t>并应保证剩余质量保修期内有</w:t>
      </w:r>
      <w:r>
        <w:rPr>
          <w:sz w:val="24"/>
        </w:rPr>
        <w:t>相应资质及能力的继受</w:t>
      </w:r>
      <w:r>
        <w:rPr>
          <w:rFonts w:hint="eastAsia"/>
          <w:sz w:val="24"/>
        </w:rPr>
        <w:t>方，否则</w:t>
      </w:r>
      <w:r>
        <w:rPr>
          <w:sz w:val="24"/>
        </w:rPr>
        <w:t>甲方有权不予支付质保金且乙方应</w:t>
      </w:r>
      <w:r>
        <w:rPr>
          <w:rFonts w:hint="eastAsia"/>
          <w:sz w:val="24"/>
        </w:rPr>
        <w:t>赔偿由此给甲方造成的全部经济损失（包括但不限于后续</w:t>
      </w:r>
      <w:r>
        <w:rPr>
          <w:sz w:val="24"/>
        </w:rPr>
        <w:t>保修期内产生的维修费用</w:t>
      </w:r>
      <w:r>
        <w:rPr>
          <w:rFonts w:hint="eastAsia"/>
          <w:sz w:val="24"/>
        </w:rPr>
        <w:t>）。</w:t>
      </w:r>
    </w:p>
    <w:p>
      <w:pPr>
        <w:numPr>
          <w:ilvl w:val="0"/>
          <w:numId w:val="7"/>
        </w:numPr>
        <w:tabs>
          <w:tab w:val="left" w:pos="360"/>
        </w:tabs>
        <w:spacing w:line="440" w:lineRule="exact"/>
        <w:ind w:firstLine="480" w:firstLineChars="200"/>
        <w:rPr>
          <w:sz w:val="24"/>
        </w:rPr>
      </w:pPr>
      <w:bookmarkStart w:id="202" w:name="OLE_LINK3"/>
      <w:r>
        <w:rPr>
          <w:rFonts w:hint="eastAsia"/>
          <w:sz w:val="24"/>
        </w:rPr>
        <w:t>乙方须指派专人负责与甲方联系售后服务事宜，</w:t>
      </w:r>
      <w:bookmarkEnd w:id="202"/>
      <w:r>
        <w:rPr>
          <w:rFonts w:hint="eastAsia"/>
          <w:sz w:val="24"/>
        </w:rPr>
        <w:t>人员或售后服务机构发生变动，需在发生变动的30日前以书面形式通知甲方。</w:t>
      </w:r>
    </w:p>
    <w:p>
      <w:pPr>
        <w:tabs>
          <w:tab w:val="left" w:pos="360"/>
        </w:tabs>
        <w:spacing w:line="440" w:lineRule="exact"/>
        <w:ind w:firstLine="480" w:firstLineChars="200"/>
        <w:rPr>
          <w:sz w:val="24"/>
        </w:rPr>
      </w:pPr>
      <w:bookmarkStart w:id="203" w:name="_Hlk66653794"/>
      <w:r>
        <w:rPr>
          <w:rFonts w:hint="eastAsia"/>
          <w:sz w:val="24"/>
        </w:rPr>
        <w:t xml:space="preserve">乙方售后服务人员： </w:t>
      </w:r>
      <w:r>
        <w:rPr>
          <w:rFonts w:hint="eastAsia"/>
          <w:sz w:val="24"/>
          <w:lang w:val="en-US" w:eastAsia="zh-CN"/>
        </w:rPr>
        <w:t xml:space="preserve">         </w:t>
      </w:r>
      <w:r>
        <w:rPr>
          <w:rFonts w:hint="eastAsia"/>
          <w:sz w:val="24"/>
        </w:rPr>
        <w:t xml:space="preserve">电话： </w:t>
      </w:r>
      <w:bookmarkEnd w:id="203"/>
    </w:p>
    <w:p>
      <w:pPr>
        <w:spacing w:line="440" w:lineRule="exact"/>
        <w:ind w:firstLine="482" w:firstLineChars="200"/>
        <w:rPr>
          <w:b/>
          <w:bCs/>
          <w:sz w:val="24"/>
        </w:rPr>
      </w:pPr>
      <w:r>
        <w:rPr>
          <w:rFonts w:hint="eastAsia"/>
          <w:b/>
          <w:bCs/>
          <w:sz w:val="24"/>
        </w:rPr>
        <w:t>六、终止权利</w:t>
      </w:r>
    </w:p>
    <w:p>
      <w:pPr>
        <w:spacing w:line="440" w:lineRule="exact"/>
        <w:ind w:firstLine="480" w:firstLineChars="200"/>
      </w:pPr>
      <w:r>
        <w:rPr>
          <w:rFonts w:eastAsiaTheme="minorEastAsia"/>
          <w:sz w:val="24"/>
        </w:rPr>
        <w:t>乙方提供</w:t>
      </w:r>
      <w:r>
        <w:rPr>
          <w:rFonts w:hint="eastAsia" w:eastAsiaTheme="minorEastAsia"/>
          <w:sz w:val="24"/>
        </w:rPr>
        <w:t>设备</w:t>
      </w:r>
      <w:r>
        <w:rPr>
          <w:rFonts w:eastAsiaTheme="minorEastAsia"/>
          <w:sz w:val="24"/>
        </w:rPr>
        <w:t>若为甲方首次引进（或不是甲方当前使用的</w:t>
      </w:r>
      <w:r>
        <w:rPr>
          <w:rFonts w:hint="eastAsia" w:eastAsiaTheme="minorEastAsia"/>
          <w:sz w:val="24"/>
        </w:rPr>
        <w:t>设备</w:t>
      </w:r>
      <w:r>
        <w:rPr>
          <w:rFonts w:eastAsiaTheme="minorEastAsia"/>
          <w:sz w:val="24"/>
        </w:rPr>
        <w:t>），甲方在使用观察期内（一般为</w:t>
      </w:r>
      <w:r>
        <w:rPr>
          <w:rFonts w:hint="eastAsia" w:eastAsiaTheme="minorEastAsia"/>
          <w:sz w:val="24"/>
        </w:rPr>
        <w:t>安装调试验收合格后</w:t>
      </w:r>
      <w:r>
        <w:rPr>
          <w:rFonts w:eastAsiaTheme="minorEastAsia"/>
          <w:sz w:val="24"/>
        </w:rPr>
        <w:t>2-3个月），若该</w:t>
      </w:r>
      <w:r>
        <w:rPr>
          <w:rFonts w:hint="eastAsia" w:eastAsiaTheme="minorEastAsia"/>
          <w:sz w:val="24"/>
        </w:rPr>
        <w:t>设备</w:t>
      </w:r>
      <w:r>
        <w:rPr>
          <w:rFonts w:eastAsiaTheme="minorEastAsia"/>
          <w:sz w:val="24"/>
        </w:rPr>
        <w:t>质量无法满足</w:t>
      </w:r>
      <w:r>
        <w:rPr>
          <w:rFonts w:hint="eastAsia" w:eastAsiaTheme="minorEastAsia"/>
          <w:sz w:val="24"/>
        </w:rPr>
        <w:t>甲方科室</w:t>
      </w:r>
      <w:r>
        <w:rPr>
          <w:rFonts w:eastAsiaTheme="minorEastAsia"/>
          <w:sz w:val="24"/>
        </w:rPr>
        <w:t>使用，甲方有权单方面终止合同</w:t>
      </w:r>
      <w:r>
        <w:rPr>
          <w:rFonts w:hint="eastAsia" w:eastAsiaTheme="minorEastAsia"/>
          <w:sz w:val="24"/>
        </w:rPr>
        <w:t>且不承担任何违约</w:t>
      </w:r>
      <w:r>
        <w:rPr>
          <w:rFonts w:eastAsiaTheme="minorEastAsia"/>
          <w:sz w:val="24"/>
        </w:rPr>
        <w:t>、赔偿</w:t>
      </w:r>
      <w:r>
        <w:rPr>
          <w:rFonts w:hint="eastAsia" w:eastAsiaTheme="minorEastAsia"/>
          <w:sz w:val="24"/>
        </w:rPr>
        <w:t>责任</w:t>
      </w:r>
      <w:bookmarkStart w:id="204" w:name="_Hlk66653889"/>
      <w:r>
        <w:rPr>
          <w:rFonts w:hint="eastAsia" w:eastAsiaTheme="minorEastAsia"/>
          <w:sz w:val="24"/>
        </w:rPr>
        <w:t>，乙方应当退还甲方已付全部款项</w:t>
      </w:r>
      <w:bookmarkEnd w:id="204"/>
      <w:r>
        <w:rPr>
          <w:rFonts w:eastAsiaTheme="minorEastAsia"/>
          <w:sz w:val="24"/>
        </w:rPr>
        <w:t>。</w:t>
      </w:r>
    </w:p>
    <w:p>
      <w:pPr>
        <w:spacing w:line="440" w:lineRule="exact"/>
        <w:ind w:firstLine="482" w:firstLineChars="200"/>
        <w:jc w:val="left"/>
        <w:rPr>
          <w:b/>
          <w:bCs/>
          <w:color w:val="000000"/>
          <w:sz w:val="24"/>
        </w:rPr>
      </w:pPr>
      <w:r>
        <w:rPr>
          <w:rFonts w:hint="eastAsia"/>
          <w:b/>
          <w:bCs/>
          <w:color w:val="000000"/>
          <w:sz w:val="24"/>
        </w:rPr>
        <w:t>七、付款方式</w:t>
      </w:r>
    </w:p>
    <w:p>
      <w:pPr>
        <w:spacing w:line="440" w:lineRule="exact"/>
        <w:ind w:firstLine="480" w:firstLineChars="200"/>
        <w:jc w:val="left"/>
        <w:rPr>
          <w:color w:val="000000"/>
          <w:sz w:val="24"/>
        </w:rPr>
      </w:pPr>
      <w:r>
        <w:rPr>
          <w:rFonts w:hint="eastAsia"/>
          <w:color w:val="000000"/>
          <w:sz w:val="24"/>
        </w:rPr>
        <w:t>1、甲方通过银行转账方式向乙方支付货款（具体账户信息详见盖章处）。</w:t>
      </w:r>
    </w:p>
    <w:p>
      <w:pPr>
        <w:spacing w:line="440" w:lineRule="exact"/>
        <w:ind w:firstLine="480" w:firstLineChars="200"/>
        <w:jc w:val="left"/>
        <w:rPr>
          <w:color w:val="000000"/>
          <w:sz w:val="24"/>
        </w:rPr>
      </w:pPr>
      <w:r>
        <w:rPr>
          <w:rFonts w:hint="eastAsia"/>
          <w:color w:val="000000"/>
          <w:sz w:val="24"/>
        </w:rPr>
        <w:t>2、甲方在货到、安装</w:t>
      </w:r>
      <w:r>
        <w:rPr>
          <w:rFonts w:hint="eastAsia"/>
          <w:color w:val="000000"/>
          <w:sz w:val="24"/>
          <w:lang w:val="en-US" w:eastAsia="zh-CN"/>
        </w:rPr>
        <w:t>调试完成</w:t>
      </w:r>
      <w:r>
        <w:rPr>
          <w:rFonts w:hint="eastAsia"/>
          <w:color w:val="000000"/>
          <w:sz w:val="24"/>
          <w:lang w:eastAsia="zh-CN"/>
        </w:rPr>
        <w:t>、</w:t>
      </w:r>
      <w:r>
        <w:rPr>
          <w:rFonts w:hint="eastAsia"/>
          <w:color w:val="000000"/>
          <w:sz w:val="24"/>
          <w:lang w:val="en-US" w:eastAsia="zh-CN"/>
        </w:rPr>
        <w:t>初验</w:t>
      </w:r>
      <w:r>
        <w:rPr>
          <w:rFonts w:hint="eastAsia"/>
          <w:color w:val="000000"/>
          <w:sz w:val="24"/>
        </w:rPr>
        <w:t>合格，</w:t>
      </w:r>
      <w:r>
        <w:rPr>
          <w:rFonts w:hint="eastAsia"/>
          <w:color w:val="000000"/>
          <w:sz w:val="24"/>
          <w:lang w:val="en-US" w:eastAsia="zh-CN"/>
        </w:rPr>
        <w:t>并</w:t>
      </w:r>
      <w:r>
        <w:rPr>
          <w:rFonts w:hint="eastAsia"/>
          <w:color w:val="000000"/>
          <w:sz w:val="24"/>
        </w:rPr>
        <w:t>收到乙方开具符合要求的发票后，60日内支付验收合格设备总价的</w:t>
      </w:r>
      <w:r>
        <w:rPr>
          <w:rFonts w:hint="eastAsia"/>
          <w:color w:val="000000"/>
          <w:sz w:val="24"/>
          <w:lang w:val="en-US" w:eastAsia="zh-CN"/>
        </w:rPr>
        <w:t>60</w:t>
      </w:r>
      <w:r>
        <w:rPr>
          <w:rFonts w:hint="eastAsia"/>
          <w:color w:val="000000"/>
          <w:sz w:val="24"/>
        </w:rPr>
        <w:t>%</w:t>
      </w:r>
      <w:r>
        <w:rPr>
          <w:rFonts w:hint="eastAsia"/>
          <w:color w:val="000000"/>
          <w:sz w:val="24"/>
          <w:lang w:eastAsia="zh-CN"/>
        </w:rPr>
        <w:t>。</w:t>
      </w:r>
      <w:r>
        <w:rPr>
          <w:rFonts w:hint="eastAsia"/>
          <w:color w:val="000000"/>
          <w:sz w:val="24"/>
          <w:lang w:val="en-US" w:eastAsia="zh-CN"/>
        </w:rPr>
        <w:t>终验合格，并</w:t>
      </w:r>
      <w:r>
        <w:rPr>
          <w:rFonts w:hint="eastAsia"/>
          <w:color w:val="000000"/>
          <w:sz w:val="24"/>
        </w:rPr>
        <w:t>收到乙方开具符合要求的发票后，60日内支付验收合格设备总价的</w:t>
      </w:r>
      <w:r>
        <w:rPr>
          <w:rFonts w:hint="eastAsia"/>
          <w:color w:val="000000"/>
          <w:sz w:val="24"/>
          <w:lang w:val="en-US" w:eastAsia="zh-CN"/>
        </w:rPr>
        <w:t>35</w:t>
      </w:r>
      <w:r>
        <w:rPr>
          <w:rFonts w:hint="eastAsia"/>
          <w:color w:val="000000"/>
          <w:sz w:val="24"/>
        </w:rPr>
        <w:t>%</w:t>
      </w:r>
      <w:r>
        <w:rPr>
          <w:rFonts w:hint="eastAsia"/>
          <w:color w:val="000000"/>
          <w:sz w:val="24"/>
          <w:lang w:eastAsia="zh-CN"/>
        </w:rPr>
        <w:t>。</w:t>
      </w:r>
      <w:r>
        <w:rPr>
          <w:rFonts w:hint="eastAsia"/>
          <w:color w:val="000000"/>
          <w:sz w:val="24"/>
        </w:rPr>
        <w:t>在设备正常使用半年后，产品无质量问题且乙方无违约行为，</w:t>
      </w:r>
      <w:r>
        <w:rPr>
          <w:rFonts w:hint="eastAsia"/>
          <w:color w:val="000000"/>
          <w:sz w:val="24"/>
          <w:lang w:val="en-US" w:eastAsia="zh-CN"/>
        </w:rPr>
        <w:t>在</w:t>
      </w:r>
      <w:r>
        <w:rPr>
          <w:rFonts w:hint="eastAsia"/>
          <w:color w:val="000000"/>
          <w:sz w:val="24"/>
        </w:rPr>
        <w:t>乙方提出付款申请后，</w:t>
      </w:r>
      <w:r>
        <w:rPr>
          <w:rFonts w:hint="eastAsia" w:eastAsiaTheme="minorEastAsia"/>
          <w:sz w:val="24"/>
          <w:szCs w:val="24"/>
          <w:lang w:val="en-US" w:eastAsia="zh-CN"/>
        </w:rPr>
        <w:t>甲方向乙方付清尾款（无息）</w:t>
      </w:r>
      <w:r>
        <w:rPr>
          <w:rFonts w:hint="eastAsia" w:asciiTheme="majorEastAsia" w:hAnsiTheme="majorEastAsia" w:eastAsiaTheme="majorEastAsia" w:cstheme="majorEastAsia"/>
          <w:sz w:val="24"/>
          <w:lang w:val="en-US" w:eastAsia="zh-CN"/>
        </w:rPr>
        <w:t>。</w:t>
      </w:r>
    </w:p>
    <w:p>
      <w:pPr>
        <w:spacing w:line="440" w:lineRule="exact"/>
        <w:ind w:firstLine="480" w:firstLineChars="200"/>
        <w:jc w:val="left"/>
        <w:rPr>
          <w:color w:val="000000"/>
          <w:sz w:val="24"/>
        </w:rPr>
      </w:pPr>
      <w:r>
        <w:rPr>
          <w:color w:val="000000"/>
          <w:sz w:val="24"/>
        </w:rPr>
        <w:t>3</w:t>
      </w:r>
      <w:r>
        <w:rPr>
          <w:rFonts w:hint="eastAsia"/>
          <w:color w:val="000000"/>
          <w:sz w:val="24"/>
        </w:rPr>
        <w:t>、</w:t>
      </w:r>
      <w:bookmarkStart w:id="205" w:name="_Hlk66653977"/>
      <w:bookmarkStart w:id="206" w:name="_Hlk66654363"/>
      <w:r>
        <w:rPr>
          <w:rFonts w:hint="eastAsia"/>
          <w:color w:val="000000"/>
          <w:sz w:val="24"/>
        </w:rPr>
        <w:t>不满足上述付款条件的，甲方有权延期付款且不承担任何责任，乙方应继续履行合同义务，合同另有约定的除外。</w:t>
      </w:r>
      <w:bookmarkEnd w:id="205"/>
    </w:p>
    <w:bookmarkEnd w:id="206"/>
    <w:p>
      <w:pPr>
        <w:spacing w:line="440" w:lineRule="exact"/>
        <w:ind w:firstLine="482" w:firstLineChars="200"/>
        <w:rPr>
          <w:b/>
          <w:bCs/>
          <w:color w:val="000000"/>
          <w:sz w:val="24"/>
        </w:rPr>
      </w:pPr>
      <w:r>
        <w:rPr>
          <w:rFonts w:hint="eastAsia"/>
          <w:b/>
          <w:bCs/>
          <w:color w:val="000000"/>
          <w:sz w:val="24"/>
        </w:rPr>
        <w:t>八、</w:t>
      </w:r>
      <w:r>
        <w:rPr>
          <w:b/>
          <w:bCs/>
          <w:color w:val="000000"/>
          <w:sz w:val="24"/>
        </w:rPr>
        <w:t>违约责任</w:t>
      </w:r>
    </w:p>
    <w:p>
      <w:pPr>
        <w:numPr>
          <w:ilvl w:val="0"/>
          <w:numId w:val="8"/>
        </w:numPr>
        <w:spacing w:line="440" w:lineRule="exact"/>
        <w:ind w:firstLine="480" w:firstLineChars="200"/>
        <w:rPr>
          <w:color w:val="000000"/>
          <w:sz w:val="24"/>
        </w:rPr>
      </w:pPr>
      <w:r>
        <w:rPr>
          <w:rFonts w:hint="eastAsia"/>
          <w:color w:val="000000"/>
          <w:sz w:val="24"/>
        </w:rPr>
        <w:t>甲乙两方应善意、全面、及时地履行本协议项下义务。一方因未履行或履行存在瑕疵而给另一方造成损害的，</w:t>
      </w:r>
      <w:r>
        <w:rPr>
          <w:color w:val="000000"/>
          <w:sz w:val="24"/>
        </w:rPr>
        <w:t>违约方</w:t>
      </w:r>
      <w:r>
        <w:rPr>
          <w:rFonts w:hint="eastAsia"/>
          <w:color w:val="000000"/>
          <w:sz w:val="24"/>
        </w:rPr>
        <w:t>应停止损害行为、消除影响并赔偿守约方全部</w:t>
      </w:r>
      <w:r>
        <w:rPr>
          <w:color w:val="000000"/>
          <w:sz w:val="24"/>
        </w:rPr>
        <w:t>经济</w:t>
      </w:r>
      <w:r>
        <w:rPr>
          <w:rFonts w:hint="eastAsia"/>
          <w:color w:val="000000"/>
          <w:sz w:val="24"/>
        </w:rPr>
        <w:t>损失（包括但不限于守约方因主张权利而产生的交通费、律师费</w:t>
      </w:r>
      <w:r>
        <w:rPr>
          <w:color w:val="000000"/>
          <w:sz w:val="24"/>
        </w:rPr>
        <w:t>、诉讼费</w:t>
      </w:r>
      <w:r>
        <w:rPr>
          <w:rFonts w:hint="eastAsia"/>
          <w:color w:val="000000"/>
          <w:sz w:val="24"/>
        </w:rPr>
        <w:t>等），</w:t>
      </w:r>
      <w:r>
        <w:rPr>
          <w:rFonts w:hint="eastAsia"/>
          <w:color w:val="000000"/>
          <w:sz w:val="24"/>
          <w:lang w:val="en-US" w:eastAsia="zh-CN"/>
        </w:rPr>
        <w:t>并</w:t>
      </w:r>
      <w:r>
        <w:rPr>
          <w:rFonts w:hint="eastAsia"/>
          <w:color w:val="000000"/>
          <w:sz w:val="24"/>
        </w:rPr>
        <w:t>守约方有权单方面解除合同，不承担任何违约责任。</w:t>
      </w:r>
    </w:p>
    <w:p>
      <w:pPr>
        <w:numPr>
          <w:ilvl w:val="0"/>
          <w:numId w:val="8"/>
        </w:numPr>
        <w:spacing w:line="440" w:lineRule="exact"/>
        <w:ind w:firstLine="480" w:firstLineChars="200"/>
        <w:rPr>
          <w:color w:val="000000"/>
          <w:sz w:val="24"/>
        </w:rPr>
      </w:pPr>
      <w:r>
        <w:rPr>
          <w:color w:val="000000"/>
          <w:sz w:val="24"/>
        </w:rPr>
        <w:t>乙方所交的</w:t>
      </w:r>
      <w:r>
        <w:rPr>
          <w:rFonts w:hint="eastAsia"/>
          <w:color w:val="000000"/>
          <w:sz w:val="24"/>
        </w:rPr>
        <w:t>设备</w:t>
      </w:r>
      <w:r>
        <w:rPr>
          <w:color w:val="000000"/>
          <w:sz w:val="24"/>
        </w:rPr>
        <w:t>不符合招标文件及合同约定的，甲方有权要求乙方达到招标文件及合同中规定的要求，并且乙方需向甲方</w:t>
      </w:r>
      <w:r>
        <w:rPr>
          <w:rFonts w:hint="eastAsia"/>
          <w:color w:val="000000"/>
          <w:sz w:val="24"/>
        </w:rPr>
        <w:t>支</w:t>
      </w:r>
      <w:r>
        <w:rPr>
          <w:color w:val="000000"/>
          <w:sz w:val="24"/>
        </w:rPr>
        <w:t>付</w:t>
      </w:r>
      <w:r>
        <w:rPr>
          <w:rFonts w:hint="eastAsia"/>
          <w:color w:val="000000"/>
          <w:sz w:val="24"/>
        </w:rPr>
        <w:t>合同</w:t>
      </w:r>
      <w:r>
        <w:rPr>
          <w:color w:val="000000"/>
          <w:sz w:val="24"/>
        </w:rPr>
        <w:t>总价30%的违约金，且甲方有权解除合同并要求乙方在合同解除后</w:t>
      </w:r>
      <w:r>
        <w:rPr>
          <w:rFonts w:hint="eastAsia"/>
          <w:color w:val="000000"/>
          <w:sz w:val="24"/>
        </w:rPr>
        <w:t>5个工作日</w:t>
      </w:r>
      <w:r>
        <w:rPr>
          <w:color w:val="000000"/>
          <w:sz w:val="24"/>
        </w:rPr>
        <w:t>内退回甲方全部货款。</w:t>
      </w:r>
    </w:p>
    <w:p>
      <w:pPr>
        <w:numPr>
          <w:ilvl w:val="0"/>
          <w:numId w:val="8"/>
        </w:numPr>
        <w:spacing w:line="440" w:lineRule="exact"/>
        <w:ind w:firstLine="480" w:firstLineChars="200"/>
        <w:rPr>
          <w:color w:val="000000"/>
          <w:sz w:val="24"/>
        </w:rPr>
      </w:pPr>
      <w:r>
        <w:rPr>
          <w:rFonts w:hint="eastAsia"/>
          <w:color w:val="000000"/>
          <w:sz w:val="24"/>
        </w:rPr>
        <w:t>若乙方未按照合同约定时间及时完成产品交货及安装的</w:t>
      </w:r>
      <w:r>
        <w:rPr>
          <w:color w:val="000000"/>
          <w:sz w:val="24"/>
        </w:rPr>
        <w:t>，</w:t>
      </w:r>
      <w:r>
        <w:rPr>
          <w:rFonts w:hint="eastAsia"/>
          <w:color w:val="000000"/>
          <w:sz w:val="24"/>
        </w:rPr>
        <w:t>每延迟一天，</w:t>
      </w:r>
      <w:r>
        <w:rPr>
          <w:color w:val="000000"/>
          <w:sz w:val="24"/>
        </w:rPr>
        <w:t>乙方</w:t>
      </w:r>
      <w:r>
        <w:rPr>
          <w:rFonts w:hint="eastAsia"/>
          <w:color w:val="000000"/>
          <w:sz w:val="24"/>
        </w:rPr>
        <w:t>应</w:t>
      </w:r>
      <w:r>
        <w:rPr>
          <w:color w:val="000000"/>
          <w:sz w:val="24"/>
        </w:rPr>
        <w:t>向甲方</w:t>
      </w:r>
      <w:r>
        <w:rPr>
          <w:rFonts w:hint="eastAsia"/>
          <w:color w:val="000000"/>
          <w:sz w:val="24"/>
        </w:rPr>
        <w:t>支付本合同</w:t>
      </w:r>
      <w:r>
        <w:rPr>
          <w:color w:val="000000"/>
          <w:sz w:val="24"/>
        </w:rPr>
        <w:t>货款总价0.5‰的违约金</w:t>
      </w:r>
      <w:r>
        <w:rPr>
          <w:rFonts w:hint="eastAsia"/>
          <w:color w:val="000000"/>
          <w:sz w:val="24"/>
        </w:rPr>
        <w:t>，延期达30日，甲方有权单方解除合同，</w:t>
      </w:r>
      <w:r>
        <w:rPr>
          <w:color w:val="000000"/>
          <w:sz w:val="24"/>
        </w:rPr>
        <w:t>并要求乙方赔偿全部经济损失。</w:t>
      </w:r>
    </w:p>
    <w:p>
      <w:pPr>
        <w:numPr>
          <w:ilvl w:val="0"/>
          <w:numId w:val="8"/>
        </w:numPr>
        <w:spacing w:line="440" w:lineRule="exact"/>
        <w:ind w:firstLine="480" w:firstLineChars="200"/>
        <w:rPr>
          <w:color w:val="000000"/>
          <w:sz w:val="24"/>
        </w:rPr>
      </w:pPr>
      <w:r>
        <w:rPr>
          <w:color w:val="000000"/>
          <w:sz w:val="24"/>
        </w:rPr>
        <w:t>甲方</w:t>
      </w:r>
      <w:r>
        <w:rPr>
          <w:rFonts w:hint="eastAsia"/>
          <w:color w:val="000000"/>
          <w:sz w:val="24"/>
        </w:rPr>
        <w:t>无故</w:t>
      </w:r>
      <w:r>
        <w:rPr>
          <w:color w:val="000000"/>
          <w:sz w:val="24"/>
        </w:rPr>
        <w:t>逾期支付货款时，甲方向乙方</w:t>
      </w:r>
      <w:bookmarkStart w:id="207" w:name="_Hlk66653993"/>
      <w:r>
        <w:rPr>
          <w:rFonts w:hint="eastAsia"/>
          <w:color w:val="000000"/>
          <w:sz w:val="24"/>
        </w:rPr>
        <w:t>支付逾期利息，利息按照签订合</w:t>
      </w:r>
      <w:r>
        <w:rPr>
          <w:rFonts w:hint="eastAsia"/>
          <w:color w:val="000000"/>
          <w:sz w:val="24"/>
          <w:lang w:val="en-US" w:eastAsia="zh-CN"/>
        </w:rPr>
        <w:t>并</w:t>
      </w:r>
      <w:r>
        <w:rPr>
          <w:rFonts w:hint="eastAsia"/>
          <w:color w:val="000000"/>
          <w:sz w:val="24"/>
        </w:rPr>
        <w:t>一年期L</w:t>
      </w:r>
      <w:r>
        <w:rPr>
          <w:color w:val="000000"/>
          <w:sz w:val="24"/>
        </w:rPr>
        <w:t>PR</w:t>
      </w:r>
      <w:r>
        <w:rPr>
          <w:rFonts w:hint="eastAsia"/>
          <w:color w:val="000000"/>
          <w:sz w:val="24"/>
        </w:rPr>
        <w:t>利率计算</w:t>
      </w:r>
      <w:bookmarkEnd w:id="207"/>
      <w:r>
        <w:rPr>
          <w:color w:val="000000"/>
          <w:sz w:val="24"/>
        </w:rPr>
        <w:t>（</w:t>
      </w:r>
      <w:r>
        <w:rPr>
          <w:rFonts w:hint="eastAsia"/>
          <w:color w:val="000000"/>
          <w:sz w:val="24"/>
        </w:rPr>
        <w:t>不可抗力</w:t>
      </w:r>
      <w:r>
        <w:rPr>
          <w:color w:val="000000"/>
          <w:sz w:val="24"/>
        </w:rPr>
        <w:t>、政策</w:t>
      </w:r>
      <w:r>
        <w:rPr>
          <w:rFonts w:hint="eastAsia"/>
          <w:color w:val="000000"/>
          <w:sz w:val="24"/>
        </w:rPr>
        <w:t>因素等</w:t>
      </w:r>
      <w:r>
        <w:rPr>
          <w:color w:val="000000"/>
          <w:sz w:val="24"/>
        </w:rPr>
        <w:t>特殊情况除外</w:t>
      </w:r>
      <w:r>
        <w:rPr>
          <w:rFonts w:hint="eastAsia"/>
          <w:color w:val="000000"/>
          <w:sz w:val="24"/>
          <w:lang w:eastAsia="zh-CN"/>
        </w:rPr>
        <w:t>，如遇财政年度决算等</w:t>
      </w:r>
      <w:r>
        <w:rPr>
          <w:color w:val="000000"/>
          <w:sz w:val="24"/>
        </w:rPr>
        <w:t>）。</w:t>
      </w:r>
    </w:p>
    <w:p>
      <w:pPr>
        <w:numPr>
          <w:ilvl w:val="0"/>
          <w:numId w:val="8"/>
        </w:numPr>
        <w:spacing w:line="440" w:lineRule="exact"/>
        <w:ind w:firstLine="480" w:firstLineChars="200"/>
        <w:rPr>
          <w:color w:val="000000"/>
          <w:sz w:val="24"/>
          <w:lang w:val="it-IT"/>
        </w:rPr>
      </w:pPr>
      <w:r>
        <w:rPr>
          <w:rFonts w:hint="eastAsia"/>
          <w:color w:val="000000"/>
          <w:sz w:val="24"/>
        </w:rPr>
        <w:t>在保修期内，若乙方接到甲方维保、抢修通知后</w:t>
      </w:r>
      <w:r>
        <w:rPr>
          <w:rFonts w:hint="eastAsia"/>
          <w:color w:val="auto"/>
          <w:kern w:val="0"/>
          <w:sz w:val="24"/>
          <w:u w:val="single"/>
          <w:lang w:val="en-US" w:eastAsia="zh-CN"/>
        </w:rPr>
        <w:t xml:space="preserve">  </w:t>
      </w:r>
      <w:r>
        <w:rPr>
          <w:rFonts w:hint="eastAsia"/>
          <w:color w:val="000000"/>
          <w:sz w:val="24"/>
        </w:rPr>
        <w:t>小时未响应，</w:t>
      </w:r>
      <w:r>
        <w:rPr>
          <w:rFonts w:hint="eastAsia"/>
          <w:color w:val="auto"/>
          <w:kern w:val="0"/>
          <w:sz w:val="24"/>
          <w:u w:val="single"/>
          <w:lang w:val="en-US" w:eastAsia="zh-CN"/>
        </w:rPr>
        <w:t xml:space="preserve">  </w:t>
      </w:r>
      <w:r>
        <w:rPr>
          <w:rFonts w:hint="eastAsia"/>
          <w:color w:val="000000"/>
          <w:sz w:val="24"/>
        </w:rPr>
        <w:t>小时内抢修工程师未到现场进行处理的，每延迟</w:t>
      </w:r>
      <w:r>
        <w:rPr>
          <w:color w:val="000000"/>
          <w:sz w:val="24"/>
        </w:rPr>
        <w:t>1</w:t>
      </w:r>
      <w:r>
        <w:rPr>
          <w:rFonts w:hint="eastAsia"/>
          <w:color w:val="000000"/>
          <w:sz w:val="24"/>
        </w:rPr>
        <w:t>小时，乙方将支付甲方</w:t>
      </w:r>
      <w:r>
        <w:rPr>
          <w:sz w:val="24"/>
        </w:rPr>
        <w:t>合同总价的0.1‰作为违约金</w:t>
      </w:r>
      <w:r>
        <w:rPr>
          <w:rFonts w:hint="eastAsia"/>
          <w:color w:val="000000"/>
          <w:sz w:val="24"/>
        </w:rPr>
        <w:t>。</w:t>
      </w:r>
      <w:r>
        <w:rPr>
          <w:color w:val="000000"/>
          <w:sz w:val="24"/>
        </w:rPr>
        <w:t>延迟达</w:t>
      </w:r>
      <w:r>
        <w:rPr>
          <w:rFonts w:hint="eastAsia"/>
          <w:color w:val="auto"/>
          <w:kern w:val="0"/>
          <w:sz w:val="24"/>
          <w:u w:val="single"/>
          <w:lang w:val="en-US" w:eastAsia="zh-CN"/>
        </w:rPr>
        <w:t xml:space="preserve">  </w:t>
      </w:r>
      <w:r>
        <w:rPr>
          <w:rFonts w:hint="eastAsia"/>
          <w:color w:val="000000"/>
          <w:sz w:val="24"/>
        </w:rPr>
        <w:t>小时</w:t>
      </w:r>
      <w:r>
        <w:rPr>
          <w:color w:val="000000"/>
          <w:sz w:val="24"/>
        </w:rPr>
        <w:t>的，</w:t>
      </w:r>
      <w:r>
        <w:rPr>
          <w:rFonts w:hint="eastAsia"/>
          <w:sz w:val="24"/>
        </w:rPr>
        <w:t>甲方有权委托第三方进行维保，由此产生的</w:t>
      </w:r>
      <w:r>
        <w:rPr>
          <w:sz w:val="24"/>
        </w:rPr>
        <w:t>全部</w:t>
      </w:r>
      <w:r>
        <w:rPr>
          <w:rFonts w:hint="eastAsia"/>
          <w:sz w:val="24"/>
        </w:rPr>
        <w:t>费用由乙方承担。</w:t>
      </w:r>
    </w:p>
    <w:p>
      <w:pPr>
        <w:numPr>
          <w:ilvl w:val="0"/>
          <w:numId w:val="8"/>
        </w:numPr>
        <w:spacing w:line="440" w:lineRule="exact"/>
        <w:ind w:firstLine="480" w:firstLineChars="200"/>
        <w:rPr>
          <w:color w:val="000000"/>
          <w:sz w:val="24"/>
          <w:lang w:val="it-IT"/>
        </w:rPr>
      </w:pPr>
      <w:bookmarkStart w:id="208" w:name="_Hlk66654056"/>
      <w:r>
        <w:rPr>
          <w:rFonts w:hint="eastAsia"/>
          <w:sz w:val="24"/>
        </w:rPr>
        <w:t>乙方保证有资质及权属签订并履行本合同，不侵犯任何第三方权利，否则应向甲方支付合同总价2</w:t>
      </w:r>
      <w:r>
        <w:rPr>
          <w:sz w:val="24"/>
        </w:rPr>
        <w:t>0%</w:t>
      </w:r>
      <w:r>
        <w:rPr>
          <w:rFonts w:hint="eastAsia"/>
          <w:sz w:val="24"/>
        </w:rPr>
        <w:t>的违约金并赔偿损失。</w:t>
      </w:r>
    </w:p>
    <w:bookmarkEnd w:id="208"/>
    <w:p>
      <w:pPr>
        <w:spacing w:line="440" w:lineRule="exact"/>
        <w:ind w:firstLine="482" w:firstLineChars="200"/>
        <w:rPr>
          <w:b/>
          <w:bCs/>
          <w:color w:val="000000"/>
          <w:sz w:val="24"/>
        </w:rPr>
      </w:pPr>
      <w:r>
        <w:rPr>
          <w:rFonts w:hint="eastAsia"/>
          <w:b/>
          <w:bCs/>
          <w:color w:val="000000"/>
          <w:sz w:val="24"/>
        </w:rPr>
        <w:t>九、</w:t>
      </w:r>
      <w:r>
        <w:rPr>
          <w:b/>
          <w:bCs/>
          <w:color w:val="000000"/>
          <w:sz w:val="24"/>
        </w:rPr>
        <w:t>不可抗力</w:t>
      </w:r>
    </w:p>
    <w:p>
      <w:pPr>
        <w:spacing w:line="440" w:lineRule="exact"/>
        <w:ind w:firstLine="480" w:firstLineChars="200"/>
        <w:rPr>
          <w:color w:val="000000"/>
          <w:sz w:val="24"/>
        </w:rPr>
      </w:pPr>
      <w:r>
        <w:rPr>
          <w:color w:val="000000"/>
          <w:sz w:val="24"/>
        </w:rPr>
        <w:t>如果双方中的任何一方由于严重火灾、水灾、台风和地震以及其他经双方同意属于不可抗力的事故，致使合同无法履行时，受事故影响的一方可以终止执行本合同。受事故影响的一方应在不可抗力发生后</w:t>
      </w:r>
      <w:r>
        <w:rPr>
          <w:rFonts w:hint="eastAsia"/>
          <w:color w:val="000000"/>
          <w:sz w:val="24"/>
        </w:rPr>
        <w:t>立即</w:t>
      </w:r>
      <w:r>
        <w:rPr>
          <w:color w:val="000000"/>
          <w:sz w:val="24"/>
        </w:rPr>
        <w:t>以书面形式通知另一方，并在事故发生后3天内持有关部门出具的证明文件交给另一方。</w:t>
      </w:r>
    </w:p>
    <w:p>
      <w:pPr>
        <w:spacing w:line="440" w:lineRule="exact"/>
        <w:ind w:firstLine="482" w:firstLineChars="200"/>
        <w:rPr>
          <w:b/>
          <w:bCs/>
          <w:color w:val="000000"/>
          <w:sz w:val="24"/>
        </w:rPr>
      </w:pPr>
      <w:r>
        <w:rPr>
          <w:rFonts w:hint="eastAsia"/>
          <w:b/>
          <w:bCs/>
          <w:color w:val="000000"/>
          <w:sz w:val="24"/>
        </w:rPr>
        <w:t>十、争议处理</w:t>
      </w:r>
    </w:p>
    <w:p>
      <w:pPr>
        <w:spacing w:line="440" w:lineRule="exact"/>
        <w:ind w:firstLine="480" w:firstLineChars="200"/>
        <w:rPr>
          <w:rFonts w:hint="eastAsia"/>
          <w:sz w:val="24"/>
          <w:szCs w:val="24"/>
        </w:rPr>
      </w:pPr>
      <w:r>
        <w:rPr>
          <w:rFonts w:hint="eastAsia"/>
          <w:sz w:val="24"/>
          <w:szCs w:val="24"/>
        </w:rPr>
        <w:t>本合同履行中发生的争议，双方应本着友好协商的原则予以解决，若协商不成，依法向拉萨仲裁委员会申请仲裁，且因解决争议产生的律师费、申请费、鉴定费等相关费用均由违约方承担。</w:t>
      </w:r>
    </w:p>
    <w:p>
      <w:pPr>
        <w:spacing w:line="440" w:lineRule="exact"/>
        <w:ind w:firstLine="482" w:firstLineChars="200"/>
        <w:rPr>
          <w:b/>
          <w:bCs/>
          <w:sz w:val="24"/>
        </w:rPr>
      </w:pPr>
      <w:r>
        <w:rPr>
          <w:rFonts w:hint="eastAsia"/>
          <w:b/>
          <w:bCs/>
          <w:sz w:val="24"/>
        </w:rPr>
        <w:t>十一、其他</w:t>
      </w:r>
    </w:p>
    <w:p>
      <w:pPr>
        <w:numPr>
          <w:ilvl w:val="0"/>
          <w:numId w:val="9"/>
        </w:numPr>
        <w:spacing w:line="440" w:lineRule="exact"/>
        <w:ind w:firstLine="480" w:firstLineChars="200"/>
        <w:rPr>
          <w:sz w:val="24"/>
        </w:rPr>
      </w:pPr>
      <w:r>
        <w:rPr>
          <w:rFonts w:hint="eastAsia"/>
          <w:sz w:val="24"/>
        </w:rPr>
        <w:t>本合同未尽事宜，由双方协商解决，并签订补充协议，</w:t>
      </w:r>
      <w:r>
        <w:rPr>
          <w:sz w:val="24"/>
        </w:rPr>
        <w:t>补充协议</w:t>
      </w:r>
      <w:r>
        <w:rPr>
          <w:rFonts w:hint="eastAsia"/>
          <w:sz w:val="24"/>
        </w:rPr>
        <w:t>与原合同具有同等法律效力</w:t>
      </w:r>
      <w:r>
        <w:rPr>
          <w:sz w:val="24"/>
        </w:rPr>
        <w:t>。</w:t>
      </w:r>
    </w:p>
    <w:p>
      <w:pPr>
        <w:numPr>
          <w:ilvl w:val="0"/>
          <w:numId w:val="9"/>
        </w:numPr>
        <w:spacing w:line="440" w:lineRule="exact"/>
        <w:ind w:firstLine="480" w:firstLineChars="200"/>
        <w:rPr>
          <w:sz w:val="24"/>
        </w:rPr>
      </w:pPr>
      <w:r>
        <w:rPr>
          <w:rFonts w:eastAsiaTheme="minorEastAsia"/>
          <w:sz w:val="24"/>
        </w:rPr>
        <w:t>本协议一式</w:t>
      </w:r>
      <w:r>
        <w:rPr>
          <w:rFonts w:hint="eastAsia"/>
          <w:color w:val="auto"/>
          <w:kern w:val="0"/>
          <w:sz w:val="24"/>
          <w:u w:val="single"/>
          <w:lang w:val="en-US" w:eastAsia="zh-CN"/>
        </w:rPr>
        <w:t xml:space="preserve">  </w:t>
      </w:r>
      <w:r>
        <w:rPr>
          <w:rFonts w:hint="eastAsia" w:eastAsiaTheme="minorEastAsia"/>
          <w:sz w:val="24"/>
        </w:rPr>
        <w:t>份</w:t>
      </w:r>
      <w:r>
        <w:rPr>
          <w:rFonts w:eastAsiaTheme="minorEastAsia"/>
          <w:sz w:val="24"/>
        </w:rPr>
        <w:t>，自双</w:t>
      </w:r>
      <w:r>
        <w:rPr>
          <w:sz w:val="24"/>
        </w:rPr>
        <w:t>方</w:t>
      </w:r>
      <w:r>
        <w:rPr>
          <w:rFonts w:hint="eastAsia"/>
          <w:sz w:val="24"/>
        </w:rPr>
        <w:t>法定代表人或授权代表</w:t>
      </w:r>
      <w:r>
        <w:rPr>
          <w:sz w:val="24"/>
        </w:rPr>
        <w:t>签字</w:t>
      </w:r>
      <w:r>
        <w:rPr>
          <w:rFonts w:hint="eastAsia"/>
          <w:sz w:val="24"/>
        </w:rPr>
        <w:t>并加</w:t>
      </w:r>
      <w:r>
        <w:rPr>
          <w:sz w:val="24"/>
        </w:rPr>
        <w:t>盖</w:t>
      </w:r>
      <w:r>
        <w:rPr>
          <w:rFonts w:hint="eastAsia"/>
          <w:sz w:val="24"/>
        </w:rPr>
        <w:t>公</w:t>
      </w:r>
      <w:r>
        <w:rPr>
          <w:sz w:val="24"/>
        </w:rPr>
        <w:t>章后生效</w:t>
      </w:r>
      <w:r>
        <w:rPr>
          <w:rFonts w:hint="eastAsia"/>
          <w:sz w:val="24"/>
        </w:rPr>
        <w:t>，</w:t>
      </w:r>
      <w:r>
        <w:rPr>
          <w:rFonts w:eastAsiaTheme="minorEastAsia"/>
          <w:sz w:val="24"/>
        </w:rPr>
        <w:t>甲方</w:t>
      </w:r>
      <w:r>
        <w:rPr>
          <w:rFonts w:hint="eastAsia"/>
          <w:color w:val="auto"/>
          <w:kern w:val="0"/>
          <w:sz w:val="24"/>
          <w:u w:val="single"/>
          <w:lang w:val="en-US" w:eastAsia="zh-CN"/>
        </w:rPr>
        <w:t xml:space="preserve">  </w:t>
      </w:r>
      <w:r>
        <w:rPr>
          <w:rFonts w:eastAsiaTheme="minorEastAsia"/>
          <w:sz w:val="24"/>
        </w:rPr>
        <w:t>份，乙方</w:t>
      </w:r>
      <w:r>
        <w:rPr>
          <w:rFonts w:hint="eastAsia"/>
          <w:color w:val="auto"/>
          <w:kern w:val="0"/>
          <w:sz w:val="24"/>
          <w:u w:val="single"/>
          <w:lang w:val="en-US" w:eastAsia="zh-CN"/>
        </w:rPr>
        <w:t xml:space="preserve">  </w:t>
      </w:r>
      <w:r>
        <w:rPr>
          <w:rFonts w:hint="eastAsia" w:eastAsiaTheme="minorEastAsia"/>
          <w:sz w:val="24"/>
        </w:rPr>
        <w:t>份</w:t>
      </w:r>
      <w:r>
        <w:rPr>
          <w:rFonts w:eastAsiaTheme="minorEastAsia"/>
          <w:sz w:val="24"/>
        </w:rPr>
        <w:t>，每份</w:t>
      </w:r>
      <w:r>
        <w:rPr>
          <w:rFonts w:hint="eastAsia"/>
          <w:sz w:val="24"/>
        </w:rPr>
        <w:t>具有同等法律效力</w:t>
      </w:r>
      <w:r>
        <w:rPr>
          <w:sz w:val="24"/>
        </w:rPr>
        <w:t>。</w:t>
      </w:r>
      <w:r>
        <w:rPr>
          <w:rFonts w:hint="eastAsia" w:eastAsiaTheme="minorEastAsia"/>
          <w:sz w:val="24"/>
        </w:rPr>
        <w:t>经双方依据</w:t>
      </w:r>
      <w:r>
        <w:rPr>
          <w:rFonts w:hint="eastAsia" w:eastAsiaTheme="minorEastAsia"/>
          <w:sz w:val="24"/>
          <w:lang w:eastAsia="zh-CN"/>
        </w:rPr>
        <w:t>《</w:t>
      </w:r>
      <w:r>
        <w:rPr>
          <w:rFonts w:hint="eastAsia" w:eastAsiaTheme="minorEastAsia"/>
          <w:sz w:val="24"/>
          <w:lang w:val="en-US" w:eastAsia="zh-CN"/>
        </w:rPr>
        <w:t>中华人民共和国民法典</w:t>
      </w:r>
      <w:r>
        <w:rPr>
          <w:rFonts w:hint="eastAsia" w:eastAsiaTheme="minorEastAsia"/>
          <w:sz w:val="24"/>
          <w:lang w:eastAsia="zh-CN"/>
        </w:rPr>
        <w:t>》</w:t>
      </w:r>
      <w:r>
        <w:rPr>
          <w:rFonts w:hint="eastAsia" w:eastAsiaTheme="minorEastAsia"/>
          <w:sz w:val="24"/>
        </w:rPr>
        <w:t>《电子签名法》</w:t>
      </w:r>
      <w:r>
        <w:rPr>
          <w:rFonts w:hint="eastAsia" w:eastAsiaTheme="minorEastAsia"/>
          <w:sz w:val="24"/>
          <w:lang w:val="en-US" w:eastAsia="zh-CN"/>
        </w:rPr>
        <w:t>等</w:t>
      </w:r>
      <w:r>
        <w:rPr>
          <w:rFonts w:hint="eastAsia" w:eastAsiaTheme="minorEastAsia"/>
          <w:sz w:val="24"/>
        </w:rPr>
        <w:t>相关内容并协商一致，就合同签订方式达成如下一致意见：(1)本合同由一方签字盖章后以扫描件发送至对方签字盖章后生效。合同扫描件与纸质版具有同等法律效力</w:t>
      </w:r>
      <w:r>
        <w:rPr>
          <w:rFonts w:hint="eastAsia" w:eastAsiaTheme="minorEastAsia"/>
          <w:sz w:val="24"/>
          <w:lang w:eastAsia="zh-CN"/>
        </w:rPr>
        <w:t>；</w:t>
      </w:r>
      <w:r>
        <w:rPr>
          <w:rFonts w:hint="eastAsia" w:eastAsiaTheme="minorEastAsia"/>
          <w:sz w:val="24"/>
        </w:rPr>
        <w:t>(2)合同签订后，双方按照约定履行各自合同权利义务。</w:t>
      </w:r>
    </w:p>
    <w:p>
      <w:pPr>
        <w:numPr>
          <w:ilvl w:val="0"/>
          <w:numId w:val="9"/>
        </w:numPr>
        <w:spacing w:line="440" w:lineRule="exact"/>
        <w:ind w:firstLine="480" w:firstLineChars="200"/>
        <w:rPr>
          <w:rFonts w:eastAsiaTheme="minorEastAsia"/>
          <w:sz w:val="24"/>
        </w:rPr>
      </w:pPr>
      <w:r>
        <w:rPr>
          <w:rFonts w:hint="eastAsia" w:eastAsiaTheme="minorEastAsia"/>
          <w:sz w:val="24"/>
        </w:rPr>
        <w:t>附件作为本合同不可分割的一部分，</w:t>
      </w:r>
      <w:r>
        <w:rPr>
          <w:rFonts w:eastAsiaTheme="minorEastAsia"/>
          <w:sz w:val="24"/>
        </w:rPr>
        <w:t>与本合同</w:t>
      </w:r>
      <w:r>
        <w:rPr>
          <w:rFonts w:hint="eastAsia" w:eastAsiaTheme="minorEastAsia"/>
          <w:sz w:val="24"/>
        </w:rPr>
        <w:t>具有同等法律效力。</w:t>
      </w:r>
    </w:p>
    <w:p>
      <w:pPr>
        <w:numPr>
          <w:ilvl w:val="0"/>
          <w:numId w:val="9"/>
        </w:numPr>
        <w:spacing w:line="440" w:lineRule="exact"/>
        <w:ind w:firstLine="480" w:firstLineChars="200"/>
        <w:rPr>
          <w:rFonts w:eastAsiaTheme="minorEastAsia"/>
          <w:sz w:val="24"/>
        </w:rPr>
      </w:pPr>
      <w:r>
        <w:rPr>
          <w:rFonts w:hint="eastAsia" w:eastAsiaTheme="minorEastAsia"/>
          <w:sz w:val="24"/>
        </w:rPr>
        <w:t>本合同中涉及的耗材价格有效执行期为</w:t>
      </w:r>
      <w:r>
        <w:rPr>
          <w:rFonts w:hint="eastAsia"/>
          <w:color w:val="auto"/>
          <w:kern w:val="0"/>
          <w:sz w:val="24"/>
          <w:u w:val="single"/>
          <w:lang w:val="en-US" w:eastAsia="zh-CN"/>
        </w:rPr>
        <w:t xml:space="preserve">  </w:t>
      </w:r>
      <w:r>
        <w:rPr>
          <w:rFonts w:hint="eastAsia" w:eastAsiaTheme="minorEastAsia"/>
          <w:sz w:val="24"/>
        </w:rPr>
        <w:t>年。乙方保证该价格为同期同类产品的最优惠价格，在本合同期限内价格不得上涨，但如遇价格下调的，则按下调的新价格执行。</w:t>
      </w:r>
    </w:p>
    <w:p>
      <w:pPr>
        <w:numPr>
          <w:ilvl w:val="0"/>
          <w:numId w:val="9"/>
        </w:numPr>
        <w:spacing w:line="360" w:lineRule="auto"/>
        <w:ind w:firstLine="480" w:firstLineChars="200"/>
        <w:rPr>
          <w:rFonts w:eastAsiaTheme="minorEastAsia"/>
          <w:sz w:val="24"/>
        </w:rPr>
      </w:pPr>
      <w:r>
        <w:rPr>
          <w:rFonts w:hint="eastAsia" w:eastAsiaTheme="minorEastAsia"/>
          <w:sz w:val="24"/>
        </w:rPr>
        <w:t>双方确认：双方在本合同载明的地址、传真、邮箱，为法院、仲裁、相对方可以送达资料、通知等文件的有效地址、传真、邮箱，任何一方变更均应以书面形式通知对方，否则承担因此带来的不利后果。双方同意：以邮寄方式向对方发送文件的，自文件交付给邮寄单位之日起</w:t>
      </w:r>
      <w:r>
        <w:rPr>
          <w:rFonts w:eastAsiaTheme="minorEastAsia"/>
          <w:sz w:val="24"/>
        </w:rPr>
        <w:t>3天内视为送达；以传真、电子邮件方式向对方发送文件的，自发送时视为送达；以当面送达方式送达文件的，以各方有权接受文件的代表签收视为送达。</w:t>
      </w:r>
    </w:p>
    <w:p>
      <w:pPr>
        <w:spacing w:line="360" w:lineRule="auto"/>
        <w:ind w:firstLine="480" w:firstLineChars="200"/>
        <w:rPr>
          <w:sz w:val="24"/>
        </w:rPr>
      </w:pPr>
      <w:r>
        <w:rPr>
          <w:sz w:val="24"/>
        </w:rPr>
        <w:t>6</w:t>
      </w:r>
      <w:r>
        <w:rPr>
          <w:rFonts w:hint="eastAsia"/>
          <w:sz w:val="24"/>
        </w:rPr>
        <w:t>、根据工业和信息化部、国家统计局、国家发展和改革委员会、财政部联合印发《关于印发中小企业划型标准规定的通知》的中小企业划分标准，我公司承诺本公司属于：非中小企业□、中型企业□、小型企业□、微型企业□。</w:t>
      </w:r>
    </w:p>
    <w:p>
      <w:pPr>
        <w:spacing w:line="360" w:lineRule="auto"/>
        <w:ind w:firstLine="480" w:firstLineChars="200"/>
        <w:rPr>
          <w:sz w:val="24"/>
        </w:rPr>
      </w:pPr>
    </w:p>
    <w:p>
      <w:pPr>
        <w:pStyle w:val="32"/>
      </w:pPr>
    </w:p>
    <w:p>
      <w:pPr>
        <w:pStyle w:val="33"/>
        <w:rPr>
          <w:sz w:val="24"/>
        </w:rPr>
      </w:pPr>
    </w:p>
    <w:p>
      <w:pPr>
        <w:pStyle w:val="33"/>
        <w:rPr>
          <w:sz w:val="24"/>
        </w:rPr>
      </w:pPr>
    </w:p>
    <w:p>
      <w:pPr>
        <w:pStyle w:val="33"/>
        <w:rPr>
          <w:sz w:val="24"/>
        </w:rPr>
      </w:pPr>
    </w:p>
    <w:p>
      <w:pPr>
        <w:pStyle w:val="33"/>
        <w:rPr>
          <w:sz w:val="24"/>
        </w:rPr>
      </w:pPr>
    </w:p>
    <w:p>
      <w:pPr>
        <w:pStyle w:val="33"/>
        <w:rPr>
          <w:sz w:val="24"/>
        </w:rPr>
      </w:pPr>
    </w:p>
    <w:p>
      <w:pPr>
        <w:pStyle w:val="33"/>
        <w:rPr>
          <w:sz w:val="24"/>
        </w:rPr>
      </w:pPr>
    </w:p>
    <w:p>
      <w:pPr>
        <w:pStyle w:val="33"/>
        <w:rPr>
          <w:sz w:val="24"/>
        </w:rPr>
      </w:pPr>
    </w:p>
    <w:p>
      <w:pPr>
        <w:pStyle w:val="33"/>
        <w:rPr>
          <w:sz w:val="24"/>
        </w:rPr>
      </w:pPr>
    </w:p>
    <w:tbl>
      <w:tblPr>
        <w:tblStyle w:val="25"/>
        <w:tblpPr w:leftFromText="180" w:rightFromText="180" w:vertAnchor="text" w:horzAnchor="page" w:tblpX="1342" w:tblpY="367"/>
        <w:tblOverlap w:val="never"/>
        <w:tblW w:w="8673" w:type="dxa"/>
        <w:tblInd w:w="0" w:type="dxa"/>
        <w:tblLayout w:type="fixed"/>
        <w:tblCellMar>
          <w:top w:w="0" w:type="dxa"/>
          <w:left w:w="108" w:type="dxa"/>
          <w:bottom w:w="0" w:type="dxa"/>
          <w:right w:w="108" w:type="dxa"/>
        </w:tblCellMar>
      </w:tblPr>
      <w:tblGrid>
        <w:gridCol w:w="4216"/>
        <w:gridCol w:w="4457"/>
      </w:tblGrid>
      <w:tr>
        <w:tblPrEx>
          <w:tblCellMar>
            <w:top w:w="0" w:type="dxa"/>
            <w:left w:w="108" w:type="dxa"/>
            <w:bottom w:w="0" w:type="dxa"/>
            <w:right w:w="108" w:type="dxa"/>
          </w:tblCellMar>
        </w:tblPrEx>
        <w:trPr>
          <w:trHeight w:val="285" w:hRule="atLeast"/>
        </w:trPr>
        <w:tc>
          <w:tcPr>
            <w:tcW w:w="4216" w:type="dxa"/>
            <w:tcBorders>
              <w:top w:val="nil"/>
              <w:left w:val="nil"/>
              <w:bottom w:val="nil"/>
              <w:right w:val="nil"/>
            </w:tcBorders>
            <w:shd w:val="clear" w:color="auto" w:fill="auto"/>
            <w:vAlign w:val="center"/>
          </w:tcPr>
          <w:p>
            <w:pPr>
              <w:widowControl/>
              <w:spacing w:line="240" w:lineRule="auto"/>
              <w:rPr>
                <w:rFonts w:hint="eastAsia" w:eastAsiaTheme="majorEastAsia"/>
                <w:color w:val="000000"/>
                <w:kern w:val="0"/>
                <w:sz w:val="24"/>
                <w:lang w:eastAsia="zh-CN"/>
              </w:rPr>
            </w:pPr>
            <w:r>
              <w:rPr>
                <w:rFonts w:eastAsiaTheme="majorEastAsia"/>
                <w:color w:val="000000"/>
                <w:kern w:val="0"/>
                <w:sz w:val="24"/>
              </w:rPr>
              <w:t>甲方：</w:t>
            </w:r>
            <w:r>
              <w:rPr>
                <w:rFonts w:hint="eastAsia" w:eastAsiaTheme="majorEastAsia"/>
                <w:color w:val="000000"/>
                <w:kern w:val="0"/>
                <w:sz w:val="24"/>
                <w:lang w:eastAsia="zh-CN"/>
              </w:rPr>
              <w:t>西藏自治区妇产儿童医院（西藏自治区妇幼保健院）</w:t>
            </w:r>
          </w:p>
        </w:tc>
        <w:tc>
          <w:tcPr>
            <w:tcW w:w="4457"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r>
              <w:rPr>
                <w:rFonts w:eastAsiaTheme="majorEastAsia"/>
                <w:color w:val="000000"/>
                <w:kern w:val="0"/>
                <w:sz w:val="24"/>
              </w:rPr>
              <w:t>乙方：</w:t>
            </w:r>
            <w:r>
              <w:rPr>
                <w:rFonts w:hint="eastAsia" w:cs="Times New Roman" w:eastAsiaTheme="majorEastAsia"/>
                <w:color w:val="000000"/>
                <w:kern w:val="0"/>
                <w:sz w:val="24"/>
                <w:lang w:eastAsia="zh-CN"/>
              </w:rPr>
              <w:t>？？？</w:t>
            </w:r>
          </w:p>
        </w:tc>
      </w:tr>
      <w:tr>
        <w:tblPrEx>
          <w:tblCellMar>
            <w:top w:w="0" w:type="dxa"/>
            <w:left w:w="108" w:type="dxa"/>
            <w:bottom w:w="0" w:type="dxa"/>
            <w:right w:w="108" w:type="dxa"/>
          </w:tblCellMar>
        </w:tblPrEx>
        <w:trPr>
          <w:trHeight w:val="315" w:hRule="atLeast"/>
        </w:trPr>
        <w:tc>
          <w:tcPr>
            <w:tcW w:w="4216"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p>
        </w:tc>
        <w:tc>
          <w:tcPr>
            <w:tcW w:w="4457" w:type="dxa"/>
            <w:tcBorders>
              <w:top w:val="nil"/>
              <w:left w:val="nil"/>
              <w:bottom w:val="nil"/>
              <w:right w:val="nil"/>
            </w:tcBorders>
            <w:shd w:val="clear" w:color="auto" w:fill="auto"/>
            <w:vAlign w:val="center"/>
          </w:tcPr>
          <w:p>
            <w:pPr>
              <w:spacing w:line="240" w:lineRule="auto"/>
              <w:rPr>
                <w:rFonts w:eastAsiaTheme="majorEastAsia"/>
                <w:color w:val="000000"/>
                <w:kern w:val="0"/>
                <w:sz w:val="24"/>
              </w:rPr>
            </w:pPr>
          </w:p>
        </w:tc>
      </w:tr>
      <w:tr>
        <w:tblPrEx>
          <w:tblCellMar>
            <w:top w:w="0" w:type="dxa"/>
            <w:left w:w="108" w:type="dxa"/>
            <w:bottom w:w="0" w:type="dxa"/>
            <w:right w:w="108" w:type="dxa"/>
          </w:tblCellMar>
        </w:tblPrEx>
        <w:trPr>
          <w:trHeight w:val="315" w:hRule="atLeast"/>
        </w:trPr>
        <w:tc>
          <w:tcPr>
            <w:tcW w:w="4216" w:type="dxa"/>
            <w:tcBorders>
              <w:top w:val="nil"/>
              <w:left w:val="nil"/>
              <w:bottom w:val="nil"/>
              <w:right w:val="nil"/>
            </w:tcBorders>
            <w:shd w:val="clear" w:color="auto" w:fill="auto"/>
            <w:vAlign w:val="center"/>
          </w:tcPr>
          <w:p>
            <w:pPr>
              <w:spacing w:beforeLines="0" w:afterLines="0" w:line="240" w:lineRule="auto"/>
              <w:rPr>
                <w:rFonts w:hint="default" w:eastAsia="宋体"/>
                <w:color w:val="000000"/>
                <w:kern w:val="0"/>
                <w:sz w:val="24"/>
                <w:lang w:val="en-US" w:eastAsia="zh-CN"/>
              </w:rPr>
            </w:pPr>
            <w:r>
              <w:rPr>
                <w:rFonts w:eastAsiaTheme="majorEastAsia"/>
                <w:color w:val="000000"/>
                <w:kern w:val="0"/>
                <w:sz w:val="24"/>
              </w:rPr>
              <w:t>住所地：</w:t>
            </w:r>
            <w:r>
              <w:rPr>
                <w:rFonts w:hint="default" w:ascii="Times New Roman" w:hAnsi="Times New Roman" w:eastAsia="Times New Roman"/>
                <w:sz w:val="24"/>
                <w:szCs w:val="24"/>
                <w:lang w:val="zh-CN"/>
              </w:rPr>
              <w:t>拉萨市柳梧新区察古大道</w:t>
            </w:r>
            <w:r>
              <w:rPr>
                <w:rFonts w:hint="eastAsia" w:eastAsia="宋体"/>
                <w:sz w:val="24"/>
                <w:szCs w:val="24"/>
                <w:lang w:val="en-US" w:eastAsia="zh-CN"/>
              </w:rPr>
              <w:t>10号</w:t>
            </w:r>
          </w:p>
        </w:tc>
        <w:tc>
          <w:tcPr>
            <w:tcW w:w="4457"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r>
              <w:rPr>
                <w:rFonts w:eastAsiaTheme="majorEastAsia"/>
                <w:color w:val="000000"/>
                <w:kern w:val="0"/>
                <w:sz w:val="24"/>
              </w:rPr>
              <w:t>住所地：</w:t>
            </w:r>
          </w:p>
        </w:tc>
      </w:tr>
      <w:tr>
        <w:tblPrEx>
          <w:tblCellMar>
            <w:top w:w="0" w:type="dxa"/>
            <w:left w:w="108" w:type="dxa"/>
            <w:bottom w:w="0" w:type="dxa"/>
            <w:right w:w="108" w:type="dxa"/>
          </w:tblCellMar>
        </w:tblPrEx>
        <w:trPr>
          <w:trHeight w:val="315" w:hRule="atLeast"/>
        </w:trPr>
        <w:tc>
          <w:tcPr>
            <w:tcW w:w="4216" w:type="dxa"/>
            <w:tcBorders>
              <w:top w:val="nil"/>
              <w:left w:val="nil"/>
              <w:bottom w:val="nil"/>
              <w:right w:val="nil"/>
            </w:tcBorders>
            <w:shd w:val="clear" w:color="auto" w:fill="auto"/>
            <w:vAlign w:val="center"/>
          </w:tcPr>
          <w:p>
            <w:pPr>
              <w:widowControl/>
              <w:spacing w:line="240" w:lineRule="auto"/>
              <w:rPr>
                <w:rFonts w:hint="default" w:eastAsiaTheme="majorEastAsia"/>
                <w:color w:val="000000"/>
                <w:kern w:val="0"/>
                <w:sz w:val="24"/>
                <w:lang w:val="en-US" w:eastAsia="zh-CN"/>
              </w:rPr>
            </w:pPr>
            <w:r>
              <w:rPr>
                <w:rFonts w:eastAsiaTheme="majorEastAsia"/>
                <w:color w:val="000000"/>
                <w:kern w:val="0"/>
                <w:sz w:val="24"/>
              </w:rPr>
              <w:t>电话：</w:t>
            </w:r>
            <w:r>
              <w:rPr>
                <w:rFonts w:hint="eastAsia" w:eastAsiaTheme="majorEastAsia"/>
                <w:color w:val="000000"/>
                <w:kern w:val="0"/>
                <w:sz w:val="24"/>
                <w:lang w:val="en-US" w:eastAsia="zh-CN"/>
              </w:rPr>
              <w:t>0891-6629040</w:t>
            </w:r>
          </w:p>
        </w:tc>
        <w:tc>
          <w:tcPr>
            <w:tcW w:w="4457"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r>
              <w:rPr>
                <w:rFonts w:eastAsiaTheme="majorEastAsia"/>
                <w:color w:val="000000"/>
                <w:kern w:val="0"/>
                <w:sz w:val="24"/>
              </w:rPr>
              <w:t>电话：</w:t>
            </w:r>
          </w:p>
        </w:tc>
      </w:tr>
      <w:tr>
        <w:tblPrEx>
          <w:tblCellMar>
            <w:top w:w="0" w:type="dxa"/>
            <w:left w:w="108" w:type="dxa"/>
            <w:bottom w:w="0" w:type="dxa"/>
            <w:right w:w="108" w:type="dxa"/>
          </w:tblCellMar>
        </w:tblPrEx>
        <w:trPr>
          <w:trHeight w:val="285" w:hRule="atLeast"/>
        </w:trPr>
        <w:tc>
          <w:tcPr>
            <w:tcW w:w="4216" w:type="dxa"/>
            <w:tcBorders>
              <w:top w:val="nil"/>
              <w:left w:val="nil"/>
              <w:bottom w:val="nil"/>
              <w:right w:val="nil"/>
            </w:tcBorders>
            <w:shd w:val="clear" w:color="auto" w:fill="auto"/>
            <w:vAlign w:val="center"/>
          </w:tcPr>
          <w:p>
            <w:pPr>
              <w:widowControl/>
              <w:spacing w:line="240" w:lineRule="auto"/>
              <w:rPr>
                <w:rFonts w:hint="eastAsia" w:eastAsiaTheme="majorEastAsia"/>
                <w:color w:val="000000"/>
                <w:kern w:val="0"/>
                <w:sz w:val="24"/>
                <w:lang w:val="en-US" w:eastAsia="zh-CN"/>
              </w:rPr>
            </w:pPr>
            <w:r>
              <w:rPr>
                <w:rFonts w:eastAsiaTheme="majorEastAsia"/>
                <w:color w:val="000000"/>
                <w:kern w:val="0"/>
                <w:sz w:val="24"/>
              </w:rPr>
              <w:t>传真：</w:t>
            </w:r>
            <w:r>
              <w:rPr>
                <w:rFonts w:hint="eastAsia" w:eastAsiaTheme="majorEastAsia"/>
                <w:color w:val="000000"/>
                <w:kern w:val="0"/>
                <w:sz w:val="24"/>
                <w:lang w:val="en-US" w:eastAsia="zh-CN"/>
              </w:rPr>
              <w:t>/</w:t>
            </w:r>
          </w:p>
        </w:tc>
        <w:tc>
          <w:tcPr>
            <w:tcW w:w="4457" w:type="dxa"/>
            <w:tcBorders>
              <w:top w:val="nil"/>
              <w:left w:val="nil"/>
              <w:bottom w:val="nil"/>
              <w:right w:val="nil"/>
            </w:tcBorders>
            <w:shd w:val="clear" w:color="auto" w:fill="auto"/>
            <w:vAlign w:val="center"/>
          </w:tcPr>
          <w:p>
            <w:pPr>
              <w:widowControl/>
              <w:spacing w:line="240" w:lineRule="auto"/>
              <w:rPr>
                <w:rFonts w:hint="eastAsia" w:eastAsiaTheme="majorEastAsia"/>
                <w:color w:val="000000"/>
                <w:kern w:val="0"/>
                <w:sz w:val="24"/>
                <w:lang w:val="en-US" w:eastAsia="zh-CN"/>
              </w:rPr>
            </w:pPr>
            <w:r>
              <w:rPr>
                <w:rFonts w:eastAsiaTheme="majorEastAsia"/>
                <w:color w:val="000000"/>
                <w:kern w:val="0"/>
                <w:sz w:val="24"/>
              </w:rPr>
              <w:t>传真：</w:t>
            </w:r>
          </w:p>
        </w:tc>
      </w:tr>
      <w:tr>
        <w:tblPrEx>
          <w:tblCellMar>
            <w:top w:w="0" w:type="dxa"/>
            <w:left w:w="108" w:type="dxa"/>
            <w:bottom w:w="0" w:type="dxa"/>
            <w:right w:w="108" w:type="dxa"/>
          </w:tblCellMar>
        </w:tblPrEx>
        <w:trPr>
          <w:trHeight w:val="285" w:hRule="atLeast"/>
        </w:trPr>
        <w:tc>
          <w:tcPr>
            <w:tcW w:w="4216"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p>
        </w:tc>
        <w:tc>
          <w:tcPr>
            <w:tcW w:w="4457" w:type="dxa"/>
            <w:tcBorders>
              <w:top w:val="nil"/>
              <w:left w:val="nil"/>
              <w:bottom w:val="nil"/>
              <w:right w:val="nil"/>
            </w:tcBorders>
            <w:shd w:val="clear" w:color="auto" w:fill="auto"/>
            <w:vAlign w:val="center"/>
          </w:tcPr>
          <w:p>
            <w:pPr>
              <w:widowControl/>
              <w:spacing w:line="240" w:lineRule="auto"/>
              <w:rPr>
                <w:rFonts w:eastAsiaTheme="majorEastAsia"/>
                <w:kern w:val="0"/>
                <w:sz w:val="20"/>
                <w:szCs w:val="20"/>
              </w:rPr>
            </w:pPr>
          </w:p>
        </w:tc>
      </w:tr>
      <w:tr>
        <w:tblPrEx>
          <w:tblCellMar>
            <w:top w:w="0" w:type="dxa"/>
            <w:left w:w="108" w:type="dxa"/>
            <w:bottom w:w="0" w:type="dxa"/>
            <w:right w:w="108" w:type="dxa"/>
          </w:tblCellMar>
        </w:tblPrEx>
        <w:trPr>
          <w:trHeight w:val="285" w:hRule="atLeast"/>
        </w:trPr>
        <w:tc>
          <w:tcPr>
            <w:tcW w:w="4216" w:type="dxa"/>
            <w:tcBorders>
              <w:top w:val="nil"/>
              <w:left w:val="nil"/>
              <w:bottom w:val="nil"/>
              <w:right w:val="nil"/>
            </w:tcBorders>
            <w:shd w:val="clear" w:color="auto" w:fill="auto"/>
            <w:vAlign w:val="center"/>
          </w:tcPr>
          <w:p>
            <w:pPr>
              <w:widowControl/>
              <w:spacing w:line="240" w:lineRule="auto"/>
              <w:rPr>
                <w:rFonts w:hint="eastAsia" w:eastAsiaTheme="majorEastAsia"/>
                <w:color w:val="000000"/>
                <w:kern w:val="0"/>
                <w:sz w:val="24"/>
                <w:lang w:val="en-US" w:eastAsia="zh-CN"/>
              </w:rPr>
            </w:pPr>
            <w:r>
              <w:rPr>
                <w:rFonts w:eastAsiaTheme="majorEastAsia"/>
                <w:color w:val="000000"/>
                <w:kern w:val="0"/>
                <w:sz w:val="24"/>
              </w:rPr>
              <w:t>法定代表人：</w:t>
            </w:r>
            <w:r>
              <w:rPr>
                <w:rFonts w:hint="eastAsia" w:eastAsiaTheme="majorEastAsia"/>
                <w:color w:val="000000"/>
                <w:kern w:val="0"/>
                <w:sz w:val="24"/>
                <w:u w:val="single"/>
                <w:lang w:val="en-US" w:eastAsia="zh-CN"/>
              </w:rPr>
              <w:t>王秋</w:t>
            </w:r>
          </w:p>
        </w:tc>
        <w:tc>
          <w:tcPr>
            <w:tcW w:w="4457" w:type="dxa"/>
            <w:tcBorders>
              <w:top w:val="nil"/>
              <w:left w:val="nil"/>
              <w:bottom w:val="nil"/>
              <w:right w:val="nil"/>
            </w:tcBorders>
            <w:shd w:val="clear" w:color="auto" w:fill="auto"/>
            <w:vAlign w:val="center"/>
          </w:tcPr>
          <w:p>
            <w:pPr>
              <w:widowControl/>
              <w:spacing w:line="240" w:lineRule="auto"/>
              <w:rPr>
                <w:rFonts w:hint="default" w:eastAsiaTheme="majorEastAsia"/>
                <w:color w:val="000000"/>
                <w:kern w:val="0"/>
                <w:sz w:val="24"/>
                <w:lang w:val="en-US" w:eastAsia="zh-CN"/>
              </w:rPr>
            </w:pPr>
            <w:r>
              <w:rPr>
                <w:rFonts w:eastAsiaTheme="majorEastAsia"/>
                <w:color w:val="000000"/>
                <w:kern w:val="0"/>
                <w:sz w:val="24"/>
              </w:rPr>
              <w:t>法定代表人：</w:t>
            </w:r>
            <w:r>
              <w:rPr>
                <w:rFonts w:hint="eastAsia" w:eastAsiaTheme="majorEastAsia"/>
                <w:color w:val="000000"/>
                <w:kern w:val="0"/>
                <w:sz w:val="24"/>
                <w:u w:val="single"/>
                <w:lang w:val="en-US" w:eastAsia="zh-CN"/>
              </w:rPr>
              <w:t xml:space="preserve">    </w:t>
            </w:r>
          </w:p>
        </w:tc>
      </w:tr>
      <w:tr>
        <w:tblPrEx>
          <w:tblCellMar>
            <w:top w:w="0" w:type="dxa"/>
            <w:left w:w="108" w:type="dxa"/>
            <w:bottom w:w="0" w:type="dxa"/>
            <w:right w:w="108" w:type="dxa"/>
          </w:tblCellMar>
        </w:tblPrEx>
        <w:trPr>
          <w:trHeight w:val="285" w:hRule="atLeast"/>
        </w:trPr>
        <w:tc>
          <w:tcPr>
            <w:tcW w:w="4216"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p>
        </w:tc>
        <w:tc>
          <w:tcPr>
            <w:tcW w:w="4457" w:type="dxa"/>
            <w:tcBorders>
              <w:top w:val="nil"/>
              <w:left w:val="nil"/>
              <w:bottom w:val="nil"/>
              <w:right w:val="nil"/>
            </w:tcBorders>
            <w:shd w:val="clear" w:color="auto" w:fill="auto"/>
            <w:vAlign w:val="center"/>
          </w:tcPr>
          <w:p>
            <w:pPr>
              <w:widowControl/>
              <w:spacing w:line="240" w:lineRule="auto"/>
              <w:rPr>
                <w:rFonts w:eastAsiaTheme="majorEastAsia"/>
                <w:kern w:val="0"/>
                <w:sz w:val="20"/>
                <w:szCs w:val="20"/>
              </w:rPr>
            </w:pPr>
          </w:p>
        </w:tc>
      </w:tr>
      <w:tr>
        <w:tblPrEx>
          <w:tblCellMar>
            <w:top w:w="0" w:type="dxa"/>
            <w:left w:w="108" w:type="dxa"/>
            <w:bottom w:w="0" w:type="dxa"/>
            <w:right w:w="108" w:type="dxa"/>
          </w:tblCellMar>
        </w:tblPrEx>
        <w:trPr>
          <w:trHeight w:val="285" w:hRule="atLeast"/>
        </w:trPr>
        <w:tc>
          <w:tcPr>
            <w:tcW w:w="4216" w:type="dxa"/>
            <w:tcBorders>
              <w:top w:val="nil"/>
              <w:left w:val="nil"/>
              <w:bottom w:val="nil"/>
              <w:right w:val="nil"/>
            </w:tcBorders>
            <w:shd w:val="clear" w:color="auto" w:fill="auto"/>
            <w:vAlign w:val="center"/>
          </w:tcPr>
          <w:p>
            <w:pPr>
              <w:widowControl/>
              <w:spacing w:line="240" w:lineRule="auto"/>
              <w:rPr>
                <w:rFonts w:hint="eastAsia" w:eastAsiaTheme="majorEastAsia"/>
                <w:color w:val="000000"/>
                <w:kern w:val="0"/>
                <w:sz w:val="24"/>
                <w:lang w:val="en-US" w:eastAsia="zh-CN"/>
              </w:rPr>
            </w:pPr>
            <w:r>
              <w:rPr>
                <w:rFonts w:eastAsiaTheme="majorEastAsia"/>
                <w:color w:val="000000"/>
                <w:kern w:val="0"/>
                <w:sz w:val="24"/>
              </w:rPr>
              <w:t>经办人：</w:t>
            </w:r>
            <w:r>
              <w:rPr>
                <w:rFonts w:hint="eastAsia" w:eastAsiaTheme="majorEastAsia"/>
                <w:color w:val="000000"/>
                <w:kern w:val="0"/>
                <w:sz w:val="24"/>
                <w:u w:val="single"/>
                <w:lang w:val="en-US" w:eastAsia="zh-CN"/>
              </w:rPr>
              <w:t>张哲</w:t>
            </w:r>
          </w:p>
        </w:tc>
        <w:tc>
          <w:tcPr>
            <w:tcW w:w="4457" w:type="dxa"/>
            <w:tcBorders>
              <w:top w:val="nil"/>
              <w:left w:val="nil"/>
              <w:bottom w:val="nil"/>
              <w:right w:val="nil"/>
            </w:tcBorders>
            <w:shd w:val="clear" w:color="auto" w:fill="auto"/>
            <w:vAlign w:val="center"/>
          </w:tcPr>
          <w:p>
            <w:pPr>
              <w:widowControl/>
              <w:spacing w:line="240" w:lineRule="auto"/>
              <w:rPr>
                <w:rFonts w:hint="default" w:eastAsiaTheme="majorEastAsia"/>
                <w:color w:val="000000"/>
                <w:kern w:val="0"/>
                <w:sz w:val="24"/>
                <w:lang w:val="en-US" w:eastAsia="zh-CN"/>
              </w:rPr>
            </w:pPr>
            <w:r>
              <w:rPr>
                <w:rFonts w:eastAsiaTheme="majorEastAsia"/>
                <w:color w:val="000000"/>
                <w:kern w:val="0"/>
                <w:sz w:val="24"/>
              </w:rPr>
              <w:t>经办人：</w:t>
            </w:r>
            <w:r>
              <w:rPr>
                <w:rFonts w:hint="eastAsia" w:eastAsiaTheme="majorEastAsia"/>
                <w:color w:val="000000"/>
                <w:kern w:val="0"/>
                <w:sz w:val="24"/>
                <w:u w:val="single"/>
                <w:lang w:val="en-US" w:eastAsia="zh-CN"/>
              </w:rPr>
              <w:t xml:space="preserve">   </w:t>
            </w:r>
          </w:p>
        </w:tc>
      </w:tr>
      <w:tr>
        <w:tblPrEx>
          <w:tblCellMar>
            <w:top w:w="0" w:type="dxa"/>
            <w:left w:w="108" w:type="dxa"/>
            <w:bottom w:w="0" w:type="dxa"/>
            <w:right w:w="108" w:type="dxa"/>
          </w:tblCellMar>
        </w:tblPrEx>
        <w:trPr>
          <w:trHeight w:val="285" w:hRule="atLeast"/>
        </w:trPr>
        <w:tc>
          <w:tcPr>
            <w:tcW w:w="4216"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p>
        </w:tc>
        <w:tc>
          <w:tcPr>
            <w:tcW w:w="4457"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p>
        </w:tc>
      </w:tr>
      <w:tr>
        <w:tblPrEx>
          <w:tblCellMar>
            <w:top w:w="0" w:type="dxa"/>
            <w:left w:w="108" w:type="dxa"/>
            <w:bottom w:w="0" w:type="dxa"/>
            <w:right w:w="108" w:type="dxa"/>
          </w:tblCellMar>
        </w:tblPrEx>
        <w:trPr>
          <w:trHeight w:val="285" w:hRule="atLeast"/>
        </w:trPr>
        <w:tc>
          <w:tcPr>
            <w:tcW w:w="4216"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p>
        </w:tc>
        <w:tc>
          <w:tcPr>
            <w:tcW w:w="4457" w:type="dxa"/>
            <w:tcBorders>
              <w:top w:val="nil"/>
              <w:left w:val="nil"/>
              <w:bottom w:val="nil"/>
              <w:right w:val="nil"/>
            </w:tcBorders>
            <w:shd w:val="clear" w:color="auto" w:fill="auto"/>
            <w:vAlign w:val="center"/>
          </w:tcPr>
          <w:p>
            <w:pPr>
              <w:widowControl/>
              <w:spacing w:line="240" w:lineRule="auto"/>
              <w:rPr>
                <w:rFonts w:hint="eastAsia" w:eastAsiaTheme="majorEastAsia"/>
                <w:color w:val="000000"/>
                <w:kern w:val="0"/>
                <w:sz w:val="24"/>
                <w:lang w:val="en-US" w:eastAsia="zh-CN"/>
              </w:rPr>
            </w:pPr>
            <w:r>
              <w:rPr>
                <w:rFonts w:eastAsiaTheme="majorEastAsia"/>
                <w:color w:val="000000"/>
                <w:kern w:val="0"/>
                <w:sz w:val="24"/>
              </w:rPr>
              <w:t>经办人电话</w:t>
            </w:r>
            <w:r>
              <w:rPr>
                <w:rFonts w:hint="eastAsia" w:eastAsiaTheme="majorEastAsia"/>
                <w:color w:val="000000"/>
                <w:kern w:val="0"/>
                <w:sz w:val="24"/>
                <w:lang w:eastAsia="zh-CN"/>
              </w:rPr>
              <w:t>：</w:t>
            </w:r>
          </w:p>
        </w:tc>
      </w:tr>
      <w:tr>
        <w:tblPrEx>
          <w:tblCellMar>
            <w:top w:w="0" w:type="dxa"/>
            <w:left w:w="108" w:type="dxa"/>
            <w:bottom w:w="0" w:type="dxa"/>
            <w:right w:w="108" w:type="dxa"/>
          </w:tblCellMar>
        </w:tblPrEx>
        <w:trPr>
          <w:trHeight w:val="285" w:hRule="atLeast"/>
        </w:trPr>
        <w:tc>
          <w:tcPr>
            <w:tcW w:w="4216"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p>
        </w:tc>
        <w:tc>
          <w:tcPr>
            <w:tcW w:w="4457" w:type="dxa"/>
            <w:tcBorders>
              <w:top w:val="nil"/>
              <w:left w:val="nil"/>
              <w:bottom w:val="nil"/>
              <w:right w:val="nil"/>
            </w:tcBorders>
            <w:shd w:val="clear" w:color="auto" w:fill="auto"/>
            <w:vAlign w:val="center"/>
          </w:tcPr>
          <w:p>
            <w:pPr>
              <w:widowControl/>
              <w:spacing w:line="240" w:lineRule="auto"/>
              <w:rPr>
                <w:rFonts w:eastAsiaTheme="majorEastAsia"/>
                <w:kern w:val="0"/>
                <w:sz w:val="20"/>
                <w:szCs w:val="20"/>
              </w:rPr>
            </w:pPr>
          </w:p>
        </w:tc>
      </w:tr>
      <w:tr>
        <w:tblPrEx>
          <w:tblCellMar>
            <w:top w:w="0" w:type="dxa"/>
            <w:left w:w="108" w:type="dxa"/>
            <w:bottom w:w="0" w:type="dxa"/>
            <w:right w:w="108" w:type="dxa"/>
          </w:tblCellMar>
        </w:tblPrEx>
        <w:trPr>
          <w:trHeight w:val="285" w:hRule="atLeast"/>
        </w:trPr>
        <w:tc>
          <w:tcPr>
            <w:tcW w:w="4216"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r>
              <w:rPr>
                <w:rFonts w:eastAsiaTheme="majorEastAsia"/>
                <w:color w:val="000000"/>
                <w:kern w:val="0"/>
                <w:sz w:val="24"/>
              </w:rPr>
              <w:t>日期：</w:t>
            </w:r>
          </w:p>
        </w:tc>
        <w:tc>
          <w:tcPr>
            <w:tcW w:w="4457" w:type="dxa"/>
            <w:tcBorders>
              <w:top w:val="nil"/>
              <w:left w:val="nil"/>
              <w:bottom w:val="nil"/>
              <w:right w:val="nil"/>
            </w:tcBorders>
            <w:shd w:val="clear" w:color="auto" w:fill="auto"/>
            <w:vAlign w:val="center"/>
          </w:tcPr>
          <w:p>
            <w:pPr>
              <w:widowControl/>
              <w:spacing w:line="240" w:lineRule="auto"/>
              <w:rPr>
                <w:rFonts w:hint="eastAsia" w:eastAsiaTheme="majorEastAsia"/>
                <w:color w:val="000000"/>
                <w:kern w:val="0"/>
                <w:sz w:val="24"/>
                <w:lang w:val="en-US" w:eastAsia="zh-CN"/>
              </w:rPr>
            </w:pPr>
            <w:r>
              <w:rPr>
                <w:rFonts w:eastAsiaTheme="majorEastAsia"/>
                <w:color w:val="000000"/>
                <w:kern w:val="0"/>
                <w:sz w:val="24"/>
              </w:rPr>
              <w:t>日期：</w:t>
            </w:r>
          </w:p>
        </w:tc>
      </w:tr>
      <w:tr>
        <w:tblPrEx>
          <w:tblCellMar>
            <w:top w:w="0" w:type="dxa"/>
            <w:left w:w="108" w:type="dxa"/>
            <w:bottom w:w="0" w:type="dxa"/>
            <w:right w:w="108" w:type="dxa"/>
          </w:tblCellMar>
        </w:tblPrEx>
        <w:trPr>
          <w:trHeight w:val="315" w:hRule="atLeast"/>
        </w:trPr>
        <w:tc>
          <w:tcPr>
            <w:tcW w:w="4216" w:type="dxa"/>
            <w:tcBorders>
              <w:top w:val="nil"/>
              <w:left w:val="nil"/>
              <w:bottom w:val="nil"/>
              <w:right w:val="nil"/>
            </w:tcBorders>
            <w:shd w:val="clear" w:color="auto" w:fill="auto"/>
            <w:vAlign w:val="center"/>
          </w:tcPr>
          <w:p>
            <w:pPr>
              <w:widowControl/>
              <w:spacing w:line="240" w:lineRule="auto"/>
              <w:jc w:val="left"/>
              <w:rPr>
                <w:rFonts w:eastAsiaTheme="majorEastAsia"/>
                <w:color w:val="000000"/>
                <w:kern w:val="0"/>
                <w:sz w:val="24"/>
              </w:rPr>
            </w:pPr>
            <w:r>
              <w:rPr>
                <w:rFonts w:eastAsiaTheme="majorEastAsia"/>
                <w:color w:val="000000"/>
                <w:kern w:val="0"/>
                <w:sz w:val="24"/>
              </w:rPr>
              <w:t>开户行：</w:t>
            </w:r>
            <w:r>
              <w:rPr>
                <w:rFonts w:hint="eastAsia" w:eastAsiaTheme="majorEastAsia"/>
                <w:color w:val="000000"/>
                <w:kern w:val="0"/>
                <w:sz w:val="24"/>
              </w:rPr>
              <w:t>中国银行股份有限公司拉萨市柳梧支行</w:t>
            </w:r>
          </w:p>
        </w:tc>
        <w:tc>
          <w:tcPr>
            <w:tcW w:w="4457" w:type="dxa"/>
            <w:tcBorders>
              <w:top w:val="nil"/>
              <w:left w:val="nil"/>
              <w:bottom w:val="nil"/>
              <w:right w:val="nil"/>
            </w:tcBorders>
            <w:shd w:val="clear" w:color="auto" w:fill="auto"/>
            <w:vAlign w:val="center"/>
          </w:tcPr>
          <w:p>
            <w:pPr>
              <w:widowControl/>
              <w:spacing w:line="240" w:lineRule="auto"/>
              <w:jc w:val="left"/>
              <w:rPr>
                <w:rFonts w:eastAsiaTheme="majorEastAsia"/>
                <w:color w:val="000000"/>
                <w:kern w:val="0"/>
                <w:sz w:val="24"/>
              </w:rPr>
            </w:pPr>
            <w:r>
              <w:rPr>
                <w:rFonts w:eastAsiaTheme="majorEastAsia"/>
                <w:color w:val="000000"/>
                <w:kern w:val="0"/>
                <w:sz w:val="24"/>
              </w:rPr>
              <w:t>开户行：</w:t>
            </w:r>
          </w:p>
        </w:tc>
      </w:tr>
      <w:tr>
        <w:tblPrEx>
          <w:tblCellMar>
            <w:top w:w="0" w:type="dxa"/>
            <w:left w:w="108" w:type="dxa"/>
            <w:bottom w:w="0" w:type="dxa"/>
            <w:right w:w="108" w:type="dxa"/>
          </w:tblCellMar>
        </w:tblPrEx>
        <w:trPr>
          <w:trHeight w:val="63" w:hRule="atLeast"/>
        </w:trPr>
        <w:tc>
          <w:tcPr>
            <w:tcW w:w="4216"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r>
              <w:rPr>
                <w:rFonts w:eastAsiaTheme="majorEastAsia"/>
                <w:color w:val="000000"/>
                <w:kern w:val="0"/>
                <w:sz w:val="24"/>
              </w:rPr>
              <w:t>账号：</w:t>
            </w:r>
            <w:r>
              <w:rPr>
                <w:rFonts w:hint="eastAsia" w:eastAsiaTheme="majorEastAsia"/>
                <w:color w:val="000000"/>
                <w:kern w:val="0"/>
                <w:sz w:val="24"/>
              </w:rPr>
              <w:t>138818753092</w:t>
            </w:r>
          </w:p>
        </w:tc>
        <w:tc>
          <w:tcPr>
            <w:tcW w:w="4457"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r>
              <w:rPr>
                <w:rFonts w:eastAsiaTheme="majorEastAsia"/>
                <w:color w:val="000000"/>
                <w:kern w:val="0"/>
                <w:sz w:val="24"/>
              </w:rPr>
              <w:t>账号：</w:t>
            </w:r>
          </w:p>
        </w:tc>
      </w:tr>
      <w:tr>
        <w:tblPrEx>
          <w:tblCellMar>
            <w:top w:w="0" w:type="dxa"/>
            <w:left w:w="108" w:type="dxa"/>
            <w:bottom w:w="0" w:type="dxa"/>
            <w:right w:w="108" w:type="dxa"/>
          </w:tblCellMar>
        </w:tblPrEx>
        <w:trPr>
          <w:trHeight w:val="63" w:hRule="atLeast"/>
        </w:trPr>
        <w:tc>
          <w:tcPr>
            <w:tcW w:w="4216" w:type="dxa"/>
            <w:tcBorders>
              <w:top w:val="nil"/>
              <w:left w:val="nil"/>
              <w:bottom w:val="nil"/>
              <w:right w:val="nil"/>
            </w:tcBorders>
            <w:shd w:val="clear" w:color="auto" w:fill="auto"/>
            <w:vAlign w:val="center"/>
          </w:tcPr>
          <w:p>
            <w:pPr>
              <w:widowControl/>
              <w:spacing w:line="240" w:lineRule="auto"/>
              <w:jc w:val="left"/>
              <w:rPr>
                <w:rFonts w:eastAsiaTheme="majorEastAsia"/>
                <w:color w:val="000000"/>
                <w:kern w:val="0"/>
                <w:sz w:val="24"/>
              </w:rPr>
            </w:pPr>
            <w:r>
              <w:rPr>
                <w:rFonts w:eastAsiaTheme="majorEastAsia"/>
                <w:color w:val="000000"/>
                <w:kern w:val="0"/>
                <w:sz w:val="24"/>
              </w:rPr>
              <w:t>纳税人识别</w:t>
            </w:r>
            <w:r>
              <w:rPr>
                <w:rFonts w:hint="eastAsia" w:eastAsiaTheme="majorEastAsia"/>
                <w:color w:val="000000"/>
                <w:kern w:val="0"/>
                <w:sz w:val="24"/>
              </w:rPr>
              <w:t>号：</w:t>
            </w:r>
            <w:r>
              <w:rPr>
                <w:rFonts w:hint="default" w:eastAsiaTheme="majorEastAsia"/>
                <w:color w:val="000000"/>
                <w:kern w:val="0"/>
                <w:sz w:val="24"/>
                <w:lang w:val="zh-CN"/>
              </w:rPr>
              <w:t>12540000MB1</w:t>
            </w:r>
            <w:r>
              <w:rPr>
                <w:rFonts w:hint="eastAsia" w:eastAsiaTheme="majorEastAsia"/>
                <w:color w:val="000000"/>
                <w:kern w:val="0"/>
                <w:sz w:val="24"/>
                <w:lang w:val="en-US" w:eastAsia="zh-CN"/>
              </w:rPr>
              <w:t>D</w:t>
            </w:r>
            <w:r>
              <w:rPr>
                <w:rFonts w:hint="default" w:eastAsiaTheme="majorEastAsia"/>
                <w:color w:val="000000"/>
                <w:kern w:val="0"/>
                <w:sz w:val="24"/>
                <w:lang w:val="zh-CN"/>
              </w:rPr>
              <w:t>53376Y</w:t>
            </w:r>
          </w:p>
        </w:tc>
        <w:tc>
          <w:tcPr>
            <w:tcW w:w="4457" w:type="dxa"/>
            <w:tcBorders>
              <w:top w:val="nil"/>
              <w:left w:val="nil"/>
              <w:bottom w:val="nil"/>
              <w:right w:val="nil"/>
            </w:tcBorders>
            <w:shd w:val="clear" w:color="auto" w:fill="auto"/>
            <w:vAlign w:val="center"/>
          </w:tcPr>
          <w:p>
            <w:pPr>
              <w:widowControl/>
              <w:spacing w:line="240" w:lineRule="auto"/>
              <w:rPr>
                <w:rFonts w:eastAsiaTheme="majorEastAsia"/>
                <w:color w:val="000000"/>
                <w:kern w:val="0"/>
                <w:sz w:val="24"/>
              </w:rPr>
            </w:pPr>
            <w:r>
              <w:rPr>
                <w:rFonts w:eastAsiaTheme="majorEastAsia"/>
                <w:color w:val="000000"/>
                <w:kern w:val="0"/>
                <w:sz w:val="24"/>
              </w:rPr>
              <w:t>纳税人识别号：</w:t>
            </w:r>
          </w:p>
        </w:tc>
      </w:tr>
    </w:tbl>
    <w:p>
      <w:pPr>
        <w:spacing w:before="156" w:beforeLines="50" w:after="156" w:afterLines="50"/>
        <w:rPr>
          <w:rFonts w:hint="eastAsia" w:asciiTheme="majorEastAsia" w:hAnsiTheme="majorEastAsia" w:eastAsiaTheme="majorEastAsia" w:cstheme="majorEastAsia"/>
          <w:b/>
          <w:sz w:val="24"/>
          <w:szCs w:val="28"/>
        </w:rPr>
      </w:pPr>
      <w:r>
        <w:rPr>
          <w:b/>
          <w:sz w:val="24"/>
        </w:rPr>
        <w:br w:type="page"/>
      </w:r>
      <w:r>
        <w:rPr>
          <w:rFonts w:hint="eastAsia" w:asciiTheme="majorEastAsia" w:hAnsiTheme="majorEastAsia" w:eastAsiaTheme="majorEastAsia" w:cstheme="majorEastAsia"/>
          <w:b/>
          <w:sz w:val="24"/>
          <w:szCs w:val="28"/>
        </w:rPr>
        <w:t>附件一：有关投标保证金收退的温馨提示</w:t>
      </w:r>
    </w:p>
    <w:p>
      <w:pPr>
        <w:spacing w:line="360" w:lineRule="auto"/>
        <w:ind w:left="239" w:leftChars="114"/>
        <w:rPr>
          <w:rFonts w:hint="eastAsia" w:asciiTheme="majorEastAsia" w:hAnsiTheme="majorEastAsia" w:eastAsiaTheme="majorEastAsia" w:cstheme="majorEastAsia"/>
          <w:sz w:val="24"/>
          <w:lang w:val="en-US" w:eastAsia="zh-CN"/>
        </w:rPr>
      </w:pPr>
      <w:r>
        <w:rPr>
          <w:rFonts w:hint="eastAsia" w:asciiTheme="majorEastAsia" w:hAnsiTheme="majorEastAsia" w:eastAsiaTheme="majorEastAsia" w:cstheme="majorEastAsia"/>
          <w:sz w:val="24"/>
        </w:rPr>
        <w:t>1.投标保证金应当以支票、汇票、本票或者金融机构出具的保函等非现金形式提交。投标人未按照招标文件要求提交投标保证金的，投标无效。保证金提交以到账时间为准。请各报名供应商在规定时间内缴纳投标保证金，避免因银行退票等，出现保证金未按时到账等情况影响您的正常投标。保证金到账查询电话：</w:t>
      </w:r>
      <w:r>
        <w:rPr>
          <w:rFonts w:hint="eastAsia" w:asciiTheme="majorEastAsia" w:hAnsiTheme="majorEastAsia" w:eastAsiaTheme="majorEastAsia" w:cstheme="majorEastAsia"/>
          <w:sz w:val="24"/>
          <w:lang w:val="en-US" w:eastAsia="zh-CN"/>
        </w:rPr>
        <w:t>13880023210</w:t>
      </w:r>
    </w:p>
    <w:p>
      <w:pPr>
        <w:spacing w:line="360" w:lineRule="auto"/>
        <w:ind w:left="239" w:leftChars="114"/>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2.开标后，中标结果公告发布网站为：</w:t>
      </w:r>
      <w:r>
        <w:rPr>
          <w:rFonts w:hint="eastAsia" w:asciiTheme="majorEastAsia" w:hAnsiTheme="majorEastAsia" w:eastAsiaTheme="majorEastAsia" w:cstheme="majorEastAsia"/>
          <w:sz w:val="24"/>
          <w:lang w:eastAsia="zh-CN"/>
        </w:rPr>
        <w:t>西藏自治区</w:t>
      </w:r>
      <w:r>
        <w:rPr>
          <w:rFonts w:hint="eastAsia" w:asciiTheme="majorEastAsia" w:hAnsiTheme="majorEastAsia" w:eastAsiaTheme="majorEastAsia" w:cstheme="majorEastAsia"/>
          <w:sz w:val="24"/>
        </w:rPr>
        <w:t>政府采购网</w:t>
      </w:r>
    </w:p>
    <w:p>
      <w:pPr>
        <w:spacing w:line="360" w:lineRule="auto"/>
        <w:ind w:left="239" w:leftChars="114"/>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3.保证金退还程序：</w:t>
      </w:r>
    </w:p>
    <w:p>
      <w:pPr>
        <w:spacing w:line="360" w:lineRule="auto"/>
        <w:ind w:left="239" w:leftChars="114"/>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未中标供应商：我司将在中标通知书发出之日起5个工作日内退还未中标供应商的投标保证金，各供应商可自行查账，若项目中标通知书发出后5个工作日没有收到保证金的，可拨打财务电话（</w:t>
      </w:r>
      <w:r>
        <w:rPr>
          <w:rFonts w:hint="eastAsia" w:asciiTheme="majorEastAsia" w:hAnsiTheme="majorEastAsia" w:eastAsiaTheme="majorEastAsia" w:cstheme="majorEastAsia"/>
          <w:sz w:val="24"/>
          <w:szCs w:val="18"/>
          <w:lang w:val="en-US" w:eastAsia="zh-CN"/>
        </w:rPr>
        <w:t>1</w:t>
      </w:r>
      <w:r>
        <w:rPr>
          <w:rFonts w:hint="eastAsia" w:asciiTheme="majorEastAsia" w:hAnsiTheme="majorEastAsia" w:eastAsiaTheme="majorEastAsia" w:cstheme="majorEastAsia"/>
          <w:sz w:val="24"/>
          <w:lang w:val="en-US" w:eastAsia="zh-CN"/>
        </w:rPr>
        <w:t>3880023210</w:t>
      </w:r>
      <w:r>
        <w:rPr>
          <w:rFonts w:hint="eastAsia" w:asciiTheme="majorEastAsia" w:hAnsiTheme="majorEastAsia" w:eastAsiaTheme="majorEastAsia" w:cstheme="majorEastAsia"/>
          <w:sz w:val="24"/>
        </w:rPr>
        <w:t>）查询。</w:t>
      </w:r>
    </w:p>
    <w:p>
      <w:pPr>
        <w:spacing w:line="360" w:lineRule="auto"/>
        <w:ind w:left="239" w:leftChars="114"/>
        <w:rPr>
          <w:rFonts w:hint="eastAsia" w:asciiTheme="majorEastAsia" w:hAnsiTheme="majorEastAsia" w:eastAsiaTheme="majorEastAsia" w:cstheme="majorEastAsia"/>
          <w:sz w:val="24"/>
        </w:rPr>
        <w:sectPr>
          <w:pgSz w:w="11906" w:h="16838"/>
          <w:pgMar w:top="1440" w:right="1800" w:bottom="1440" w:left="1800" w:header="851" w:footer="992" w:gutter="0"/>
          <w:cols w:space="720" w:num="1"/>
          <w:docGrid w:type="lines" w:linePitch="312" w:charSpace="0"/>
        </w:sectPr>
      </w:pPr>
      <w:r>
        <w:rPr>
          <w:rFonts w:hint="eastAsia" w:asciiTheme="majorEastAsia" w:hAnsiTheme="majorEastAsia" w:eastAsiaTheme="majorEastAsia" w:cstheme="majorEastAsia"/>
          <w:sz w:val="24"/>
        </w:rPr>
        <w:t>中标供应商：中标单位需将采购合同交于我公司，我司将在收到中标单位上传的采购合同后为您办理保证金退还手续。若提交资料后5个工作日内未收到保证金的，可拨打财务电话（13880023210）查询。</w:t>
      </w:r>
    </w:p>
    <w:p>
      <w:pPr>
        <w:widowControl/>
        <w:jc w:val="left"/>
        <w:rPr>
          <w:rFonts w:hint="eastAsia" w:asciiTheme="majorEastAsia" w:hAnsiTheme="majorEastAsia" w:eastAsiaTheme="majorEastAsia" w:cstheme="majorEastAsia"/>
          <w:b/>
          <w:sz w:val="28"/>
          <w:szCs w:val="28"/>
        </w:rPr>
      </w:pPr>
      <w:r>
        <w:rPr>
          <w:rFonts w:hint="eastAsia" w:asciiTheme="majorEastAsia" w:hAnsiTheme="majorEastAsia" w:eastAsiaTheme="majorEastAsia" w:cstheme="majorEastAsia"/>
          <w:b/>
          <w:sz w:val="28"/>
          <w:szCs w:val="28"/>
        </w:rPr>
        <w:t>附件二：递交投标文件签收表</w:t>
      </w:r>
    </w:p>
    <w:bookmarkEnd w:id="173"/>
    <w:tbl>
      <w:tblPr>
        <w:tblStyle w:val="25"/>
        <w:tblW w:w="14314" w:type="dxa"/>
        <w:tblInd w:w="0" w:type="dxa"/>
        <w:tblLayout w:type="fixed"/>
        <w:tblCellMar>
          <w:top w:w="15" w:type="dxa"/>
          <w:left w:w="15" w:type="dxa"/>
          <w:bottom w:w="15" w:type="dxa"/>
          <w:right w:w="15" w:type="dxa"/>
        </w:tblCellMar>
      </w:tblPr>
      <w:tblGrid>
        <w:gridCol w:w="1276"/>
        <w:gridCol w:w="1808"/>
        <w:gridCol w:w="1747"/>
        <w:gridCol w:w="2150"/>
        <w:gridCol w:w="2233"/>
        <w:gridCol w:w="2835"/>
        <w:gridCol w:w="2265"/>
      </w:tblGrid>
      <w:tr>
        <w:tblPrEx>
          <w:tblCellMar>
            <w:top w:w="15" w:type="dxa"/>
            <w:left w:w="15" w:type="dxa"/>
            <w:bottom w:w="15" w:type="dxa"/>
            <w:right w:w="15" w:type="dxa"/>
          </w:tblCellMar>
        </w:tblPrEx>
        <w:trPr>
          <w:trHeight w:val="668" w:hRule="atLeast"/>
        </w:trPr>
        <w:tc>
          <w:tcPr>
            <w:tcW w:w="14314" w:type="dxa"/>
            <w:gridSpan w:val="7"/>
            <w:vAlign w:val="center"/>
          </w:tcPr>
          <w:p>
            <w:pPr>
              <w:jc w:val="center"/>
              <w:textAlignment w:val="center"/>
              <w:rPr>
                <w:rFonts w:hint="eastAsia" w:asciiTheme="majorEastAsia" w:hAnsiTheme="majorEastAsia" w:eastAsiaTheme="majorEastAsia" w:cstheme="majorEastAsia"/>
                <w:b/>
                <w:sz w:val="36"/>
                <w:szCs w:val="36"/>
                <w:u w:val="single"/>
              </w:rPr>
            </w:pPr>
            <w:r>
              <w:rPr>
                <w:rFonts w:hint="eastAsia" w:asciiTheme="majorEastAsia" w:hAnsiTheme="majorEastAsia" w:eastAsiaTheme="majorEastAsia" w:cstheme="majorEastAsia"/>
                <w:b/>
                <w:sz w:val="36"/>
                <w:szCs w:val="36"/>
                <w:u w:val="single"/>
              </w:rPr>
              <w:t>递交投标文件签收表</w:t>
            </w:r>
          </w:p>
        </w:tc>
      </w:tr>
      <w:tr>
        <w:tblPrEx>
          <w:tblCellMar>
            <w:top w:w="15" w:type="dxa"/>
            <w:left w:w="15" w:type="dxa"/>
            <w:bottom w:w="15" w:type="dxa"/>
            <w:right w:w="15" w:type="dxa"/>
          </w:tblCellMar>
        </w:tblPrEx>
        <w:trPr>
          <w:trHeight w:val="463" w:hRule="atLeast"/>
        </w:trPr>
        <w:tc>
          <w:tcPr>
            <w:tcW w:w="1276" w:type="dxa"/>
            <w:vAlign w:val="center"/>
          </w:tcPr>
          <w:p>
            <w:pPr>
              <w:widowControl/>
              <w:jc w:val="left"/>
              <w:textAlignment w:val="center"/>
              <w:rPr>
                <w:rFonts w:hint="eastAsia" w:asciiTheme="majorEastAsia" w:hAnsiTheme="majorEastAsia" w:eastAsiaTheme="majorEastAsia" w:cstheme="majorEastAsia"/>
                <w:b/>
                <w:sz w:val="22"/>
                <w:szCs w:val="22"/>
              </w:rPr>
            </w:pPr>
            <w:r>
              <w:rPr>
                <w:rFonts w:hint="eastAsia" w:asciiTheme="majorEastAsia" w:hAnsiTheme="majorEastAsia" w:eastAsiaTheme="majorEastAsia" w:cstheme="majorEastAsia"/>
                <w:b/>
                <w:kern w:val="0"/>
                <w:sz w:val="22"/>
                <w:szCs w:val="22"/>
              </w:rPr>
              <w:t>项目名称：</w:t>
            </w:r>
          </w:p>
        </w:tc>
        <w:tc>
          <w:tcPr>
            <w:tcW w:w="7938" w:type="dxa"/>
            <w:gridSpan w:val="4"/>
            <w:vAlign w:val="center"/>
          </w:tcPr>
          <w:p>
            <w:pPr>
              <w:jc w:val="left"/>
              <w:rPr>
                <w:rFonts w:hint="eastAsia" w:asciiTheme="majorEastAsia" w:hAnsiTheme="majorEastAsia" w:eastAsiaTheme="majorEastAsia" w:cstheme="majorEastAsia"/>
                <w:b/>
                <w:sz w:val="22"/>
                <w:szCs w:val="22"/>
              </w:rPr>
            </w:pPr>
          </w:p>
        </w:tc>
        <w:tc>
          <w:tcPr>
            <w:tcW w:w="2835" w:type="dxa"/>
            <w:vAlign w:val="center"/>
          </w:tcPr>
          <w:p>
            <w:pPr>
              <w:widowControl/>
              <w:ind w:right="990"/>
              <w:jc w:val="right"/>
              <w:textAlignment w:val="center"/>
              <w:rPr>
                <w:rFonts w:hint="eastAsia" w:asciiTheme="majorEastAsia" w:hAnsiTheme="majorEastAsia" w:eastAsiaTheme="majorEastAsia" w:cstheme="majorEastAsia"/>
                <w:b/>
                <w:sz w:val="22"/>
                <w:szCs w:val="22"/>
              </w:rPr>
            </w:pPr>
            <w:r>
              <w:rPr>
                <w:rFonts w:hint="eastAsia" w:asciiTheme="majorEastAsia" w:hAnsiTheme="majorEastAsia" w:eastAsiaTheme="majorEastAsia" w:cstheme="majorEastAsia"/>
                <w:b/>
                <w:kern w:val="0"/>
                <w:sz w:val="22"/>
                <w:szCs w:val="22"/>
              </w:rPr>
              <w:t>招标编号：</w:t>
            </w:r>
          </w:p>
        </w:tc>
        <w:tc>
          <w:tcPr>
            <w:tcW w:w="2265" w:type="dxa"/>
            <w:vAlign w:val="center"/>
          </w:tcPr>
          <w:p>
            <w:pPr>
              <w:rPr>
                <w:rFonts w:hint="eastAsia" w:asciiTheme="majorEastAsia" w:hAnsiTheme="majorEastAsia" w:eastAsiaTheme="majorEastAsia" w:cstheme="majorEastAsia"/>
                <w:b/>
                <w:sz w:val="22"/>
                <w:szCs w:val="22"/>
              </w:rPr>
            </w:pPr>
          </w:p>
        </w:tc>
      </w:tr>
      <w:tr>
        <w:tblPrEx>
          <w:tblCellMar>
            <w:top w:w="15" w:type="dxa"/>
            <w:left w:w="15" w:type="dxa"/>
            <w:bottom w:w="15" w:type="dxa"/>
            <w:right w:w="15" w:type="dxa"/>
          </w:tblCellMar>
        </w:tblPrEx>
        <w:trPr>
          <w:trHeight w:val="463" w:hRule="atLeast"/>
        </w:trPr>
        <w:tc>
          <w:tcPr>
            <w:tcW w:w="1276" w:type="dxa"/>
            <w:tcBorders>
              <w:bottom w:val="single" w:color="000000" w:sz="12" w:space="0"/>
            </w:tcBorders>
            <w:vAlign w:val="center"/>
          </w:tcPr>
          <w:p>
            <w:pPr>
              <w:widowControl/>
              <w:jc w:val="left"/>
              <w:textAlignment w:val="center"/>
              <w:rPr>
                <w:rFonts w:hint="eastAsia" w:asciiTheme="majorEastAsia" w:hAnsiTheme="majorEastAsia" w:eastAsiaTheme="majorEastAsia" w:cstheme="majorEastAsia"/>
                <w:b/>
                <w:sz w:val="22"/>
                <w:szCs w:val="22"/>
              </w:rPr>
            </w:pPr>
            <w:r>
              <w:rPr>
                <w:rFonts w:hint="eastAsia" w:asciiTheme="majorEastAsia" w:hAnsiTheme="majorEastAsia" w:eastAsiaTheme="majorEastAsia" w:cstheme="majorEastAsia"/>
                <w:b/>
                <w:kern w:val="0"/>
                <w:sz w:val="22"/>
                <w:szCs w:val="22"/>
              </w:rPr>
              <w:t>开标时间：</w:t>
            </w:r>
          </w:p>
        </w:tc>
        <w:tc>
          <w:tcPr>
            <w:tcW w:w="1808" w:type="dxa"/>
            <w:tcBorders>
              <w:bottom w:val="single" w:color="000000" w:sz="12" w:space="0"/>
            </w:tcBorders>
            <w:vAlign w:val="center"/>
          </w:tcPr>
          <w:p>
            <w:pPr>
              <w:rPr>
                <w:rFonts w:hint="eastAsia" w:asciiTheme="majorEastAsia" w:hAnsiTheme="majorEastAsia" w:eastAsiaTheme="majorEastAsia" w:cstheme="majorEastAsia"/>
                <w:b/>
                <w:sz w:val="22"/>
                <w:szCs w:val="22"/>
              </w:rPr>
            </w:pPr>
          </w:p>
        </w:tc>
        <w:tc>
          <w:tcPr>
            <w:tcW w:w="1747" w:type="dxa"/>
            <w:tcBorders>
              <w:bottom w:val="single" w:color="000000" w:sz="12" w:space="0"/>
            </w:tcBorders>
            <w:vAlign w:val="center"/>
          </w:tcPr>
          <w:p>
            <w:pPr>
              <w:rPr>
                <w:rFonts w:hint="eastAsia" w:asciiTheme="majorEastAsia" w:hAnsiTheme="majorEastAsia" w:eastAsiaTheme="majorEastAsia" w:cstheme="majorEastAsia"/>
                <w:b/>
                <w:sz w:val="22"/>
                <w:szCs w:val="22"/>
              </w:rPr>
            </w:pPr>
          </w:p>
        </w:tc>
        <w:tc>
          <w:tcPr>
            <w:tcW w:w="4383" w:type="dxa"/>
            <w:gridSpan w:val="2"/>
            <w:tcBorders>
              <w:bottom w:val="single" w:color="000000" w:sz="12" w:space="0"/>
            </w:tcBorders>
            <w:vAlign w:val="center"/>
          </w:tcPr>
          <w:p>
            <w:pPr>
              <w:rPr>
                <w:rFonts w:hint="eastAsia" w:asciiTheme="majorEastAsia" w:hAnsiTheme="majorEastAsia" w:eastAsiaTheme="majorEastAsia" w:cstheme="majorEastAsia"/>
              </w:rPr>
            </w:pPr>
          </w:p>
        </w:tc>
        <w:tc>
          <w:tcPr>
            <w:tcW w:w="2835" w:type="dxa"/>
            <w:tcBorders>
              <w:bottom w:val="single" w:color="000000" w:sz="12" w:space="0"/>
            </w:tcBorders>
            <w:vAlign w:val="center"/>
          </w:tcPr>
          <w:p>
            <w:pPr>
              <w:widowControl/>
              <w:ind w:right="990"/>
              <w:jc w:val="right"/>
              <w:textAlignment w:val="center"/>
              <w:rPr>
                <w:rFonts w:hint="eastAsia" w:asciiTheme="majorEastAsia" w:hAnsiTheme="majorEastAsia" w:eastAsiaTheme="majorEastAsia" w:cstheme="majorEastAsia"/>
                <w:b/>
                <w:sz w:val="22"/>
                <w:szCs w:val="22"/>
              </w:rPr>
            </w:pPr>
            <w:r>
              <w:rPr>
                <w:rFonts w:hint="eastAsia" w:asciiTheme="majorEastAsia" w:hAnsiTheme="majorEastAsia" w:eastAsiaTheme="majorEastAsia" w:cstheme="majorEastAsia"/>
                <w:b/>
                <w:kern w:val="0"/>
                <w:sz w:val="22"/>
                <w:szCs w:val="22"/>
              </w:rPr>
              <w:t>开标地点：</w:t>
            </w:r>
          </w:p>
        </w:tc>
        <w:tc>
          <w:tcPr>
            <w:tcW w:w="2265" w:type="dxa"/>
            <w:tcBorders>
              <w:bottom w:val="single" w:color="000000" w:sz="12" w:space="0"/>
            </w:tcBorders>
            <w:vAlign w:val="center"/>
          </w:tcPr>
          <w:p>
            <w:pPr>
              <w:rPr>
                <w:rFonts w:hint="eastAsia" w:asciiTheme="majorEastAsia" w:hAnsiTheme="majorEastAsia" w:eastAsiaTheme="majorEastAsia" w:cstheme="majorEastAsia"/>
                <w:b/>
                <w:sz w:val="22"/>
                <w:szCs w:val="22"/>
              </w:rPr>
            </w:pPr>
          </w:p>
        </w:tc>
      </w:tr>
      <w:tr>
        <w:tblPrEx>
          <w:tblCellMar>
            <w:top w:w="15" w:type="dxa"/>
            <w:left w:w="15" w:type="dxa"/>
            <w:bottom w:w="15" w:type="dxa"/>
            <w:right w:w="15" w:type="dxa"/>
          </w:tblCellMar>
        </w:tblPrEx>
        <w:trPr>
          <w:trHeight w:val="1231" w:hRule="atLeast"/>
        </w:trPr>
        <w:tc>
          <w:tcPr>
            <w:tcW w:w="1276" w:type="dxa"/>
            <w:tcBorders>
              <w:top w:val="single" w:color="000000" w:sz="12" w:space="0"/>
              <w:left w:val="single" w:color="000000" w:sz="12" w:space="0"/>
              <w:bottom w:val="single" w:color="000000" w:sz="4" w:space="0"/>
              <w:right w:val="single" w:color="000000" w:sz="4" w:space="0"/>
            </w:tcBorders>
            <w:vAlign w:val="center"/>
          </w:tcPr>
          <w:p>
            <w:pPr>
              <w:jc w:val="center"/>
              <w:textAlignment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包号</w:t>
            </w:r>
          </w:p>
        </w:tc>
        <w:tc>
          <w:tcPr>
            <w:tcW w:w="1808" w:type="dxa"/>
            <w:tcBorders>
              <w:top w:val="single" w:color="000000" w:sz="12" w:space="0"/>
              <w:left w:val="single" w:color="000000" w:sz="4" w:space="0"/>
              <w:bottom w:val="single" w:color="000000" w:sz="4" w:space="0"/>
              <w:right w:val="single" w:color="000000" w:sz="4" w:space="0"/>
            </w:tcBorders>
            <w:vAlign w:val="center"/>
          </w:tcPr>
          <w:p>
            <w:pPr>
              <w:jc w:val="center"/>
              <w:textAlignment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投标人</w:t>
            </w:r>
          </w:p>
        </w:tc>
        <w:tc>
          <w:tcPr>
            <w:tcW w:w="1747" w:type="dxa"/>
            <w:tcBorders>
              <w:top w:val="single" w:color="000000" w:sz="12" w:space="0"/>
              <w:left w:val="single" w:color="000000" w:sz="4" w:space="0"/>
              <w:bottom w:val="single" w:color="000000" w:sz="4" w:space="0"/>
              <w:right w:val="single" w:color="000000" w:sz="4" w:space="0"/>
            </w:tcBorders>
            <w:vAlign w:val="center"/>
          </w:tcPr>
          <w:p>
            <w:pPr>
              <w:jc w:val="center"/>
              <w:textAlignment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递交时间</w:t>
            </w:r>
          </w:p>
        </w:tc>
        <w:tc>
          <w:tcPr>
            <w:tcW w:w="2150" w:type="dxa"/>
            <w:tcBorders>
              <w:top w:val="single" w:color="000000" w:sz="12" w:space="0"/>
              <w:left w:val="single" w:color="000000" w:sz="4" w:space="0"/>
              <w:bottom w:val="single" w:color="000000" w:sz="4" w:space="0"/>
              <w:right w:val="single" w:color="auto" w:sz="4" w:space="0"/>
            </w:tcBorders>
            <w:vAlign w:val="center"/>
          </w:tcPr>
          <w:p>
            <w:pPr>
              <w:jc w:val="center"/>
              <w:textAlignment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密封合格与否</w:t>
            </w:r>
          </w:p>
          <w:p>
            <w:pPr>
              <w:jc w:val="center"/>
              <w:textAlignment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（签收人确认）</w:t>
            </w:r>
          </w:p>
        </w:tc>
        <w:tc>
          <w:tcPr>
            <w:tcW w:w="2233" w:type="dxa"/>
            <w:tcBorders>
              <w:top w:val="single" w:color="000000" w:sz="12" w:space="0"/>
              <w:left w:val="single" w:color="auto" w:sz="4" w:space="0"/>
              <w:bottom w:val="single" w:color="000000" w:sz="4" w:space="0"/>
            </w:tcBorders>
            <w:vAlign w:val="center"/>
          </w:tcPr>
          <w:p>
            <w:pPr>
              <w:jc w:val="center"/>
              <w:textAlignment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联系方式</w:t>
            </w:r>
          </w:p>
        </w:tc>
        <w:tc>
          <w:tcPr>
            <w:tcW w:w="2835" w:type="dxa"/>
            <w:tcBorders>
              <w:top w:val="single" w:color="000000" w:sz="12" w:space="0"/>
              <w:left w:val="single" w:color="000000" w:sz="4" w:space="0"/>
              <w:bottom w:val="single" w:color="000000" w:sz="4" w:space="0"/>
              <w:right w:val="single" w:color="000000" w:sz="4" w:space="0"/>
            </w:tcBorders>
            <w:vAlign w:val="center"/>
          </w:tcPr>
          <w:p>
            <w:pPr>
              <w:jc w:val="center"/>
              <w:textAlignment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签收回执确认</w:t>
            </w:r>
          </w:p>
        </w:tc>
        <w:tc>
          <w:tcPr>
            <w:tcW w:w="2265" w:type="dxa"/>
            <w:tcBorders>
              <w:top w:val="single" w:color="000000" w:sz="12" w:space="0"/>
              <w:left w:val="single" w:color="000000" w:sz="4" w:space="0"/>
              <w:bottom w:val="single" w:color="000000" w:sz="4" w:space="0"/>
              <w:right w:val="single" w:color="000000" w:sz="12" w:space="0"/>
            </w:tcBorders>
            <w:vAlign w:val="center"/>
          </w:tcPr>
          <w:p>
            <w:pPr>
              <w:jc w:val="center"/>
              <w:textAlignment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签收人</w:t>
            </w:r>
          </w:p>
        </w:tc>
      </w:tr>
      <w:tr>
        <w:tblPrEx>
          <w:tblCellMar>
            <w:top w:w="15" w:type="dxa"/>
            <w:left w:w="15" w:type="dxa"/>
            <w:bottom w:w="15" w:type="dxa"/>
            <w:right w:w="15" w:type="dxa"/>
          </w:tblCellMar>
        </w:tblPrEx>
        <w:trPr>
          <w:trHeight w:val="542" w:hRule="atLeast"/>
        </w:trPr>
        <w:tc>
          <w:tcPr>
            <w:tcW w:w="1276" w:type="dxa"/>
            <w:vMerge w:val="restart"/>
            <w:tcBorders>
              <w:top w:val="single" w:color="000000" w:sz="4" w:space="0"/>
              <w:left w:val="single" w:color="000000" w:sz="12" w:space="0"/>
              <w:bottom w:val="single" w:color="000000" w:sz="4" w:space="0"/>
              <w:right w:val="single" w:color="000000" w:sz="4" w:space="0"/>
            </w:tcBorders>
            <w:vAlign w:val="center"/>
          </w:tcPr>
          <w:p>
            <w:pPr>
              <w:jc w:val="center"/>
              <w:rPr>
                <w:rFonts w:hint="eastAsia" w:asciiTheme="majorEastAsia" w:hAnsiTheme="majorEastAsia" w:eastAsiaTheme="majorEastAsia" w:cstheme="majorEastAsia"/>
                <w:szCs w:val="21"/>
              </w:rPr>
            </w:pPr>
          </w:p>
        </w:tc>
        <w:tc>
          <w:tcPr>
            <w:tcW w:w="1808" w:type="dxa"/>
            <w:vMerge w:val="restart"/>
            <w:tcBorders>
              <w:top w:val="single" w:color="000000" w:sz="4" w:space="0"/>
              <w:left w:val="single" w:color="000000" w:sz="4" w:space="0"/>
              <w:bottom w:val="single" w:color="000000" w:sz="4" w:space="0"/>
              <w:right w:val="single" w:color="000000" w:sz="4" w:space="0"/>
            </w:tcBorders>
            <w:vAlign w:val="center"/>
          </w:tcPr>
          <w:p>
            <w:pPr>
              <w:rPr>
                <w:rFonts w:hint="eastAsia" w:asciiTheme="majorEastAsia" w:hAnsiTheme="majorEastAsia" w:eastAsiaTheme="majorEastAsia" w:cstheme="majorEastAsia"/>
                <w:szCs w:val="21"/>
              </w:rPr>
            </w:pPr>
          </w:p>
        </w:tc>
        <w:tc>
          <w:tcPr>
            <w:tcW w:w="1747" w:type="dxa"/>
            <w:vMerge w:val="restart"/>
            <w:tcBorders>
              <w:top w:val="single" w:color="000000" w:sz="4" w:space="0"/>
              <w:left w:val="single" w:color="000000" w:sz="4" w:space="0"/>
              <w:bottom w:val="single" w:color="000000" w:sz="4" w:space="0"/>
              <w:right w:val="single" w:color="000000" w:sz="4" w:space="0"/>
            </w:tcBorders>
          </w:tcPr>
          <w:p>
            <w:pPr>
              <w:jc w:val="center"/>
              <w:textAlignment w:val="center"/>
              <w:rPr>
                <w:rStyle w:val="40"/>
                <w:rFonts w:hint="eastAsia" w:asciiTheme="majorEastAsia" w:hAnsiTheme="majorEastAsia" w:eastAsiaTheme="majorEastAsia" w:cstheme="majorEastAsia"/>
                <w:color w:val="auto"/>
              </w:rPr>
            </w:pPr>
            <w:r>
              <w:rPr>
                <w:rStyle w:val="40"/>
                <w:rFonts w:hint="eastAsia" w:asciiTheme="majorEastAsia" w:hAnsiTheme="majorEastAsia" w:eastAsiaTheme="majorEastAsia" w:cstheme="majorEastAsia"/>
                <w:color w:val="auto"/>
              </w:rPr>
              <w:t xml:space="preserve">  </w:t>
            </w:r>
          </w:p>
          <w:p>
            <w:pPr>
              <w:jc w:val="center"/>
              <w:textAlignment w:val="center"/>
              <w:rPr>
                <w:rFonts w:hint="eastAsia" w:asciiTheme="majorEastAsia" w:hAnsiTheme="majorEastAsia" w:eastAsiaTheme="majorEastAsia" w:cstheme="majorEastAsia"/>
                <w:szCs w:val="21"/>
                <w:u w:val="single"/>
              </w:rPr>
            </w:pPr>
            <w:r>
              <w:rPr>
                <w:rStyle w:val="40"/>
                <w:rFonts w:hint="eastAsia" w:asciiTheme="majorEastAsia" w:hAnsiTheme="majorEastAsia" w:eastAsiaTheme="majorEastAsia" w:cstheme="majorEastAsia"/>
                <w:color w:val="auto"/>
              </w:rPr>
              <w:t>年  月  日</w:t>
            </w:r>
          </w:p>
          <w:p>
            <w:pPr>
              <w:jc w:val="center"/>
              <w:rPr>
                <w:rFonts w:hint="eastAsia" w:asciiTheme="majorEastAsia" w:hAnsiTheme="majorEastAsia" w:eastAsiaTheme="majorEastAsia" w:cstheme="majorEastAsia"/>
                <w:sz w:val="32"/>
                <w:szCs w:val="32"/>
              </w:rPr>
            </w:pPr>
            <w:r>
              <w:rPr>
                <w:rStyle w:val="40"/>
                <w:rFonts w:hint="eastAsia" w:asciiTheme="majorEastAsia" w:hAnsiTheme="majorEastAsia" w:eastAsiaTheme="majorEastAsia" w:cstheme="majorEastAsia"/>
                <w:color w:val="auto"/>
              </w:rPr>
              <w:t>时   分</w:t>
            </w:r>
          </w:p>
        </w:tc>
        <w:tc>
          <w:tcPr>
            <w:tcW w:w="2150" w:type="dxa"/>
            <w:vMerge w:val="restart"/>
            <w:tcBorders>
              <w:top w:val="single" w:color="000000" w:sz="4" w:space="0"/>
              <w:left w:val="single" w:color="000000" w:sz="4" w:space="0"/>
              <w:right w:val="single" w:color="auto" w:sz="4" w:space="0"/>
            </w:tcBorders>
            <w:vAlign w:val="center"/>
          </w:tcPr>
          <w:p>
            <w:pPr>
              <w:jc w:val="center"/>
              <w:textAlignment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□是</w:t>
            </w:r>
          </w:p>
          <w:p>
            <w:pPr>
              <w:jc w:val="center"/>
              <w:textAlignment w:val="center"/>
              <w:rPr>
                <w:rFonts w:hint="eastAsia" w:asciiTheme="majorEastAsia" w:hAnsiTheme="majorEastAsia" w:eastAsiaTheme="majorEastAsia" w:cstheme="majorEastAsia"/>
                <w:szCs w:val="21"/>
              </w:rPr>
            </w:pPr>
          </w:p>
          <w:p>
            <w:pPr>
              <w:jc w:val="center"/>
              <w:textAlignment w:val="center"/>
              <w:rPr>
                <w:rFonts w:hint="eastAsia" w:asciiTheme="majorEastAsia" w:hAnsiTheme="majorEastAsia" w:eastAsiaTheme="majorEastAsia" w:cstheme="majorEastAsia"/>
                <w:b/>
                <w:bCs/>
                <w:szCs w:val="21"/>
              </w:rPr>
            </w:pPr>
            <w:r>
              <w:rPr>
                <w:rFonts w:hint="eastAsia" w:asciiTheme="majorEastAsia" w:hAnsiTheme="majorEastAsia" w:eastAsiaTheme="majorEastAsia" w:cstheme="majorEastAsia"/>
                <w:szCs w:val="21"/>
              </w:rPr>
              <w:t>□否</w:t>
            </w:r>
          </w:p>
        </w:tc>
        <w:tc>
          <w:tcPr>
            <w:tcW w:w="2233" w:type="dxa"/>
            <w:tcBorders>
              <w:top w:val="single" w:color="000000" w:sz="4" w:space="0"/>
              <w:left w:val="single" w:color="auto" w:sz="4" w:space="0"/>
              <w:bottom w:val="single" w:color="auto" w:sz="4" w:space="0"/>
            </w:tcBorders>
          </w:tcPr>
          <w:p>
            <w:pPr>
              <w:jc w:val="left"/>
              <w:textAlignment w:val="center"/>
              <w:rPr>
                <w:rFonts w:hint="eastAsia" w:asciiTheme="majorEastAsia" w:hAnsiTheme="majorEastAsia" w:eastAsiaTheme="majorEastAsia" w:cstheme="majorEastAsia"/>
                <w:szCs w:val="21"/>
                <w:u w:val="single"/>
              </w:rPr>
            </w:pPr>
            <w:r>
              <w:rPr>
                <w:rFonts w:hint="eastAsia" w:asciiTheme="majorEastAsia" w:hAnsiTheme="majorEastAsia" w:eastAsiaTheme="majorEastAsia" w:cstheme="majorEastAsia"/>
                <w:szCs w:val="21"/>
              </w:rPr>
              <w:t>联系人：</w:t>
            </w:r>
          </w:p>
        </w:tc>
        <w:tc>
          <w:tcPr>
            <w:tcW w:w="2835" w:type="dxa"/>
            <w:vMerge w:val="restart"/>
            <w:tcBorders>
              <w:top w:val="single" w:color="000000" w:sz="4" w:space="0"/>
              <w:left w:val="single" w:color="000000" w:sz="4" w:space="0"/>
              <w:bottom w:val="single" w:color="000000" w:sz="4" w:space="0"/>
              <w:right w:val="single" w:color="000000" w:sz="4" w:space="0"/>
            </w:tcBorders>
          </w:tcPr>
          <w:p>
            <w:pPr>
              <w:jc w:val="center"/>
              <w:rPr>
                <w:rFonts w:hint="eastAsia" w:asciiTheme="majorEastAsia" w:hAnsiTheme="majorEastAsia" w:eastAsiaTheme="majorEastAsia" w:cstheme="majorEastAsia"/>
                <w:szCs w:val="21"/>
              </w:rPr>
            </w:pPr>
          </w:p>
          <w:p>
            <w:pPr>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投标人代表签字：</w:t>
            </w:r>
          </w:p>
          <w:p>
            <w:pPr>
              <w:jc w:val="left"/>
              <w:rPr>
                <w:rFonts w:hint="eastAsia" w:asciiTheme="majorEastAsia" w:hAnsiTheme="majorEastAsia" w:eastAsiaTheme="majorEastAsia" w:cstheme="majorEastAsia"/>
                <w:sz w:val="32"/>
                <w:szCs w:val="32"/>
                <w:u w:val="single"/>
              </w:rPr>
            </w:pPr>
            <w:r>
              <w:rPr>
                <w:rFonts w:hint="eastAsia" w:asciiTheme="majorEastAsia" w:hAnsiTheme="majorEastAsia" w:eastAsiaTheme="majorEastAsia" w:cstheme="majorEastAsia"/>
                <w:sz w:val="32"/>
                <w:szCs w:val="32"/>
                <w:u w:val="single"/>
              </w:rPr>
              <w:t xml:space="preserve">                 </w:t>
            </w:r>
          </w:p>
        </w:tc>
        <w:tc>
          <w:tcPr>
            <w:tcW w:w="2265" w:type="dxa"/>
            <w:vMerge w:val="restart"/>
            <w:tcBorders>
              <w:top w:val="single" w:color="000000" w:sz="4" w:space="0"/>
              <w:left w:val="single" w:color="000000" w:sz="4" w:space="0"/>
              <w:right w:val="single" w:color="000000" w:sz="12" w:space="0"/>
            </w:tcBorders>
          </w:tcPr>
          <w:p>
            <w:pPr>
              <w:textAlignment w:val="center"/>
              <w:rPr>
                <w:rFonts w:hint="eastAsia" w:asciiTheme="majorEastAsia" w:hAnsiTheme="majorEastAsia" w:eastAsiaTheme="majorEastAsia" w:cstheme="majorEastAsia"/>
                <w:szCs w:val="21"/>
              </w:rPr>
            </w:pPr>
          </w:p>
        </w:tc>
      </w:tr>
      <w:tr>
        <w:tblPrEx>
          <w:tblCellMar>
            <w:top w:w="15" w:type="dxa"/>
            <w:left w:w="15" w:type="dxa"/>
            <w:bottom w:w="15" w:type="dxa"/>
            <w:right w:w="15" w:type="dxa"/>
          </w:tblCellMar>
        </w:tblPrEx>
        <w:trPr>
          <w:trHeight w:val="522" w:hRule="atLeast"/>
        </w:trPr>
        <w:tc>
          <w:tcPr>
            <w:tcW w:w="1276" w:type="dxa"/>
            <w:vMerge w:val="continue"/>
            <w:tcBorders>
              <w:top w:val="single" w:color="000000" w:sz="4" w:space="0"/>
              <w:left w:val="single" w:color="000000" w:sz="12" w:space="0"/>
              <w:bottom w:val="single" w:color="000000" w:sz="4" w:space="0"/>
              <w:right w:val="single" w:color="000000" w:sz="4" w:space="0"/>
            </w:tcBorders>
            <w:vAlign w:val="center"/>
          </w:tcPr>
          <w:p>
            <w:pPr>
              <w:jc w:val="center"/>
              <w:rPr>
                <w:rFonts w:hint="eastAsia" w:asciiTheme="majorEastAsia" w:hAnsiTheme="majorEastAsia" w:eastAsiaTheme="majorEastAsia" w:cstheme="majorEastAsia"/>
                <w:szCs w:val="21"/>
              </w:rPr>
            </w:pPr>
          </w:p>
        </w:tc>
        <w:tc>
          <w:tcPr>
            <w:tcW w:w="1808" w:type="dxa"/>
            <w:vMerge w:val="continue"/>
            <w:tcBorders>
              <w:top w:val="single" w:color="000000" w:sz="4" w:space="0"/>
              <w:left w:val="single" w:color="000000" w:sz="4" w:space="0"/>
              <w:bottom w:val="single" w:color="000000" w:sz="4" w:space="0"/>
              <w:right w:val="single" w:color="000000" w:sz="4" w:space="0"/>
            </w:tcBorders>
            <w:vAlign w:val="center"/>
          </w:tcPr>
          <w:p>
            <w:pPr>
              <w:rPr>
                <w:rFonts w:hint="eastAsia" w:asciiTheme="majorEastAsia" w:hAnsiTheme="majorEastAsia" w:eastAsiaTheme="majorEastAsia" w:cstheme="majorEastAsia"/>
                <w:szCs w:val="21"/>
              </w:rPr>
            </w:pPr>
          </w:p>
        </w:tc>
        <w:tc>
          <w:tcPr>
            <w:tcW w:w="1747" w:type="dxa"/>
            <w:vMerge w:val="continue"/>
            <w:tcBorders>
              <w:top w:val="single" w:color="000000" w:sz="4" w:space="0"/>
              <w:left w:val="single" w:color="000000" w:sz="4" w:space="0"/>
              <w:bottom w:val="single" w:color="000000" w:sz="4" w:space="0"/>
              <w:right w:val="single" w:color="000000" w:sz="4" w:space="0"/>
            </w:tcBorders>
          </w:tcPr>
          <w:p>
            <w:pPr>
              <w:jc w:val="center"/>
              <w:rPr>
                <w:rFonts w:hint="eastAsia" w:asciiTheme="majorEastAsia" w:hAnsiTheme="majorEastAsia" w:eastAsiaTheme="majorEastAsia" w:cstheme="majorEastAsia"/>
                <w:sz w:val="32"/>
                <w:szCs w:val="32"/>
              </w:rPr>
            </w:pPr>
          </w:p>
        </w:tc>
        <w:tc>
          <w:tcPr>
            <w:tcW w:w="2150" w:type="dxa"/>
            <w:vMerge w:val="continue"/>
            <w:tcBorders>
              <w:left w:val="single" w:color="000000" w:sz="4" w:space="0"/>
              <w:right w:val="single" w:color="auto" w:sz="4" w:space="0"/>
            </w:tcBorders>
            <w:vAlign w:val="center"/>
          </w:tcPr>
          <w:p>
            <w:pPr>
              <w:textAlignment w:val="center"/>
              <w:rPr>
                <w:rFonts w:hint="eastAsia" w:asciiTheme="majorEastAsia" w:hAnsiTheme="majorEastAsia" w:eastAsiaTheme="majorEastAsia" w:cstheme="majorEastAsia"/>
                <w:szCs w:val="21"/>
              </w:rPr>
            </w:pPr>
          </w:p>
        </w:tc>
        <w:tc>
          <w:tcPr>
            <w:tcW w:w="2233" w:type="dxa"/>
            <w:tcBorders>
              <w:top w:val="single" w:color="auto" w:sz="4" w:space="0"/>
              <w:left w:val="single" w:color="auto" w:sz="4" w:space="0"/>
              <w:bottom w:val="single" w:color="auto" w:sz="4" w:space="0"/>
            </w:tcBorders>
          </w:tcPr>
          <w:p>
            <w:pPr>
              <w:jc w:val="left"/>
              <w:textAlignment w:val="center"/>
              <w:rPr>
                <w:rFonts w:hint="eastAsia" w:asciiTheme="majorEastAsia" w:hAnsiTheme="majorEastAsia" w:eastAsiaTheme="majorEastAsia" w:cstheme="majorEastAsia"/>
                <w:b/>
                <w:bCs/>
                <w:szCs w:val="21"/>
                <w:u w:val="single"/>
              </w:rPr>
            </w:pPr>
            <w:r>
              <w:rPr>
                <w:rFonts w:hint="eastAsia" w:asciiTheme="majorEastAsia" w:hAnsiTheme="majorEastAsia" w:eastAsiaTheme="majorEastAsia" w:cstheme="majorEastAsia"/>
                <w:szCs w:val="21"/>
              </w:rPr>
              <w:t>电话：</w:t>
            </w:r>
          </w:p>
        </w:tc>
        <w:tc>
          <w:tcPr>
            <w:tcW w:w="2835" w:type="dxa"/>
            <w:vMerge w:val="continue"/>
            <w:tcBorders>
              <w:top w:val="single" w:color="000000" w:sz="4" w:space="0"/>
              <w:left w:val="single" w:color="000000" w:sz="4" w:space="0"/>
              <w:bottom w:val="single" w:color="000000" w:sz="4" w:space="0"/>
              <w:right w:val="single" w:color="000000" w:sz="4" w:space="0"/>
            </w:tcBorders>
          </w:tcPr>
          <w:p>
            <w:pPr>
              <w:jc w:val="center"/>
              <w:rPr>
                <w:rFonts w:hint="eastAsia" w:asciiTheme="majorEastAsia" w:hAnsiTheme="majorEastAsia" w:eastAsiaTheme="majorEastAsia" w:cstheme="majorEastAsia"/>
                <w:sz w:val="32"/>
                <w:szCs w:val="32"/>
              </w:rPr>
            </w:pPr>
          </w:p>
        </w:tc>
        <w:tc>
          <w:tcPr>
            <w:tcW w:w="2265" w:type="dxa"/>
            <w:vMerge w:val="continue"/>
            <w:tcBorders>
              <w:left w:val="single" w:color="000000" w:sz="4" w:space="0"/>
              <w:right w:val="single" w:color="000000" w:sz="12" w:space="0"/>
            </w:tcBorders>
          </w:tcPr>
          <w:p>
            <w:pPr>
              <w:textAlignment w:val="center"/>
              <w:rPr>
                <w:rFonts w:hint="eastAsia" w:asciiTheme="majorEastAsia" w:hAnsiTheme="majorEastAsia" w:eastAsiaTheme="majorEastAsia" w:cstheme="majorEastAsia"/>
                <w:szCs w:val="21"/>
              </w:rPr>
            </w:pPr>
          </w:p>
        </w:tc>
      </w:tr>
      <w:tr>
        <w:tblPrEx>
          <w:tblCellMar>
            <w:top w:w="15" w:type="dxa"/>
            <w:left w:w="15" w:type="dxa"/>
            <w:bottom w:w="15" w:type="dxa"/>
            <w:right w:w="15" w:type="dxa"/>
          </w:tblCellMar>
        </w:tblPrEx>
        <w:trPr>
          <w:trHeight w:val="516" w:hRule="atLeast"/>
        </w:trPr>
        <w:tc>
          <w:tcPr>
            <w:tcW w:w="1276" w:type="dxa"/>
            <w:vMerge w:val="continue"/>
            <w:tcBorders>
              <w:top w:val="single" w:color="000000" w:sz="4" w:space="0"/>
              <w:left w:val="single" w:color="000000" w:sz="12" w:space="0"/>
              <w:bottom w:val="single" w:color="000000" w:sz="4" w:space="0"/>
              <w:right w:val="single" w:color="000000" w:sz="4" w:space="0"/>
            </w:tcBorders>
            <w:vAlign w:val="center"/>
          </w:tcPr>
          <w:p>
            <w:pPr>
              <w:jc w:val="center"/>
              <w:rPr>
                <w:rFonts w:hint="eastAsia" w:asciiTheme="majorEastAsia" w:hAnsiTheme="majorEastAsia" w:eastAsiaTheme="majorEastAsia" w:cstheme="majorEastAsia"/>
                <w:szCs w:val="21"/>
              </w:rPr>
            </w:pPr>
          </w:p>
        </w:tc>
        <w:tc>
          <w:tcPr>
            <w:tcW w:w="1808" w:type="dxa"/>
            <w:vMerge w:val="continue"/>
            <w:tcBorders>
              <w:top w:val="single" w:color="000000" w:sz="4" w:space="0"/>
              <w:left w:val="single" w:color="000000" w:sz="4" w:space="0"/>
              <w:bottom w:val="single" w:color="000000" w:sz="4" w:space="0"/>
              <w:right w:val="single" w:color="000000" w:sz="4" w:space="0"/>
            </w:tcBorders>
            <w:vAlign w:val="center"/>
          </w:tcPr>
          <w:p>
            <w:pPr>
              <w:rPr>
                <w:rFonts w:hint="eastAsia" w:asciiTheme="majorEastAsia" w:hAnsiTheme="majorEastAsia" w:eastAsiaTheme="majorEastAsia" w:cstheme="majorEastAsia"/>
                <w:szCs w:val="21"/>
              </w:rPr>
            </w:pPr>
          </w:p>
        </w:tc>
        <w:tc>
          <w:tcPr>
            <w:tcW w:w="1747" w:type="dxa"/>
            <w:vMerge w:val="continue"/>
            <w:tcBorders>
              <w:top w:val="single" w:color="000000" w:sz="4" w:space="0"/>
              <w:left w:val="single" w:color="000000" w:sz="4" w:space="0"/>
              <w:bottom w:val="single" w:color="000000" w:sz="4" w:space="0"/>
              <w:right w:val="single" w:color="000000" w:sz="4" w:space="0"/>
            </w:tcBorders>
          </w:tcPr>
          <w:p>
            <w:pPr>
              <w:jc w:val="center"/>
              <w:rPr>
                <w:rFonts w:hint="eastAsia" w:asciiTheme="majorEastAsia" w:hAnsiTheme="majorEastAsia" w:eastAsiaTheme="majorEastAsia" w:cstheme="majorEastAsia"/>
                <w:sz w:val="32"/>
                <w:szCs w:val="32"/>
              </w:rPr>
            </w:pPr>
          </w:p>
        </w:tc>
        <w:tc>
          <w:tcPr>
            <w:tcW w:w="2150" w:type="dxa"/>
            <w:vMerge w:val="continue"/>
            <w:tcBorders>
              <w:left w:val="single" w:color="000000" w:sz="4" w:space="0"/>
              <w:bottom w:val="nil"/>
              <w:right w:val="single" w:color="auto" w:sz="4" w:space="0"/>
            </w:tcBorders>
            <w:vAlign w:val="center"/>
          </w:tcPr>
          <w:p>
            <w:pPr>
              <w:textAlignment w:val="center"/>
              <w:rPr>
                <w:rFonts w:hint="eastAsia" w:asciiTheme="majorEastAsia" w:hAnsiTheme="majorEastAsia" w:eastAsiaTheme="majorEastAsia" w:cstheme="majorEastAsia"/>
                <w:szCs w:val="21"/>
              </w:rPr>
            </w:pPr>
          </w:p>
        </w:tc>
        <w:tc>
          <w:tcPr>
            <w:tcW w:w="2233" w:type="dxa"/>
            <w:tcBorders>
              <w:top w:val="single" w:color="auto" w:sz="4" w:space="0"/>
              <w:left w:val="single" w:color="auto" w:sz="4" w:space="0"/>
              <w:bottom w:val="nil"/>
            </w:tcBorders>
          </w:tcPr>
          <w:p>
            <w:pPr>
              <w:jc w:val="left"/>
              <w:textAlignment w:val="center"/>
              <w:rPr>
                <w:rFonts w:hint="eastAsia" w:asciiTheme="majorEastAsia" w:hAnsiTheme="majorEastAsia" w:eastAsiaTheme="majorEastAsia" w:cstheme="majorEastAsia"/>
                <w:szCs w:val="21"/>
                <w:u w:val="single"/>
              </w:rPr>
            </w:pPr>
            <w:r>
              <w:rPr>
                <w:rFonts w:hint="eastAsia" w:asciiTheme="majorEastAsia" w:hAnsiTheme="majorEastAsia" w:eastAsiaTheme="majorEastAsia" w:cstheme="majorEastAsia"/>
                <w:szCs w:val="21"/>
              </w:rPr>
              <w:t>邮箱：</w:t>
            </w:r>
          </w:p>
        </w:tc>
        <w:tc>
          <w:tcPr>
            <w:tcW w:w="2835" w:type="dxa"/>
            <w:vMerge w:val="continue"/>
            <w:tcBorders>
              <w:top w:val="single" w:color="000000" w:sz="4" w:space="0"/>
              <w:left w:val="single" w:color="000000" w:sz="4" w:space="0"/>
              <w:bottom w:val="single" w:color="000000" w:sz="4" w:space="0"/>
              <w:right w:val="single" w:color="000000" w:sz="4" w:space="0"/>
            </w:tcBorders>
          </w:tcPr>
          <w:p>
            <w:pPr>
              <w:jc w:val="center"/>
              <w:rPr>
                <w:rFonts w:hint="eastAsia" w:asciiTheme="majorEastAsia" w:hAnsiTheme="majorEastAsia" w:eastAsiaTheme="majorEastAsia" w:cstheme="majorEastAsia"/>
                <w:sz w:val="32"/>
                <w:szCs w:val="32"/>
              </w:rPr>
            </w:pPr>
          </w:p>
        </w:tc>
        <w:tc>
          <w:tcPr>
            <w:tcW w:w="2265" w:type="dxa"/>
            <w:vMerge w:val="continue"/>
            <w:tcBorders>
              <w:left w:val="single" w:color="000000" w:sz="4" w:space="0"/>
              <w:bottom w:val="nil"/>
              <w:right w:val="single" w:color="000000" w:sz="12" w:space="0"/>
            </w:tcBorders>
          </w:tcPr>
          <w:p>
            <w:pPr>
              <w:textAlignment w:val="center"/>
              <w:rPr>
                <w:rFonts w:hint="eastAsia" w:asciiTheme="majorEastAsia" w:hAnsiTheme="majorEastAsia" w:eastAsiaTheme="majorEastAsia" w:cstheme="majorEastAsia"/>
                <w:szCs w:val="21"/>
              </w:rPr>
            </w:pPr>
          </w:p>
        </w:tc>
      </w:tr>
      <w:tr>
        <w:tblPrEx>
          <w:tblCellMar>
            <w:top w:w="15" w:type="dxa"/>
            <w:left w:w="15" w:type="dxa"/>
            <w:bottom w:w="15" w:type="dxa"/>
            <w:right w:w="15" w:type="dxa"/>
          </w:tblCellMar>
        </w:tblPrEx>
        <w:trPr>
          <w:trHeight w:val="533" w:hRule="atLeast"/>
        </w:trPr>
        <w:tc>
          <w:tcPr>
            <w:tcW w:w="1276" w:type="dxa"/>
            <w:tcBorders>
              <w:top w:val="single" w:color="000000" w:sz="12" w:space="0"/>
            </w:tcBorders>
            <w:vAlign w:val="center"/>
          </w:tcPr>
          <w:p>
            <w:pPr>
              <w:textAlignment w:val="center"/>
              <w:rPr>
                <w:rFonts w:hint="eastAsia" w:asciiTheme="majorEastAsia" w:hAnsiTheme="majorEastAsia" w:eastAsiaTheme="majorEastAsia" w:cstheme="majorEastAsia"/>
              </w:rPr>
            </w:pPr>
          </w:p>
        </w:tc>
        <w:tc>
          <w:tcPr>
            <w:tcW w:w="13038" w:type="dxa"/>
            <w:gridSpan w:val="6"/>
            <w:tcBorders>
              <w:top w:val="single" w:color="000000" w:sz="12" w:space="0"/>
            </w:tcBorders>
            <w:vAlign w:val="center"/>
          </w:tcPr>
          <w:p>
            <w:pPr>
              <w:rPr>
                <w:rFonts w:hint="eastAsia" w:asciiTheme="majorEastAsia" w:hAnsiTheme="majorEastAsia" w:eastAsiaTheme="majorEastAsia" w:cstheme="majorEastAsia"/>
                <w:u w:val="single"/>
              </w:rPr>
            </w:pPr>
          </w:p>
        </w:tc>
      </w:tr>
      <w:tr>
        <w:tblPrEx>
          <w:tblCellMar>
            <w:top w:w="15" w:type="dxa"/>
            <w:left w:w="15" w:type="dxa"/>
            <w:bottom w:w="15" w:type="dxa"/>
            <w:right w:w="15" w:type="dxa"/>
          </w:tblCellMar>
        </w:tblPrEx>
        <w:trPr>
          <w:trHeight w:val="788" w:hRule="atLeast"/>
        </w:trPr>
        <w:tc>
          <w:tcPr>
            <w:tcW w:w="14314" w:type="dxa"/>
            <w:gridSpan w:val="7"/>
            <w:vAlign w:val="bottom"/>
          </w:tcPr>
          <w:p>
            <w:pPr>
              <w:textAlignment w:val="bottom"/>
              <w:rPr>
                <w:rFonts w:hint="eastAsia" w:asciiTheme="majorEastAsia" w:hAnsiTheme="majorEastAsia" w:eastAsiaTheme="majorEastAsia" w:cstheme="majorEastAsia"/>
              </w:rPr>
            </w:pPr>
            <w:r>
              <w:rPr>
                <w:rFonts w:hint="eastAsia" w:asciiTheme="majorEastAsia" w:hAnsiTheme="majorEastAsia" w:eastAsiaTheme="majorEastAsia" w:cstheme="majorEastAsia"/>
              </w:rPr>
              <w:t>备注：请以正楷字填写各项目内容，“递交时间”、“联系方式”请在现场签收时填写。我公司将向投标人出具投标文件签收回执，请投标人代表在“签收回执确认”签字确认。</w:t>
            </w:r>
          </w:p>
        </w:tc>
      </w:tr>
    </w:tbl>
    <w:p>
      <w:pPr>
        <w:spacing w:line="360" w:lineRule="auto"/>
        <w:rPr>
          <w:rFonts w:hint="eastAsia" w:asciiTheme="majorEastAsia" w:hAnsiTheme="majorEastAsia" w:eastAsiaTheme="majorEastAsia" w:cstheme="majorEastAsia"/>
          <w:sz w:val="24"/>
        </w:rPr>
      </w:pPr>
    </w:p>
    <w:sectPr>
      <w:pgSz w:w="16838" w:h="11906" w:orient="landscape"/>
      <w:pgMar w:top="1803" w:right="1440" w:bottom="1803" w:left="1440" w:header="851" w:footer="992" w:gutter="0"/>
      <w:cols w:space="720" w:num="1"/>
      <w:docGrid w:type="lines" w:linePitch="31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Eʩ">
    <w:altName w:val="微软雅黑"/>
    <w:panose1 w:val="00000000000000000000"/>
    <w:charset w:val="00"/>
    <w:family w:val="auto"/>
    <w:pitch w:val="default"/>
    <w:sig w:usb0="00000000" w:usb1="00000000" w:usb2="00000000" w:usb3="00000000" w:csb0="00040001"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jc w:val="center"/>
      <w:rPr>
        <w:rStyle w:val="28"/>
      </w:rPr>
    </w:pPr>
    <w:r>
      <w:fldChar w:fldCharType="begin"/>
    </w:r>
    <w:r>
      <w:rPr>
        <w:rStyle w:val="28"/>
      </w:rPr>
      <w:instrText xml:space="preserve">PAGE  </w:instrText>
    </w:r>
    <w:r>
      <w:fldChar w:fldCharType="separate"/>
    </w:r>
    <w:r>
      <w:rPr>
        <w:rStyle w:val="28"/>
      </w:rPr>
      <w:t>7</w:t>
    </w:r>
    <w:r>
      <w:fldChar w:fldCharType="end"/>
    </w:r>
  </w:p>
  <w:p>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rPr>
        <w:rStyle w:val="28"/>
      </w:rPr>
    </w:pPr>
    <w:r>
      <w:fldChar w:fldCharType="begin"/>
    </w:r>
    <w:r>
      <w:rPr>
        <w:rStyle w:val="28"/>
      </w:rPr>
      <w:instrText xml:space="preserve">PAGE  </w:instrText>
    </w:r>
    <w:r>
      <w:fldChar w:fldCharType="separate"/>
    </w:r>
    <w:r>
      <w:rPr>
        <w:rStyle w:val="28"/>
      </w:rPr>
      <w:t>8</w:t>
    </w:r>
    <w:r>
      <w:fldChar w:fldCharType="end"/>
    </w:r>
  </w:p>
  <w:p>
    <w:pPr>
      <w:pStyle w:val="1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jc w:val="center"/>
      <w:rPr>
        <w:rStyle w:val="28"/>
      </w:rPr>
    </w:pPr>
    <w:r>
      <w:fldChar w:fldCharType="begin"/>
    </w:r>
    <w:r>
      <w:rPr>
        <w:rStyle w:val="28"/>
      </w:rPr>
      <w:instrText xml:space="preserve">PAGE  </w:instrText>
    </w:r>
    <w:r>
      <w:fldChar w:fldCharType="separate"/>
    </w:r>
    <w:r>
      <w:rPr>
        <w:rStyle w:val="28"/>
      </w:rPr>
      <w:t>69</w:t>
    </w:r>
    <w:r>
      <w:fldChar w:fldCharType="end"/>
    </w:r>
  </w:p>
  <w:p>
    <w:pPr>
      <w:pStyle w:val="1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tabs>
        <w:tab w:val="left" w:pos="1190"/>
      </w:tabs>
      <w:jc w:val="both"/>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19E8D9"/>
    <w:multiLevelType w:val="singleLevel"/>
    <w:tmpl w:val="BA19E8D9"/>
    <w:lvl w:ilvl="0" w:tentative="0">
      <w:start w:val="1"/>
      <w:numFmt w:val="decimal"/>
      <w:suff w:val="nothing"/>
      <w:lvlText w:val="%1、"/>
      <w:lvlJc w:val="left"/>
      <w:pPr>
        <w:ind w:left="0" w:firstLine="403"/>
      </w:pPr>
      <w:rPr>
        <w:rFonts w:hint="default"/>
      </w:rPr>
    </w:lvl>
  </w:abstractNum>
  <w:abstractNum w:abstractNumId="1">
    <w:nsid w:val="BFD43445"/>
    <w:multiLevelType w:val="singleLevel"/>
    <w:tmpl w:val="BFD43445"/>
    <w:lvl w:ilvl="0" w:tentative="0">
      <w:start w:val="1"/>
      <w:numFmt w:val="decimal"/>
      <w:suff w:val="nothing"/>
      <w:lvlText w:val="%1、"/>
      <w:lvlJc w:val="left"/>
      <w:pPr>
        <w:ind w:left="22" w:firstLine="403"/>
      </w:pPr>
      <w:rPr>
        <w:rFonts w:hint="default"/>
      </w:rPr>
    </w:lvl>
  </w:abstractNum>
  <w:abstractNum w:abstractNumId="2">
    <w:nsid w:val="19D31184"/>
    <w:multiLevelType w:val="singleLevel"/>
    <w:tmpl w:val="19D31184"/>
    <w:lvl w:ilvl="0" w:tentative="0">
      <w:start w:val="1"/>
      <w:numFmt w:val="decimal"/>
      <w:suff w:val="nothing"/>
      <w:lvlText w:val="%1、"/>
      <w:lvlJc w:val="left"/>
      <w:pPr>
        <w:ind w:left="0" w:firstLine="403"/>
      </w:pPr>
      <w:rPr>
        <w:rFonts w:hint="default"/>
      </w:rPr>
    </w:lvl>
  </w:abstractNum>
  <w:abstractNum w:abstractNumId="3">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32"/>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4">
    <w:nsid w:val="4BC4514D"/>
    <w:multiLevelType w:val="multilevel"/>
    <w:tmpl w:val="4BC4514D"/>
    <w:lvl w:ilvl="0" w:tentative="0">
      <w:start w:val="1"/>
      <w:numFmt w:val="japaneseCounting"/>
      <w:lvlText w:val="（%1）"/>
      <w:lvlJc w:val="left"/>
      <w:pPr>
        <w:ind w:left="1605" w:hanging="765"/>
      </w:pPr>
      <w:rPr>
        <w:rFonts w:hint="default"/>
        <w:b/>
        <w:lang w:val="en-US"/>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5">
    <w:nsid w:val="587D89C6"/>
    <w:multiLevelType w:val="singleLevel"/>
    <w:tmpl w:val="587D89C6"/>
    <w:lvl w:ilvl="0" w:tentative="0">
      <w:start w:val="1"/>
      <w:numFmt w:val="decimal"/>
      <w:suff w:val="nothing"/>
      <w:lvlText w:val="%1、"/>
      <w:lvlJc w:val="left"/>
    </w:lvl>
  </w:abstractNum>
  <w:abstractNum w:abstractNumId="6">
    <w:nsid w:val="58807131"/>
    <w:multiLevelType w:val="singleLevel"/>
    <w:tmpl w:val="58807131"/>
    <w:lvl w:ilvl="0" w:tentative="0">
      <w:start w:val="1"/>
      <w:numFmt w:val="decimal"/>
      <w:suff w:val="nothing"/>
      <w:lvlText w:val="%1、"/>
      <w:lvlJc w:val="left"/>
    </w:lvl>
  </w:abstractNum>
  <w:abstractNum w:abstractNumId="7">
    <w:nsid w:val="59C07086"/>
    <w:multiLevelType w:val="singleLevel"/>
    <w:tmpl w:val="59C07086"/>
    <w:lvl w:ilvl="0" w:tentative="0">
      <w:start w:val="1"/>
      <w:numFmt w:val="decimal"/>
      <w:suff w:val="nothing"/>
      <w:lvlText w:val="%1、"/>
      <w:lvlJc w:val="left"/>
    </w:lvl>
  </w:abstractNum>
  <w:abstractNum w:abstractNumId="8">
    <w:nsid w:val="5F126A80"/>
    <w:multiLevelType w:val="singleLevel"/>
    <w:tmpl w:val="5F126A80"/>
    <w:lvl w:ilvl="0" w:tentative="0">
      <w:start w:val="1"/>
      <w:numFmt w:val="decimal"/>
      <w:suff w:val="nothing"/>
      <w:lvlText w:val="%1、"/>
      <w:lvlJc w:val="left"/>
      <w:pPr>
        <w:ind w:left="-60"/>
      </w:pPr>
    </w:lvl>
  </w:abstractNum>
  <w:num w:numId="1">
    <w:abstractNumId w:val="3"/>
  </w:num>
  <w:num w:numId="2">
    <w:abstractNumId w:val="8"/>
  </w:num>
  <w:num w:numId="3">
    <w:abstractNumId w:val="4"/>
  </w:num>
  <w:num w:numId="4">
    <w:abstractNumId w:val="6"/>
  </w:num>
  <w:num w:numId="5">
    <w:abstractNumId w:val="5"/>
  </w:num>
  <w:num w:numId="6">
    <w:abstractNumId w:val="7"/>
  </w:num>
  <w:num w:numId="7">
    <w:abstractNumId w:val="0"/>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trackRevisions w:val="1"/>
  <w:documentProtection w:enforcement="0"/>
  <w:defaultTabStop w:val="420"/>
  <w:evenAndOddHeaders w:val="1"/>
  <w:drawingGridVerticalSpacing w:val="15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jRhMTFmYTM2ZTRhZGIwOTNmY2M0YzJkZWM1NjZmZDcifQ=="/>
  </w:docVars>
  <w:rsids>
    <w:rsidRoot w:val="007A683D"/>
    <w:rsid w:val="00007AD8"/>
    <w:rsid w:val="00012A56"/>
    <w:rsid w:val="00017150"/>
    <w:rsid w:val="00021B1D"/>
    <w:rsid w:val="00022E18"/>
    <w:rsid w:val="00024B68"/>
    <w:rsid w:val="00026152"/>
    <w:rsid w:val="00031B04"/>
    <w:rsid w:val="00036751"/>
    <w:rsid w:val="00036EEF"/>
    <w:rsid w:val="00062AA7"/>
    <w:rsid w:val="000705EB"/>
    <w:rsid w:val="0007204F"/>
    <w:rsid w:val="00073A55"/>
    <w:rsid w:val="000758D2"/>
    <w:rsid w:val="00075C5E"/>
    <w:rsid w:val="000760E2"/>
    <w:rsid w:val="00085707"/>
    <w:rsid w:val="000862E6"/>
    <w:rsid w:val="00090B42"/>
    <w:rsid w:val="000912B1"/>
    <w:rsid w:val="00091BAB"/>
    <w:rsid w:val="00093327"/>
    <w:rsid w:val="00095107"/>
    <w:rsid w:val="000965E1"/>
    <w:rsid w:val="000A1509"/>
    <w:rsid w:val="000A246A"/>
    <w:rsid w:val="000A2A8E"/>
    <w:rsid w:val="000A3DA2"/>
    <w:rsid w:val="000A70F2"/>
    <w:rsid w:val="000B06F1"/>
    <w:rsid w:val="000B4220"/>
    <w:rsid w:val="000C297C"/>
    <w:rsid w:val="000C6FE5"/>
    <w:rsid w:val="000D22E0"/>
    <w:rsid w:val="000D717B"/>
    <w:rsid w:val="000F5D44"/>
    <w:rsid w:val="000F7505"/>
    <w:rsid w:val="001068FD"/>
    <w:rsid w:val="00114138"/>
    <w:rsid w:val="001169EC"/>
    <w:rsid w:val="001300AD"/>
    <w:rsid w:val="001324D0"/>
    <w:rsid w:val="001333B3"/>
    <w:rsid w:val="0014031B"/>
    <w:rsid w:val="001406AF"/>
    <w:rsid w:val="001433C3"/>
    <w:rsid w:val="001635E5"/>
    <w:rsid w:val="00163EAD"/>
    <w:rsid w:val="0017588D"/>
    <w:rsid w:val="001765F6"/>
    <w:rsid w:val="0017673A"/>
    <w:rsid w:val="00177C67"/>
    <w:rsid w:val="00181D0E"/>
    <w:rsid w:val="0019056C"/>
    <w:rsid w:val="00190666"/>
    <w:rsid w:val="00190F28"/>
    <w:rsid w:val="00191ED9"/>
    <w:rsid w:val="0019289D"/>
    <w:rsid w:val="00194D30"/>
    <w:rsid w:val="00194FCB"/>
    <w:rsid w:val="00197444"/>
    <w:rsid w:val="001A34F3"/>
    <w:rsid w:val="001A6131"/>
    <w:rsid w:val="001B171B"/>
    <w:rsid w:val="001B1735"/>
    <w:rsid w:val="001B264A"/>
    <w:rsid w:val="001B3EC5"/>
    <w:rsid w:val="001C03A0"/>
    <w:rsid w:val="001C6ECA"/>
    <w:rsid w:val="001D4748"/>
    <w:rsid w:val="001D4C75"/>
    <w:rsid w:val="001E69D8"/>
    <w:rsid w:val="001E7DDD"/>
    <w:rsid w:val="001F4FFA"/>
    <w:rsid w:val="001F7393"/>
    <w:rsid w:val="0020039F"/>
    <w:rsid w:val="002015BB"/>
    <w:rsid w:val="00202A19"/>
    <w:rsid w:val="00203A74"/>
    <w:rsid w:val="00211A8E"/>
    <w:rsid w:val="002120E1"/>
    <w:rsid w:val="002129B6"/>
    <w:rsid w:val="00212B0D"/>
    <w:rsid w:val="0021461E"/>
    <w:rsid w:val="00216109"/>
    <w:rsid w:val="00216EB7"/>
    <w:rsid w:val="0022001E"/>
    <w:rsid w:val="00221301"/>
    <w:rsid w:val="00227396"/>
    <w:rsid w:val="002345F1"/>
    <w:rsid w:val="002444FD"/>
    <w:rsid w:val="002521B9"/>
    <w:rsid w:val="0026326B"/>
    <w:rsid w:val="002636ED"/>
    <w:rsid w:val="00266675"/>
    <w:rsid w:val="002703ED"/>
    <w:rsid w:val="00271C8C"/>
    <w:rsid w:val="0028498F"/>
    <w:rsid w:val="002967CE"/>
    <w:rsid w:val="00297E79"/>
    <w:rsid w:val="002A3283"/>
    <w:rsid w:val="002B0731"/>
    <w:rsid w:val="002B1E39"/>
    <w:rsid w:val="002B2897"/>
    <w:rsid w:val="002B3F90"/>
    <w:rsid w:val="002B734E"/>
    <w:rsid w:val="002D042C"/>
    <w:rsid w:val="002E0AF3"/>
    <w:rsid w:val="002E328B"/>
    <w:rsid w:val="002E4062"/>
    <w:rsid w:val="002F560B"/>
    <w:rsid w:val="00306B0F"/>
    <w:rsid w:val="003070DB"/>
    <w:rsid w:val="00307829"/>
    <w:rsid w:val="00313703"/>
    <w:rsid w:val="00314A71"/>
    <w:rsid w:val="00316EB4"/>
    <w:rsid w:val="00321369"/>
    <w:rsid w:val="003216FA"/>
    <w:rsid w:val="003226A5"/>
    <w:rsid w:val="003300C6"/>
    <w:rsid w:val="003300EE"/>
    <w:rsid w:val="00330FC4"/>
    <w:rsid w:val="003354C8"/>
    <w:rsid w:val="00336716"/>
    <w:rsid w:val="003429E1"/>
    <w:rsid w:val="00346B52"/>
    <w:rsid w:val="00347D55"/>
    <w:rsid w:val="003579AD"/>
    <w:rsid w:val="00363398"/>
    <w:rsid w:val="0036414E"/>
    <w:rsid w:val="003651A1"/>
    <w:rsid w:val="00367B8E"/>
    <w:rsid w:val="00370B3A"/>
    <w:rsid w:val="003738E0"/>
    <w:rsid w:val="00394D48"/>
    <w:rsid w:val="00397CB0"/>
    <w:rsid w:val="003A32A6"/>
    <w:rsid w:val="003A6A7E"/>
    <w:rsid w:val="003B6EF5"/>
    <w:rsid w:val="003C6641"/>
    <w:rsid w:val="003D034C"/>
    <w:rsid w:val="003D09DE"/>
    <w:rsid w:val="003D2186"/>
    <w:rsid w:val="003D516F"/>
    <w:rsid w:val="003E15DF"/>
    <w:rsid w:val="003E1ABC"/>
    <w:rsid w:val="003E2C00"/>
    <w:rsid w:val="003F5915"/>
    <w:rsid w:val="00414E18"/>
    <w:rsid w:val="00415F60"/>
    <w:rsid w:val="0043390D"/>
    <w:rsid w:val="00434342"/>
    <w:rsid w:val="00437902"/>
    <w:rsid w:val="004445E7"/>
    <w:rsid w:val="00445E84"/>
    <w:rsid w:val="004476A3"/>
    <w:rsid w:val="00447BA7"/>
    <w:rsid w:val="00450051"/>
    <w:rsid w:val="0045177D"/>
    <w:rsid w:val="004557B0"/>
    <w:rsid w:val="00460537"/>
    <w:rsid w:val="00477112"/>
    <w:rsid w:val="00482AB7"/>
    <w:rsid w:val="004836E9"/>
    <w:rsid w:val="00494396"/>
    <w:rsid w:val="004A30DB"/>
    <w:rsid w:val="004B0037"/>
    <w:rsid w:val="004B30A1"/>
    <w:rsid w:val="004B4A5A"/>
    <w:rsid w:val="004C0318"/>
    <w:rsid w:val="004C286F"/>
    <w:rsid w:val="004C42FC"/>
    <w:rsid w:val="004D1906"/>
    <w:rsid w:val="004D26C5"/>
    <w:rsid w:val="004D491F"/>
    <w:rsid w:val="004D4CF8"/>
    <w:rsid w:val="004E26F0"/>
    <w:rsid w:val="004E4B68"/>
    <w:rsid w:val="004E4E93"/>
    <w:rsid w:val="004F0F52"/>
    <w:rsid w:val="004F136E"/>
    <w:rsid w:val="004F5CFF"/>
    <w:rsid w:val="0050268B"/>
    <w:rsid w:val="00503DB5"/>
    <w:rsid w:val="00506C10"/>
    <w:rsid w:val="00507FA7"/>
    <w:rsid w:val="00515D1A"/>
    <w:rsid w:val="00516CD7"/>
    <w:rsid w:val="00517349"/>
    <w:rsid w:val="005212C2"/>
    <w:rsid w:val="00522C34"/>
    <w:rsid w:val="00535A0F"/>
    <w:rsid w:val="00541B63"/>
    <w:rsid w:val="00542838"/>
    <w:rsid w:val="0054671A"/>
    <w:rsid w:val="00550AED"/>
    <w:rsid w:val="00551D4E"/>
    <w:rsid w:val="00553CAF"/>
    <w:rsid w:val="00556240"/>
    <w:rsid w:val="00561BDA"/>
    <w:rsid w:val="00562C92"/>
    <w:rsid w:val="005717CE"/>
    <w:rsid w:val="00572826"/>
    <w:rsid w:val="005745CC"/>
    <w:rsid w:val="00575FAE"/>
    <w:rsid w:val="00576A9F"/>
    <w:rsid w:val="00580140"/>
    <w:rsid w:val="00584A71"/>
    <w:rsid w:val="00586BFF"/>
    <w:rsid w:val="0059308F"/>
    <w:rsid w:val="005962C4"/>
    <w:rsid w:val="005A3B30"/>
    <w:rsid w:val="005A5D20"/>
    <w:rsid w:val="005B2A38"/>
    <w:rsid w:val="005C5F85"/>
    <w:rsid w:val="005C7DD5"/>
    <w:rsid w:val="005D2D57"/>
    <w:rsid w:val="005D3A0A"/>
    <w:rsid w:val="005D7308"/>
    <w:rsid w:val="005E112B"/>
    <w:rsid w:val="005E1D8B"/>
    <w:rsid w:val="005E3F52"/>
    <w:rsid w:val="005E6359"/>
    <w:rsid w:val="005F0369"/>
    <w:rsid w:val="005F144A"/>
    <w:rsid w:val="005F1CD4"/>
    <w:rsid w:val="005F1F0E"/>
    <w:rsid w:val="005F36DC"/>
    <w:rsid w:val="006004BC"/>
    <w:rsid w:val="00605248"/>
    <w:rsid w:val="00612AFF"/>
    <w:rsid w:val="00614A60"/>
    <w:rsid w:val="00614DC0"/>
    <w:rsid w:val="00621550"/>
    <w:rsid w:val="00623D31"/>
    <w:rsid w:val="006243C6"/>
    <w:rsid w:val="00626C0A"/>
    <w:rsid w:val="006310EB"/>
    <w:rsid w:val="00632B8B"/>
    <w:rsid w:val="00634B10"/>
    <w:rsid w:val="006363E3"/>
    <w:rsid w:val="00636410"/>
    <w:rsid w:val="00640A83"/>
    <w:rsid w:val="00653A67"/>
    <w:rsid w:val="0065623C"/>
    <w:rsid w:val="00680D58"/>
    <w:rsid w:val="0068412C"/>
    <w:rsid w:val="00685341"/>
    <w:rsid w:val="006853DD"/>
    <w:rsid w:val="00690CCA"/>
    <w:rsid w:val="00697C2D"/>
    <w:rsid w:val="006A4F7D"/>
    <w:rsid w:val="006B0B97"/>
    <w:rsid w:val="006B1BDD"/>
    <w:rsid w:val="006B4813"/>
    <w:rsid w:val="006B6A5F"/>
    <w:rsid w:val="006C0F97"/>
    <w:rsid w:val="006D01C5"/>
    <w:rsid w:val="006E2549"/>
    <w:rsid w:val="006E6822"/>
    <w:rsid w:val="006E7C28"/>
    <w:rsid w:val="006F1ACB"/>
    <w:rsid w:val="006F2FC8"/>
    <w:rsid w:val="006F62B3"/>
    <w:rsid w:val="006F6F3F"/>
    <w:rsid w:val="007014F1"/>
    <w:rsid w:val="00702FC0"/>
    <w:rsid w:val="00706260"/>
    <w:rsid w:val="0070720E"/>
    <w:rsid w:val="00707412"/>
    <w:rsid w:val="007133A9"/>
    <w:rsid w:val="007171DF"/>
    <w:rsid w:val="00721BDE"/>
    <w:rsid w:val="007237A3"/>
    <w:rsid w:val="00727510"/>
    <w:rsid w:val="00731235"/>
    <w:rsid w:val="00732B25"/>
    <w:rsid w:val="007343BC"/>
    <w:rsid w:val="00737C32"/>
    <w:rsid w:val="0075240E"/>
    <w:rsid w:val="0075243C"/>
    <w:rsid w:val="00760C67"/>
    <w:rsid w:val="00767490"/>
    <w:rsid w:val="00771E82"/>
    <w:rsid w:val="007737A6"/>
    <w:rsid w:val="00775E7A"/>
    <w:rsid w:val="00790551"/>
    <w:rsid w:val="007935F3"/>
    <w:rsid w:val="0079593C"/>
    <w:rsid w:val="007A18B5"/>
    <w:rsid w:val="007A683D"/>
    <w:rsid w:val="007A6B50"/>
    <w:rsid w:val="007A6B90"/>
    <w:rsid w:val="007B008A"/>
    <w:rsid w:val="007B6747"/>
    <w:rsid w:val="007C3D3B"/>
    <w:rsid w:val="007D1567"/>
    <w:rsid w:val="007D7C0B"/>
    <w:rsid w:val="007E2E12"/>
    <w:rsid w:val="007E61D1"/>
    <w:rsid w:val="007F2892"/>
    <w:rsid w:val="007F4B05"/>
    <w:rsid w:val="007F5172"/>
    <w:rsid w:val="00807ADB"/>
    <w:rsid w:val="008120D6"/>
    <w:rsid w:val="00813637"/>
    <w:rsid w:val="00814FCC"/>
    <w:rsid w:val="0081533B"/>
    <w:rsid w:val="00817496"/>
    <w:rsid w:val="00817AAE"/>
    <w:rsid w:val="008244D1"/>
    <w:rsid w:val="00824A1E"/>
    <w:rsid w:val="00827C45"/>
    <w:rsid w:val="00827C4C"/>
    <w:rsid w:val="00827FA3"/>
    <w:rsid w:val="00830EB8"/>
    <w:rsid w:val="00835A23"/>
    <w:rsid w:val="00835F45"/>
    <w:rsid w:val="00840853"/>
    <w:rsid w:val="0084215B"/>
    <w:rsid w:val="00842B97"/>
    <w:rsid w:val="00852BD7"/>
    <w:rsid w:val="00855FB8"/>
    <w:rsid w:val="00863884"/>
    <w:rsid w:val="00863FD7"/>
    <w:rsid w:val="00866872"/>
    <w:rsid w:val="0087059B"/>
    <w:rsid w:val="00876DBD"/>
    <w:rsid w:val="00884640"/>
    <w:rsid w:val="00885444"/>
    <w:rsid w:val="0088578D"/>
    <w:rsid w:val="00891C3F"/>
    <w:rsid w:val="0089237C"/>
    <w:rsid w:val="00893DAE"/>
    <w:rsid w:val="008A2AF9"/>
    <w:rsid w:val="008A4381"/>
    <w:rsid w:val="008B1E46"/>
    <w:rsid w:val="008B2962"/>
    <w:rsid w:val="008B5C9C"/>
    <w:rsid w:val="008B76DA"/>
    <w:rsid w:val="008D5960"/>
    <w:rsid w:val="008D73E9"/>
    <w:rsid w:val="008E3805"/>
    <w:rsid w:val="008E489D"/>
    <w:rsid w:val="008E5771"/>
    <w:rsid w:val="008F1DDF"/>
    <w:rsid w:val="008F2830"/>
    <w:rsid w:val="009035AC"/>
    <w:rsid w:val="00904A04"/>
    <w:rsid w:val="009069BA"/>
    <w:rsid w:val="00906E67"/>
    <w:rsid w:val="00906EFC"/>
    <w:rsid w:val="00907E27"/>
    <w:rsid w:val="00910E54"/>
    <w:rsid w:val="009164B3"/>
    <w:rsid w:val="009168D9"/>
    <w:rsid w:val="00916F97"/>
    <w:rsid w:val="009251C5"/>
    <w:rsid w:val="009257B9"/>
    <w:rsid w:val="009273F2"/>
    <w:rsid w:val="0094114F"/>
    <w:rsid w:val="009431AC"/>
    <w:rsid w:val="00944128"/>
    <w:rsid w:val="00947BCD"/>
    <w:rsid w:val="00953456"/>
    <w:rsid w:val="00964C19"/>
    <w:rsid w:val="00965B2F"/>
    <w:rsid w:val="009662BC"/>
    <w:rsid w:val="009667DB"/>
    <w:rsid w:val="009676AA"/>
    <w:rsid w:val="0097044A"/>
    <w:rsid w:val="009730E1"/>
    <w:rsid w:val="00990D83"/>
    <w:rsid w:val="009916DD"/>
    <w:rsid w:val="009928D1"/>
    <w:rsid w:val="00992DFA"/>
    <w:rsid w:val="0099546F"/>
    <w:rsid w:val="00996F31"/>
    <w:rsid w:val="009979FD"/>
    <w:rsid w:val="009B3F19"/>
    <w:rsid w:val="009B7BA3"/>
    <w:rsid w:val="009C613A"/>
    <w:rsid w:val="009C795E"/>
    <w:rsid w:val="009D5489"/>
    <w:rsid w:val="009D60C2"/>
    <w:rsid w:val="009E66AF"/>
    <w:rsid w:val="009F0956"/>
    <w:rsid w:val="009F4AFF"/>
    <w:rsid w:val="009F72AD"/>
    <w:rsid w:val="00A02ADE"/>
    <w:rsid w:val="00A0428C"/>
    <w:rsid w:val="00A12466"/>
    <w:rsid w:val="00A12EDC"/>
    <w:rsid w:val="00A20D61"/>
    <w:rsid w:val="00A214F2"/>
    <w:rsid w:val="00A23584"/>
    <w:rsid w:val="00A30A91"/>
    <w:rsid w:val="00A41976"/>
    <w:rsid w:val="00A43E09"/>
    <w:rsid w:val="00A44B42"/>
    <w:rsid w:val="00A44C13"/>
    <w:rsid w:val="00A455C6"/>
    <w:rsid w:val="00A52BBA"/>
    <w:rsid w:val="00A55B4C"/>
    <w:rsid w:val="00A57FAB"/>
    <w:rsid w:val="00A61AC1"/>
    <w:rsid w:val="00A62E6B"/>
    <w:rsid w:val="00A63261"/>
    <w:rsid w:val="00A632E6"/>
    <w:rsid w:val="00A63C24"/>
    <w:rsid w:val="00A66FE3"/>
    <w:rsid w:val="00A73275"/>
    <w:rsid w:val="00A73AA3"/>
    <w:rsid w:val="00A73C7A"/>
    <w:rsid w:val="00A75066"/>
    <w:rsid w:val="00A77BAE"/>
    <w:rsid w:val="00A82D03"/>
    <w:rsid w:val="00A91BF7"/>
    <w:rsid w:val="00A95415"/>
    <w:rsid w:val="00AA07F7"/>
    <w:rsid w:val="00AA1C81"/>
    <w:rsid w:val="00AA3393"/>
    <w:rsid w:val="00AB0302"/>
    <w:rsid w:val="00AB40B8"/>
    <w:rsid w:val="00AB4A53"/>
    <w:rsid w:val="00AB7BF3"/>
    <w:rsid w:val="00AC0BB8"/>
    <w:rsid w:val="00AC3E85"/>
    <w:rsid w:val="00AC5321"/>
    <w:rsid w:val="00AD0386"/>
    <w:rsid w:val="00AD0A60"/>
    <w:rsid w:val="00AD40EC"/>
    <w:rsid w:val="00AD76EC"/>
    <w:rsid w:val="00AD7EFA"/>
    <w:rsid w:val="00AE3136"/>
    <w:rsid w:val="00AE5163"/>
    <w:rsid w:val="00AE55DC"/>
    <w:rsid w:val="00AF220B"/>
    <w:rsid w:val="00AF5EB2"/>
    <w:rsid w:val="00B011EE"/>
    <w:rsid w:val="00B018FB"/>
    <w:rsid w:val="00B05E15"/>
    <w:rsid w:val="00B122D1"/>
    <w:rsid w:val="00B2007F"/>
    <w:rsid w:val="00B238C8"/>
    <w:rsid w:val="00B243DE"/>
    <w:rsid w:val="00B253EC"/>
    <w:rsid w:val="00B27E55"/>
    <w:rsid w:val="00B50900"/>
    <w:rsid w:val="00B50AD2"/>
    <w:rsid w:val="00B5278E"/>
    <w:rsid w:val="00B52A1D"/>
    <w:rsid w:val="00B54097"/>
    <w:rsid w:val="00B57B8A"/>
    <w:rsid w:val="00B67AD7"/>
    <w:rsid w:val="00B75543"/>
    <w:rsid w:val="00B76E05"/>
    <w:rsid w:val="00B80536"/>
    <w:rsid w:val="00B8457B"/>
    <w:rsid w:val="00B849AD"/>
    <w:rsid w:val="00B87940"/>
    <w:rsid w:val="00B919BB"/>
    <w:rsid w:val="00B9202C"/>
    <w:rsid w:val="00B95BF7"/>
    <w:rsid w:val="00B95CB7"/>
    <w:rsid w:val="00B97136"/>
    <w:rsid w:val="00BA3C31"/>
    <w:rsid w:val="00BA56EA"/>
    <w:rsid w:val="00BA5A1E"/>
    <w:rsid w:val="00BA6484"/>
    <w:rsid w:val="00BA6D4C"/>
    <w:rsid w:val="00BB3642"/>
    <w:rsid w:val="00BB3849"/>
    <w:rsid w:val="00BB5969"/>
    <w:rsid w:val="00BC1700"/>
    <w:rsid w:val="00BC4407"/>
    <w:rsid w:val="00BC5BF2"/>
    <w:rsid w:val="00BD577F"/>
    <w:rsid w:val="00BE71D3"/>
    <w:rsid w:val="00BF0229"/>
    <w:rsid w:val="00C01ECC"/>
    <w:rsid w:val="00C049EB"/>
    <w:rsid w:val="00C06829"/>
    <w:rsid w:val="00C100AD"/>
    <w:rsid w:val="00C16C1B"/>
    <w:rsid w:val="00C21D6F"/>
    <w:rsid w:val="00C251CE"/>
    <w:rsid w:val="00C26A7F"/>
    <w:rsid w:val="00C351E4"/>
    <w:rsid w:val="00C35DF4"/>
    <w:rsid w:val="00C421B6"/>
    <w:rsid w:val="00C5022C"/>
    <w:rsid w:val="00C508C1"/>
    <w:rsid w:val="00C54028"/>
    <w:rsid w:val="00C54267"/>
    <w:rsid w:val="00C573F3"/>
    <w:rsid w:val="00C629AA"/>
    <w:rsid w:val="00C71858"/>
    <w:rsid w:val="00C72D09"/>
    <w:rsid w:val="00C8585D"/>
    <w:rsid w:val="00C865EB"/>
    <w:rsid w:val="00CB1E84"/>
    <w:rsid w:val="00CB3D74"/>
    <w:rsid w:val="00CB41D2"/>
    <w:rsid w:val="00CB48DC"/>
    <w:rsid w:val="00CB5F3D"/>
    <w:rsid w:val="00CC5F99"/>
    <w:rsid w:val="00CD23C8"/>
    <w:rsid w:val="00CD3645"/>
    <w:rsid w:val="00CD4105"/>
    <w:rsid w:val="00CD4AFD"/>
    <w:rsid w:val="00CD4C91"/>
    <w:rsid w:val="00CE4310"/>
    <w:rsid w:val="00CE4D93"/>
    <w:rsid w:val="00CF14CB"/>
    <w:rsid w:val="00CF1560"/>
    <w:rsid w:val="00CF27A1"/>
    <w:rsid w:val="00CF3CD2"/>
    <w:rsid w:val="00D000EC"/>
    <w:rsid w:val="00D01A9B"/>
    <w:rsid w:val="00D03641"/>
    <w:rsid w:val="00D05321"/>
    <w:rsid w:val="00D112DC"/>
    <w:rsid w:val="00D13549"/>
    <w:rsid w:val="00D2353A"/>
    <w:rsid w:val="00D255E0"/>
    <w:rsid w:val="00D316C7"/>
    <w:rsid w:val="00D3319D"/>
    <w:rsid w:val="00D35E79"/>
    <w:rsid w:val="00D42338"/>
    <w:rsid w:val="00D453B3"/>
    <w:rsid w:val="00D457E7"/>
    <w:rsid w:val="00D52173"/>
    <w:rsid w:val="00D53546"/>
    <w:rsid w:val="00D54975"/>
    <w:rsid w:val="00D67157"/>
    <w:rsid w:val="00D7091B"/>
    <w:rsid w:val="00D7096C"/>
    <w:rsid w:val="00D73B4C"/>
    <w:rsid w:val="00D7441E"/>
    <w:rsid w:val="00D75B9A"/>
    <w:rsid w:val="00D773C7"/>
    <w:rsid w:val="00D805D4"/>
    <w:rsid w:val="00D868C4"/>
    <w:rsid w:val="00D86C20"/>
    <w:rsid w:val="00D90F59"/>
    <w:rsid w:val="00D9692A"/>
    <w:rsid w:val="00DA1E5D"/>
    <w:rsid w:val="00DA4A29"/>
    <w:rsid w:val="00DA51BA"/>
    <w:rsid w:val="00DA6C14"/>
    <w:rsid w:val="00DB3650"/>
    <w:rsid w:val="00DB4C3D"/>
    <w:rsid w:val="00DC09C7"/>
    <w:rsid w:val="00DC103C"/>
    <w:rsid w:val="00DC1A76"/>
    <w:rsid w:val="00DD4C4F"/>
    <w:rsid w:val="00DD5BDA"/>
    <w:rsid w:val="00DD75F5"/>
    <w:rsid w:val="00DE25B3"/>
    <w:rsid w:val="00DE3B1C"/>
    <w:rsid w:val="00DE40E4"/>
    <w:rsid w:val="00DE44FF"/>
    <w:rsid w:val="00DE4D28"/>
    <w:rsid w:val="00E01326"/>
    <w:rsid w:val="00E02B85"/>
    <w:rsid w:val="00E04E6B"/>
    <w:rsid w:val="00E14F06"/>
    <w:rsid w:val="00E15816"/>
    <w:rsid w:val="00E25B30"/>
    <w:rsid w:val="00E26587"/>
    <w:rsid w:val="00E310A1"/>
    <w:rsid w:val="00E36E25"/>
    <w:rsid w:val="00E46283"/>
    <w:rsid w:val="00E47B16"/>
    <w:rsid w:val="00E51D6C"/>
    <w:rsid w:val="00E51FCD"/>
    <w:rsid w:val="00E55CA7"/>
    <w:rsid w:val="00E55E19"/>
    <w:rsid w:val="00E62188"/>
    <w:rsid w:val="00E64F68"/>
    <w:rsid w:val="00E716D6"/>
    <w:rsid w:val="00E71735"/>
    <w:rsid w:val="00E719D7"/>
    <w:rsid w:val="00E75498"/>
    <w:rsid w:val="00E75990"/>
    <w:rsid w:val="00E761A1"/>
    <w:rsid w:val="00E77958"/>
    <w:rsid w:val="00E81B9F"/>
    <w:rsid w:val="00E837A1"/>
    <w:rsid w:val="00E83889"/>
    <w:rsid w:val="00E83AF9"/>
    <w:rsid w:val="00E8533C"/>
    <w:rsid w:val="00E863AF"/>
    <w:rsid w:val="00E86ED2"/>
    <w:rsid w:val="00E90175"/>
    <w:rsid w:val="00E902A4"/>
    <w:rsid w:val="00E902A6"/>
    <w:rsid w:val="00E904A1"/>
    <w:rsid w:val="00E90C61"/>
    <w:rsid w:val="00EB54DE"/>
    <w:rsid w:val="00EB6A49"/>
    <w:rsid w:val="00EC166C"/>
    <w:rsid w:val="00EC1DA3"/>
    <w:rsid w:val="00EC4AC3"/>
    <w:rsid w:val="00EC54B4"/>
    <w:rsid w:val="00ED1766"/>
    <w:rsid w:val="00ED46D0"/>
    <w:rsid w:val="00ED4D98"/>
    <w:rsid w:val="00ED606E"/>
    <w:rsid w:val="00ED661A"/>
    <w:rsid w:val="00EE50CF"/>
    <w:rsid w:val="00F06180"/>
    <w:rsid w:val="00F148EA"/>
    <w:rsid w:val="00F17F08"/>
    <w:rsid w:val="00F241B8"/>
    <w:rsid w:val="00F24508"/>
    <w:rsid w:val="00F269E0"/>
    <w:rsid w:val="00F26FBC"/>
    <w:rsid w:val="00F308BA"/>
    <w:rsid w:val="00F32C53"/>
    <w:rsid w:val="00F42037"/>
    <w:rsid w:val="00F43258"/>
    <w:rsid w:val="00F45310"/>
    <w:rsid w:val="00F45DFE"/>
    <w:rsid w:val="00F53A08"/>
    <w:rsid w:val="00F63291"/>
    <w:rsid w:val="00F6393F"/>
    <w:rsid w:val="00F67E3B"/>
    <w:rsid w:val="00F75689"/>
    <w:rsid w:val="00F80856"/>
    <w:rsid w:val="00F81882"/>
    <w:rsid w:val="00F85D93"/>
    <w:rsid w:val="00F93F50"/>
    <w:rsid w:val="00F95AC4"/>
    <w:rsid w:val="00FA2CBE"/>
    <w:rsid w:val="00FB0145"/>
    <w:rsid w:val="00FB1DE0"/>
    <w:rsid w:val="00FB6FDE"/>
    <w:rsid w:val="00FB7E82"/>
    <w:rsid w:val="00FC1AB5"/>
    <w:rsid w:val="00FC5AC5"/>
    <w:rsid w:val="00FC6E32"/>
    <w:rsid w:val="00FD14A7"/>
    <w:rsid w:val="00FE0947"/>
    <w:rsid w:val="00FE31E8"/>
    <w:rsid w:val="00FE5A31"/>
    <w:rsid w:val="00FE6AA7"/>
    <w:rsid w:val="00FF0BA8"/>
    <w:rsid w:val="00FF1086"/>
    <w:rsid w:val="00FF1FF8"/>
    <w:rsid w:val="00FF5DB0"/>
    <w:rsid w:val="00FF658A"/>
    <w:rsid w:val="00FF7B05"/>
    <w:rsid w:val="016B3CA6"/>
    <w:rsid w:val="01CD7511"/>
    <w:rsid w:val="022E6D4C"/>
    <w:rsid w:val="02317836"/>
    <w:rsid w:val="02430B2B"/>
    <w:rsid w:val="02CD5A6F"/>
    <w:rsid w:val="02E836CB"/>
    <w:rsid w:val="03165668"/>
    <w:rsid w:val="03386882"/>
    <w:rsid w:val="03C93DE4"/>
    <w:rsid w:val="03CF276F"/>
    <w:rsid w:val="03FE7515"/>
    <w:rsid w:val="04104985"/>
    <w:rsid w:val="044E4D03"/>
    <w:rsid w:val="04BF1619"/>
    <w:rsid w:val="05052E25"/>
    <w:rsid w:val="053F1371"/>
    <w:rsid w:val="062126EF"/>
    <w:rsid w:val="0662250D"/>
    <w:rsid w:val="069756C9"/>
    <w:rsid w:val="06C74ECC"/>
    <w:rsid w:val="06C76C7A"/>
    <w:rsid w:val="06EA41D2"/>
    <w:rsid w:val="06F82B78"/>
    <w:rsid w:val="072E42E3"/>
    <w:rsid w:val="07A10847"/>
    <w:rsid w:val="07D729CE"/>
    <w:rsid w:val="081326C8"/>
    <w:rsid w:val="08404482"/>
    <w:rsid w:val="08755F54"/>
    <w:rsid w:val="08D86F1C"/>
    <w:rsid w:val="09102B5A"/>
    <w:rsid w:val="0968446C"/>
    <w:rsid w:val="09880AD8"/>
    <w:rsid w:val="0AA5328F"/>
    <w:rsid w:val="0AC679E9"/>
    <w:rsid w:val="0B035B3D"/>
    <w:rsid w:val="0B134589"/>
    <w:rsid w:val="0B161614"/>
    <w:rsid w:val="0B183F48"/>
    <w:rsid w:val="0B1C66F6"/>
    <w:rsid w:val="0B621790"/>
    <w:rsid w:val="0B7E48FD"/>
    <w:rsid w:val="0B885D45"/>
    <w:rsid w:val="0BFB0153"/>
    <w:rsid w:val="0CA00E3D"/>
    <w:rsid w:val="0CB73E88"/>
    <w:rsid w:val="0CE91C05"/>
    <w:rsid w:val="0CFC2EE8"/>
    <w:rsid w:val="0D2A401C"/>
    <w:rsid w:val="0D2E411F"/>
    <w:rsid w:val="0D417D41"/>
    <w:rsid w:val="0D793BDC"/>
    <w:rsid w:val="0D7C767A"/>
    <w:rsid w:val="0E0E07B1"/>
    <w:rsid w:val="0E0F7A1E"/>
    <w:rsid w:val="0E2F068D"/>
    <w:rsid w:val="0E545AFA"/>
    <w:rsid w:val="0E9953A0"/>
    <w:rsid w:val="0EE82354"/>
    <w:rsid w:val="0F29520D"/>
    <w:rsid w:val="0F31382A"/>
    <w:rsid w:val="0F4628FA"/>
    <w:rsid w:val="0F594D76"/>
    <w:rsid w:val="0F9B2B5E"/>
    <w:rsid w:val="0FB34829"/>
    <w:rsid w:val="0FD13773"/>
    <w:rsid w:val="0FF24AF1"/>
    <w:rsid w:val="105B51DC"/>
    <w:rsid w:val="10B02E63"/>
    <w:rsid w:val="10C14D02"/>
    <w:rsid w:val="115520F1"/>
    <w:rsid w:val="11C22947"/>
    <w:rsid w:val="11C96F3F"/>
    <w:rsid w:val="11D0723B"/>
    <w:rsid w:val="1290428F"/>
    <w:rsid w:val="1308440F"/>
    <w:rsid w:val="133549AA"/>
    <w:rsid w:val="13404493"/>
    <w:rsid w:val="135607B7"/>
    <w:rsid w:val="13B6593C"/>
    <w:rsid w:val="13BB5EEE"/>
    <w:rsid w:val="14537884"/>
    <w:rsid w:val="14593BBF"/>
    <w:rsid w:val="148E15E6"/>
    <w:rsid w:val="14B538EB"/>
    <w:rsid w:val="14D56C28"/>
    <w:rsid w:val="151C338A"/>
    <w:rsid w:val="153F5894"/>
    <w:rsid w:val="1565002B"/>
    <w:rsid w:val="15E45DCF"/>
    <w:rsid w:val="161812A0"/>
    <w:rsid w:val="164973BC"/>
    <w:rsid w:val="16D229E9"/>
    <w:rsid w:val="16FC0ECA"/>
    <w:rsid w:val="17272893"/>
    <w:rsid w:val="173D66F2"/>
    <w:rsid w:val="17430389"/>
    <w:rsid w:val="175C0959"/>
    <w:rsid w:val="177941D0"/>
    <w:rsid w:val="17DC532F"/>
    <w:rsid w:val="17EF566D"/>
    <w:rsid w:val="17F453F5"/>
    <w:rsid w:val="1833339A"/>
    <w:rsid w:val="184F2717"/>
    <w:rsid w:val="18716276"/>
    <w:rsid w:val="18800267"/>
    <w:rsid w:val="19201D08"/>
    <w:rsid w:val="19373037"/>
    <w:rsid w:val="19731B79"/>
    <w:rsid w:val="198122A9"/>
    <w:rsid w:val="1A024AC4"/>
    <w:rsid w:val="1AA57B5F"/>
    <w:rsid w:val="1B260840"/>
    <w:rsid w:val="1B8E24F5"/>
    <w:rsid w:val="1BE761D2"/>
    <w:rsid w:val="1C2407D2"/>
    <w:rsid w:val="1C392717"/>
    <w:rsid w:val="1CAF1BA0"/>
    <w:rsid w:val="1CD970E6"/>
    <w:rsid w:val="1D1764DD"/>
    <w:rsid w:val="1D314742"/>
    <w:rsid w:val="1D3A2C59"/>
    <w:rsid w:val="1D59768A"/>
    <w:rsid w:val="1DB73C31"/>
    <w:rsid w:val="1E5006DD"/>
    <w:rsid w:val="1E626810"/>
    <w:rsid w:val="1E7C1444"/>
    <w:rsid w:val="1EE44777"/>
    <w:rsid w:val="1F1A20CD"/>
    <w:rsid w:val="1F3A1F0D"/>
    <w:rsid w:val="1F515A41"/>
    <w:rsid w:val="1F764FC6"/>
    <w:rsid w:val="1FF42436"/>
    <w:rsid w:val="201868BB"/>
    <w:rsid w:val="208E2D86"/>
    <w:rsid w:val="20A41BDD"/>
    <w:rsid w:val="21354379"/>
    <w:rsid w:val="21432F64"/>
    <w:rsid w:val="21D218F6"/>
    <w:rsid w:val="21EE38EF"/>
    <w:rsid w:val="224A72AF"/>
    <w:rsid w:val="22547760"/>
    <w:rsid w:val="22723839"/>
    <w:rsid w:val="230B6C59"/>
    <w:rsid w:val="230F5204"/>
    <w:rsid w:val="2357613F"/>
    <w:rsid w:val="23906919"/>
    <w:rsid w:val="23C823BC"/>
    <w:rsid w:val="23E90BAC"/>
    <w:rsid w:val="24057464"/>
    <w:rsid w:val="24253506"/>
    <w:rsid w:val="245B49D0"/>
    <w:rsid w:val="248B0E8F"/>
    <w:rsid w:val="24A42D4D"/>
    <w:rsid w:val="24BA4F1C"/>
    <w:rsid w:val="24D34D10"/>
    <w:rsid w:val="24F26C8B"/>
    <w:rsid w:val="24F46692"/>
    <w:rsid w:val="25496D80"/>
    <w:rsid w:val="259676C3"/>
    <w:rsid w:val="25D57113"/>
    <w:rsid w:val="26A80FE8"/>
    <w:rsid w:val="26D60601"/>
    <w:rsid w:val="26E51EF5"/>
    <w:rsid w:val="26FE01DA"/>
    <w:rsid w:val="27767BD4"/>
    <w:rsid w:val="27DA79EB"/>
    <w:rsid w:val="28012834"/>
    <w:rsid w:val="28017784"/>
    <w:rsid w:val="287F157E"/>
    <w:rsid w:val="28897E9E"/>
    <w:rsid w:val="28D41922"/>
    <w:rsid w:val="28DD78F7"/>
    <w:rsid w:val="28DF17A9"/>
    <w:rsid w:val="29475CCC"/>
    <w:rsid w:val="296D02F2"/>
    <w:rsid w:val="29CC726F"/>
    <w:rsid w:val="29D5537D"/>
    <w:rsid w:val="2AA56588"/>
    <w:rsid w:val="2AD02892"/>
    <w:rsid w:val="2AED414D"/>
    <w:rsid w:val="2B7A199A"/>
    <w:rsid w:val="2B812B85"/>
    <w:rsid w:val="2BB97180"/>
    <w:rsid w:val="2BE064EC"/>
    <w:rsid w:val="2C116EBC"/>
    <w:rsid w:val="2C5300D5"/>
    <w:rsid w:val="2C5979A4"/>
    <w:rsid w:val="2CC639E1"/>
    <w:rsid w:val="2D2864D4"/>
    <w:rsid w:val="2D2F7801"/>
    <w:rsid w:val="2D6405B3"/>
    <w:rsid w:val="2D965244"/>
    <w:rsid w:val="2DAA40C0"/>
    <w:rsid w:val="2DD32383"/>
    <w:rsid w:val="2DE50909"/>
    <w:rsid w:val="2E917FC7"/>
    <w:rsid w:val="2EB1759E"/>
    <w:rsid w:val="2EB230D9"/>
    <w:rsid w:val="2EE72320"/>
    <w:rsid w:val="2EE8455C"/>
    <w:rsid w:val="2F0F5433"/>
    <w:rsid w:val="2F23541F"/>
    <w:rsid w:val="2FB7522E"/>
    <w:rsid w:val="2FC414F3"/>
    <w:rsid w:val="2FE60929"/>
    <w:rsid w:val="2FF058D0"/>
    <w:rsid w:val="30D70117"/>
    <w:rsid w:val="30E07403"/>
    <w:rsid w:val="30E42F09"/>
    <w:rsid w:val="31274B61"/>
    <w:rsid w:val="314B29C9"/>
    <w:rsid w:val="31872A18"/>
    <w:rsid w:val="31922776"/>
    <w:rsid w:val="31B441AF"/>
    <w:rsid w:val="320F4EAD"/>
    <w:rsid w:val="32282B31"/>
    <w:rsid w:val="32A81084"/>
    <w:rsid w:val="32B3206D"/>
    <w:rsid w:val="32D70991"/>
    <w:rsid w:val="32E717D0"/>
    <w:rsid w:val="32EA39FB"/>
    <w:rsid w:val="33264BA4"/>
    <w:rsid w:val="335710EE"/>
    <w:rsid w:val="33B2679E"/>
    <w:rsid w:val="33BE31A4"/>
    <w:rsid w:val="33DC14FA"/>
    <w:rsid w:val="341832F5"/>
    <w:rsid w:val="34F34C56"/>
    <w:rsid w:val="357A5788"/>
    <w:rsid w:val="360308BC"/>
    <w:rsid w:val="36147632"/>
    <w:rsid w:val="36530971"/>
    <w:rsid w:val="36561BAE"/>
    <w:rsid w:val="36610C56"/>
    <w:rsid w:val="366B24CA"/>
    <w:rsid w:val="369D1A9F"/>
    <w:rsid w:val="36BE6EA2"/>
    <w:rsid w:val="36CC5A63"/>
    <w:rsid w:val="36E44B5A"/>
    <w:rsid w:val="37133678"/>
    <w:rsid w:val="37355187"/>
    <w:rsid w:val="376916D4"/>
    <w:rsid w:val="376E6E4C"/>
    <w:rsid w:val="378325C5"/>
    <w:rsid w:val="37FD1ED3"/>
    <w:rsid w:val="38095396"/>
    <w:rsid w:val="385666E5"/>
    <w:rsid w:val="38DB70E7"/>
    <w:rsid w:val="393B2015"/>
    <w:rsid w:val="39426361"/>
    <w:rsid w:val="398A41CF"/>
    <w:rsid w:val="39ED3381"/>
    <w:rsid w:val="39FF1CAB"/>
    <w:rsid w:val="3AA85830"/>
    <w:rsid w:val="3AD16F1E"/>
    <w:rsid w:val="3AD82C28"/>
    <w:rsid w:val="3AEE41FA"/>
    <w:rsid w:val="3B192EFF"/>
    <w:rsid w:val="3B862684"/>
    <w:rsid w:val="3BCE25E6"/>
    <w:rsid w:val="3BEC7F9A"/>
    <w:rsid w:val="3BF5061A"/>
    <w:rsid w:val="3C1B106D"/>
    <w:rsid w:val="3CD15B81"/>
    <w:rsid w:val="3CEA2ACF"/>
    <w:rsid w:val="3D0C77C5"/>
    <w:rsid w:val="3D1447A3"/>
    <w:rsid w:val="3D2F6CDF"/>
    <w:rsid w:val="3D48523F"/>
    <w:rsid w:val="3D707EB6"/>
    <w:rsid w:val="3D8B06B4"/>
    <w:rsid w:val="3DA2751D"/>
    <w:rsid w:val="3DC46A40"/>
    <w:rsid w:val="3E4D33B6"/>
    <w:rsid w:val="3F085C63"/>
    <w:rsid w:val="3F102933"/>
    <w:rsid w:val="3F3618F0"/>
    <w:rsid w:val="3F6727CC"/>
    <w:rsid w:val="3FC14E74"/>
    <w:rsid w:val="3FC92715"/>
    <w:rsid w:val="40275E65"/>
    <w:rsid w:val="40294FE7"/>
    <w:rsid w:val="403B2633"/>
    <w:rsid w:val="404A6865"/>
    <w:rsid w:val="40731D0B"/>
    <w:rsid w:val="40BD25B1"/>
    <w:rsid w:val="41540A99"/>
    <w:rsid w:val="4185309F"/>
    <w:rsid w:val="41BC1F10"/>
    <w:rsid w:val="42213348"/>
    <w:rsid w:val="424B3AFB"/>
    <w:rsid w:val="42E250CC"/>
    <w:rsid w:val="42F8373B"/>
    <w:rsid w:val="433C16C5"/>
    <w:rsid w:val="436A065C"/>
    <w:rsid w:val="436C2636"/>
    <w:rsid w:val="43765341"/>
    <w:rsid w:val="43CF4879"/>
    <w:rsid w:val="43E55DCB"/>
    <w:rsid w:val="445D2FB7"/>
    <w:rsid w:val="447A3E15"/>
    <w:rsid w:val="449B0E1B"/>
    <w:rsid w:val="45A0684F"/>
    <w:rsid w:val="45CD0244"/>
    <w:rsid w:val="45E60474"/>
    <w:rsid w:val="46205483"/>
    <w:rsid w:val="46391745"/>
    <w:rsid w:val="463F0128"/>
    <w:rsid w:val="46886E13"/>
    <w:rsid w:val="46C1077C"/>
    <w:rsid w:val="46CE0949"/>
    <w:rsid w:val="470E352E"/>
    <w:rsid w:val="476756F9"/>
    <w:rsid w:val="47756B56"/>
    <w:rsid w:val="478F3EA7"/>
    <w:rsid w:val="47AD3F78"/>
    <w:rsid w:val="47BB701F"/>
    <w:rsid w:val="482B5C12"/>
    <w:rsid w:val="48653621"/>
    <w:rsid w:val="492C3528"/>
    <w:rsid w:val="49B168A0"/>
    <w:rsid w:val="49B4651F"/>
    <w:rsid w:val="49D066E0"/>
    <w:rsid w:val="49D639C4"/>
    <w:rsid w:val="49E329B9"/>
    <w:rsid w:val="49F42EAF"/>
    <w:rsid w:val="49F7258C"/>
    <w:rsid w:val="4A431740"/>
    <w:rsid w:val="4A6A0124"/>
    <w:rsid w:val="4A9C1DE8"/>
    <w:rsid w:val="4AC46D25"/>
    <w:rsid w:val="4AEA2E00"/>
    <w:rsid w:val="4AED1B3A"/>
    <w:rsid w:val="4B8B339F"/>
    <w:rsid w:val="4B974B9D"/>
    <w:rsid w:val="4BA601D9"/>
    <w:rsid w:val="4C9442AE"/>
    <w:rsid w:val="4CE6400E"/>
    <w:rsid w:val="4CF86EFD"/>
    <w:rsid w:val="4CF906E8"/>
    <w:rsid w:val="4D517CDF"/>
    <w:rsid w:val="4D5670A7"/>
    <w:rsid w:val="4D5D1F52"/>
    <w:rsid w:val="4DBC63C0"/>
    <w:rsid w:val="4E141D71"/>
    <w:rsid w:val="4E540763"/>
    <w:rsid w:val="4E72442D"/>
    <w:rsid w:val="4EAA2D20"/>
    <w:rsid w:val="4EB0364A"/>
    <w:rsid w:val="4EC4044F"/>
    <w:rsid w:val="4ED15440"/>
    <w:rsid w:val="4F5D7111"/>
    <w:rsid w:val="4F644633"/>
    <w:rsid w:val="4F8E36B5"/>
    <w:rsid w:val="4FA45F82"/>
    <w:rsid w:val="4FC20AA7"/>
    <w:rsid w:val="4FE80B78"/>
    <w:rsid w:val="4FF026F6"/>
    <w:rsid w:val="500044FD"/>
    <w:rsid w:val="505F1EFD"/>
    <w:rsid w:val="507331A6"/>
    <w:rsid w:val="50B70587"/>
    <w:rsid w:val="50F2027E"/>
    <w:rsid w:val="512269C8"/>
    <w:rsid w:val="513D1102"/>
    <w:rsid w:val="51496351"/>
    <w:rsid w:val="519A03E7"/>
    <w:rsid w:val="519B2216"/>
    <w:rsid w:val="521024B8"/>
    <w:rsid w:val="523978C1"/>
    <w:rsid w:val="5245496B"/>
    <w:rsid w:val="52682DA4"/>
    <w:rsid w:val="52DD0A68"/>
    <w:rsid w:val="52EC7E76"/>
    <w:rsid w:val="52FA5350"/>
    <w:rsid w:val="5345588D"/>
    <w:rsid w:val="53B034DF"/>
    <w:rsid w:val="546B25AF"/>
    <w:rsid w:val="54B020C8"/>
    <w:rsid w:val="54DB4741"/>
    <w:rsid w:val="54DE0F4F"/>
    <w:rsid w:val="54E53259"/>
    <w:rsid w:val="54E97D97"/>
    <w:rsid w:val="55A21B63"/>
    <w:rsid w:val="55AC6D33"/>
    <w:rsid w:val="55B769EE"/>
    <w:rsid w:val="55DA1393"/>
    <w:rsid w:val="560B1770"/>
    <w:rsid w:val="563D07A6"/>
    <w:rsid w:val="568527A9"/>
    <w:rsid w:val="57787D9B"/>
    <w:rsid w:val="577C1E80"/>
    <w:rsid w:val="579E6879"/>
    <w:rsid w:val="586A147F"/>
    <w:rsid w:val="588C0AAD"/>
    <w:rsid w:val="58AA3B72"/>
    <w:rsid w:val="58F05AD9"/>
    <w:rsid w:val="59036554"/>
    <w:rsid w:val="59200143"/>
    <w:rsid w:val="5999312B"/>
    <w:rsid w:val="59A8667C"/>
    <w:rsid w:val="59D67B61"/>
    <w:rsid w:val="5A812E59"/>
    <w:rsid w:val="5A995DAB"/>
    <w:rsid w:val="5ABA7460"/>
    <w:rsid w:val="5AE12FDB"/>
    <w:rsid w:val="5AF779F8"/>
    <w:rsid w:val="5B386973"/>
    <w:rsid w:val="5B4B4498"/>
    <w:rsid w:val="5B9C24F1"/>
    <w:rsid w:val="5B9E50D3"/>
    <w:rsid w:val="5BB46CAC"/>
    <w:rsid w:val="5BD03F0F"/>
    <w:rsid w:val="5C105F94"/>
    <w:rsid w:val="5C251D7A"/>
    <w:rsid w:val="5CBF064C"/>
    <w:rsid w:val="5CFA1CEF"/>
    <w:rsid w:val="5D1433FF"/>
    <w:rsid w:val="5D2C49EA"/>
    <w:rsid w:val="5DB73653"/>
    <w:rsid w:val="5DE21745"/>
    <w:rsid w:val="5DE44F8E"/>
    <w:rsid w:val="5E063055"/>
    <w:rsid w:val="5E2F576D"/>
    <w:rsid w:val="5E4274C8"/>
    <w:rsid w:val="5EC82C37"/>
    <w:rsid w:val="5EF210D2"/>
    <w:rsid w:val="5F042BD4"/>
    <w:rsid w:val="5F230F76"/>
    <w:rsid w:val="5F2447E2"/>
    <w:rsid w:val="602A170A"/>
    <w:rsid w:val="603911C4"/>
    <w:rsid w:val="60437933"/>
    <w:rsid w:val="605A28BD"/>
    <w:rsid w:val="605B60F0"/>
    <w:rsid w:val="610B183C"/>
    <w:rsid w:val="61574834"/>
    <w:rsid w:val="61613AC5"/>
    <w:rsid w:val="617F7DBA"/>
    <w:rsid w:val="61D640C8"/>
    <w:rsid w:val="621D5FD0"/>
    <w:rsid w:val="625351F3"/>
    <w:rsid w:val="62553A9B"/>
    <w:rsid w:val="626A7D5A"/>
    <w:rsid w:val="62A954D2"/>
    <w:rsid w:val="62D52A85"/>
    <w:rsid w:val="63BE035D"/>
    <w:rsid w:val="63D66D3A"/>
    <w:rsid w:val="641412ED"/>
    <w:rsid w:val="6445786C"/>
    <w:rsid w:val="65233275"/>
    <w:rsid w:val="65356349"/>
    <w:rsid w:val="655D25B1"/>
    <w:rsid w:val="65711CFD"/>
    <w:rsid w:val="65C02314"/>
    <w:rsid w:val="65D61471"/>
    <w:rsid w:val="65FA5B9B"/>
    <w:rsid w:val="661324B7"/>
    <w:rsid w:val="665A2E57"/>
    <w:rsid w:val="669C425A"/>
    <w:rsid w:val="66FB3677"/>
    <w:rsid w:val="67557264"/>
    <w:rsid w:val="67AC14B0"/>
    <w:rsid w:val="67F4046D"/>
    <w:rsid w:val="681F0FC4"/>
    <w:rsid w:val="68517281"/>
    <w:rsid w:val="68567627"/>
    <w:rsid w:val="68817BAC"/>
    <w:rsid w:val="68867A24"/>
    <w:rsid w:val="690C0BFA"/>
    <w:rsid w:val="69247457"/>
    <w:rsid w:val="695157D0"/>
    <w:rsid w:val="698A4060"/>
    <w:rsid w:val="69E14866"/>
    <w:rsid w:val="6A3B5037"/>
    <w:rsid w:val="6B5A58E9"/>
    <w:rsid w:val="6B7867DE"/>
    <w:rsid w:val="6BA90006"/>
    <w:rsid w:val="6BF65381"/>
    <w:rsid w:val="6C161E18"/>
    <w:rsid w:val="6C1B20C5"/>
    <w:rsid w:val="6CBB08C6"/>
    <w:rsid w:val="6CD97FB6"/>
    <w:rsid w:val="6D2A351D"/>
    <w:rsid w:val="6D2C5AA6"/>
    <w:rsid w:val="6D514080"/>
    <w:rsid w:val="6DD315E2"/>
    <w:rsid w:val="6DE5298B"/>
    <w:rsid w:val="6E3431D3"/>
    <w:rsid w:val="6E5236A9"/>
    <w:rsid w:val="6E815E20"/>
    <w:rsid w:val="6EC35D97"/>
    <w:rsid w:val="6F827E1F"/>
    <w:rsid w:val="6FA80114"/>
    <w:rsid w:val="6FBE33DD"/>
    <w:rsid w:val="7060454A"/>
    <w:rsid w:val="70695629"/>
    <w:rsid w:val="70945CBB"/>
    <w:rsid w:val="70992DB4"/>
    <w:rsid w:val="710500C7"/>
    <w:rsid w:val="710A2EC9"/>
    <w:rsid w:val="71681909"/>
    <w:rsid w:val="717D76C6"/>
    <w:rsid w:val="71C9438B"/>
    <w:rsid w:val="71EB232F"/>
    <w:rsid w:val="71F22395"/>
    <w:rsid w:val="723737AF"/>
    <w:rsid w:val="72B5731B"/>
    <w:rsid w:val="72E03AF4"/>
    <w:rsid w:val="732F3A9D"/>
    <w:rsid w:val="73310943"/>
    <w:rsid w:val="736E713E"/>
    <w:rsid w:val="73821076"/>
    <w:rsid w:val="73AA2969"/>
    <w:rsid w:val="73B22405"/>
    <w:rsid w:val="73B75129"/>
    <w:rsid w:val="73BF6A64"/>
    <w:rsid w:val="73CF1F2D"/>
    <w:rsid w:val="73FC1BEE"/>
    <w:rsid w:val="74822716"/>
    <w:rsid w:val="74A77D79"/>
    <w:rsid w:val="74BB2C8C"/>
    <w:rsid w:val="74EE2280"/>
    <w:rsid w:val="750D3D28"/>
    <w:rsid w:val="756176A1"/>
    <w:rsid w:val="75A579D9"/>
    <w:rsid w:val="75C5459B"/>
    <w:rsid w:val="75E81554"/>
    <w:rsid w:val="7606204F"/>
    <w:rsid w:val="765866EF"/>
    <w:rsid w:val="766429FA"/>
    <w:rsid w:val="766F30AC"/>
    <w:rsid w:val="76D45B66"/>
    <w:rsid w:val="76FE2417"/>
    <w:rsid w:val="77013257"/>
    <w:rsid w:val="771E653D"/>
    <w:rsid w:val="77222009"/>
    <w:rsid w:val="7763578D"/>
    <w:rsid w:val="779C7CA1"/>
    <w:rsid w:val="78342545"/>
    <w:rsid w:val="78561091"/>
    <w:rsid w:val="788E700F"/>
    <w:rsid w:val="789F0949"/>
    <w:rsid w:val="791F1926"/>
    <w:rsid w:val="794006DB"/>
    <w:rsid w:val="79BD0613"/>
    <w:rsid w:val="79C124FE"/>
    <w:rsid w:val="79C83C35"/>
    <w:rsid w:val="79D85CE8"/>
    <w:rsid w:val="7A1E0BB7"/>
    <w:rsid w:val="7A322C02"/>
    <w:rsid w:val="7AF65F04"/>
    <w:rsid w:val="7B052BD7"/>
    <w:rsid w:val="7B072853"/>
    <w:rsid w:val="7B5B2FAF"/>
    <w:rsid w:val="7B6C6E43"/>
    <w:rsid w:val="7B8B0C7F"/>
    <w:rsid w:val="7BA10F88"/>
    <w:rsid w:val="7C2B0102"/>
    <w:rsid w:val="7C452B27"/>
    <w:rsid w:val="7C4B4DD2"/>
    <w:rsid w:val="7C8178A8"/>
    <w:rsid w:val="7CA44252"/>
    <w:rsid w:val="7D1110A6"/>
    <w:rsid w:val="7DA40457"/>
    <w:rsid w:val="7DB479EE"/>
    <w:rsid w:val="7DB55058"/>
    <w:rsid w:val="7DCD6635"/>
    <w:rsid w:val="7E9C1324"/>
    <w:rsid w:val="7EB831D0"/>
    <w:rsid w:val="7ED21514"/>
    <w:rsid w:val="7EE36967"/>
    <w:rsid w:val="7F4108E0"/>
    <w:rsid w:val="7F710522"/>
    <w:rsid w:val="7F886D2E"/>
    <w:rsid w:val="7F9663C3"/>
    <w:rsid w:val="7FA345E5"/>
    <w:rsid w:val="7FBE0FFC"/>
    <w:rsid w:val="7FF6768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qFormat="1" w:unhideWhenUsed="0" w:uiPriority="0" w:semiHidden="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qFormat="1"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59" w:lineRule="auto"/>
      <w:jc w:val="both"/>
    </w:pPr>
    <w:rPr>
      <w:rFonts w:ascii="Calibri" w:hAnsi="Calibri" w:eastAsia="宋体" w:cs="Times New Roman"/>
      <w:kern w:val="2"/>
      <w:sz w:val="21"/>
      <w:szCs w:val="24"/>
      <w:lang w:val="en-US" w:eastAsia="zh-CN" w:bidi="ar-SA"/>
    </w:rPr>
  </w:style>
  <w:style w:type="paragraph" w:styleId="2">
    <w:name w:val="heading 1"/>
    <w:basedOn w:val="1"/>
    <w:next w:val="1"/>
    <w:link w:val="42"/>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b/>
      <w:bCs/>
      <w:sz w:val="32"/>
      <w:szCs w:val="32"/>
    </w:rPr>
  </w:style>
  <w:style w:type="paragraph" w:styleId="4">
    <w:name w:val="heading 3"/>
    <w:basedOn w:val="1"/>
    <w:next w:val="1"/>
    <w:qFormat/>
    <w:uiPriority w:val="0"/>
    <w:pPr>
      <w:keepNext/>
      <w:keepLines/>
      <w:spacing w:before="260" w:after="260" w:line="415" w:lineRule="auto"/>
      <w:outlineLvl w:val="2"/>
    </w:pPr>
    <w:rPr>
      <w:b/>
      <w:bCs/>
      <w:sz w:val="32"/>
      <w:szCs w:val="32"/>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qFormat/>
    <w:uiPriority w:val="0"/>
    <w:pPr>
      <w:ind w:left="2520" w:leftChars="1200"/>
    </w:pPr>
  </w:style>
  <w:style w:type="paragraph" w:styleId="6">
    <w:name w:val="Normal Indent"/>
    <w:basedOn w:val="1"/>
    <w:qFormat/>
    <w:uiPriority w:val="0"/>
    <w:pPr>
      <w:ind w:firstLine="200" w:firstLineChars="200"/>
    </w:pPr>
  </w:style>
  <w:style w:type="paragraph" w:styleId="7">
    <w:name w:val="Document Map"/>
    <w:basedOn w:val="1"/>
    <w:link w:val="37"/>
    <w:qFormat/>
    <w:uiPriority w:val="0"/>
    <w:rPr>
      <w:rFonts w:ascii="宋体"/>
      <w:sz w:val="18"/>
      <w:szCs w:val="18"/>
    </w:rPr>
  </w:style>
  <w:style w:type="paragraph" w:styleId="8">
    <w:name w:val="annotation text"/>
    <w:basedOn w:val="1"/>
    <w:link w:val="35"/>
    <w:qFormat/>
    <w:uiPriority w:val="0"/>
    <w:pPr>
      <w:jc w:val="left"/>
    </w:pPr>
  </w:style>
  <w:style w:type="paragraph" w:styleId="9">
    <w:name w:val="Body Text"/>
    <w:basedOn w:val="1"/>
    <w:next w:val="1"/>
    <w:qFormat/>
    <w:uiPriority w:val="0"/>
    <w:pPr>
      <w:spacing w:after="120"/>
    </w:pPr>
  </w:style>
  <w:style w:type="paragraph" w:styleId="10">
    <w:name w:val="Body Text Indent"/>
    <w:basedOn w:val="1"/>
    <w:qFormat/>
    <w:uiPriority w:val="0"/>
    <w:pPr>
      <w:ind w:firstLine="630"/>
    </w:pPr>
    <w:rPr>
      <w:sz w:val="32"/>
      <w:szCs w:val="20"/>
    </w:rPr>
  </w:style>
  <w:style w:type="paragraph" w:styleId="11">
    <w:name w:val="toc 5"/>
    <w:basedOn w:val="1"/>
    <w:next w:val="1"/>
    <w:qFormat/>
    <w:uiPriority w:val="0"/>
    <w:pPr>
      <w:ind w:left="1680" w:leftChars="800"/>
    </w:pPr>
  </w:style>
  <w:style w:type="paragraph" w:styleId="12">
    <w:name w:val="toc 3"/>
    <w:basedOn w:val="1"/>
    <w:next w:val="1"/>
    <w:qFormat/>
    <w:uiPriority w:val="0"/>
    <w:pPr>
      <w:ind w:left="840" w:leftChars="400"/>
    </w:pPr>
  </w:style>
  <w:style w:type="paragraph" w:styleId="13">
    <w:name w:val="toc 8"/>
    <w:basedOn w:val="1"/>
    <w:next w:val="1"/>
    <w:qFormat/>
    <w:uiPriority w:val="0"/>
    <w:pPr>
      <w:ind w:left="2940" w:leftChars="1400"/>
    </w:pPr>
  </w:style>
  <w:style w:type="paragraph" w:styleId="14">
    <w:name w:val="Balloon Text"/>
    <w:basedOn w:val="1"/>
    <w:link w:val="34"/>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szCs w:val="20"/>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szCs w:val="20"/>
    </w:rPr>
  </w:style>
  <w:style w:type="paragraph" w:styleId="17">
    <w:name w:val="toc 1"/>
    <w:basedOn w:val="1"/>
    <w:next w:val="1"/>
    <w:qFormat/>
    <w:uiPriority w:val="39"/>
  </w:style>
  <w:style w:type="paragraph" w:styleId="18">
    <w:name w:val="toc 4"/>
    <w:basedOn w:val="1"/>
    <w:next w:val="1"/>
    <w:qFormat/>
    <w:uiPriority w:val="0"/>
    <w:pPr>
      <w:ind w:left="1260" w:leftChars="600"/>
    </w:pPr>
  </w:style>
  <w:style w:type="paragraph" w:styleId="19">
    <w:name w:val="toc 6"/>
    <w:basedOn w:val="1"/>
    <w:next w:val="1"/>
    <w:qFormat/>
    <w:uiPriority w:val="0"/>
    <w:pPr>
      <w:ind w:left="2100" w:leftChars="1000"/>
    </w:pPr>
  </w:style>
  <w:style w:type="paragraph" w:styleId="20">
    <w:name w:val="toc 2"/>
    <w:basedOn w:val="1"/>
    <w:next w:val="1"/>
    <w:qFormat/>
    <w:uiPriority w:val="0"/>
    <w:pPr>
      <w:ind w:left="420" w:leftChars="200"/>
    </w:pPr>
  </w:style>
  <w:style w:type="paragraph" w:styleId="21">
    <w:name w:val="toc 9"/>
    <w:basedOn w:val="1"/>
    <w:next w:val="1"/>
    <w:qFormat/>
    <w:uiPriority w:val="0"/>
    <w:pPr>
      <w:ind w:left="3360" w:leftChars="1600"/>
    </w:pPr>
  </w:style>
  <w:style w:type="paragraph" w:styleId="22">
    <w:name w:val="Body Text 2"/>
    <w:basedOn w:val="1"/>
    <w:next w:val="9"/>
    <w:qFormat/>
    <w:uiPriority w:val="0"/>
    <w:pPr>
      <w:spacing w:line="360" w:lineRule="auto"/>
      <w:ind w:right="-126"/>
    </w:pPr>
    <w:rPr>
      <w:rFonts w:ascii="黑体"/>
      <w:sz w:val="36"/>
      <w:szCs w:val="21"/>
    </w:rPr>
  </w:style>
  <w:style w:type="paragraph" w:styleId="23">
    <w:name w:val="Normal (Web)"/>
    <w:basedOn w:val="1"/>
    <w:qFormat/>
    <w:uiPriority w:val="0"/>
    <w:pPr>
      <w:widowControl/>
      <w:spacing w:before="100" w:beforeAutospacing="1" w:after="100" w:afterAutospacing="1"/>
      <w:jc w:val="left"/>
    </w:pPr>
    <w:rPr>
      <w:rFonts w:ascii="宋体"/>
      <w:kern w:val="0"/>
      <w:sz w:val="18"/>
      <w:szCs w:val="18"/>
    </w:rPr>
  </w:style>
  <w:style w:type="paragraph" w:styleId="24">
    <w:name w:val="annotation subject"/>
    <w:basedOn w:val="8"/>
    <w:next w:val="8"/>
    <w:link w:val="41"/>
    <w:qFormat/>
    <w:uiPriority w:val="0"/>
    <w:rPr>
      <w:b/>
      <w:bCs/>
    </w:rPr>
  </w:style>
  <w:style w:type="table" w:styleId="26">
    <w:name w:val="Table Grid"/>
    <w:basedOn w:val="2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page number"/>
    <w:qFormat/>
    <w:uiPriority w:val="0"/>
  </w:style>
  <w:style w:type="character" w:styleId="29">
    <w:name w:val="FollowedHyperlink"/>
    <w:basedOn w:val="27"/>
    <w:semiHidden/>
    <w:unhideWhenUsed/>
    <w:qFormat/>
    <w:uiPriority w:val="0"/>
    <w:rPr>
      <w:color w:val="954F72" w:themeColor="followedHyperlink"/>
      <w:u w:val="single"/>
    </w:rPr>
  </w:style>
  <w:style w:type="character" w:styleId="30">
    <w:name w:val="Hyperlink"/>
    <w:basedOn w:val="27"/>
    <w:unhideWhenUsed/>
    <w:qFormat/>
    <w:uiPriority w:val="99"/>
    <w:rPr>
      <w:color w:val="0563C1" w:themeColor="hyperlink"/>
      <w:u w:val="single"/>
    </w:rPr>
  </w:style>
  <w:style w:type="character" w:styleId="31">
    <w:name w:val="annotation reference"/>
    <w:qFormat/>
    <w:uiPriority w:val="99"/>
    <w:rPr>
      <w:sz w:val="21"/>
      <w:szCs w:val="21"/>
    </w:rPr>
  </w:style>
  <w:style w:type="paragraph" w:customStyle="1" w:styleId="32">
    <w:name w:val="标题 5（有编号）（绿盟科技）"/>
    <w:basedOn w:val="1"/>
    <w:next w:val="33"/>
    <w:qFormat/>
    <w:uiPriority w:val="0"/>
    <w:pPr>
      <w:keepNext/>
      <w:keepLines/>
      <w:numPr>
        <w:ilvl w:val="4"/>
        <w:numId w:val="1"/>
      </w:numPr>
      <w:tabs>
        <w:tab w:val="left" w:pos="0"/>
      </w:tabs>
      <w:spacing w:before="280" w:after="156" w:line="377" w:lineRule="auto"/>
      <w:outlineLvl w:val="4"/>
    </w:pPr>
    <w:rPr>
      <w:rFonts w:ascii="Arial" w:hAnsi="Arial" w:eastAsia="黑体"/>
      <w:b/>
      <w:kern w:val="0"/>
      <w:szCs w:val="28"/>
    </w:rPr>
  </w:style>
  <w:style w:type="paragraph" w:customStyle="1" w:styleId="33">
    <w:name w:val="正文（绿盟科技）"/>
    <w:qFormat/>
    <w:uiPriority w:val="0"/>
    <w:pPr>
      <w:spacing w:line="300" w:lineRule="auto"/>
    </w:pPr>
    <w:rPr>
      <w:rFonts w:ascii="Arial" w:hAnsi="Arial" w:eastAsia="宋体" w:cs="黑体"/>
      <w:sz w:val="21"/>
      <w:szCs w:val="21"/>
      <w:lang w:val="en-US" w:eastAsia="zh-CN" w:bidi="ar-SA"/>
    </w:rPr>
  </w:style>
  <w:style w:type="character" w:customStyle="1" w:styleId="34">
    <w:name w:val="批注框文本 Char"/>
    <w:link w:val="14"/>
    <w:qFormat/>
    <w:uiPriority w:val="0"/>
    <w:rPr>
      <w:kern w:val="2"/>
      <w:sz w:val="18"/>
      <w:szCs w:val="18"/>
    </w:rPr>
  </w:style>
  <w:style w:type="character" w:customStyle="1" w:styleId="35">
    <w:name w:val="批注文字 Char"/>
    <w:link w:val="8"/>
    <w:qFormat/>
    <w:uiPriority w:val="0"/>
    <w:rPr>
      <w:kern w:val="2"/>
      <w:sz w:val="21"/>
      <w:szCs w:val="24"/>
    </w:rPr>
  </w:style>
  <w:style w:type="character" w:customStyle="1" w:styleId="36">
    <w:name w:val="font91"/>
    <w:qFormat/>
    <w:uiPriority w:val="0"/>
    <w:rPr>
      <w:rFonts w:hint="eastAsia" w:ascii="宋体" w:hAnsi="宋体" w:eastAsia="宋体" w:cs="宋体"/>
      <w:color w:val="FF0000"/>
      <w:sz w:val="21"/>
      <w:szCs w:val="21"/>
      <w:u w:val="single"/>
    </w:rPr>
  </w:style>
  <w:style w:type="character" w:customStyle="1" w:styleId="37">
    <w:name w:val="文档结构图 Char"/>
    <w:link w:val="7"/>
    <w:qFormat/>
    <w:uiPriority w:val="0"/>
    <w:rPr>
      <w:rFonts w:ascii="宋体"/>
      <w:kern w:val="2"/>
      <w:sz w:val="18"/>
      <w:szCs w:val="18"/>
    </w:rPr>
  </w:style>
  <w:style w:type="character" w:customStyle="1" w:styleId="38">
    <w:name w:val="font101"/>
    <w:qFormat/>
    <w:uiPriority w:val="0"/>
    <w:rPr>
      <w:rFonts w:hint="eastAsia" w:ascii="宋体" w:hAnsi="宋体" w:eastAsia="宋体" w:cs="宋体"/>
      <w:color w:val="000000"/>
      <w:sz w:val="21"/>
      <w:szCs w:val="21"/>
      <w:u w:val="single"/>
    </w:rPr>
  </w:style>
  <w:style w:type="character" w:customStyle="1" w:styleId="39">
    <w:name w:val="font111"/>
    <w:qFormat/>
    <w:uiPriority w:val="0"/>
    <w:rPr>
      <w:rFonts w:hint="default" w:ascii="Eʩ" w:hAnsi="Eʩ" w:eastAsia="Eʩ" w:cs="Eʩ"/>
      <w:color w:val="000000"/>
      <w:sz w:val="21"/>
      <w:szCs w:val="21"/>
      <w:u w:val="single"/>
    </w:rPr>
  </w:style>
  <w:style w:type="character" w:customStyle="1" w:styleId="40">
    <w:name w:val="font31"/>
    <w:qFormat/>
    <w:uiPriority w:val="0"/>
    <w:rPr>
      <w:rFonts w:hint="eastAsia" w:ascii="宋体" w:hAnsi="宋体" w:eastAsia="宋体" w:cs="宋体"/>
      <w:color w:val="000000"/>
      <w:sz w:val="21"/>
      <w:szCs w:val="21"/>
      <w:u w:val="none"/>
    </w:rPr>
  </w:style>
  <w:style w:type="character" w:customStyle="1" w:styleId="41">
    <w:name w:val="批注主题 Char"/>
    <w:link w:val="24"/>
    <w:qFormat/>
    <w:uiPriority w:val="0"/>
    <w:rPr>
      <w:b/>
      <w:bCs/>
      <w:kern w:val="2"/>
      <w:sz w:val="21"/>
      <w:szCs w:val="24"/>
    </w:rPr>
  </w:style>
  <w:style w:type="character" w:customStyle="1" w:styleId="42">
    <w:name w:val="标题 1 Char"/>
    <w:link w:val="2"/>
    <w:qFormat/>
    <w:uiPriority w:val="0"/>
    <w:rPr>
      <w:b/>
      <w:bCs/>
      <w:kern w:val="44"/>
      <w:sz w:val="44"/>
      <w:szCs w:val="44"/>
    </w:rPr>
  </w:style>
  <w:style w:type="paragraph" w:customStyle="1" w:styleId="43">
    <w:name w:val="正文1"/>
    <w:qFormat/>
    <w:uiPriority w:val="0"/>
    <w:pPr>
      <w:widowControl w:val="0"/>
      <w:adjustRightInd w:val="0"/>
      <w:spacing w:after="160" w:line="312" w:lineRule="atLeast"/>
      <w:jc w:val="both"/>
      <w:textAlignment w:val="baseline"/>
    </w:pPr>
    <w:rPr>
      <w:rFonts w:ascii="宋体" w:hAnsi="Calibri" w:eastAsia="宋体" w:cs="Times New Roman"/>
      <w:sz w:val="34"/>
      <w:szCs w:val="22"/>
      <w:lang w:val="en-US" w:eastAsia="zh-CN" w:bidi="ar-SA"/>
    </w:rPr>
  </w:style>
  <w:style w:type="paragraph" w:customStyle="1" w:styleId="44">
    <w:name w:val="样式 首行缩进:  2 字符"/>
    <w:basedOn w:val="1"/>
    <w:qFormat/>
    <w:uiPriority w:val="0"/>
    <w:pPr>
      <w:spacing w:line="400" w:lineRule="exact"/>
      <w:ind w:firstLine="200" w:firstLineChars="200"/>
    </w:pPr>
    <w:rPr>
      <w:rFonts w:cs="宋体"/>
      <w:sz w:val="24"/>
    </w:rPr>
  </w:style>
  <w:style w:type="paragraph" w:customStyle="1" w:styleId="45">
    <w:name w:val="样式"/>
    <w:qFormat/>
    <w:uiPriority w:val="0"/>
    <w:pPr>
      <w:widowControl w:val="0"/>
      <w:autoSpaceDE w:val="0"/>
      <w:autoSpaceDN w:val="0"/>
      <w:adjustRightInd w:val="0"/>
      <w:spacing w:after="160" w:line="259" w:lineRule="auto"/>
    </w:pPr>
    <w:rPr>
      <w:rFonts w:ascii="宋体" w:hAnsi="宋体" w:eastAsia="宋体" w:cs="宋体"/>
      <w:sz w:val="24"/>
      <w:szCs w:val="24"/>
      <w:lang w:val="en-US" w:eastAsia="zh-CN" w:bidi="ar-SA"/>
    </w:rPr>
  </w:style>
  <w:style w:type="paragraph" w:customStyle="1" w:styleId="46">
    <w:name w:val="正文首行缩进两字符"/>
    <w:basedOn w:val="1"/>
    <w:qFormat/>
    <w:uiPriority w:val="0"/>
    <w:pPr>
      <w:spacing w:line="360" w:lineRule="auto"/>
      <w:ind w:firstLine="200" w:firstLineChars="200"/>
    </w:pPr>
  </w:style>
  <w:style w:type="character" w:customStyle="1" w:styleId="47">
    <w:name w:val="批注文字 Char1"/>
    <w:basedOn w:val="27"/>
    <w:qFormat/>
    <w:uiPriority w:val="0"/>
    <w:rPr>
      <w:rFonts w:ascii="Times New Roman" w:hAnsi="Times New Roman" w:eastAsia="宋体" w:cs="Times New Roman"/>
      <w:szCs w:val="24"/>
    </w:rPr>
  </w:style>
  <w:style w:type="paragraph" w:styleId="48">
    <w:name w:val="List Paragraph"/>
    <w:basedOn w:val="1"/>
    <w:unhideWhenUsed/>
    <w:qFormat/>
    <w:uiPriority w:val="99"/>
    <w:pPr>
      <w:ind w:firstLine="420" w:firstLineChars="200"/>
    </w:pPr>
  </w:style>
  <w:style w:type="paragraph" w:customStyle="1" w:styleId="49">
    <w:name w:val="封面标准名称"/>
    <w:qFormat/>
    <w:uiPriority w:val="99"/>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50">
    <w:name w:val="Table Paragraph"/>
    <w:basedOn w:val="1"/>
    <w:qFormat/>
    <w:uiPriority w:val="1"/>
    <w:pPr>
      <w:widowControl/>
      <w:spacing w:after="0" w:line="240" w:lineRule="auto"/>
      <w:jc w:val="left"/>
    </w:pPr>
    <w:rPr>
      <w:rFonts w:ascii="等线" w:hAnsi="等线" w:eastAsia="等线"/>
      <w:kern w:val="0"/>
      <w:sz w:val="22"/>
      <w:szCs w:val="22"/>
      <w:lang w:eastAsia="en-US"/>
    </w:rPr>
  </w:style>
  <w:style w:type="paragraph" w:customStyle="1" w:styleId="51">
    <w:name w:val="Table Text"/>
    <w:basedOn w:val="1"/>
    <w:semiHidden/>
    <w:qFormat/>
    <w:uiPriority w:val="0"/>
    <w:rPr>
      <w:rFonts w:ascii="仿宋" w:hAnsi="仿宋" w:eastAsia="仿宋" w:cs="仿宋"/>
      <w:sz w:val="24"/>
      <w:szCs w:val="24"/>
      <w:lang w:val="en-US" w:eastAsia="en-US" w:bidi="ar-SA"/>
    </w:rPr>
  </w:style>
  <w:style w:type="character" w:customStyle="1" w:styleId="52">
    <w:name w:val="font41"/>
    <w:basedOn w:val="27"/>
    <w:qFormat/>
    <w:uiPriority w:val="0"/>
    <w:rPr>
      <w:rFonts w:hint="default" w:ascii="Times New Roman" w:hAnsi="Times New Roman" w:cs="Times New Roman"/>
      <w:color w:val="000000"/>
      <w:sz w:val="24"/>
      <w:szCs w:val="24"/>
      <w:u w:val="none"/>
    </w:rPr>
  </w:style>
  <w:style w:type="character" w:customStyle="1" w:styleId="53">
    <w:name w:val="font51"/>
    <w:basedOn w:val="27"/>
    <w:qFormat/>
    <w:uiPriority w:val="0"/>
    <w:rPr>
      <w:rFonts w:hint="eastAsia" w:ascii="宋体" w:hAnsi="宋体" w:eastAsia="宋体" w:cs="宋体"/>
      <w:color w:val="000000"/>
      <w:sz w:val="24"/>
      <w:szCs w:val="24"/>
      <w:u w:val="none"/>
    </w:rPr>
  </w:style>
  <w:style w:type="character" w:customStyle="1" w:styleId="54">
    <w:name w:val="font11"/>
    <w:basedOn w:val="27"/>
    <w:qFormat/>
    <w:uiPriority w:val="0"/>
    <w:rPr>
      <w:rFonts w:hint="eastAsia" w:ascii="宋体" w:hAnsi="宋体" w:eastAsia="宋体" w:cs="宋体"/>
      <w:color w:val="000000"/>
      <w:sz w:val="21"/>
      <w:szCs w:val="21"/>
      <w:u w:val="none"/>
    </w:rPr>
  </w:style>
  <w:style w:type="table" w:customStyle="1" w:styleId="55">
    <w:name w:val="网格型1"/>
    <w:basedOn w:val="25"/>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56">
    <w:name w:val="font21"/>
    <w:basedOn w:val="27"/>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14D0AE-BDCA-4D08-B90C-66403ECA84BF}">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78</Pages>
  <Words>37593</Words>
  <Characters>39027</Characters>
  <Lines>260</Lines>
  <Paragraphs>73</Paragraphs>
  <TotalTime>34</TotalTime>
  <ScaleCrop>false</ScaleCrop>
  <LinksUpToDate>false</LinksUpToDate>
  <CharactersWithSpaces>39589</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2017-12-15T01:14:00Z</dcterms:created>
  <dc:creator>s</dc:creator>
  <cp:lastModifiedBy>Ho</cp:lastModifiedBy>
  <dcterms:modified xsi:type="dcterms:W3CDTF">2023-10-20T01:50:30Z</dcterms:modified>
  <dc:title>招标编号：xxxx [xxxx] xx号</dc:title>
  <cp:revision>412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02734EEC5D494E29BA17A5892F4EE0E3</vt:lpwstr>
  </property>
</Properties>
</file>