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480" w:lineRule="auto"/>
        <w:outlineLvl w:val="9"/>
        <w:rPr>
          <w:rFonts w:ascii="华文中宋" w:hAnsi="华文中宋" w:eastAsia="华文中宋"/>
          <w:color w:val="auto"/>
          <w:sz w:val="36"/>
        </w:rPr>
      </w:pPr>
      <w:bookmarkStart w:id="0" w:name="_Toc219467631"/>
      <w:bookmarkStart w:id="1" w:name="_Toc414445718"/>
      <w:bookmarkStart w:id="2" w:name="_Toc217996594"/>
      <w:bookmarkStart w:id="3" w:name="_Toc216702787"/>
      <w:bookmarkStart w:id="4" w:name="_Toc216619175"/>
      <w:bookmarkStart w:id="5" w:name="_Toc195921780"/>
    </w:p>
    <w:p>
      <w:pPr>
        <w:pageBreakBefore w:val="0"/>
        <w:kinsoku/>
        <w:overflowPunct/>
        <w:topLinePunct w:val="0"/>
        <w:bidi w:val="0"/>
        <w:jc w:val="center"/>
        <w:outlineLvl w:val="9"/>
        <w:rPr>
          <w:rFonts w:eastAsia="黑体"/>
          <w:b/>
          <w:bCs/>
          <w:color w:val="auto"/>
          <w:sz w:val="84"/>
        </w:rPr>
      </w:pPr>
    </w:p>
    <w:p>
      <w:pPr>
        <w:pageBreakBefore w:val="0"/>
        <w:kinsoku/>
        <w:overflowPunct/>
        <w:topLinePunct w:val="0"/>
        <w:bidi w:val="0"/>
        <w:jc w:val="center"/>
        <w:outlineLvl w:val="9"/>
        <w:rPr>
          <w:rFonts w:ascii="宋体" w:hAnsi="宋体" w:cs="宋体"/>
          <w:b/>
          <w:bCs/>
          <w:color w:val="auto"/>
          <w:sz w:val="84"/>
          <w:szCs w:val="84"/>
        </w:rPr>
      </w:pPr>
    </w:p>
    <w:p>
      <w:pPr>
        <w:pageBreakBefore w:val="0"/>
        <w:kinsoku/>
        <w:overflowPunct/>
        <w:topLinePunct w:val="0"/>
        <w:bidi w:val="0"/>
        <w:jc w:val="center"/>
        <w:outlineLvl w:val="9"/>
        <w:rPr>
          <w:rFonts w:ascii="宋体" w:hAnsi="宋体" w:cs="宋体"/>
          <w:b/>
          <w:bCs/>
          <w:color w:val="auto"/>
          <w:sz w:val="84"/>
          <w:szCs w:val="84"/>
        </w:rPr>
      </w:pPr>
    </w:p>
    <w:p>
      <w:pPr>
        <w:pageBreakBefore w:val="0"/>
        <w:kinsoku/>
        <w:overflowPunct/>
        <w:topLinePunct w:val="0"/>
        <w:bidi w:val="0"/>
        <w:jc w:val="center"/>
        <w:outlineLvl w:val="9"/>
        <w:rPr>
          <w:rFonts w:ascii="宋体" w:hAnsi="宋体" w:cs="宋体"/>
          <w:b/>
          <w:bCs/>
          <w:color w:val="auto"/>
          <w:sz w:val="84"/>
          <w:szCs w:val="84"/>
        </w:rPr>
      </w:pPr>
      <w:r>
        <w:rPr>
          <w:rFonts w:hint="eastAsia" w:ascii="宋体" w:hAnsi="宋体" w:cs="宋体"/>
          <w:b/>
          <w:bCs/>
          <w:color w:val="auto"/>
          <w:sz w:val="84"/>
          <w:szCs w:val="84"/>
        </w:rPr>
        <w:t>竞争性谈判文件</w:t>
      </w:r>
    </w:p>
    <w:p>
      <w:pPr>
        <w:pageBreakBefore w:val="0"/>
        <w:kinsoku/>
        <w:overflowPunct/>
        <w:topLinePunct w:val="0"/>
        <w:bidi w:val="0"/>
        <w:jc w:val="center"/>
        <w:outlineLvl w:val="9"/>
        <w:rPr>
          <w:color w:val="auto"/>
          <w:sz w:val="30"/>
          <w:szCs w:val="30"/>
        </w:rPr>
      </w:pPr>
    </w:p>
    <w:p>
      <w:pPr>
        <w:pageBreakBefore w:val="0"/>
        <w:kinsoku/>
        <w:overflowPunct/>
        <w:topLinePunct w:val="0"/>
        <w:bidi w:val="0"/>
        <w:outlineLvl w:val="9"/>
        <w:rPr>
          <w:color w:val="auto"/>
        </w:rPr>
      </w:pPr>
    </w:p>
    <w:p>
      <w:pPr>
        <w:pageBreakBefore w:val="0"/>
        <w:kinsoku/>
        <w:overflowPunct/>
        <w:topLinePunct w:val="0"/>
        <w:bidi w:val="0"/>
        <w:outlineLvl w:val="9"/>
        <w:rPr>
          <w:color w:val="auto"/>
        </w:rPr>
      </w:pPr>
    </w:p>
    <w:p>
      <w:pPr>
        <w:pageBreakBefore w:val="0"/>
        <w:kinsoku/>
        <w:overflowPunct/>
        <w:topLinePunct w:val="0"/>
        <w:bidi w:val="0"/>
        <w:outlineLvl w:val="9"/>
        <w:rPr>
          <w:color w:val="auto"/>
        </w:rPr>
      </w:pPr>
    </w:p>
    <w:p>
      <w:pPr>
        <w:pageBreakBefore w:val="0"/>
        <w:kinsoku/>
        <w:overflowPunct/>
        <w:topLinePunct w:val="0"/>
        <w:bidi w:val="0"/>
        <w:outlineLvl w:val="9"/>
        <w:rPr>
          <w:color w:val="auto"/>
        </w:rPr>
      </w:pPr>
    </w:p>
    <w:p>
      <w:pPr>
        <w:pageBreakBefore w:val="0"/>
        <w:kinsoku/>
        <w:overflowPunct/>
        <w:topLinePunct w:val="0"/>
        <w:bidi w:val="0"/>
        <w:spacing w:line="360" w:lineRule="auto"/>
        <w:ind w:firstLine="960" w:firstLineChars="300"/>
        <w:outlineLvl w:val="9"/>
        <w:rPr>
          <w:color w:val="auto"/>
          <w:sz w:val="32"/>
          <w:szCs w:val="32"/>
        </w:rPr>
      </w:pPr>
    </w:p>
    <w:p>
      <w:pPr>
        <w:pageBreakBefore w:val="0"/>
        <w:kinsoku/>
        <w:overflowPunct/>
        <w:topLinePunct w:val="0"/>
        <w:bidi w:val="0"/>
        <w:spacing w:line="720" w:lineRule="auto"/>
        <w:ind w:firstLine="1285" w:firstLineChars="400"/>
        <w:outlineLvl w:val="9"/>
        <w:rPr>
          <w:rFonts w:hint="default" w:ascii="宋体" w:hAnsi="宋体" w:eastAsia="宋体" w:cs="宋体"/>
          <w:b/>
          <w:bCs/>
          <w:color w:val="auto"/>
          <w:sz w:val="32"/>
          <w:szCs w:val="32"/>
          <w:u w:val="single"/>
          <w:lang w:val="en-US" w:eastAsia="zh-CN"/>
        </w:rPr>
      </w:pPr>
      <w:r>
        <w:rPr>
          <w:rFonts w:hint="eastAsia" w:ascii="宋体" w:hAnsi="宋体" w:cs="宋体"/>
          <w:b/>
          <w:bCs/>
          <w:color w:val="auto"/>
          <w:sz w:val="32"/>
          <w:szCs w:val="32"/>
        </w:rPr>
        <w:t>项目编号：</w:t>
      </w:r>
      <w:r>
        <w:rPr>
          <w:rFonts w:hint="eastAsia" w:ascii="宋体" w:hAnsi="宋体" w:cs="宋体"/>
          <w:b/>
          <w:bCs/>
          <w:color w:val="auto"/>
          <w:sz w:val="32"/>
          <w:szCs w:val="32"/>
          <w:u w:val="single"/>
        </w:rPr>
        <w:t>AH</w:t>
      </w:r>
      <w:r>
        <w:rPr>
          <w:rFonts w:hint="eastAsia" w:ascii="宋体" w:hAnsi="宋体" w:cs="宋体"/>
          <w:b/>
          <w:bCs/>
          <w:color w:val="auto"/>
          <w:sz w:val="32"/>
          <w:szCs w:val="32"/>
          <w:u w:val="single"/>
          <w:lang w:val="en-US" w:eastAsia="zh-CN"/>
        </w:rPr>
        <w:t>Q</w:t>
      </w:r>
      <w:r>
        <w:rPr>
          <w:rFonts w:hint="eastAsia" w:ascii="宋体" w:hAnsi="宋体" w:cs="宋体"/>
          <w:b/>
          <w:bCs/>
          <w:color w:val="auto"/>
          <w:sz w:val="32"/>
          <w:szCs w:val="32"/>
          <w:u w:val="single"/>
        </w:rPr>
        <w:t>S-CGZB-LS20231001</w:t>
      </w:r>
    </w:p>
    <w:p>
      <w:pPr>
        <w:pageBreakBefore w:val="0"/>
        <w:kinsoku/>
        <w:overflowPunct/>
        <w:topLinePunct w:val="0"/>
        <w:bidi w:val="0"/>
        <w:spacing w:line="720" w:lineRule="auto"/>
        <w:ind w:firstLine="1285" w:firstLineChars="400"/>
        <w:outlineLvl w:val="9"/>
        <w:rPr>
          <w:rFonts w:ascii="宋体" w:hAnsi="宋体" w:cs="宋体"/>
          <w:b/>
          <w:bCs/>
          <w:color w:val="auto"/>
          <w:sz w:val="32"/>
          <w:szCs w:val="32"/>
          <w:u w:val="single"/>
        </w:rPr>
      </w:pPr>
      <w:r>
        <w:rPr>
          <w:rFonts w:hint="eastAsia" w:ascii="宋体" w:hAnsi="宋体" w:cs="宋体"/>
          <w:b/>
          <w:bCs/>
          <w:color w:val="auto"/>
          <w:sz w:val="32"/>
          <w:szCs w:val="32"/>
        </w:rPr>
        <w:t>项目名称：</w:t>
      </w:r>
      <w:r>
        <w:rPr>
          <w:rFonts w:hint="eastAsia" w:ascii="宋体" w:hAnsi="宋体" w:cs="宋体"/>
          <w:b/>
          <w:bCs/>
          <w:color w:val="auto"/>
          <w:sz w:val="32"/>
          <w:szCs w:val="32"/>
          <w:lang w:val="en-US" w:eastAsia="zh-CN"/>
        </w:rPr>
        <w:t>购买执法办案管理中心装备</w:t>
      </w:r>
    </w:p>
    <w:p>
      <w:pPr>
        <w:pageBreakBefore w:val="0"/>
        <w:kinsoku/>
        <w:overflowPunct/>
        <w:topLinePunct w:val="0"/>
        <w:bidi w:val="0"/>
        <w:spacing w:line="720" w:lineRule="auto"/>
        <w:ind w:firstLine="1285" w:firstLineChars="400"/>
        <w:outlineLvl w:val="9"/>
        <w:rPr>
          <w:rFonts w:ascii="宋体" w:hAnsi="宋体" w:cs="宋体"/>
          <w:b/>
          <w:bCs/>
          <w:color w:val="auto"/>
          <w:sz w:val="32"/>
          <w:szCs w:val="32"/>
          <w:u w:val="single"/>
        </w:rPr>
      </w:pPr>
      <w:r>
        <w:rPr>
          <w:rFonts w:hint="eastAsia" w:ascii="宋体" w:hAnsi="宋体" w:cs="宋体"/>
          <w:b/>
          <w:bCs/>
          <w:color w:val="auto"/>
          <w:sz w:val="32"/>
          <w:szCs w:val="32"/>
        </w:rPr>
        <w:t>采购单位：</w:t>
      </w:r>
      <w:r>
        <w:rPr>
          <w:rFonts w:hint="eastAsia" w:ascii="宋体" w:hAnsi="宋体" w:cs="宋体"/>
          <w:b/>
          <w:bCs/>
          <w:color w:val="auto"/>
          <w:sz w:val="32"/>
          <w:szCs w:val="32"/>
          <w:lang w:eastAsia="zh-CN"/>
        </w:rPr>
        <w:t>拉萨市公安局城关公安分局</w:t>
      </w:r>
    </w:p>
    <w:p>
      <w:pPr>
        <w:pageBreakBefore w:val="0"/>
        <w:kinsoku/>
        <w:overflowPunct/>
        <w:topLinePunct w:val="0"/>
        <w:bidi w:val="0"/>
        <w:spacing w:line="720" w:lineRule="auto"/>
        <w:ind w:firstLine="1285" w:firstLineChars="400"/>
        <w:outlineLvl w:val="9"/>
        <w:rPr>
          <w:rFonts w:ascii="宋体" w:hAnsi="宋体" w:cs="宋体"/>
          <w:b/>
          <w:bCs/>
          <w:color w:val="auto"/>
          <w:sz w:val="32"/>
          <w:szCs w:val="32"/>
          <w:u w:val="single"/>
        </w:rPr>
      </w:pPr>
      <w:r>
        <w:rPr>
          <w:rFonts w:hint="eastAsia" w:ascii="宋体" w:hAnsi="宋体" w:cs="宋体"/>
          <w:b/>
          <w:bCs/>
          <w:color w:val="auto"/>
          <w:sz w:val="32"/>
          <w:szCs w:val="32"/>
        </w:rPr>
        <w:t>采购代理机构：</w:t>
      </w:r>
      <w:r>
        <w:rPr>
          <w:rFonts w:hint="eastAsia" w:ascii="宋体" w:hAnsi="宋体" w:cs="宋体"/>
          <w:b/>
          <w:bCs/>
          <w:color w:val="auto"/>
          <w:sz w:val="32"/>
          <w:szCs w:val="32"/>
          <w:u w:val="single"/>
        </w:rPr>
        <w:t>安徽求是工程建设咨询有限公司</w:t>
      </w:r>
    </w:p>
    <w:p>
      <w:pPr>
        <w:pageBreakBefore w:val="0"/>
        <w:kinsoku/>
        <w:overflowPunct/>
        <w:topLinePunct w:val="0"/>
        <w:bidi w:val="0"/>
        <w:spacing w:line="720" w:lineRule="auto"/>
        <w:ind w:firstLine="960" w:firstLineChars="300"/>
        <w:jc w:val="right"/>
        <w:outlineLvl w:val="9"/>
        <w:rPr>
          <w:rFonts w:ascii="宋体" w:hAnsi="宋体" w:cs="宋体"/>
          <w:color w:val="auto"/>
          <w:sz w:val="32"/>
          <w:szCs w:val="32"/>
        </w:rPr>
      </w:pPr>
      <w:r>
        <w:rPr>
          <w:rFonts w:hint="eastAsia" w:ascii="宋体" w:hAnsi="宋体" w:cs="宋体"/>
          <w:color w:val="auto"/>
          <w:sz w:val="32"/>
          <w:szCs w:val="32"/>
        </w:rPr>
        <w:t xml:space="preserve">   </w:t>
      </w:r>
    </w:p>
    <w:p>
      <w:pPr>
        <w:pageBreakBefore w:val="0"/>
        <w:kinsoku/>
        <w:overflowPunct/>
        <w:topLinePunct w:val="0"/>
        <w:bidi w:val="0"/>
        <w:spacing w:line="720" w:lineRule="auto"/>
        <w:jc w:val="center"/>
        <w:outlineLvl w:val="9"/>
        <w:rPr>
          <w:rFonts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二〇二</w:t>
      </w:r>
      <w:r>
        <w:rPr>
          <w:rFonts w:hint="eastAsia" w:asciiTheme="minorEastAsia" w:hAnsiTheme="minorEastAsia" w:eastAsiaTheme="minorEastAsia" w:cstheme="minorEastAsia"/>
          <w:b/>
          <w:bCs/>
          <w:color w:val="auto"/>
          <w:sz w:val="32"/>
          <w:szCs w:val="32"/>
          <w:lang w:val="en-US" w:eastAsia="zh-CN"/>
        </w:rPr>
        <w:t>三</w:t>
      </w:r>
      <w:r>
        <w:rPr>
          <w:rFonts w:hint="eastAsia" w:asciiTheme="minorEastAsia" w:hAnsiTheme="minorEastAsia" w:eastAsiaTheme="minorEastAsia" w:cstheme="minorEastAsia"/>
          <w:b/>
          <w:bCs/>
          <w:color w:val="auto"/>
          <w:sz w:val="32"/>
          <w:szCs w:val="32"/>
        </w:rPr>
        <w:t>年</w:t>
      </w:r>
      <w:r>
        <w:rPr>
          <w:rFonts w:hint="eastAsia" w:asciiTheme="minorEastAsia" w:hAnsiTheme="minorEastAsia" w:eastAsiaTheme="minorEastAsia" w:cstheme="minorEastAsia"/>
          <w:b/>
          <w:bCs/>
          <w:color w:val="auto"/>
          <w:sz w:val="32"/>
          <w:szCs w:val="32"/>
          <w:lang w:val="en-US" w:eastAsia="zh-CN"/>
        </w:rPr>
        <w:t>十</w:t>
      </w:r>
      <w:r>
        <w:rPr>
          <w:rFonts w:hint="eastAsia" w:asciiTheme="minorEastAsia" w:hAnsiTheme="minorEastAsia" w:eastAsiaTheme="minorEastAsia" w:cstheme="minorEastAsia"/>
          <w:b/>
          <w:bCs/>
          <w:color w:val="auto"/>
          <w:sz w:val="32"/>
          <w:szCs w:val="32"/>
        </w:rPr>
        <w:t>月</w:t>
      </w:r>
    </w:p>
    <w:p>
      <w:pPr>
        <w:pageBreakBefore w:val="0"/>
        <w:kinsoku/>
        <w:overflowPunct/>
        <w:topLinePunct w:val="0"/>
        <w:bidi w:val="0"/>
        <w:spacing w:line="360" w:lineRule="auto"/>
        <w:jc w:val="center"/>
        <w:outlineLvl w:val="9"/>
        <w:rPr>
          <w:rFonts w:ascii="宋体" w:hAnsi="宋体"/>
          <w:b/>
          <w:color w:val="auto"/>
          <w:sz w:val="44"/>
          <w:szCs w:val="44"/>
        </w:rPr>
        <w:sectPr>
          <w:footerReference r:id="rId3" w:type="default"/>
          <w:pgSz w:w="11906" w:h="16838"/>
          <w:pgMar w:top="720" w:right="1287" w:bottom="720" w:left="1418" w:header="737" w:footer="737" w:gutter="0"/>
          <w:cols w:space="720" w:num="1"/>
          <w:docGrid w:type="lines" w:linePitch="312" w:charSpace="0"/>
        </w:sectPr>
      </w:pPr>
    </w:p>
    <w:sdt>
      <w:sdtPr>
        <w:rPr>
          <w:rFonts w:hint="eastAsia" w:ascii="宋体" w:hAnsi="宋体" w:cs="宋体"/>
          <w:color w:val="auto"/>
          <w:sz w:val="32"/>
          <w:szCs w:val="32"/>
          <w:lang w:val="zh-CN"/>
        </w:rPr>
        <w:id w:val="6119780"/>
        <w:docPartObj>
          <w:docPartGallery w:val="Table of Contents"/>
          <w:docPartUnique/>
        </w:docPartObj>
      </w:sdtPr>
      <w:sdtEndPr>
        <w:rPr>
          <w:rFonts w:hint="eastAsia" w:ascii="Times New Roman" w:hAnsi="Times New Roman" w:cs="Times New Roman"/>
          <w:color w:val="auto"/>
          <w:sz w:val="21"/>
          <w:szCs w:val="24"/>
          <w:lang w:val="en-US"/>
        </w:rPr>
      </w:sdtEndPr>
      <w:sdtContent>
        <w:p>
          <w:pPr>
            <w:pStyle w:val="62"/>
            <w:pageBreakBefore w:val="0"/>
            <w:tabs>
              <w:tab w:val="left" w:pos="1050"/>
            </w:tabs>
            <w:kinsoku/>
            <w:overflowPunct/>
            <w:topLinePunct w:val="0"/>
            <w:bidi w:val="0"/>
            <w:spacing w:line="480" w:lineRule="auto"/>
            <w:ind w:left="25" w:hanging="6"/>
            <w:jc w:val="center"/>
            <w:outlineLvl w:val="9"/>
            <w:rPr>
              <w:color w:val="auto"/>
            </w:rPr>
          </w:pPr>
          <w:r>
            <w:rPr>
              <w:rFonts w:hint="eastAsia"/>
              <w:b/>
              <w:bCs/>
              <w:color w:val="auto"/>
              <w:sz w:val="32"/>
              <w:szCs w:val="32"/>
              <w:lang w:val="zh-CN"/>
            </w:rPr>
            <w:t>目录</w:t>
          </w:r>
        </w:p>
        <w:p>
          <w:pPr>
            <w:pStyle w:val="50"/>
            <w:keepNext w:val="0"/>
            <w:keepLines w:val="0"/>
            <w:pageBreakBefore w:val="0"/>
            <w:widowControl w:val="0"/>
            <w:tabs>
              <w:tab w:val="right" w:leader="dot" w:pos="9354"/>
              <w:tab w:val="clear" w:pos="8778"/>
            </w:tabs>
            <w:kinsoku/>
            <w:wordWrap/>
            <w:overflowPunct/>
            <w:topLinePunct w:val="0"/>
            <w:autoSpaceDE/>
            <w:autoSpaceDN/>
            <w:bidi w:val="0"/>
            <w:adjustRightInd/>
            <w:snapToGrid w:val="0"/>
            <w:spacing w:line="480" w:lineRule="auto"/>
            <w:textAlignment w:val="auto"/>
            <w:rPr>
              <w:color w:val="auto"/>
              <w:sz w:val="24"/>
              <w:szCs w:val="24"/>
            </w:rPr>
          </w:pPr>
          <w:r>
            <w:rPr>
              <w:color w:val="auto"/>
            </w:rPr>
            <w:fldChar w:fldCharType="begin"/>
          </w:r>
          <w:r>
            <w:rPr>
              <w:color w:val="auto"/>
            </w:rPr>
            <w:instrText xml:space="preserve"> TOC \o "1-3" \h \z \u </w:instrText>
          </w:r>
          <w:r>
            <w:rPr>
              <w:color w:val="auto"/>
            </w:rPr>
            <w:fldChar w:fldCharType="separate"/>
          </w:r>
          <w:r>
            <w:rPr>
              <w:color w:val="auto"/>
              <w:sz w:val="24"/>
              <w:szCs w:val="24"/>
            </w:rPr>
            <w:fldChar w:fldCharType="begin"/>
          </w:r>
          <w:r>
            <w:rPr>
              <w:color w:val="auto"/>
              <w:sz w:val="24"/>
              <w:szCs w:val="24"/>
            </w:rPr>
            <w:instrText xml:space="preserve"> HYPERLINK \l _Toc16468 </w:instrText>
          </w:r>
          <w:r>
            <w:rPr>
              <w:color w:val="auto"/>
              <w:sz w:val="24"/>
              <w:szCs w:val="24"/>
            </w:rPr>
            <w:fldChar w:fldCharType="separate"/>
          </w:r>
          <w:r>
            <w:rPr>
              <w:rFonts w:hint="eastAsia" w:ascii="宋体" w:hAnsi="宋体" w:cs="黑体"/>
              <w:bCs/>
              <w:color w:val="auto"/>
              <w:kern w:val="0"/>
              <w:sz w:val="24"/>
              <w:szCs w:val="24"/>
            </w:rPr>
            <w:t>第一章  竞争性谈判邀请</w:t>
          </w:r>
          <w:r>
            <w:rPr>
              <w:color w:val="auto"/>
              <w:sz w:val="24"/>
              <w:szCs w:val="24"/>
            </w:rPr>
            <w:tab/>
          </w:r>
          <w:r>
            <w:rPr>
              <w:color w:val="auto"/>
              <w:sz w:val="24"/>
              <w:szCs w:val="24"/>
            </w:rPr>
            <w:fldChar w:fldCharType="begin"/>
          </w:r>
          <w:r>
            <w:rPr>
              <w:color w:val="auto"/>
              <w:sz w:val="24"/>
              <w:szCs w:val="24"/>
            </w:rPr>
            <w:instrText xml:space="preserve"> PAGEREF _Toc16468 \h </w:instrText>
          </w:r>
          <w:r>
            <w:rPr>
              <w:color w:val="auto"/>
              <w:sz w:val="24"/>
              <w:szCs w:val="24"/>
            </w:rPr>
            <w:fldChar w:fldCharType="separate"/>
          </w:r>
          <w:r>
            <w:rPr>
              <w:color w:val="auto"/>
              <w:sz w:val="24"/>
              <w:szCs w:val="24"/>
            </w:rPr>
            <w:t>1</w:t>
          </w:r>
          <w:r>
            <w:rPr>
              <w:color w:val="auto"/>
              <w:sz w:val="24"/>
              <w:szCs w:val="24"/>
            </w:rPr>
            <w:fldChar w:fldCharType="end"/>
          </w:r>
          <w:r>
            <w:rPr>
              <w:color w:val="auto"/>
              <w:sz w:val="24"/>
              <w:szCs w:val="24"/>
            </w:rPr>
            <w:fldChar w:fldCharType="end"/>
          </w:r>
        </w:p>
        <w:p>
          <w:pPr>
            <w:pStyle w:val="50"/>
            <w:keepNext w:val="0"/>
            <w:keepLines w:val="0"/>
            <w:pageBreakBefore w:val="0"/>
            <w:widowControl w:val="0"/>
            <w:tabs>
              <w:tab w:val="right" w:leader="dot" w:pos="9354"/>
              <w:tab w:val="clear" w:pos="8778"/>
            </w:tabs>
            <w:kinsoku/>
            <w:wordWrap/>
            <w:overflowPunct/>
            <w:topLinePunct w:val="0"/>
            <w:autoSpaceDE/>
            <w:autoSpaceDN/>
            <w:bidi w:val="0"/>
            <w:adjustRightInd/>
            <w:snapToGrid w:val="0"/>
            <w:spacing w:line="480" w:lineRule="auto"/>
            <w:textAlignment w:val="auto"/>
            <w:rPr>
              <w:color w:val="auto"/>
              <w:sz w:val="24"/>
              <w:szCs w:val="24"/>
            </w:rPr>
          </w:pPr>
          <w:r>
            <w:rPr>
              <w:color w:val="auto"/>
              <w:sz w:val="24"/>
              <w:szCs w:val="24"/>
            </w:rPr>
            <w:fldChar w:fldCharType="begin"/>
          </w:r>
          <w:r>
            <w:rPr>
              <w:color w:val="auto"/>
              <w:sz w:val="24"/>
              <w:szCs w:val="24"/>
            </w:rPr>
            <w:instrText xml:space="preserve"> HYPERLINK \l _Toc26793 </w:instrText>
          </w:r>
          <w:r>
            <w:rPr>
              <w:color w:val="auto"/>
              <w:sz w:val="24"/>
              <w:szCs w:val="24"/>
            </w:rPr>
            <w:fldChar w:fldCharType="separate"/>
          </w:r>
          <w:r>
            <w:rPr>
              <w:rFonts w:hint="eastAsia" w:ascii="宋体" w:hAnsi="宋体" w:cs="黑体"/>
              <w:bCs/>
              <w:color w:val="auto"/>
              <w:kern w:val="0"/>
              <w:sz w:val="24"/>
              <w:szCs w:val="24"/>
            </w:rPr>
            <w:t>第二章  供应商须知</w:t>
          </w:r>
          <w:r>
            <w:rPr>
              <w:color w:val="auto"/>
              <w:sz w:val="24"/>
              <w:szCs w:val="24"/>
            </w:rPr>
            <w:tab/>
          </w:r>
          <w:r>
            <w:rPr>
              <w:color w:val="auto"/>
              <w:sz w:val="24"/>
              <w:szCs w:val="24"/>
            </w:rPr>
            <w:fldChar w:fldCharType="begin"/>
          </w:r>
          <w:r>
            <w:rPr>
              <w:color w:val="auto"/>
              <w:sz w:val="24"/>
              <w:szCs w:val="24"/>
            </w:rPr>
            <w:instrText xml:space="preserve"> PAGEREF _Toc26793 \h </w:instrText>
          </w:r>
          <w:r>
            <w:rPr>
              <w:color w:val="auto"/>
              <w:sz w:val="24"/>
              <w:szCs w:val="24"/>
            </w:rPr>
            <w:fldChar w:fldCharType="separate"/>
          </w:r>
          <w:r>
            <w:rPr>
              <w:color w:val="auto"/>
              <w:sz w:val="24"/>
              <w:szCs w:val="24"/>
            </w:rPr>
            <w:t>5</w:t>
          </w:r>
          <w:r>
            <w:rPr>
              <w:color w:val="auto"/>
              <w:sz w:val="24"/>
              <w:szCs w:val="24"/>
            </w:rPr>
            <w:fldChar w:fldCharType="end"/>
          </w:r>
          <w:r>
            <w:rPr>
              <w:color w:val="auto"/>
              <w:sz w:val="24"/>
              <w:szCs w:val="24"/>
            </w:rPr>
            <w:fldChar w:fldCharType="end"/>
          </w:r>
        </w:p>
        <w:p>
          <w:pPr>
            <w:pStyle w:val="50"/>
            <w:keepNext w:val="0"/>
            <w:keepLines w:val="0"/>
            <w:pageBreakBefore w:val="0"/>
            <w:widowControl w:val="0"/>
            <w:tabs>
              <w:tab w:val="right" w:leader="dot" w:pos="9354"/>
              <w:tab w:val="clear" w:pos="8778"/>
            </w:tabs>
            <w:kinsoku/>
            <w:wordWrap/>
            <w:overflowPunct/>
            <w:topLinePunct w:val="0"/>
            <w:autoSpaceDE/>
            <w:autoSpaceDN/>
            <w:bidi w:val="0"/>
            <w:adjustRightInd/>
            <w:snapToGrid w:val="0"/>
            <w:spacing w:line="480" w:lineRule="auto"/>
            <w:textAlignment w:val="auto"/>
            <w:rPr>
              <w:color w:val="auto"/>
              <w:sz w:val="24"/>
              <w:szCs w:val="24"/>
            </w:rPr>
          </w:pPr>
          <w:r>
            <w:rPr>
              <w:color w:val="auto"/>
              <w:sz w:val="24"/>
              <w:szCs w:val="24"/>
            </w:rPr>
            <w:fldChar w:fldCharType="begin"/>
          </w:r>
          <w:r>
            <w:rPr>
              <w:color w:val="auto"/>
              <w:sz w:val="24"/>
              <w:szCs w:val="24"/>
            </w:rPr>
            <w:instrText xml:space="preserve"> HYPERLINK \l _Toc19980 </w:instrText>
          </w:r>
          <w:r>
            <w:rPr>
              <w:color w:val="auto"/>
              <w:sz w:val="24"/>
              <w:szCs w:val="24"/>
            </w:rPr>
            <w:fldChar w:fldCharType="separate"/>
          </w:r>
          <w:r>
            <w:rPr>
              <w:rFonts w:hint="eastAsia" w:ascii="宋体" w:hAnsi="宋体" w:cs="黑体"/>
              <w:bCs/>
              <w:color w:val="auto"/>
              <w:kern w:val="0"/>
              <w:sz w:val="24"/>
              <w:szCs w:val="24"/>
            </w:rPr>
            <w:t>第三章  评审办法和标准</w:t>
          </w:r>
          <w:r>
            <w:rPr>
              <w:color w:val="auto"/>
              <w:sz w:val="24"/>
              <w:szCs w:val="24"/>
            </w:rPr>
            <w:tab/>
          </w:r>
          <w:r>
            <w:rPr>
              <w:color w:val="auto"/>
              <w:sz w:val="24"/>
              <w:szCs w:val="24"/>
            </w:rPr>
            <w:fldChar w:fldCharType="begin"/>
          </w:r>
          <w:r>
            <w:rPr>
              <w:color w:val="auto"/>
              <w:sz w:val="24"/>
              <w:szCs w:val="24"/>
            </w:rPr>
            <w:instrText xml:space="preserve"> PAGEREF _Toc19980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50"/>
            <w:keepNext w:val="0"/>
            <w:keepLines w:val="0"/>
            <w:pageBreakBefore w:val="0"/>
            <w:widowControl w:val="0"/>
            <w:tabs>
              <w:tab w:val="right" w:leader="dot" w:pos="9354"/>
              <w:tab w:val="clear" w:pos="8778"/>
            </w:tabs>
            <w:kinsoku/>
            <w:wordWrap/>
            <w:overflowPunct/>
            <w:topLinePunct w:val="0"/>
            <w:autoSpaceDE/>
            <w:autoSpaceDN/>
            <w:bidi w:val="0"/>
            <w:adjustRightInd/>
            <w:snapToGrid w:val="0"/>
            <w:spacing w:line="480" w:lineRule="auto"/>
            <w:textAlignment w:val="auto"/>
            <w:rPr>
              <w:color w:val="auto"/>
              <w:sz w:val="24"/>
              <w:szCs w:val="24"/>
            </w:rPr>
          </w:pPr>
          <w:r>
            <w:rPr>
              <w:color w:val="auto"/>
              <w:sz w:val="24"/>
              <w:szCs w:val="24"/>
            </w:rPr>
            <w:fldChar w:fldCharType="begin"/>
          </w:r>
          <w:r>
            <w:rPr>
              <w:color w:val="auto"/>
              <w:sz w:val="24"/>
              <w:szCs w:val="24"/>
            </w:rPr>
            <w:instrText xml:space="preserve"> HYPERLINK \l _Toc5422 </w:instrText>
          </w:r>
          <w:r>
            <w:rPr>
              <w:color w:val="auto"/>
              <w:sz w:val="24"/>
              <w:szCs w:val="24"/>
            </w:rPr>
            <w:fldChar w:fldCharType="separate"/>
          </w:r>
          <w:r>
            <w:rPr>
              <w:rFonts w:hint="eastAsia" w:hAnsi="宋体" w:cs="黑体"/>
              <w:bCs/>
              <w:color w:val="auto"/>
              <w:kern w:val="0"/>
              <w:sz w:val="24"/>
              <w:szCs w:val="24"/>
            </w:rPr>
            <w:t>第四章  合同条款</w:t>
          </w:r>
          <w:r>
            <w:rPr>
              <w:color w:val="auto"/>
              <w:sz w:val="24"/>
              <w:szCs w:val="24"/>
            </w:rPr>
            <w:tab/>
          </w:r>
          <w:r>
            <w:rPr>
              <w:color w:val="auto"/>
              <w:sz w:val="24"/>
              <w:szCs w:val="24"/>
            </w:rPr>
            <w:fldChar w:fldCharType="begin"/>
          </w:r>
          <w:r>
            <w:rPr>
              <w:color w:val="auto"/>
              <w:sz w:val="24"/>
              <w:szCs w:val="24"/>
            </w:rPr>
            <w:instrText xml:space="preserve"> PAGEREF _Toc5422 \h </w:instrText>
          </w:r>
          <w:r>
            <w:rPr>
              <w:color w:val="auto"/>
              <w:sz w:val="24"/>
              <w:szCs w:val="24"/>
            </w:rPr>
            <w:fldChar w:fldCharType="separate"/>
          </w:r>
          <w:r>
            <w:rPr>
              <w:color w:val="auto"/>
              <w:sz w:val="24"/>
              <w:szCs w:val="24"/>
            </w:rPr>
            <w:t>23</w:t>
          </w:r>
          <w:r>
            <w:rPr>
              <w:color w:val="auto"/>
              <w:sz w:val="24"/>
              <w:szCs w:val="24"/>
            </w:rPr>
            <w:fldChar w:fldCharType="end"/>
          </w:r>
          <w:r>
            <w:rPr>
              <w:color w:val="auto"/>
              <w:sz w:val="24"/>
              <w:szCs w:val="24"/>
            </w:rPr>
            <w:fldChar w:fldCharType="end"/>
          </w:r>
        </w:p>
        <w:p>
          <w:pPr>
            <w:pStyle w:val="50"/>
            <w:keepNext w:val="0"/>
            <w:keepLines w:val="0"/>
            <w:pageBreakBefore w:val="0"/>
            <w:widowControl w:val="0"/>
            <w:tabs>
              <w:tab w:val="right" w:leader="dot" w:pos="9354"/>
              <w:tab w:val="clear" w:pos="8778"/>
            </w:tabs>
            <w:kinsoku/>
            <w:wordWrap/>
            <w:overflowPunct/>
            <w:topLinePunct w:val="0"/>
            <w:autoSpaceDE/>
            <w:autoSpaceDN/>
            <w:bidi w:val="0"/>
            <w:adjustRightInd/>
            <w:snapToGrid w:val="0"/>
            <w:spacing w:line="480" w:lineRule="auto"/>
            <w:textAlignment w:val="auto"/>
            <w:rPr>
              <w:color w:val="auto"/>
              <w:sz w:val="24"/>
              <w:szCs w:val="24"/>
            </w:rPr>
          </w:pPr>
          <w:r>
            <w:rPr>
              <w:color w:val="auto"/>
              <w:sz w:val="24"/>
              <w:szCs w:val="24"/>
            </w:rPr>
            <w:fldChar w:fldCharType="begin"/>
          </w:r>
          <w:r>
            <w:rPr>
              <w:color w:val="auto"/>
              <w:sz w:val="24"/>
              <w:szCs w:val="24"/>
            </w:rPr>
            <w:instrText xml:space="preserve"> HYPERLINK \l _Toc25239 </w:instrText>
          </w:r>
          <w:r>
            <w:rPr>
              <w:color w:val="auto"/>
              <w:sz w:val="24"/>
              <w:szCs w:val="24"/>
            </w:rPr>
            <w:fldChar w:fldCharType="separate"/>
          </w:r>
          <w:r>
            <w:rPr>
              <w:rFonts w:hint="eastAsia"/>
              <w:bCs/>
              <w:color w:val="auto"/>
              <w:sz w:val="24"/>
              <w:szCs w:val="24"/>
              <w:lang w:val="en-US" w:eastAsia="zh-CN"/>
            </w:rPr>
            <w:t xml:space="preserve">第五章 </w:t>
          </w:r>
          <w:r>
            <w:rPr>
              <w:rFonts w:hint="eastAsia"/>
              <w:bCs/>
              <w:color w:val="auto"/>
              <w:sz w:val="24"/>
              <w:szCs w:val="24"/>
            </w:rPr>
            <w:t>采购需求</w:t>
          </w:r>
          <w:r>
            <w:rPr>
              <w:color w:val="auto"/>
              <w:sz w:val="24"/>
              <w:szCs w:val="24"/>
            </w:rPr>
            <w:tab/>
          </w:r>
          <w:r>
            <w:rPr>
              <w:color w:val="auto"/>
              <w:sz w:val="24"/>
              <w:szCs w:val="24"/>
            </w:rPr>
            <w:fldChar w:fldCharType="begin"/>
          </w:r>
          <w:r>
            <w:rPr>
              <w:color w:val="auto"/>
              <w:sz w:val="24"/>
              <w:szCs w:val="24"/>
            </w:rPr>
            <w:instrText xml:space="preserve"> PAGEREF _Toc25239 \h </w:instrText>
          </w:r>
          <w:r>
            <w:rPr>
              <w:color w:val="auto"/>
              <w:sz w:val="24"/>
              <w:szCs w:val="24"/>
            </w:rPr>
            <w:fldChar w:fldCharType="separate"/>
          </w:r>
          <w:r>
            <w:rPr>
              <w:color w:val="auto"/>
              <w:sz w:val="24"/>
              <w:szCs w:val="24"/>
            </w:rPr>
            <w:t>36</w:t>
          </w:r>
          <w:r>
            <w:rPr>
              <w:color w:val="auto"/>
              <w:sz w:val="24"/>
              <w:szCs w:val="24"/>
            </w:rPr>
            <w:fldChar w:fldCharType="end"/>
          </w:r>
          <w:r>
            <w:rPr>
              <w:color w:val="auto"/>
              <w:sz w:val="24"/>
              <w:szCs w:val="24"/>
            </w:rPr>
            <w:fldChar w:fldCharType="end"/>
          </w:r>
        </w:p>
        <w:p>
          <w:pPr>
            <w:pStyle w:val="50"/>
            <w:keepNext w:val="0"/>
            <w:keepLines w:val="0"/>
            <w:pageBreakBefore w:val="0"/>
            <w:widowControl w:val="0"/>
            <w:tabs>
              <w:tab w:val="right" w:leader="dot" w:pos="9354"/>
              <w:tab w:val="clear" w:pos="8778"/>
            </w:tabs>
            <w:kinsoku/>
            <w:wordWrap/>
            <w:overflowPunct/>
            <w:topLinePunct w:val="0"/>
            <w:autoSpaceDE/>
            <w:autoSpaceDN/>
            <w:bidi w:val="0"/>
            <w:adjustRightInd/>
            <w:snapToGrid w:val="0"/>
            <w:spacing w:line="480" w:lineRule="auto"/>
            <w:textAlignment w:val="auto"/>
            <w:rPr>
              <w:color w:val="auto"/>
            </w:rPr>
          </w:pPr>
          <w:r>
            <w:rPr>
              <w:color w:val="auto"/>
              <w:sz w:val="24"/>
              <w:szCs w:val="24"/>
            </w:rPr>
            <w:fldChar w:fldCharType="begin"/>
          </w:r>
          <w:r>
            <w:rPr>
              <w:color w:val="auto"/>
              <w:sz w:val="24"/>
              <w:szCs w:val="24"/>
            </w:rPr>
            <w:instrText xml:space="preserve"> HYPERLINK \l _Toc14299 </w:instrText>
          </w:r>
          <w:r>
            <w:rPr>
              <w:color w:val="auto"/>
              <w:sz w:val="24"/>
              <w:szCs w:val="24"/>
            </w:rPr>
            <w:fldChar w:fldCharType="separate"/>
          </w:r>
          <w:r>
            <w:rPr>
              <w:rFonts w:hint="eastAsia"/>
              <w:bCs/>
              <w:color w:val="auto"/>
              <w:sz w:val="24"/>
              <w:szCs w:val="24"/>
            </w:rPr>
            <w:t>第六章  响应文件格式</w:t>
          </w:r>
          <w:r>
            <w:rPr>
              <w:color w:val="auto"/>
              <w:sz w:val="24"/>
              <w:szCs w:val="24"/>
            </w:rPr>
            <w:tab/>
          </w:r>
          <w:r>
            <w:rPr>
              <w:color w:val="auto"/>
              <w:sz w:val="24"/>
              <w:szCs w:val="24"/>
            </w:rPr>
            <w:fldChar w:fldCharType="begin"/>
          </w:r>
          <w:r>
            <w:rPr>
              <w:color w:val="auto"/>
              <w:sz w:val="24"/>
              <w:szCs w:val="24"/>
            </w:rPr>
            <w:instrText xml:space="preserve"> PAGEREF _Toc14299 \h </w:instrText>
          </w:r>
          <w:r>
            <w:rPr>
              <w:color w:val="auto"/>
              <w:sz w:val="24"/>
              <w:szCs w:val="24"/>
            </w:rPr>
            <w:fldChar w:fldCharType="separate"/>
          </w:r>
          <w:r>
            <w:rPr>
              <w:color w:val="auto"/>
              <w:sz w:val="24"/>
              <w:szCs w:val="24"/>
            </w:rPr>
            <w:t>37</w:t>
          </w:r>
          <w:r>
            <w:rPr>
              <w:color w:val="auto"/>
              <w:sz w:val="24"/>
              <w:szCs w:val="24"/>
            </w:rPr>
            <w:fldChar w:fldCharType="end"/>
          </w:r>
          <w:r>
            <w:rPr>
              <w:color w:val="auto"/>
              <w:sz w:val="24"/>
              <w:szCs w:val="24"/>
            </w:rPr>
            <w:fldChar w:fldCharType="end"/>
          </w:r>
        </w:p>
        <w:p>
          <w:pPr>
            <w:pStyle w:val="62"/>
            <w:pageBreakBefore w:val="0"/>
            <w:tabs>
              <w:tab w:val="left" w:pos="1050"/>
            </w:tabs>
            <w:kinsoku/>
            <w:overflowPunct/>
            <w:topLinePunct w:val="0"/>
            <w:bidi w:val="0"/>
            <w:spacing w:line="480" w:lineRule="auto"/>
            <w:outlineLvl w:val="9"/>
            <w:rPr>
              <w:color w:val="auto"/>
            </w:rPr>
          </w:pPr>
          <w:r>
            <w:rPr>
              <w:color w:val="auto"/>
            </w:rPr>
            <w:fldChar w:fldCharType="end"/>
          </w:r>
        </w:p>
      </w:sdtContent>
    </w:sdt>
    <w:p>
      <w:pPr>
        <w:pageBreakBefore w:val="0"/>
        <w:kinsoku/>
        <w:overflowPunct/>
        <w:topLinePunct w:val="0"/>
        <w:autoSpaceDE w:val="0"/>
        <w:autoSpaceDN w:val="0"/>
        <w:bidi w:val="0"/>
        <w:adjustRightInd w:val="0"/>
        <w:snapToGrid w:val="0"/>
        <w:spacing w:after="156" w:afterLines="50"/>
        <w:jc w:val="center"/>
        <w:outlineLvl w:val="9"/>
        <w:rPr>
          <w:rFonts w:ascii="宋体" w:hAnsi="宋体" w:cs="黑体"/>
          <w:color w:val="auto"/>
          <w:kern w:val="0"/>
          <w:sz w:val="32"/>
          <w:szCs w:val="32"/>
        </w:rPr>
        <w:sectPr>
          <w:footerReference r:id="rId4" w:type="default"/>
          <w:pgSz w:w="11906" w:h="16838"/>
          <w:pgMar w:top="1418" w:right="1134" w:bottom="1134" w:left="1418" w:header="851" w:footer="992" w:gutter="0"/>
          <w:cols w:space="720" w:num="1"/>
          <w:docGrid w:type="lines" w:linePitch="312" w:charSpace="0"/>
        </w:sectPr>
      </w:pPr>
      <w:bookmarkStart w:id="6" w:name="_Toc45099855"/>
    </w:p>
    <w:p>
      <w:pPr>
        <w:keepNext w:val="0"/>
        <w:keepLines w:val="0"/>
        <w:pageBreakBefore w:val="0"/>
        <w:widowControl w:val="0"/>
        <w:kinsoku/>
        <w:wordWrap/>
        <w:overflowPunct/>
        <w:topLinePunct w:val="0"/>
        <w:autoSpaceDE w:val="0"/>
        <w:autoSpaceDN w:val="0"/>
        <w:bidi w:val="0"/>
        <w:adjustRightInd w:val="0"/>
        <w:snapToGrid w:val="0"/>
        <w:spacing w:after="156" w:afterLines="50" w:line="560" w:lineRule="exact"/>
        <w:jc w:val="center"/>
        <w:textAlignment w:val="auto"/>
        <w:outlineLvl w:val="0"/>
        <w:rPr>
          <w:rFonts w:ascii="宋体" w:hAnsi="宋体" w:cs="黑体"/>
          <w:b/>
          <w:bCs/>
          <w:color w:val="auto"/>
          <w:kern w:val="0"/>
          <w:sz w:val="32"/>
          <w:szCs w:val="32"/>
        </w:rPr>
      </w:pPr>
      <w:bookmarkStart w:id="7" w:name="_Toc16468"/>
      <w:r>
        <w:rPr>
          <w:rFonts w:hint="eastAsia" w:ascii="宋体" w:hAnsi="宋体" w:cs="黑体"/>
          <w:b/>
          <w:bCs/>
          <w:color w:val="auto"/>
          <w:kern w:val="0"/>
          <w:sz w:val="32"/>
          <w:szCs w:val="32"/>
        </w:rPr>
        <w:t>第一章  竞争性谈判</w:t>
      </w:r>
      <w:bookmarkEnd w:id="0"/>
      <w:bookmarkEnd w:id="1"/>
      <w:bookmarkEnd w:id="2"/>
      <w:bookmarkEnd w:id="3"/>
      <w:bookmarkEnd w:id="4"/>
      <w:bookmarkEnd w:id="6"/>
      <w:r>
        <w:rPr>
          <w:rFonts w:hint="eastAsia" w:ascii="宋体" w:hAnsi="宋体" w:cs="黑体"/>
          <w:b/>
          <w:bCs/>
          <w:color w:val="auto"/>
          <w:kern w:val="0"/>
          <w:sz w:val="32"/>
          <w:szCs w:val="32"/>
        </w:rPr>
        <w:t>邀请</w:t>
      </w:r>
      <w:bookmarkEnd w:id="7"/>
    </w:p>
    <w:p>
      <w:pPr>
        <w:pStyle w:val="29"/>
        <w:pageBreakBefore w:val="0"/>
        <w:kinsoku/>
        <w:overflowPunct/>
        <w:topLinePunct w:val="0"/>
        <w:bidi w:val="0"/>
        <w:spacing w:line="560" w:lineRule="exact"/>
        <w:outlineLvl w:val="9"/>
        <w:rPr>
          <w:color w:val="auto"/>
        </w:rPr>
      </w:pPr>
    </w:p>
    <w:p>
      <w:pPr>
        <w:pageBreakBefore w:val="0"/>
        <w:pBdr>
          <w:top w:val="single" w:color="auto" w:sz="4" w:space="1"/>
          <w:left w:val="single" w:color="auto" w:sz="4" w:space="4"/>
          <w:bottom w:val="single" w:color="auto" w:sz="4" w:space="1"/>
          <w:right w:val="single" w:color="auto" w:sz="4" w:space="4"/>
        </w:pBdr>
        <w:kinsoku/>
        <w:overflowPunct/>
        <w:topLinePunct w:val="0"/>
        <w:bidi w:val="0"/>
        <w:spacing w:line="560" w:lineRule="exact"/>
        <w:ind w:firstLine="560" w:firstLineChars="200"/>
        <w:outlineLvl w:val="9"/>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西藏商慧科技有限公司</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四川威禹科技</w:t>
      </w:r>
      <w:r>
        <w:rPr>
          <w:rFonts w:hint="eastAsia" w:ascii="仿宋" w:hAnsi="仿宋" w:eastAsia="仿宋"/>
          <w:color w:val="auto"/>
          <w:sz w:val="28"/>
          <w:szCs w:val="28"/>
        </w:rPr>
        <w:t>有限公司、</w:t>
      </w:r>
      <w:r>
        <w:rPr>
          <w:rFonts w:hint="eastAsia" w:ascii="仿宋" w:hAnsi="仿宋" w:eastAsia="仿宋"/>
          <w:color w:val="auto"/>
          <w:sz w:val="28"/>
          <w:szCs w:val="28"/>
          <w:lang w:val="en-US" w:eastAsia="zh-CN"/>
        </w:rPr>
        <w:t>甘肃诺璞瑞商贸</w:t>
      </w:r>
      <w:r>
        <w:rPr>
          <w:rFonts w:hint="eastAsia" w:ascii="仿宋" w:hAnsi="仿宋" w:eastAsia="仿宋"/>
          <w:color w:val="auto"/>
          <w:sz w:val="28"/>
          <w:szCs w:val="28"/>
        </w:rPr>
        <w:t>有限公司</w:t>
      </w:r>
    </w:p>
    <w:p>
      <w:pPr>
        <w:pageBreakBefore w:val="0"/>
        <w:pBdr>
          <w:top w:val="single" w:color="auto" w:sz="4" w:space="1"/>
          <w:left w:val="single" w:color="auto" w:sz="4" w:space="4"/>
          <w:bottom w:val="single" w:color="auto" w:sz="4" w:space="1"/>
          <w:right w:val="single" w:color="auto" w:sz="4" w:space="4"/>
        </w:pBdr>
        <w:kinsoku/>
        <w:overflowPunct/>
        <w:topLinePunct w:val="0"/>
        <w:bidi w:val="0"/>
        <w:spacing w:line="560" w:lineRule="exact"/>
        <w:ind w:firstLine="560" w:firstLineChars="200"/>
        <w:outlineLvl w:val="9"/>
        <w:rPr>
          <w:rFonts w:ascii="仿宋" w:hAnsi="仿宋" w:eastAsia="仿宋"/>
          <w:color w:val="auto"/>
          <w:sz w:val="28"/>
          <w:szCs w:val="28"/>
        </w:rPr>
      </w:pPr>
      <w:r>
        <w:rPr>
          <w:rFonts w:hint="eastAsia" w:ascii="仿宋" w:hAnsi="仿宋" w:eastAsia="仿宋"/>
          <w:color w:val="auto"/>
          <w:sz w:val="28"/>
          <w:szCs w:val="28"/>
        </w:rPr>
        <w:t xml:space="preserve">项目概况  </w:t>
      </w:r>
    </w:p>
    <w:p>
      <w:pPr>
        <w:pageBreakBefore w:val="0"/>
        <w:pBdr>
          <w:top w:val="single" w:color="auto" w:sz="4" w:space="1"/>
          <w:left w:val="single" w:color="auto" w:sz="4" w:space="4"/>
          <w:bottom w:val="single" w:color="auto" w:sz="4" w:space="1"/>
          <w:right w:val="single" w:color="auto" w:sz="4" w:space="4"/>
        </w:pBdr>
        <w:kinsoku/>
        <w:overflowPunct/>
        <w:topLinePunct w:val="0"/>
        <w:bidi w:val="0"/>
        <w:spacing w:line="560" w:lineRule="exact"/>
        <w:ind w:firstLine="560" w:firstLineChars="200"/>
        <w:outlineLvl w:val="9"/>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城关公安分局购买执法办案管理中心装备项目</w:t>
      </w:r>
      <w:r>
        <w:rPr>
          <w:rFonts w:hint="eastAsia" w:ascii="仿宋" w:hAnsi="仿宋" w:eastAsia="仿宋"/>
          <w:color w:val="auto"/>
          <w:sz w:val="28"/>
          <w:szCs w:val="28"/>
        </w:rPr>
        <w:t>的邀请供应商应在拉萨市城关区当热东路3-69号</w:t>
      </w:r>
      <w:r>
        <w:rPr>
          <w:rFonts w:hint="eastAsia" w:ascii="仿宋" w:hAnsi="仿宋" w:eastAsia="仿宋"/>
          <w:color w:val="auto"/>
          <w:sz w:val="28"/>
          <w:szCs w:val="28"/>
          <w:lang w:eastAsia="zh-CN"/>
        </w:rPr>
        <w:t>（安徽求是工程建设咨询有限公司）</w:t>
      </w:r>
      <w:r>
        <w:rPr>
          <w:rFonts w:hint="eastAsia" w:ascii="仿宋" w:hAnsi="仿宋" w:eastAsia="仿宋"/>
          <w:color w:val="auto"/>
          <w:sz w:val="28"/>
          <w:szCs w:val="28"/>
        </w:rPr>
        <w:t>获取采购文件，并于</w:t>
      </w:r>
      <w:r>
        <w:rPr>
          <w:rFonts w:ascii="仿宋" w:hAnsi="仿宋" w:eastAsia="仿宋"/>
          <w:color w:val="auto"/>
          <w:sz w:val="28"/>
          <w:szCs w:val="28"/>
          <w:u w:val="single"/>
        </w:rPr>
        <w:t xml:space="preserve"> </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3</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27</w:t>
      </w:r>
      <w:r>
        <w:rPr>
          <w:rFonts w:hint="eastAsia" w:ascii="仿宋" w:hAnsi="仿宋" w:eastAsia="仿宋"/>
          <w:bCs/>
          <w:color w:val="auto"/>
          <w:sz w:val="28"/>
          <w:szCs w:val="28"/>
          <w:highlight w:val="none"/>
          <w:u w:val="single"/>
        </w:rPr>
        <w:t>日15点30分</w:t>
      </w:r>
      <w:r>
        <w:rPr>
          <w:rFonts w:hint="eastAsia" w:ascii="仿宋" w:hAnsi="仿宋" w:eastAsia="仿宋"/>
          <w:bCs/>
          <w:color w:val="auto"/>
          <w:sz w:val="28"/>
          <w:szCs w:val="28"/>
        </w:rPr>
        <w:t>（北京时间）前提交响应</w:t>
      </w:r>
      <w:r>
        <w:rPr>
          <w:rFonts w:ascii="仿宋" w:hAnsi="仿宋" w:eastAsia="仿宋"/>
          <w:bCs/>
          <w:color w:val="auto"/>
          <w:sz w:val="28"/>
          <w:szCs w:val="28"/>
        </w:rPr>
        <w:t>文件</w:t>
      </w:r>
      <w:r>
        <w:rPr>
          <w:rFonts w:hint="eastAsia" w:ascii="仿宋" w:hAnsi="仿宋" w:eastAsia="仿宋"/>
          <w:color w:val="auto"/>
          <w:sz w:val="28"/>
          <w:szCs w:val="28"/>
        </w:rPr>
        <w:t>。</w:t>
      </w:r>
    </w:p>
    <w:p>
      <w:pPr>
        <w:pageBreakBefore w:val="0"/>
        <w:tabs>
          <w:tab w:val="left" w:pos="1440"/>
        </w:tabs>
        <w:kinsoku/>
        <w:overflowPunct/>
        <w:topLinePunct w:val="0"/>
        <w:bidi w:val="0"/>
        <w:spacing w:line="560" w:lineRule="exact"/>
        <w:outlineLvl w:val="9"/>
        <w:rPr>
          <w:rFonts w:ascii="黑体" w:hAnsi="黑体" w:cs="宋体"/>
          <w:color w:val="auto"/>
          <w:sz w:val="28"/>
          <w:szCs w:val="28"/>
        </w:rPr>
      </w:pPr>
      <w:bookmarkStart w:id="8" w:name="_Toc35393798"/>
      <w:bookmarkStart w:id="9" w:name="_Toc28359012"/>
      <w:bookmarkStart w:id="10" w:name="_Toc28359089"/>
      <w:bookmarkStart w:id="11" w:name="_Toc35393629"/>
      <w:r>
        <w:rPr>
          <w:rFonts w:hint="eastAsia" w:ascii="黑体" w:hAnsi="黑体" w:cs="宋体"/>
          <w:color w:val="auto"/>
          <w:sz w:val="28"/>
          <w:szCs w:val="28"/>
        </w:rPr>
        <w:t>一、项目基本情况</w:t>
      </w:r>
      <w:bookmarkEnd w:id="8"/>
      <w:bookmarkEnd w:id="9"/>
      <w:bookmarkEnd w:id="10"/>
      <w:bookmarkEnd w:id="11"/>
    </w:p>
    <w:p>
      <w:pPr>
        <w:pageBreakBefore w:val="0"/>
        <w:kinsoku/>
        <w:overflowPunct/>
        <w:topLinePunct w:val="0"/>
        <w:bidi w:val="0"/>
        <w:spacing w:line="560" w:lineRule="exact"/>
        <w:ind w:firstLine="560" w:firstLineChars="200"/>
        <w:outlineLvl w:val="9"/>
        <w:rPr>
          <w:rFonts w:hint="default" w:ascii="仿宋" w:hAnsi="仿宋" w:eastAsia="仿宋"/>
          <w:color w:val="auto"/>
          <w:sz w:val="28"/>
          <w:szCs w:val="28"/>
          <w:lang w:val="en-US" w:eastAsia="zh-CN"/>
        </w:rPr>
      </w:pPr>
      <w:r>
        <w:rPr>
          <w:rFonts w:hint="eastAsia" w:ascii="仿宋" w:hAnsi="仿宋" w:eastAsia="仿宋"/>
          <w:color w:val="auto"/>
          <w:sz w:val="28"/>
          <w:szCs w:val="28"/>
        </w:rPr>
        <w:t>项目编号：AH</w:t>
      </w:r>
      <w:r>
        <w:rPr>
          <w:rFonts w:hint="eastAsia" w:ascii="仿宋" w:hAnsi="仿宋" w:eastAsia="仿宋"/>
          <w:color w:val="auto"/>
          <w:sz w:val="28"/>
          <w:szCs w:val="28"/>
          <w:lang w:val="en-US" w:eastAsia="zh-CN"/>
        </w:rPr>
        <w:t>Q</w:t>
      </w:r>
      <w:r>
        <w:rPr>
          <w:rFonts w:hint="eastAsia" w:ascii="仿宋" w:hAnsi="仿宋" w:eastAsia="仿宋"/>
          <w:color w:val="auto"/>
          <w:sz w:val="28"/>
          <w:szCs w:val="28"/>
        </w:rPr>
        <w:t>S-CGZB-LS20231001</w:t>
      </w:r>
    </w:p>
    <w:p>
      <w:pPr>
        <w:pageBreakBefore w:val="0"/>
        <w:kinsoku/>
        <w:overflowPunct/>
        <w:topLinePunct w:val="0"/>
        <w:bidi w:val="0"/>
        <w:spacing w:line="560" w:lineRule="exact"/>
        <w:ind w:firstLine="560" w:firstLineChars="200"/>
        <w:outlineLvl w:val="9"/>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购买执法办案管理中心装备</w:t>
      </w:r>
    </w:p>
    <w:p>
      <w:pPr>
        <w:pageBreakBefore w:val="0"/>
        <w:kinsoku/>
        <w:overflowPunct/>
        <w:topLinePunct w:val="0"/>
        <w:bidi w:val="0"/>
        <w:spacing w:line="560" w:lineRule="exact"/>
        <w:ind w:firstLine="560" w:firstLineChars="200"/>
        <w:outlineLvl w:val="9"/>
        <w:rPr>
          <w:rFonts w:ascii="仿宋" w:hAnsi="仿宋" w:eastAsia="仿宋"/>
          <w:color w:val="auto"/>
          <w:sz w:val="28"/>
          <w:szCs w:val="28"/>
        </w:rPr>
      </w:pPr>
      <w:r>
        <w:rPr>
          <w:rFonts w:hint="eastAsia" w:ascii="仿宋" w:hAnsi="仿宋" w:eastAsia="仿宋"/>
          <w:color w:val="auto"/>
          <w:sz w:val="28"/>
          <w:szCs w:val="28"/>
        </w:rPr>
        <w:t>采购方式：☑竞争性谈判 □竞争性磋商 □询价</w:t>
      </w:r>
    </w:p>
    <w:p>
      <w:pPr>
        <w:pageBreakBefore w:val="0"/>
        <w:kinsoku/>
        <w:overflowPunct/>
        <w:topLinePunct w:val="0"/>
        <w:bidi w:val="0"/>
        <w:spacing w:line="560" w:lineRule="exact"/>
        <w:ind w:left="559" w:leftChars="266"/>
        <w:outlineLvl w:val="9"/>
        <w:rPr>
          <w:rFonts w:ascii="仿宋" w:hAnsi="仿宋" w:eastAsia="仿宋"/>
          <w:color w:val="auto"/>
          <w:sz w:val="28"/>
          <w:szCs w:val="28"/>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325000.00</w:t>
      </w:r>
      <w:r>
        <w:rPr>
          <w:rFonts w:hint="eastAsia" w:ascii="仿宋" w:hAnsi="仿宋" w:eastAsia="仿宋"/>
          <w:color w:val="auto"/>
          <w:sz w:val="28"/>
          <w:szCs w:val="28"/>
        </w:rPr>
        <w:t>元，资金已落实</w:t>
      </w:r>
    </w:p>
    <w:p>
      <w:pPr>
        <w:pageBreakBefore w:val="0"/>
        <w:kinsoku/>
        <w:overflowPunct/>
        <w:topLinePunct w:val="0"/>
        <w:bidi w:val="0"/>
        <w:spacing w:line="560" w:lineRule="exact"/>
        <w:ind w:left="559" w:leftChars="266"/>
        <w:outlineLvl w:val="9"/>
        <w:rPr>
          <w:rFonts w:ascii="仿宋" w:hAnsi="仿宋" w:eastAsia="仿宋"/>
          <w:color w:val="auto"/>
          <w:sz w:val="28"/>
          <w:szCs w:val="28"/>
        </w:rPr>
      </w:pPr>
      <w:r>
        <w:rPr>
          <w:rFonts w:hint="eastAsia" w:ascii="仿宋" w:hAnsi="仿宋" w:eastAsia="仿宋"/>
          <w:color w:val="auto"/>
          <w:sz w:val="28"/>
          <w:szCs w:val="28"/>
        </w:rPr>
        <w:t>最高限价：</w:t>
      </w:r>
      <w:r>
        <w:rPr>
          <w:rFonts w:hint="eastAsia" w:ascii="仿宋" w:hAnsi="仿宋" w:eastAsia="仿宋"/>
          <w:color w:val="auto"/>
          <w:sz w:val="28"/>
          <w:szCs w:val="28"/>
          <w:lang w:val="en-US" w:eastAsia="zh-CN"/>
        </w:rPr>
        <w:t>325000.00</w:t>
      </w:r>
      <w:r>
        <w:rPr>
          <w:rFonts w:hint="eastAsia" w:ascii="仿宋" w:hAnsi="仿宋" w:eastAsia="仿宋"/>
          <w:color w:val="auto"/>
          <w:sz w:val="28"/>
          <w:szCs w:val="28"/>
        </w:rPr>
        <w:t>元，资金已落实</w:t>
      </w:r>
    </w:p>
    <w:p>
      <w:pPr>
        <w:pageBreakBefore w:val="0"/>
        <w:kinsoku/>
        <w:overflowPunct/>
        <w:topLinePunct w:val="0"/>
        <w:bidi w:val="0"/>
        <w:spacing w:line="560" w:lineRule="exact"/>
        <w:ind w:firstLine="560" w:firstLineChars="200"/>
        <w:outlineLvl w:val="9"/>
        <w:rPr>
          <w:rFonts w:ascii="仿宋" w:hAnsi="仿宋" w:eastAsia="仿宋"/>
          <w:color w:val="auto"/>
          <w:sz w:val="28"/>
          <w:szCs w:val="28"/>
          <w:highlight w:val="yellow"/>
        </w:rPr>
      </w:pPr>
      <w:r>
        <w:rPr>
          <w:rFonts w:hint="eastAsia" w:ascii="仿宋" w:hAnsi="仿宋" w:eastAsia="仿宋"/>
          <w:color w:val="auto"/>
          <w:sz w:val="28"/>
          <w:szCs w:val="28"/>
        </w:rPr>
        <w:t>采购需求： </w:t>
      </w:r>
      <w:r>
        <w:rPr>
          <w:rFonts w:hint="eastAsia" w:ascii="仿宋" w:hAnsi="仿宋" w:eastAsia="仿宋"/>
          <w:color w:val="auto"/>
          <w:sz w:val="28"/>
          <w:szCs w:val="28"/>
          <w:lang w:val="en-US" w:eastAsia="zh-CN"/>
        </w:rPr>
        <w:t>购买执法办案管理中心装备</w:t>
      </w:r>
      <w:r>
        <w:rPr>
          <w:rFonts w:hint="eastAsia" w:ascii="仿宋" w:hAnsi="仿宋" w:eastAsia="仿宋"/>
          <w:color w:val="auto"/>
          <w:sz w:val="28"/>
          <w:szCs w:val="28"/>
        </w:rPr>
        <w:t>（详见第五章）。</w:t>
      </w:r>
    </w:p>
    <w:p>
      <w:pPr>
        <w:pageBreakBefore w:val="0"/>
        <w:kinsoku/>
        <w:overflowPunct/>
        <w:topLinePunct w:val="0"/>
        <w:bidi w:val="0"/>
        <w:spacing w:line="560" w:lineRule="exact"/>
        <w:ind w:firstLine="560" w:firstLineChars="200"/>
        <w:outlineLvl w:val="9"/>
        <w:rPr>
          <w:rFonts w:hint="eastAsia" w:ascii="仿宋" w:hAnsi="仿宋" w:eastAsia="仿宋"/>
          <w:color w:val="auto"/>
          <w:sz w:val="28"/>
          <w:szCs w:val="28"/>
          <w:lang w:eastAsia="zh-CN"/>
        </w:rPr>
      </w:pPr>
      <w:r>
        <w:rPr>
          <w:rFonts w:hint="eastAsia" w:ascii="仿宋" w:hAnsi="仿宋" w:eastAsia="仿宋"/>
          <w:color w:val="auto"/>
          <w:sz w:val="28"/>
          <w:szCs w:val="28"/>
        </w:rPr>
        <w:t>是否专门面向中小企业采购：</w:t>
      </w:r>
      <w:r>
        <w:rPr>
          <w:rFonts w:hint="eastAsia" w:ascii="仿宋" w:hAnsi="仿宋" w:eastAsia="仿宋"/>
          <w:color w:val="auto"/>
          <w:sz w:val="28"/>
          <w:szCs w:val="28"/>
          <w:lang w:val="en-US" w:eastAsia="zh-CN"/>
        </w:rPr>
        <w:t>否</w:t>
      </w:r>
    </w:p>
    <w:p>
      <w:pPr>
        <w:pageBreakBefore w:val="0"/>
        <w:kinsoku/>
        <w:overflowPunct/>
        <w:topLinePunct w:val="0"/>
        <w:bidi w:val="0"/>
        <w:spacing w:line="560" w:lineRule="exact"/>
        <w:ind w:firstLine="560" w:firstLineChars="200"/>
        <w:outlineLvl w:val="9"/>
        <w:rPr>
          <w:rFonts w:ascii="仿宋" w:hAnsi="仿宋" w:eastAsia="仿宋"/>
          <w:color w:val="auto"/>
          <w:sz w:val="28"/>
          <w:szCs w:val="28"/>
          <w:highlight w:val="yellow"/>
        </w:rPr>
      </w:pPr>
      <w:r>
        <w:rPr>
          <w:rFonts w:hint="eastAsia" w:ascii="仿宋" w:hAnsi="仿宋" w:eastAsia="仿宋"/>
          <w:color w:val="auto"/>
          <w:sz w:val="28"/>
          <w:szCs w:val="28"/>
        </w:rPr>
        <w:t>中小企业划分标准所属行业：</w:t>
      </w:r>
      <w:r>
        <w:rPr>
          <w:rFonts w:hint="eastAsia" w:ascii="仿宋" w:hAnsi="仿宋" w:eastAsia="仿宋"/>
          <w:color w:val="auto"/>
          <w:sz w:val="28"/>
          <w:szCs w:val="28"/>
          <w:highlight w:val="none"/>
          <w:lang w:val="en-US" w:eastAsia="zh-CN"/>
        </w:rPr>
        <w:t>无</w:t>
      </w:r>
    </w:p>
    <w:p>
      <w:pPr>
        <w:pageBreakBefore w:val="0"/>
        <w:kinsoku/>
        <w:overflowPunct/>
        <w:topLinePunct w:val="0"/>
        <w:bidi w:val="0"/>
        <w:spacing w:line="560" w:lineRule="exact"/>
        <w:ind w:firstLine="560" w:firstLineChars="200"/>
        <w:outlineLvl w:val="9"/>
        <w:rPr>
          <w:rFonts w:ascii="仿宋" w:hAnsi="仿宋" w:eastAsia="仿宋"/>
          <w:color w:val="auto"/>
          <w:sz w:val="28"/>
          <w:szCs w:val="28"/>
          <w:u w:val="single"/>
        </w:rPr>
      </w:pPr>
      <w:r>
        <w:rPr>
          <w:rFonts w:hint="eastAsia" w:ascii="仿宋" w:hAnsi="仿宋" w:eastAsia="仿宋"/>
          <w:color w:val="auto"/>
          <w:sz w:val="28"/>
          <w:szCs w:val="28"/>
        </w:rPr>
        <w:t>合同履行期限：</w:t>
      </w:r>
      <w:r>
        <w:rPr>
          <w:rFonts w:hint="eastAsia" w:ascii="仿宋" w:hAnsi="仿宋" w:eastAsia="仿宋"/>
          <w:color w:val="auto"/>
          <w:sz w:val="28"/>
          <w:szCs w:val="28"/>
          <w:lang w:val="en-US" w:eastAsia="zh-CN"/>
        </w:rPr>
        <w:t>以合同签订时间为准</w:t>
      </w:r>
      <w:r>
        <w:rPr>
          <w:rFonts w:hint="eastAsia" w:ascii="仿宋" w:hAnsi="仿宋" w:eastAsia="仿宋"/>
          <w:color w:val="auto"/>
          <w:sz w:val="28"/>
          <w:szCs w:val="28"/>
        </w:rPr>
        <w:t>。</w:t>
      </w:r>
    </w:p>
    <w:p>
      <w:pPr>
        <w:pageBreakBefore w:val="0"/>
        <w:kinsoku/>
        <w:overflowPunct/>
        <w:topLinePunct w:val="0"/>
        <w:bidi w:val="0"/>
        <w:spacing w:line="560" w:lineRule="exact"/>
        <w:ind w:firstLine="560" w:firstLineChars="200"/>
        <w:outlineLvl w:val="9"/>
        <w:rPr>
          <w:rFonts w:ascii="仿宋" w:hAnsi="仿宋" w:eastAsia="仿宋"/>
          <w:color w:val="auto"/>
          <w:sz w:val="28"/>
          <w:szCs w:val="28"/>
        </w:rPr>
      </w:pPr>
      <w:r>
        <w:rPr>
          <w:rFonts w:hint="eastAsia" w:ascii="仿宋" w:hAnsi="仿宋" w:eastAsia="仿宋"/>
          <w:color w:val="auto"/>
          <w:sz w:val="28"/>
          <w:szCs w:val="28"/>
        </w:rPr>
        <w:t>本项目不接受联合体投标。</w:t>
      </w:r>
    </w:p>
    <w:p>
      <w:pPr>
        <w:pageBreakBefore w:val="0"/>
        <w:tabs>
          <w:tab w:val="left" w:pos="1440"/>
        </w:tabs>
        <w:kinsoku/>
        <w:overflowPunct/>
        <w:topLinePunct w:val="0"/>
        <w:bidi w:val="0"/>
        <w:spacing w:line="560" w:lineRule="exact"/>
        <w:outlineLvl w:val="9"/>
        <w:rPr>
          <w:rFonts w:ascii="黑体" w:hAnsi="黑体" w:cs="宋体"/>
          <w:color w:val="auto"/>
          <w:sz w:val="28"/>
          <w:szCs w:val="28"/>
        </w:rPr>
      </w:pPr>
      <w:bookmarkStart w:id="12" w:name="_Toc35393630"/>
      <w:bookmarkStart w:id="13" w:name="_Toc28359090"/>
      <w:bookmarkStart w:id="14" w:name="_Toc35393799"/>
      <w:bookmarkStart w:id="15" w:name="_Toc28359013"/>
      <w:r>
        <w:rPr>
          <w:rFonts w:hint="eastAsia" w:ascii="黑体" w:hAnsi="黑体" w:cs="宋体"/>
          <w:color w:val="auto"/>
          <w:sz w:val="28"/>
          <w:szCs w:val="28"/>
        </w:rPr>
        <w:t>二、申请人的资格要求：</w:t>
      </w:r>
      <w:bookmarkEnd w:id="12"/>
      <w:bookmarkEnd w:id="13"/>
      <w:bookmarkEnd w:id="14"/>
      <w:bookmarkEnd w:id="15"/>
    </w:p>
    <w:p>
      <w:pPr>
        <w:pageBreakBefore w:val="0"/>
        <w:kinsoku/>
        <w:overflowPunct/>
        <w:topLinePunct w:val="0"/>
        <w:bidi w:val="0"/>
        <w:spacing w:line="560" w:lineRule="exact"/>
        <w:ind w:firstLine="562" w:firstLineChars="200"/>
        <w:outlineLvl w:val="9"/>
        <w:rPr>
          <w:rFonts w:ascii="仿宋" w:hAnsi="仿宋" w:eastAsia="仿宋"/>
          <w:b/>
          <w:bCs/>
          <w:color w:val="auto"/>
          <w:sz w:val="28"/>
          <w:szCs w:val="28"/>
        </w:rPr>
      </w:pPr>
      <w:r>
        <w:rPr>
          <w:rFonts w:hint="eastAsia" w:ascii="仿宋" w:hAnsi="仿宋" w:eastAsia="仿宋"/>
          <w:b/>
          <w:bCs/>
          <w:color w:val="auto"/>
          <w:sz w:val="28"/>
          <w:szCs w:val="28"/>
        </w:rPr>
        <w:t>1.满足《中华人民共和国政府采购法》第二十二条规定；</w:t>
      </w:r>
    </w:p>
    <w:p>
      <w:pPr>
        <w:pageBreakBefore w:val="0"/>
        <w:kinsoku/>
        <w:overflowPunct/>
        <w:topLinePunct w:val="0"/>
        <w:bidi w:val="0"/>
        <w:spacing w:line="560" w:lineRule="exact"/>
        <w:ind w:firstLine="560" w:firstLineChars="200"/>
        <w:outlineLvl w:val="9"/>
        <w:rPr>
          <w:rFonts w:ascii="仿宋" w:hAnsi="仿宋" w:eastAsia="仿宋"/>
          <w:color w:val="auto"/>
          <w:sz w:val="28"/>
          <w:szCs w:val="28"/>
          <w:u w:val="single"/>
        </w:rPr>
      </w:pPr>
      <w:bookmarkStart w:id="16" w:name="_Toc28359014"/>
      <w:bookmarkStart w:id="17" w:name="_Toc28359091"/>
      <w:r>
        <w:rPr>
          <w:rFonts w:ascii="仿宋" w:hAnsi="仿宋" w:eastAsia="仿宋"/>
          <w:color w:val="auto"/>
          <w:sz w:val="28"/>
          <w:szCs w:val="28"/>
        </w:rPr>
        <w:t>2</w:t>
      </w:r>
      <w:r>
        <w:rPr>
          <w:rFonts w:hint="eastAsia" w:ascii="仿宋" w:hAnsi="仿宋" w:eastAsia="仿宋"/>
          <w:color w:val="auto"/>
          <w:sz w:val="28"/>
          <w:szCs w:val="28"/>
        </w:rPr>
        <w:t>.落实政府采购政策需满足的资格要求：</w:t>
      </w:r>
      <w:r>
        <w:rPr>
          <w:rFonts w:hint="eastAsia" w:ascii="仿宋" w:hAnsi="仿宋" w:eastAsia="仿宋"/>
          <w:color w:val="auto"/>
          <w:sz w:val="28"/>
          <w:szCs w:val="28"/>
          <w:u w:val="single"/>
        </w:rPr>
        <w:t>1、对小微企业的产品给予价格扣除（监狱企业、残疾人福利性单位视同小微企业；残疾人福利性单位属于小型、微型企业的，不重复享受政策）；2、优先采购节能环保产品（注：所采购的货物在政府采购节能产品、环境标志产品实施品目清单范围内，且具有国家确定的认证机构出具的、处于有效期之内的节能产品、环境标志产品认证证书）</w:t>
      </w:r>
      <w:r>
        <w:rPr>
          <w:rFonts w:hint="eastAsia" w:ascii="仿宋" w:hAnsi="仿宋" w:eastAsia="仿宋"/>
          <w:color w:val="auto"/>
          <w:sz w:val="28"/>
          <w:szCs w:val="28"/>
        </w:rPr>
        <w:t>。</w:t>
      </w:r>
    </w:p>
    <w:p>
      <w:pPr>
        <w:pageBreakBefore w:val="0"/>
        <w:kinsoku/>
        <w:overflowPunct/>
        <w:topLinePunct w:val="0"/>
        <w:bidi w:val="0"/>
        <w:spacing w:line="560" w:lineRule="exact"/>
        <w:ind w:firstLine="560" w:firstLineChars="200"/>
        <w:outlineLvl w:val="9"/>
        <w:rPr>
          <w:rFonts w:ascii="仿宋" w:hAnsi="仿宋" w:eastAsia="仿宋"/>
          <w:i/>
          <w:iCs/>
          <w:color w:val="auto"/>
          <w:sz w:val="28"/>
          <w:szCs w:val="28"/>
          <w:highlight w:val="none"/>
          <w:u w:val="single"/>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u w:val="single"/>
          <w:lang w:val="en-US" w:eastAsia="zh-CN"/>
        </w:rPr>
        <w:t>无</w:t>
      </w:r>
      <w:r>
        <w:rPr>
          <w:rFonts w:hint="eastAsia" w:ascii="仿宋" w:hAnsi="仿宋" w:eastAsia="仿宋"/>
          <w:color w:val="auto"/>
          <w:sz w:val="28"/>
          <w:szCs w:val="28"/>
          <w:highlight w:val="none"/>
        </w:rPr>
        <w:t>。</w:t>
      </w:r>
    </w:p>
    <w:p>
      <w:pPr>
        <w:pageBreakBefore w:val="0"/>
        <w:tabs>
          <w:tab w:val="left" w:pos="1440"/>
        </w:tabs>
        <w:kinsoku/>
        <w:overflowPunct/>
        <w:topLinePunct w:val="0"/>
        <w:bidi w:val="0"/>
        <w:spacing w:line="560" w:lineRule="exact"/>
        <w:outlineLvl w:val="9"/>
        <w:rPr>
          <w:rFonts w:ascii="黑体" w:hAnsi="黑体" w:cs="宋体"/>
          <w:color w:val="auto"/>
          <w:sz w:val="28"/>
          <w:szCs w:val="28"/>
        </w:rPr>
      </w:pPr>
      <w:bookmarkStart w:id="18" w:name="_Toc35393800"/>
      <w:bookmarkStart w:id="19" w:name="_Toc35393631"/>
      <w:r>
        <w:rPr>
          <w:rFonts w:hint="eastAsia" w:ascii="黑体" w:hAnsi="黑体" w:cs="宋体"/>
          <w:color w:val="auto"/>
          <w:sz w:val="28"/>
          <w:szCs w:val="28"/>
        </w:rPr>
        <w:t>三、获取采购文件</w:t>
      </w:r>
      <w:bookmarkEnd w:id="16"/>
      <w:bookmarkEnd w:id="17"/>
      <w:bookmarkEnd w:id="18"/>
      <w:bookmarkEnd w:id="19"/>
    </w:p>
    <w:p>
      <w:pPr>
        <w:pageBreakBefore w:val="0"/>
        <w:tabs>
          <w:tab w:val="left" w:pos="1440"/>
        </w:tabs>
        <w:kinsoku/>
        <w:overflowPunct/>
        <w:topLinePunct w:val="0"/>
        <w:bidi w:val="0"/>
        <w:spacing w:line="560" w:lineRule="exact"/>
        <w:outlineLvl w:val="9"/>
        <w:rPr>
          <w:rFonts w:ascii="仿宋" w:hAnsi="仿宋" w:eastAsia="仿宋" w:cs="宋体"/>
          <w:color w:val="auto"/>
          <w:sz w:val="28"/>
          <w:szCs w:val="28"/>
        </w:rPr>
      </w:pPr>
      <w:r>
        <w:rPr>
          <w:rFonts w:hint="eastAsia" w:ascii="仿宋" w:hAnsi="仿宋" w:eastAsia="仿宋" w:cs="宋体"/>
          <w:color w:val="auto"/>
          <w:sz w:val="28"/>
          <w:szCs w:val="28"/>
        </w:rPr>
        <w:t>时</w:t>
      </w:r>
      <w:bookmarkStart w:id="20" w:name="_Toc35393632"/>
      <w:bookmarkStart w:id="21" w:name="_Toc35393801"/>
      <w:bookmarkStart w:id="22" w:name="_Toc28359092"/>
      <w:bookmarkStart w:id="23" w:name="_Toc28359015"/>
      <w:r>
        <w:rPr>
          <w:rFonts w:hint="eastAsia" w:ascii="仿宋" w:hAnsi="仿宋" w:eastAsia="仿宋" w:cs="宋体"/>
          <w:color w:val="auto"/>
          <w:sz w:val="28"/>
          <w:szCs w:val="28"/>
        </w:rPr>
        <w:t>时间：</w:t>
      </w:r>
      <w:r>
        <w:rPr>
          <w:rFonts w:hint="eastAsia" w:ascii="仿宋" w:hAnsi="仿宋" w:eastAsia="仿宋" w:cs="宋体"/>
          <w:color w:val="auto"/>
          <w:sz w:val="28"/>
          <w:szCs w:val="28"/>
          <w:highlight w:val="none"/>
        </w:rPr>
        <w:t>202</w:t>
      </w:r>
      <w:r>
        <w:rPr>
          <w:rFonts w:hint="eastAsia" w:ascii="仿宋" w:hAnsi="仿宋" w:eastAsia="仿宋" w:cs="宋体"/>
          <w:color w:val="auto"/>
          <w:sz w:val="28"/>
          <w:szCs w:val="28"/>
          <w:highlight w:val="none"/>
          <w:lang w:val="en-US" w:eastAsia="zh-CN"/>
        </w:rPr>
        <w:t>3</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10</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24</w:t>
      </w:r>
      <w:r>
        <w:rPr>
          <w:rFonts w:hint="eastAsia" w:ascii="仿宋" w:hAnsi="仿宋" w:eastAsia="仿宋" w:cs="宋体"/>
          <w:color w:val="auto"/>
          <w:sz w:val="28"/>
          <w:szCs w:val="28"/>
          <w:highlight w:val="none"/>
        </w:rPr>
        <w:t>日至202</w:t>
      </w:r>
      <w:r>
        <w:rPr>
          <w:rFonts w:hint="eastAsia" w:ascii="仿宋" w:hAnsi="仿宋" w:eastAsia="仿宋" w:cs="宋体"/>
          <w:color w:val="auto"/>
          <w:sz w:val="28"/>
          <w:szCs w:val="28"/>
          <w:highlight w:val="none"/>
          <w:lang w:val="en-US" w:eastAsia="zh-CN"/>
        </w:rPr>
        <w:t>3</w:t>
      </w:r>
      <w:r>
        <w:rPr>
          <w:rFonts w:hint="eastAsia" w:ascii="仿宋" w:hAnsi="仿宋" w:eastAsia="仿宋" w:cs="宋体"/>
          <w:color w:val="auto"/>
          <w:sz w:val="28"/>
          <w:szCs w:val="28"/>
          <w:highlight w:val="none"/>
        </w:rPr>
        <w:t>年</w:t>
      </w:r>
      <w:r>
        <w:rPr>
          <w:rFonts w:hint="eastAsia" w:ascii="仿宋" w:hAnsi="仿宋" w:eastAsia="仿宋" w:cs="宋体"/>
          <w:color w:val="auto"/>
          <w:sz w:val="28"/>
          <w:szCs w:val="28"/>
          <w:highlight w:val="none"/>
          <w:lang w:val="en-US" w:eastAsia="zh-CN"/>
        </w:rPr>
        <w:t>10</w:t>
      </w:r>
      <w:r>
        <w:rPr>
          <w:rFonts w:hint="eastAsia" w:ascii="仿宋" w:hAnsi="仿宋" w:eastAsia="仿宋" w:cs="宋体"/>
          <w:color w:val="auto"/>
          <w:sz w:val="28"/>
          <w:szCs w:val="28"/>
          <w:highlight w:val="none"/>
        </w:rPr>
        <w:t>月</w:t>
      </w:r>
      <w:r>
        <w:rPr>
          <w:rFonts w:hint="eastAsia" w:ascii="仿宋" w:hAnsi="仿宋" w:eastAsia="仿宋" w:cs="宋体"/>
          <w:color w:val="auto"/>
          <w:sz w:val="28"/>
          <w:szCs w:val="28"/>
          <w:highlight w:val="none"/>
          <w:lang w:val="en-US" w:eastAsia="zh-CN"/>
        </w:rPr>
        <w:t>26</w:t>
      </w:r>
      <w:r>
        <w:rPr>
          <w:rFonts w:hint="eastAsia" w:ascii="仿宋" w:hAnsi="仿宋" w:eastAsia="仿宋" w:cs="宋体"/>
          <w:color w:val="auto"/>
          <w:sz w:val="28"/>
          <w:szCs w:val="28"/>
          <w:highlight w:val="none"/>
        </w:rPr>
        <w:t>日</w:t>
      </w:r>
      <w:r>
        <w:rPr>
          <w:rFonts w:hint="eastAsia" w:ascii="仿宋" w:hAnsi="仿宋" w:eastAsia="仿宋" w:cs="宋体"/>
          <w:color w:val="auto"/>
          <w:sz w:val="28"/>
          <w:szCs w:val="28"/>
        </w:rPr>
        <w:t>（北京时间，法定节假日除外）</w:t>
      </w:r>
    </w:p>
    <w:p>
      <w:pPr>
        <w:pageBreakBefore w:val="0"/>
        <w:tabs>
          <w:tab w:val="left" w:pos="1440"/>
        </w:tabs>
        <w:kinsoku/>
        <w:overflowPunct/>
        <w:topLinePunct w:val="0"/>
        <w:bidi w:val="0"/>
        <w:spacing w:line="560" w:lineRule="exact"/>
        <w:outlineLvl w:val="9"/>
        <w:rPr>
          <w:rFonts w:ascii="仿宋" w:hAnsi="仿宋" w:eastAsia="仿宋" w:cs="宋体"/>
          <w:color w:val="auto"/>
          <w:sz w:val="28"/>
          <w:szCs w:val="28"/>
        </w:rPr>
      </w:pPr>
      <w:r>
        <w:rPr>
          <w:rFonts w:hint="eastAsia" w:ascii="仿宋" w:hAnsi="仿宋" w:eastAsia="仿宋" w:cs="宋体"/>
          <w:color w:val="auto"/>
          <w:sz w:val="28"/>
          <w:szCs w:val="28"/>
        </w:rPr>
        <w:t>地点：</w:t>
      </w:r>
      <w:r>
        <w:rPr>
          <w:rFonts w:hint="eastAsia" w:ascii="仿宋" w:hAnsi="仿宋" w:eastAsia="仿宋"/>
          <w:color w:val="auto"/>
          <w:sz w:val="28"/>
          <w:szCs w:val="28"/>
        </w:rPr>
        <w:t>西藏拉萨市城关区当热东路3-69号</w:t>
      </w:r>
      <w:r>
        <w:rPr>
          <w:rFonts w:hint="eastAsia" w:ascii="仿宋" w:hAnsi="仿宋" w:eastAsia="仿宋"/>
          <w:color w:val="auto"/>
          <w:sz w:val="28"/>
          <w:szCs w:val="28"/>
          <w:lang w:eastAsia="zh-CN"/>
        </w:rPr>
        <w:t>（安徽求是工程建设咨询有限公司）。</w:t>
      </w:r>
    </w:p>
    <w:p>
      <w:pPr>
        <w:pageBreakBefore w:val="0"/>
        <w:tabs>
          <w:tab w:val="left" w:pos="1440"/>
        </w:tabs>
        <w:kinsoku/>
        <w:overflowPunct/>
        <w:topLinePunct w:val="0"/>
        <w:bidi w:val="0"/>
        <w:spacing w:line="560" w:lineRule="exact"/>
        <w:outlineLvl w:val="9"/>
        <w:rPr>
          <w:rFonts w:ascii="仿宋" w:hAnsi="仿宋" w:eastAsia="仿宋" w:cs="宋体"/>
          <w:color w:val="auto"/>
          <w:sz w:val="28"/>
          <w:szCs w:val="28"/>
        </w:rPr>
      </w:pPr>
      <w:r>
        <w:rPr>
          <w:rFonts w:hint="eastAsia" w:ascii="仿宋" w:hAnsi="仿宋" w:eastAsia="仿宋" w:cs="宋体"/>
          <w:color w:val="auto"/>
          <w:sz w:val="28"/>
          <w:szCs w:val="28"/>
        </w:rPr>
        <w:t>方式：</w:t>
      </w:r>
      <w:r>
        <w:rPr>
          <w:rFonts w:hint="eastAsia" w:ascii="仿宋" w:hAnsi="仿宋" w:eastAsia="仿宋" w:cs="宋体"/>
          <w:color w:val="auto"/>
          <w:sz w:val="28"/>
          <w:szCs w:val="28"/>
          <w:lang w:val="en-US" w:eastAsia="zh-CN"/>
        </w:rPr>
        <w:t>现场</w:t>
      </w:r>
      <w:r>
        <w:rPr>
          <w:rFonts w:hint="eastAsia" w:ascii="仿宋" w:hAnsi="仿宋" w:eastAsia="仿宋" w:cs="宋体"/>
          <w:color w:val="auto"/>
          <w:sz w:val="28"/>
          <w:szCs w:val="28"/>
        </w:rPr>
        <w:t>获取</w:t>
      </w:r>
    </w:p>
    <w:p>
      <w:pPr>
        <w:pageBreakBefore w:val="0"/>
        <w:tabs>
          <w:tab w:val="left" w:pos="1440"/>
        </w:tabs>
        <w:kinsoku/>
        <w:overflowPunct/>
        <w:topLinePunct w:val="0"/>
        <w:bidi w:val="0"/>
        <w:spacing w:line="560" w:lineRule="exact"/>
        <w:outlineLvl w:val="9"/>
        <w:rPr>
          <w:rFonts w:hint="default" w:ascii="仿宋" w:hAnsi="仿宋" w:eastAsia="仿宋" w:cs="宋体"/>
          <w:color w:val="auto"/>
          <w:sz w:val="28"/>
          <w:szCs w:val="28"/>
          <w:lang w:val="en-US" w:eastAsia="zh-CN"/>
        </w:rPr>
      </w:pPr>
      <w:r>
        <w:rPr>
          <w:rFonts w:hint="eastAsia" w:ascii="仿宋" w:hAnsi="仿宋" w:eastAsia="仿宋" w:cs="宋体"/>
          <w:color w:val="auto"/>
          <w:sz w:val="28"/>
          <w:szCs w:val="28"/>
        </w:rPr>
        <w:t>售价：</w:t>
      </w:r>
      <w:r>
        <w:rPr>
          <w:rFonts w:hint="eastAsia" w:ascii="仿宋" w:hAnsi="仿宋" w:eastAsia="仿宋" w:cs="宋体"/>
          <w:color w:val="auto"/>
          <w:sz w:val="28"/>
          <w:szCs w:val="28"/>
          <w:lang w:val="en-US" w:eastAsia="zh-CN"/>
        </w:rPr>
        <w:t>500元</w:t>
      </w:r>
    </w:p>
    <w:p>
      <w:pPr>
        <w:pageBreakBefore w:val="0"/>
        <w:tabs>
          <w:tab w:val="left" w:pos="1440"/>
        </w:tabs>
        <w:kinsoku/>
        <w:overflowPunct/>
        <w:topLinePunct w:val="0"/>
        <w:bidi w:val="0"/>
        <w:spacing w:line="560" w:lineRule="exact"/>
        <w:outlineLvl w:val="9"/>
        <w:rPr>
          <w:rFonts w:ascii="黑体" w:hAnsi="黑体" w:cs="宋体"/>
          <w:color w:val="auto"/>
          <w:sz w:val="28"/>
          <w:szCs w:val="28"/>
        </w:rPr>
      </w:pPr>
      <w:r>
        <w:rPr>
          <w:rFonts w:hint="eastAsia" w:ascii="黑体" w:hAnsi="黑体" w:cs="宋体"/>
          <w:color w:val="auto"/>
          <w:sz w:val="28"/>
          <w:szCs w:val="28"/>
        </w:rPr>
        <w:t>四、响应文件提交</w:t>
      </w:r>
      <w:bookmarkEnd w:id="20"/>
      <w:bookmarkEnd w:id="21"/>
      <w:bookmarkEnd w:id="22"/>
      <w:bookmarkEnd w:id="23"/>
    </w:p>
    <w:p>
      <w:pPr>
        <w:pStyle w:val="67"/>
        <w:pageBreakBefore w:val="0"/>
        <w:shd w:val="clear" w:color="auto" w:fill="FFFFFF"/>
        <w:kinsoku/>
        <w:overflowPunct/>
        <w:topLinePunct w:val="0"/>
        <w:bidi w:val="0"/>
        <w:spacing w:before="300" w:beforeAutospacing="0" w:after="300" w:afterAutospacing="0" w:line="555" w:lineRule="atLeast"/>
        <w:ind w:firstLine="420"/>
        <w:outlineLvl w:val="9"/>
        <w:rPr>
          <w:rFonts w:ascii="微软雅黑" w:hAnsi="微软雅黑" w:eastAsia="微软雅黑" w:cs="微软雅黑"/>
          <w:color w:val="auto"/>
          <w:sz w:val="28"/>
          <w:szCs w:val="28"/>
        </w:rPr>
      </w:pPr>
      <w:r>
        <w:rPr>
          <w:rFonts w:ascii="仿宋" w:hAnsi="仿宋" w:eastAsia="仿宋" w:cs="仿宋"/>
          <w:color w:val="auto"/>
          <w:sz w:val="28"/>
          <w:szCs w:val="28"/>
          <w:shd w:val="clear" w:color="auto" w:fill="FFFFFF"/>
        </w:rPr>
        <w:t>提交投标文件截止时间：</w:t>
      </w:r>
      <w:r>
        <w:rPr>
          <w:rFonts w:hint="eastAsia" w:ascii="仿宋" w:hAnsi="仿宋" w:eastAsia="仿宋" w:cs="仿宋"/>
          <w:color w:val="auto"/>
          <w:sz w:val="28"/>
          <w:szCs w:val="28"/>
          <w:highlight w:val="none"/>
          <w:u w:val="single"/>
          <w:shd w:val="clear" w:color="auto" w:fill="FFFFFF"/>
        </w:rPr>
        <w:t>202</w:t>
      </w:r>
      <w:r>
        <w:rPr>
          <w:rFonts w:hint="eastAsia" w:ascii="仿宋" w:hAnsi="仿宋" w:eastAsia="仿宋" w:cs="仿宋"/>
          <w:color w:val="auto"/>
          <w:sz w:val="28"/>
          <w:szCs w:val="28"/>
          <w:highlight w:val="none"/>
          <w:u w:val="single"/>
          <w:shd w:val="clear" w:color="auto" w:fill="FFFFFF"/>
          <w:lang w:val="en-US" w:eastAsia="zh-CN"/>
        </w:rPr>
        <w:t>3</w:t>
      </w:r>
      <w:r>
        <w:rPr>
          <w:rFonts w:hint="eastAsia" w:ascii="仿宋" w:hAnsi="仿宋" w:eastAsia="仿宋" w:cs="仿宋"/>
          <w:color w:val="auto"/>
          <w:sz w:val="28"/>
          <w:szCs w:val="28"/>
          <w:highlight w:val="none"/>
          <w:shd w:val="clear" w:color="auto" w:fill="FFFFFF"/>
        </w:rPr>
        <w:t>年</w:t>
      </w:r>
      <w:r>
        <w:rPr>
          <w:rFonts w:hint="eastAsia" w:ascii="仿宋" w:hAnsi="仿宋" w:eastAsia="仿宋" w:cs="仿宋"/>
          <w:color w:val="auto"/>
          <w:sz w:val="28"/>
          <w:szCs w:val="28"/>
          <w:highlight w:val="none"/>
          <w:u w:val="single"/>
          <w:shd w:val="clear" w:color="auto" w:fill="FFFFFF"/>
        </w:rPr>
        <w:t> </w:t>
      </w:r>
      <w:r>
        <w:rPr>
          <w:rFonts w:hint="eastAsia" w:ascii="仿宋" w:hAnsi="仿宋" w:eastAsia="仿宋" w:cs="仿宋"/>
          <w:color w:val="auto"/>
          <w:sz w:val="28"/>
          <w:szCs w:val="28"/>
          <w:highlight w:val="none"/>
          <w:u w:val="single"/>
          <w:shd w:val="clear" w:color="auto" w:fill="FFFFFF"/>
          <w:lang w:val="en-US" w:eastAsia="zh-CN"/>
        </w:rPr>
        <w:t xml:space="preserve">10 </w:t>
      </w:r>
      <w:r>
        <w:rPr>
          <w:rFonts w:hint="eastAsia" w:ascii="仿宋" w:hAnsi="仿宋" w:eastAsia="仿宋" w:cs="仿宋"/>
          <w:color w:val="auto"/>
          <w:sz w:val="28"/>
          <w:szCs w:val="28"/>
          <w:highlight w:val="none"/>
          <w:shd w:val="clear" w:color="auto" w:fill="FFFFFF"/>
        </w:rPr>
        <w:t>月</w:t>
      </w:r>
      <w:r>
        <w:rPr>
          <w:rFonts w:hint="eastAsia" w:ascii="仿宋" w:hAnsi="仿宋" w:eastAsia="仿宋" w:cs="仿宋"/>
          <w:color w:val="auto"/>
          <w:sz w:val="28"/>
          <w:szCs w:val="28"/>
          <w:highlight w:val="none"/>
          <w:u w:val="single"/>
          <w:shd w:val="clear" w:color="auto" w:fill="FFFFFF"/>
        </w:rPr>
        <w:t> </w:t>
      </w:r>
      <w:r>
        <w:rPr>
          <w:rFonts w:hint="eastAsia" w:ascii="仿宋" w:hAnsi="仿宋" w:eastAsia="仿宋" w:cs="仿宋"/>
          <w:color w:val="auto"/>
          <w:sz w:val="28"/>
          <w:szCs w:val="28"/>
          <w:highlight w:val="none"/>
          <w:u w:val="single"/>
          <w:shd w:val="clear" w:color="auto" w:fill="FFFFFF"/>
          <w:lang w:val="en-US" w:eastAsia="zh-CN"/>
        </w:rPr>
        <w:t xml:space="preserve">27 </w:t>
      </w:r>
      <w:r>
        <w:rPr>
          <w:rFonts w:hint="eastAsia" w:ascii="仿宋" w:hAnsi="仿宋" w:eastAsia="仿宋" w:cs="仿宋"/>
          <w:color w:val="auto"/>
          <w:sz w:val="28"/>
          <w:szCs w:val="28"/>
          <w:highlight w:val="none"/>
          <w:shd w:val="clear" w:color="auto" w:fill="FFFFFF"/>
        </w:rPr>
        <w:t>日</w:t>
      </w:r>
      <w:r>
        <w:rPr>
          <w:rFonts w:hint="eastAsia" w:ascii="仿宋" w:hAnsi="仿宋" w:eastAsia="仿宋" w:cs="仿宋"/>
          <w:color w:val="auto"/>
          <w:sz w:val="28"/>
          <w:szCs w:val="28"/>
          <w:highlight w:val="none"/>
          <w:u w:val="single"/>
          <w:shd w:val="clear" w:color="auto" w:fill="FFFFFF"/>
        </w:rPr>
        <w:t> 15 </w:t>
      </w:r>
      <w:r>
        <w:rPr>
          <w:rFonts w:hint="eastAsia" w:ascii="仿宋" w:hAnsi="仿宋" w:eastAsia="仿宋" w:cs="仿宋"/>
          <w:color w:val="auto"/>
          <w:sz w:val="28"/>
          <w:szCs w:val="28"/>
          <w:highlight w:val="none"/>
          <w:shd w:val="clear" w:color="auto" w:fill="FFFFFF"/>
        </w:rPr>
        <w:t>点</w:t>
      </w:r>
      <w:r>
        <w:rPr>
          <w:rFonts w:hint="eastAsia" w:ascii="仿宋" w:hAnsi="仿宋" w:eastAsia="仿宋" w:cs="仿宋"/>
          <w:color w:val="auto"/>
          <w:sz w:val="28"/>
          <w:szCs w:val="28"/>
          <w:highlight w:val="none"/>
          <w:u w:val="single"/>
          <w:shd w:val="clear" w:color="auto" w:fill="FFFFFF"/>
        </w:rPr>
        <w:t> 30</w:t>
      </w:r>
      <w:r>
        <w:rPr>
          <w:rFonts w:hint="eastAsia" w:ascii="仿宋" w:hAnsi="仿宋" w:eastAsia="仿宋" w:cs="仿宋"/>
          <w:color w:val="auto"/>
          <w:sz w:val="28"/>
          <w:szCs w:val="28"/>
          <w:highlight w:val="none"/>
          <w:shd w:val="clear" w:color="auto" w:fill="FFFFFF"/>
        </w:rPr>
        <w:t>分</w:t>
      </w:r>
      <w:r>
        <w:rPr>
          <w:rFonts w:hint="eastAsia" w:ascii="仿宋" w:hAnsi="仿宋" w:eastAsia="仿宋" w:cs="仿宋"/>
          <w:color w:val="auto"/>
          <w:sz w:val="28"/>
          <w:szCs w:val="28"/>
          <w:shd w:val="clear" w:color="auto" w:fill="FFFFFF"/>
        </w:rPr>
        <w:t>（北京时间）</w:t>
      </w:r>
    </w:p>
    <w:p>
      <w:pPr>
        <w:pStyle w:val="67"/>
        <w:pageBreakBefore w:val="0"/>
        <w:shd w:val="clear" w:color="auto" w:fill="FFFFFF"/>
        <w:kinsoku/>
        <w:overflowPunct/>
        <w:topLinePunct w:val="0"/>
        <w:bidi w:val="0"/>
        <w:spacing w:before="300" w:beforeAutospacing="0" w:after="300" w:afterAutospacing="0" w:line="315" w:lineRule="atLeast"/>
        <w:ind w:firstLine="420"/>
        <w:outlineLvl w:val="9"/>
        <w:rPr>
          <w:rFonts w:ascii="微软雅黑" w:hAnsi="微软雅黑" w:eastAsia="微软雅黑" w:cs="微软雅黑"/>
          <w:color w:val="auto"/>
          <w:sz w:val="28"/>
          <w:szCs w:val="28"/>
          <w:u w:val="none"/>
        </w:rPr>
      </w:pPr>
      <w:r>
        <w:rPr>
          <w:rFonts w:hint="eastAsia" w:ascii="仿宋" w:hAnsi="仿宋" w:eastAsia="仿宋" w:cs="仿宋"/>
          <w:color w:val="auto"/>
          <w:sz w:val="28"/>
          <w:szCs w:val="28"/>
          <w:shd w:val="clear" w:color="auto" w:fill="FFFFFF"/>
        </w:rPr>
        <w:t>地点：</w:t>
      </w:r>
      <w:r>
        <w:rPr>
          <w:rFonts w:hint="eastAsia" w:ascii="仿宋" w:hAnsi="仿宋" w:eastAsia="仿宋" w:cs="仿宋"/>
          <w:color w:val="auto"/>
          <w:sz w:val="28"/>
          <w:szCs w:val="28"/>
          <w:u w:val="single"/>
          <w:shd w:val="clear" w:color="auto" w:fill="FFFFFF"/>
        </w:rPr>
        <w:t>纸质响应文件提交：</w:t>
      </w:r>
      <w:r>
        <w:rPr>
          <w:rFonts w:hint="eastAsia" w:ascii="仿宋" w:hAnsi="仿宋" w:eastAsia="仿宋"/>
          <w:color w:val="auto"/>
          <w:sz w:val="28"/>
          <w:szCs w:val="28"/>
        </w:rPr>
        <w:t>西藏拉萨市城关区当热东路3-69号</w:t>
      </w:r>
      <w:r>
        <w:rPr>
          <w:rFonts w:hint="eastAsia" w:ascii="仿宋" w:hAnsi="仿宋" w:eastAsia="仿宋" w:cs="仿宋"/>
          <w:color w:val="auto"/>
          <w:sz w:val="28"/>
          <w:szCs w:val="28"/>
          <w:u w:val="none"/>
          <w:shd w:val="clear" w:color="auto" w:fill="FFFFFF"/>
        </w:rPr>
        <w:t>；</w:t>
      </w:r>
    </w:p>
    <w:p>
      <w:pPr>
        <w:pageBreakBefore w:val="0"/>
        <w:tabs>
          <w:tab w:val="left" w:pos="1440"/>
        </w:tabs>
        <w:kinsoku/>
        <w:overflowPunct/>
        <w:topLinePunct w:val="0"/>
        <w:bidi w:val="0"/>
        <w:spacing w:line="560" w:lineRule="exact"/>
        <w:outlineLvl w:val="9"/>
        <w:rPr>
          <w:rFonts w:ascii="黑体" w:hAnsi="黑体" w:cs="宋体"/>
          <w:color w:val="auto"/>
          <w:sz w:val="28"/>
          <w:szCs w:val="28"/>
        </w:rPr>
      </w:pPr>
      <w:bookmarkStart w:id="24" w:name="_Toc35393633"/>
      <w:bookmarkStart w:id="25" w:name="_Toc28359093"/>
      <w:bookmarkStart w:id="26" w:name="_Toc35393802"/>
      <w:bookmarkStart w:id="27" w:name="_Toc28359016"/>
      <w:r>
        <w:rPr>
          <w:rFonts w:hint="eastAsia" w:ascii="黑体" w:hAnsi="黑体" w:cs="宋体"/>
          <w:color w:val="auto"/>
          <w:sz w:val="28"/>
          <w:szCs w:val="28"/>
        </w:rPr>
        <w:t>五、开启</w:t>
      </w:r>
      <w:bookmarkEnd w:id="24"/>
      <w:bookmarkEnd w:id="25"/>
      <w:bookmarkEnd w:id="26"/>
      <w:bookmarkEnd w:id="27"/>
    </w:p>
    <w:p>
      <w:pPr>
        <w:pageBreakBefore w:val="0"/>
        <w:kinsoku/>
        <w:overflowPunct/>
        <w:topLinePunct w:val="0"/>
        <w:bidi w:val="0"/>
        <w:spacing w:line="560" w:lineRule="exact"/>
        <w:ind w:firstLine="560" w:firstLineChars="200"/>
        <w:outlineLvl w:val="9"/>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rPr>
        <w:t>202</w:t>
      </w:r>
      <w:r>
        <w:rPr>
          <w:rFonts w:hint="eastAsia" w:ascii="仿宋" w:hAnsi="仿宋" w:eastAsia="仿宋"/>
          <w:color w:val="auto"/>
          <w:sz w:val="28"/>
          <w:szCs w:val="28"/>
          <w:highlight w:val="none"/>
          <w:u w:val="single"/>
          <w:lang w:val="en-US" w:eastAsia="zh-CN"/>
        </w:rPr>
        <w:t>3</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27</w:t>
      </w:r>
      <w:r>
        <w:rPr>
          <w:rFonts w:hint="eastAsia" w:ascii="仿宋" w:hAnsi="仿宋" w:eastAsia="仿宋"/>
          <w:bCs/>
          <w:color w:val="auto"/>
          <w:sz w:val="28"/>
          <w:szCs w:val="28"/>
          <w:highlight w:val="none"/>
          <w:u w:val="single"/>
        </w:rPr>
        <w:t>日15点30分</w:t>
      </w:r>
      <w:r>
        <w:rPr>
          <w:rFonts w:hint="eastAsia" w:ascii="仿宋" w:hAnsi="仿宋" w:eastAsia="仿宋"/>
          <w:bCs/>
          <w:color w:val="auto"/>
          <w:sz w:val="28"/>
          <w:szCs w:val="28"/>
          <w:highlight w:val="none"/>
        </w:rPr>
        <w:t>（北京时间）</w:t>
      </w:r>
    </w:p>
    <w:p>
      <w:pPr>
        <w:pageBreakBefore w:val="0"/>
        <w:kinsoku/>
        <w:overflowPunct/>
        <w:topLinePunct w:val="0"/>
        <w:bidi w:val="0"/>
        <w:spacing w:line="560" w:lineRule="exact"/>
        <w:ind w:left="559" w:leftChars="266"/>
        <w:outlineLvl w:val="9"/>
        <w:rPr>
          <w:rFonts w:hint="eastAsia" w:ascii="仿宋" w:hAnsi="仿宋" w:eastAsia="仿宋"/>
          <w:bCs/>
          <w:color w:val="auto"/>
          <w:sz w:val="28"/>
          <w:szCs w:val="28"/>
          <w:highlight w:val="yellow"/>
          <w:u w:val="single"/>
          <w:lang w:val="en-US" w:eastAsia="zh-CN"/>
        </w:rPr>
      </w:pPr>
      <w:r>
        <w:rPr>
          <w:rFonts w:hint="eastAsia" w:ascii="仿宋" w:hAnsi="仿宋" w:eastAsia="仿宋"/>
          <w:color w:val="auto"/>
          <w:sz w:val="28"/>
          <w:szCs w:val="28"/>
          <w:highlight w:val="none"/>
        </w:rPr>
        <w:t>地点：</w:t>
      </w:r>
      <w:r>
        <w:rPr>
          <w:rFonts w:hint="eastAsia" w:ascii="仿宋" w:hAnsi="仿宋" w:eastAsia="仿宋"/>
          <w:color w:val="auto"/>
          <w:sz w:val="28"/>
          <w:szCs w:val="28"/>
        </w:rPr>
        <w:t>西藏拉萨市城关区当热东路3-69号</w:t>
      </w:r>
      <w:r>
        <w:rPr>
          <w:rFonts w:hint="eastAsia" w:ascii="仿宋" w:hAnsi="仿宋" w:eastAsia="仿宋"/>
          <w:color w:val="auto"/>
          <w:sz w:val="28"/>
          <w:szCs w:val="28"/>
          <w:lang w:eastAsia="zh-CN"/>
        </w:rPr>
        <w:t>。</w:t>
      </w:r>
    </w:p>
    <w:p>
      <w:pPr>
        <w:pageBreakBefore w:val="0"/>
        <w:tabs>
          <w:tab w:val="left" w:pos="1440"/>
        </w:tabs>
        <w:kinsoku/>
        <w:overflowPunct/>
        <w:topLinePunct w:val="0"/>
        <w:bidi w:val="0"/>
        <w:spacing w:line="560" w:lineRule="exact"/>
        <w:outlineLvl w:val="9"/>
        <w:rPr>
          <w:rFonts w:ascii="黑体" w:hAnsi="黑体" w:cs="宋体"/>
          <w:color w:val="auto"/>
          <w:sz w:val="28"/>
          <w:szCs w:val="28"/>
        </w:rPr>
      </w:pPr>
      <w:bookmarkStart w:id="28" w:name="_Toc35393804"/>
      <w:bookmarkStart w:id="29" w:name="_Toc35393635"/>
      <w:r>
        <w:rPr>
          <w:rFonts w:hint="eastAsia" w:ascii="黑体" w:hAnsi="黑体" w:cs="宋体"/>
          <w:color w:val="auto"/>
          <w:sz w:val="28"/>
          <w:szCs w:val="28"/>
          <w:lang w:val="en-US" w:eastAsia="zh-CN"/>
        </w:rPr>
        <w:t>六</w:t>
      </w:r>
      <w:r>
        <w:rPr>
          <w:rFonts w:hint="eastAsia" w:ascii="黑体" w:hAnsi="黑体" w:cs="宋体"/>
          <w:color w:val="auto"/>
          <w:sz w:val="28"/>
          <w:szCs w:val="28"/>
        </w:rPr>
        <w:t>、其他补充事宜</w:t>
      </w:r>
      <w:bookmarkEnd w:id="28"/>
      <w:bookmarkEnd w:id="29"/>
    </w:p>
    <w:p>
      <w:pPr>
        <w:pStyle w:val="67"/>
        <w:pageBreakBefore w:val="0"/>
        <w:kinsoku/>
        <w:overflowPunct/>
        <w:topLinePunct w:val="0"/>
        <w:bidi w:val="0"/>
        <w:spacing w:before="0" w:beforeAutospacing="0" w:after="0" w:afterAutospacing="0" w:line="560" w:lineRule="exact"/>
        <w:jc w:val="both"/>
        <w:outlineLvl w:val="9"/>
        <w:rPr>
          <w:rFonts w:ascii="仿宋" w:hAnsi="仿宋" w:eastAsia="仿宋" w:cs="仿宋"/>
          <w:color w:val="auto"/>
          <w:spacing w:val="8"/>
          <w:sz w:val="28"/>
          <w:szCs w:val="28"/>
          <w:shd w:val="clear" w:color="auto" w:fill="FFFFFF"/>
        </w:rPr>
      </w:pPr>
      <w:r>
        <w:rPr>
          <w:rFonts w:hint="eastAsia" w:ascii="仿宋" w:hAnsi="仿宋" w:eastAsia="仿宋" w:cs="仿宋"/>
          <w:color w:val="auto"/>
          <w:spacing w:val="8"/>
          <w:sz w:val="28"/>
          <w:szCs w:val="28"/>
          <w:shd w:val="clear" w:color="auto" w:fill="FFFFFF"/>
        </w:rPr>
        <w:t xml:space="preserve"> 1.采购项目执行政府采购政策</w:t>
      </w:r>
    </w:p>
    <w:p>
      <w:pPr>
        <w:pStyle w:val="67"/>
        <w:pageBreakBefore w:val="0"/>
        <w:kinsoku/>
        <w:overflowPunct/>
        <w:topLinePunct w:val="0"/>
        <w:bidi w:val="0"/>
        <w:spacing w:before="0" w:beforeAutospacing="0" w:after="0" w:afterAutospacing="0" w:line="560" w:lineRule="exact"/>
        <w:ind w:firstLine="540"/>
        <w:jc w:val="both"/>
        <w:outlineLvl w:val="9"/>
        <w:rPr>
          <w:rFonts w:ascii="仿宋" w:hAnsi="仿宋" w:eastAsia="仿宋" w:cs="仿宋"/>
          <w:color w:val="auto"/>
          <w:spacing w:val="8"/>
          <w:sz w:val="28"/>
          <w:szCs w:val="28"/>
          <w:shd w:val="clear" w:color="auto" w:fill="FFFFFF"/>
        </w:rPr>
      </w:pPr>
      <w:r>
        <w:rPr>
          <w:rFonts w:hint="eastAsia" w:ascii="仿宋" w:hAnsi="仿宋" w:eastAsia="仿宋" w:cs="仿宋"/>
          <w:color w:val="auto"/>
          <w:spacing w:val="8"/>
          <w:sz w:val="28"/>
          <w:szCs w:val="28"/>
          <w:shd w:val="clear" w:color="auto" w:fill="FFFFFF"/>
        </w:rPr>
        <w:t>（1）对小微企业的报价给予价格扣除（监狱企业、残疾人福利性单位视同小微企业；监狱企业、残疾人福利性单位属于小型、微型企业的，不重复享受政策）。</w:t>
      </w:r>
    </w:p>
    <w:p>
      <w:pPr>
        <w:pStyle w:val="67"/>
        <w:pageBreakBefore w:val="0"/>
        <w:kinsoku/>
        <w:overflowPunct/>
        <w:topLinePunct w:val="0"/>
        <w:bidi w:val="0"/>
        <w:spacing w:before="0" w:beforeAutospacing="0" w:after="0" w:afterAutospacing="0" w:line="560" w:lineRule="exact"/>
        <w:ind w:firstLine="540"/>
        <w:jc w:val="both"/>
        <w:outlineLvl w:val="9"/>
        <w:rPr>
          <w:rFonts w:ascii="仿宋" w:hAnsi="仿宋" w:eastAsia="仿宋" w:cs="仿宋"/>
          <w:color w:val="auto"/>
          <w:spacing w:val="8"/>
          <w:sz w:val="28"/>
          <w:szCs w:val="28"/>
          <w:shd w:val="clear" w:color="auto" w:fill="FFFFFF"/>
        </w:rPr>
      </w:pPr>
      <w:r>
        <w:rPr>
          <w:rFonts w:hint="eastAsia" w:ascii="仿宋" w:hAnsi="仿宋" w:eastAsia="仿宋" w:cs="仿宋"/>
          <w:color w:val="auto"/>
          <w:spacing w:val="8"/>
          <w:sz w:val="28"/>
          <w:szCs w:val="28"/>
          <w:shd w:val="clear" w:color="auto" w:fill="FFFFFF"/>
        </w:rPr>
        <w:t>（2）优先采购节能环保产品（注：所采购的货物在政府采购节能产品、环境标志产品实施品目清单范围内，且具有国家确定的认证机构出具的、处于有效期之内的节能产品、环境标志产品认证证书）。</w:t>
      </w:r>
    </w:p>
    <w:p>
      <w:pPr>
        <w:pStyle w:val="67"/>
        <w:pageBreakBefore w:val="0"/>
        <w:kinsoku/>
        <w:overflowPunct/>
        <w:topLinePunct w:val="0"/>
        <w:bidi w:val="0"/>
        <w:spacing w:before="0" w:beforeAutospacing="0" w:after="0" w:afterAutospacing="0" w:line="560" w:lineRule="exact"/>
        <w:ind w:firstLine="540"/>
        <w:jc w:val="both"/>
        <w:outlineLvl w:val="9"/>
        <w:rPr>
          <w:rFonts w:ascii="仿宋" w:hAnsi="仿宋" w:eastAsia="仿宋" w:cs="仿宋"/>
          <w:color w:val="auto"/>
          <w:spacing w:val="8"/>
          <w:sz w:val="28"/>
          <w:szCs w:val="28"/>
          <w:shd w:val="clear" w:color="auto" w:fill="FFFFFF"/>
        </w:rPr>
      </w:pPr>
      <w:r>
        <w:rPr>
          <w:rFonts w:hint="eastAsia" w:ascii="仿宋" w:hAnsi="仿宋" w:eastAsia="仿宋" w:cs="仿宋"/>
          <w:color w:val="auto"/>
          <w:spacing w:val="8"/>
          <w:sz w:val="28"/>
          <w:szCs w:val="28"/>
          <w:shd w:val="clear" w:color="auto" w:fill="FFFFFF"/>
        </w:rPr>
        <w:t>2.本项目投标截止期前被“信用中国”网站（www.creditchina.gov.cn）中列入失信被执行人和/或税收违法黑名单的供应商、被中国政府采购网（www.ccgp.gov.cn）列入政府采购严重违法失信行为记录名单中被财政部门禁止参加政府采购活动的供应商（处罚决定规定的时间和地域范围内），无资格参加本项目的采购活动。</w:t>
      </w:r>
    </w:p>
    <w:p>
      <w:pPr>
        <w:pStyle w:val="67"/>
        <w:pageBreakBefore w:val="0"/>
        <w:kinsoku/>
        <w:overflowPunct/>
        <w:topLinePunct w:val="0"/>
        <w:bidi w:val="0"/>
        <w:spacing w:before="0" w:beforeAutospacing="0" w:after="0" w:afterAutospacing="0" w:line="560" w:lineRule="exact"/>
        <w:ind w:firstLine="540"/>
        <w:jc w:val="both"/>
        <w:outlineLvl w:val="9"/>
        <w:rPr>
          <w:rFonts w:ascii="仿宋" w:hAnsi="仿宋" w:eastAsia="仿宋" w:cs="仿宋"/>
          <w:color w:val="auto"/>
          <w:spacing w:val="8"/>
          <w:sz w:val="28"/>
          <w:szCs w:val="28"/>
          <w:shd w:val="clear" w:color="auto" w:fill="FFFFFF"/>
        </w:rPr>
      </w:pPr>
      <w:r>
        <w:rPr>
          <w:rFonts w:hint="eastAsia" w:ascii="仿宋" w:hAnsi="仿宋" w:eastAsia="仿宋" w:cs="仿宋"/>
          <w:color w:val="auto"/>
          <w:spacing w:val="8"/>
          <w:sz w:val="28"/>
          <w:szCs w:val="28"/>
          <w:shd w:val="clear" w:color="auto" w:fill="FFFFFF"/>
        </w:rPr>
        <w:t>3.单位负责人为同一人或者存在控股、管理关系的不同单位，不得同时参加本项目的投标。为本项目提供整体设计、规范编制或者项目管理、监理、检测等服务的投标人，不得再参加本项目投标。</w:t>
      </w:r>
    </w:p>
    <w:p>
      <w:pPr>
        <w:pStyle w:val="67"/>
        <w:pageBreakBefore w:val="0"/>
        <w:kinsoku/>
        <w:overflowPunct/>
        <w:topLinePunct w:val="0"/>
        <w:bidi w:val="0"/>
        <w:spacing w:before="0" w:beforeAutospacing="0" w:after="0" w:afterAutospacing="0" w:line="560" w:lineRule="exact"/>
        <w:ind w:firstLine="540"/>
        <w:jc w:val="both"/>
        <w:outlineLvl w:val="9"/>
        <w:rPr>
          <w:rFonts w:ascii="仿宋" w:hAnsi="仿宋" w:eastAsia="仿宋" w:cs="仿宋"/>
          <w:color w:val="auto"/>
          <w:spacing w:val="8"/>
          <w:sz w:val="28"/>
          <w:szCs w:val="28"/>
          <w:shd w:val="clear" w:color="auto" w:fill="FFFFFF"/>
        </w:rPr>
      </w:pPr>
      <w:r>
        <w:rPr>
          <w:rFonts w:hint="eastAsia" w:ascii="仿宋" w:hAnsi="仿宋" w:eastAsia="仿宋" w:cs="仿宋"/>
          <w:color w:val="auto"/>
          <w:spacing w:val="8"/>
          <w:sz w:val="28"/>
          <w:szCs w:val="28"/>
          <w:shd w:val="clear" w:color="auto" w:fill="FFFFFF"/>
        </w:rPr>
        <w:t>4.本项目若接受联合体投标，联合体各方均应满足《中华人民共和国政府采购法》第二十二条规定及本条第2、3款要求。</w:t>
      </w:r>
    </w:p>
    <w:p>
      <w:pPr>
        <w:pStyle w:val="67"/>
        <w:pageBreakBefore w:val="0"/>
        <w:kinsoku/>
        <w:overflowPunct/>
        <w:topLinePunct w:val="0"/>
        <w:bidi w:val="0"/>
        <w:spacing w:before="0" w:beforeAutospacing="0" w:after="0" w:afterAutospacing="0" w:line="560" w:lineRule="exact"/>
        <w:jc w:val="both"/>
        <w:outlineLvl w:val="9"/>
        <w:rPr>
          <w:rFonts w:ascii="黑体" w:hAnsi="黑体" w:eastAsia="黑体" w:cs="宋体"/>
          <w:color w:val="auto"/>
          <w:kern w:val="2"/>
          <w:sz w:val="28"/>
          <w:szCs w:val="28"/>
        </w:rPr>
      </w:pPr>
      <w:bookmarkStart w:id="30" w:name="_Toc35393805"/>
      <w:bookmarkStart w:id="31" w:name="_Toc28359095"/>
      <w:bookmarkStart w:id="32" w:name="_Toc28359018"/>
      <w:bookmarkStart w:id="33" w:name="_Toc35393636"/>
      <w:r>
        <w:rPr>
          <w:rFonts w:hint="eastAsia" w:ascii="黑体" w:hAnsi="黑体" w:eastAsia="宋体" w:cs="宋体"/>
          <w:color w:val="auto"/>
          <w:kern w:val="2"/>
          <w:sz w:val="28"/>
          <w:szCs w:val="28"/>
          <w:lang w:val="en-US" w:eastAsia="zh-CN" w:bidi="ar-SA"/>
        </w:rPr>
        <w:t>七、</w:t>
      </w:r>
      <w:r>
        <w:rPr>
          <w:rFonts w:hint="eastAsia" w:ascii="黑体" w:hAnsi="黑体" w:eastAsia="黑体" w:cs="宋体"/>
          <w:color w:val="auto"/>
          <w:kern w:val="2"/>
          <w:sz w:val="28"/>
          <w:szCs w:val="28"/>
        </w:rPr>
        <w:t>凡对本次采购提出询问，请按以下方式联系。</w:t>
      </w:r>
      <w:bookmarkEnd w:id="30"/>
      <w:bookmarkEnd w:id="31"/>
      <w:bookmarkEnd w:id="32"/>
      <w:bookmarkEnd w:id="33"/>
      <w:bookmarkStart w:id="34" w:name="_Toc35393806"/>
      <w:bookmarkStart w:id="35" w:name="_Toc35393637"/>
      <w:bookmarkStart w:id="36" w:name="_Toc28359096"/>
      <w:bookmarkStart w:id="37" w:name="_Toc28359019"/>
    </w:p>
    <w:p>
      <w:pPr>
        <w:pStyle w:val="67"/>
        <w:pageBreakBefore w:val="0"/>
        <w:kinsoku/>
        <w:overflowPunct/>
        <w:topLinePunct w:val="0"/>
        <w:bidi w:val="0"/>
        <w:spacing w:before="0" w:beforeAutospacing="0" w:after="0" w:afterAutospacing="0" w:line="560" w:lineRule="exact"/>
        <w:ind w:firstLine="560" w:firstLineChars="200"/>
        <w:jc w:val="both"/>
        <w:outlineLvl w:val="9"/>
        <w:rPr>
          <w:rFonts w:ascii="仿宋" w:hAnsi="仿宋" w:eastAsia="仿宋" w:cs="宋体"/>
          <w:color w:val="auto"/>
          <w:sz w:val="28"/>
          <w:szCs w:val="28"/>
        </w:rPr>
      </w:pPr>
      <w:r>
        <w:rPr>
          <w:rFonts w:hint="eastAsia" w:ascii="仿宋" w:hAnsi="仿宋" w:eastAsia="仿宋" w:cs="宋体"/>
          <w:color w:val="auto"/>
          <w:sz w:val="28"/>
          <w:szCs w:val="28"/>
        </w:rPr>
        <w:t>1.采购人信息</w:t>
      </w:r>
      <w:bookmarkEnd w:id="34"/>
      <w:bookmarkEnd w:id="35"/>
      <w:bookmarkEnd w:id="36"/>
      <w:bookmarkEnd w:id="37"/>
    </w:p>
    <w:p>
      <w:pPr>
        <w:pageBreakBefore w:val="0"/>
        <w:kinsoku/>
        <w:overflowPunct/>
        <w:topLinePunct w:val="0"/>
        <w:bidi w:val="0"/>
        <w:spacing w:line="560" w:lineRule="exact"/>
        <w:ind w:left="1129" w:leftChars="371" w:hanging="350" w:hangingChars="125"/>
        <w:jc w:val="left"/>
        <w:outlineLvl w:val="9"/>
        <w:rPr>
          <w:rFonts w:ascii="仿宋" w:hAnsi="仿宋" w:eastAsia="仿宋"/>
          <w:color w:val="auto"/>
          <w:sz w:val="28"/>
          <w:szCs w:val="28"/>
        </w:rPr>
      </w:pPr>
      <w:r>
        <w:rPr>
          <w:rFonts w:hint="eastAsia" w:ascii="仿宋" w:hAnsi="仿宋" w:eastAsia="仿宋"/>
          <w:color w:val="auto"/>
          <w:sz w:val="28"/>
          <w:szCs w:val="28"/>
        </w:rPr>
        <w:t>名    称：</w:t>
      </w:r>
      <w:r>
        <w:rPr>
          <w:rFonts w:hint="eastAsia" w:ascii="仿宋" w:hAnsi="仿宋" w:eastAsia="仿宋"/>
          <w:color w:val="auto"/>
          <w:sz w:val="28"/>
          <w:szCs w:val="28"/>
          <w:lang w:eastAsia="zh-CN"/>
        </w:rPr>
        <w:t>拉萨市公安局城关公安分局</w:t>
      </w:r>
    </w:p>
    <w:p>
      <w:pPr>
        <w:pageBreakBefore w:val="0"/>
        <w:kinsoku/>
        <w:overflowPunct/>
        <w:topLinePunct w:val="0"/>
        <w:bidi w:val="0"/>
        <w:spacing w:line="560" w:lineRule="exact"/>
        <w:ind w:left="1129" w:leftChars="371" w:hanging="350" w:hangingChars="125"/>
        <w:jc w:val="left"/>
        <w:outlineLvl w:val="9"/>
        <w:rPr>
          <w:rFonts w:ascii="仿宋" w:hAnsi="仿宋" w:eastAsia="仿宋"/>
          <w:color w:val="auto"/>
          <w:sz w:val="28"/>
          <w:szCs w:val="28"/>
          <w:highlight w:val="none"/>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eastAsia="zh-CN"/>
        </w:rPr>
        <w:t>西藏自治区拉萨市城关区林廓北路</w:t>
      </w:r>
      <w:r>
        <w:rPr>
          <w:rFonts w:hint="eastAsia" w:ascii="仿宋" w:hAnsi="仿宋" w:eastAsia="仿宋"/>
          <w:color w:val="auto"/>
          <w:sz w:val="28"/>
          <w:szCs w:val="28"/>
          <w:highlight w:val="none"/>
          <w:lang w:val="en-US" w:eastAsia="zh-CN"/>
        </w:rPr>
        <w:t>8号</w:t>
      </w:r>
    </w:p>
    <w:p>
      <w:pPr>
        <w:pageBreakBefore w:val="0"/>
        <w:kinsoku/>
        <w:overflowPunct/>
        <w:topLinePunct w:val="0"/>
        <w:bidi w:val="0"/>
        <w:spacing w:line="560" w:lineRule="exact"/>
        <w:ind w:left="1129" w:leftChars="371" w:hanging="350" w:hangingChars="125"/>
        <w:jc w:val="left"/>
        <w:outlineLvl w:val="9"/>
        <w:rPr>
          <w:rFonts w:ascii="仿宋" w:hAnsi="仿宋" w:eastAsia="仿宋"/>
          <w:color w:val="auto"/>
          <w:sz w:val="28"/>
          <w:szCs w:val="28"/>
          <w:highlight w:val="yellow"/>
          <w:u w:val="single"/>
        </w:rPr>
      </w:pPr>
      <w:r>
        <w:rPr>
          <w:rFonts w:hint="eastAsia" w:ascii="仿宋" w:hAnsi="仿宋" w:eastAsia="仿宋"/>
          <w:color w:val="auto"/>
          <w:sz w:val="28"/>
          <w:szCs w:val="28"/>
          <w:highlight w:val="none"/>
        </w:rPr>
        <w:t>联系人及联系方式：</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u w:val="single"/>
          <w:lang w:eastAsia="zh-CN"/>
        </w:rPr>
        <w:t>次</w:t>
      </w:r>
      <w:r>
        <w:rPr>
          <w:rFonts w:hint="eastAsia" w:ascii="仿宋" w:hAnsi="仿宋" w:eastAsia="仿宋"/>
          <w:color w:val="auto"/>
          <w:sz w:val="28"/>
          <w:szCs w:val="28"/>
          <w:highlight w:val="none"/>
          <w:u w:val="single"/>
          <w:lang w:val="en-US" w:eastAsia="zh-CN"/>
        </w:rPr>
        <w:t>旦罗布</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18898018686</w:t>
      </w:r>
      <w:r>
        <w:rPr>
          <w:rFonts w:hint="eastAsia" w:ascii="仿宋" w:hAnsi="仿宋" w:eastAsia="仿宋"/>
          <w:color w:val="auto"/>
          <w:sz w:val="28"/>
          <w:szCs w:val="28"/>
          <w:highlight w:val="none"/>
          <w:u w:val="single"/>
        </w:rPr>
        <w:t>（请在工作时间拨打）</w:t>
      </w:r>
    </w:p>
    <w:p>
      <w:pPr>
        <w:pageBreakBefore w:val="0"/>
        <w:tabs>
          <w:tab w:val="left" w:pos="1440"/>
        </w:tabs>
        <w:kinsoku/>
        <w:overflowPunct/>
        <w:topLinePunct w:val="0"/>
        <w:bidi w:val="0"/>
        <w:spacing w:line="560" w:lineRule="exact"/>
        <w:ind w:firstLine="840" w:firstLineChars="300"/>
        <w:outlineLvl w:val="9"/>
        <w:rPr>
          <w:rFonts w:ascii="仿宋" w:hAnsi="仿宋" w:eastAsia="仿宋" w:cs="宋体"/>
          <w:color w:val="auto"/>
          <w:sz w:val="28"/>
          <w:szCs w:val="28"/>
        </w:rPr>
      </w:pPr>
      <w:bookmarkStart w:id="38" w:name="_Toc28359020"/>
      <w:bookmarkStart w:id="39" w:name="_Toc28359097"/>
      <w:bookmarkStart w:id="40" w:name="_Toc35393638"/>
      <w:bookmarkStart w:id="41" w:name="_Toc35393807"/>
      <w:r>
        <w:rPr>
          <w:rFonts w:hint="eastAsia" w:ascii="仿宋" w:hAnsi="仿宋" w:eastAsia="仿宋" w:cs="宋体"/>
          <w:color w:val="auto"/>
          <w:sz w:val="28"/>
          <w:szCs w:val="28"/>
        </w:rPr>
        <w:t>2.采购代理机构信息</w:t>
      </w:r>
      <w:bookmarkEnd w:id="38"/>
      <w:bookmarkEnd w:id="39"/>
      <w:bookmarkEnd w:id="40"/>
      <w:bookmarkEnd w:id="41"/>
    </w:p>
    <w:p>
      <w:pPr>
        <w:pageBreakBefore w:val="0"/>
        <w:kinsoku/>
        <w:overflowPunct/>
        <w:topLinePunct w:val="0"/>
        <w:bidi w:val="0"/>
        <w:spacing w:line="560" w:lineRule="exact"/>
        <w:ind w:firstLine="840" w:firstLineChars="300"/>
        <w:outlineLvl w:val="9"/>
        <w:rPr>
          <w:rFonts w:ascii="仿宋" w:hAnsi="仿宋" w:eastAsia="仿宋"/>
          <w:color w:val="auto"/>
          <w:sz w:val="28"/>
          <w:szCs w:val="28"/>
        </w:rPr>
      </w:pPr>
      <w:r>
        <w:rPr>
          <w:rFonts w:hint="eastAsia" w:ascii="仿宋" w:hAnsi="仿宋" w:eastAsia="仿宋"/>
          <w:color w:val="auto"/>
          <w:sz w:val="28"/>
          <w:szCs w:val="28"/>
        </w:rPr>
        <w:t>名    称：</w:t>
      </w:r>
      <w:r>
        <w:rPr>
          <w:rFonts w:hint="eastAsia" w:ascii="仿宋" w:hAnsi="仿宋" w:eastAsia="仿宋"/>
          <w:color w:val="auto"/>
          <w:sz w:val="28"/>
          <w:szCs w:val="28"/>
          <w:u w:val="single"/>
        </w:rPr>
        <w:t>　</w:t>
      </w:r>
      <w:r>
        <w:rPr>
          <w:rFonts w:hint="eastAsia" w:ascii="仿宋" w:hAnsi="仿宋" w:eastAsia="仿宋"/>
          <w:color w:val="auto"/>
          <w:sz w:val="28"/>
          <w:szCs w:val="28"/>
          <w:u w:val="single"/>
          <w:lang w:eastAsia="zh-CN"/>
        </w:rPr>
        <w:t>安徽求是工程建设咨询有限公司</w:t>
      </w:r>
      <w:r>
        <w:rPr>
          <w:rFonts w:hint="eastAsia" w:ascii="仿宋" w:hAnsi="仿宋" w:eastAsia="仿宋"/>
          <w:color w:val="auto"/>
          <w:sz w:val="28"/>
          <w:szCs w:val="28"/>
          <w:u w:val="single"/>
        </w:rPr>
        <w:t>　</w:t>
      </w:r>
    </w:p>
    <w:p>
      <w:pPr>
        <w:pageBreakBefore w:val="0"/>
        <w:kinsoku/>
        <w:overflowPunct/>
        <w:topLinePunct w:val="0"/>
        <w:bidi w:val="0"/>
        <w:spacing w:line="560" w:lineRule="exact"/>
        <w:ind w:firstLine="840" w:firstLineChars="300"/>
        <w:outlineLvl w:val="9"/>
        <w:rPr>
          <w:rFonts w:ascii="仿宋" w:hAnsi="仿宋" w:eastAsia="仿宋"/>
          <w:color w:val="auto"/>
          <w:sz w:val="28"/>
          <w:szCs w:val="28"/>
        </w:rPr>
      </w:pPr>
      <w:r>
        <w:rPr>
          <w:rFonts w:hint="eastAsia" w:ascii="仿宋" w:hAnsi="仿宋" w:eastAsia="仿宋"/>
          <w:color w:val="auto"/>
          <w:sz w:val="28"/>
          <w:szCs w:val="28"/>
        </w:rPr>
        <w:t>地　　址：</w:t>
      </w:r>
      <w:r>
        <w:rPr>
          <w:rFonts w:hint="eastAsia" w:ascii="仿宋" w:hAnsi="仿宋" w:eastAsia="仿宋"/>
          <w:color w:val="auto"/>
          <w:sz w:val="28"/>
          <w:szCs w:val="28"/>
          <w:u w:val="single"/>
        </w:rPr>
        <w:t>　西藏拉萨市城关区当热东路3-69号　</w:t>
      </w:r>
    </w:p>
    <w:p>
      <w:pPr>
        <w:pageBreakBefore w:val="0"/>
        <w:kinsoku/>
        <w:overflowPunct/>
        <w:topLinePunct w:val="0"/>
        <w:bidi w:val="0"/>
        <w:spacing w:line="560" w:lineRule="exact"/>
        <w:ind w:firstLine="840" w:firstLineChars="300"/>
        <w:outlineLvl w:val="9"/>
        <w:rPr>
          <w:rFonts w:ascii="仿宋" w:hAnsi="仿宋" w:eastAsia="仿宋"/>
          <w:color w:val="auto"/>
          <w:sz w:val="28"/>
          <w:szCs w:val="28"/>
          <w:u w:val="single"/>
        </w:rPr>
      </w:pPr>
      <w:r>
        <w:rPr>
          <w:rFonts w:hint="eastAsia" w:ascii="仿宋" w:hAnsi="仿宋" w:eastAsia="仿宋"/>
          <w:color w:val="auto"/>
          <w:sz w:val="28"/>
          <w:szCs w:val="28"/>
        </w:rPr>
        <w:t>联系方式：</w:t>
      </w:r>
      <w:r>
        <w:rPr>
          <w:rFonts w:hint="eastAsia" w:ascii="仿宋" w:hAnsi="仿宋" w:eastAsia="仿宋"/>
          <w:color w:val="auto"/>
          <w:sz w:val="28"/>
          <w:szCs w:val="28"/>
          <w:u w:val="single"/>
        </w:rPr>
        <w:t>　　17341547999　（请在工作时间拨打）</w:t>
      </w:r>
    </w:p>
    <w:p>
      <w:pPr>
        <w:pageBreakBefore w:val="0"/>
        <w:tabs>
          <w:tab w:val="left" w:pos="1440"/>
        </w:tabs>
        <w:kinsoku/>
        <w:overflowPunct/>
        <w:topLinePunct w:val="0"/>
        <w:bidi w:val="0"/>
        <w:spacing w:line="560" w:lineRule="exact"/>
        <w:ind w:firstLine="840" w:firstLineChars="300"/>
        <w:outlineLvl w:val="9"/>
        <w:rPr>
          <w:rFonts w:ascii="仿宋" w:hAnsi="仿宋" w:eastAsia="仿宋" w:cs="宋体"/>
          <w:color w:val="auto"/>
          <w:sz w:val="28"/>
          <w:szCs w:val="28"/>
        </w:rPr>
      </w:pPr>
      <w:bookmarkStart w:id="42" w:name="_Toc28359098"/>
      <w:bookmarkStart w:id="43" w:name="_Toc28359021"/>
      <w:bookmarkStart w:id="44" w:name="_Toc35393808"/>
      <w:bookmarkStart w:id="45" w:name="_Toc35393639"/>
      <w:r>
        <w:rPr>
          <w:rFonts w:hint="eastAsia" w:ascii="仿宋" w:hAnsi="仿宋" w:eastAsia="仿宋" w:cs="宋体"/>
          <w:color w:val="auto"/>
          <w:sz w:val="28"/>
          <w:szCs w:val="28"/>
        </w:rPr>
        <w:t>3.项目联系</w:t>
      </w:r>
      <w:r>
        <w:rPr>
          <w:rFonts w:ascii="仿宋" w:hAnsi="仿宋" w:eastAsia="仿宋" w:cs="宋体"/>
          <w:color w:val="auto"/>
          <w:sz w:val="28"/>
          <w:szCs w:val="28"/>
        </w:rPr>
        <w:t>方式</w:t>
      </w:r>
      <w:bookmarkEnd w:id="42"/>
      <w:bookmarkEnd w:id="43"/>
      <w:bookmarkEnd w:id="44"/>
      <w:bookmarkEnd w:id="45"/>
    </w:p>
    <w:p>
      <w:pPr>
        <w:pStyle w:val="39"/>
        <w:pageBreakBefore w:val="0"/>
        <w:kinsoku/>
        <w:overflowPunct/>
        <w:topLinePunct w:val="0"/>
        <w:bidi w:val="0"/>
        <w:spacing w:line="560" w:lineRule="exact"/>
        <w:ind w:firstLine="840" w:firstLineChars="300"/>
        <w:outlineLvl w:val="9"/>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olor w:val="auto"/>
          <w:sz w:val="28"/>
          <w:szCs w:val="28"/>
          <w:u w:val="single"/>
          <w:lang w:eastAsia="zh-CN"/>
        </w:rPr>
        <w:t>丰</w:t>
      </w:r>
      <w:r>
        <w:rPr>
          <w:rFonts w:hint="eastAsia" w:ascii="仿宋" w:hAnsi="仿宋" w:eastAsia="仿宋"/>
          <w:color w:val="auto"/>
          <w:sz w:val="28"/>
          <w:szCs w:val="28"/>
          <w:u w:val="single"/>
        </w:rPr>
        <w:t>先生</w:t>
      </w:r>
    </w:p>
    <w:p>
      <w:pPr>
        <w:pageBreakBefore w:val="0"/>
        <w:kinsoku/>
        <w:overflowPunct/>
        <w:topLinePunct w:val="0"/>
        <w:bidi w:val="0"/>
        <w:spacing w:line="560" w:lineRule="exact"/>
        <w:ind w:firstLine="840" w:firstLineChars="300"/>
        <w:outlineLvl w:val="9"/>
        <w:rPr>
          <w:rFonts w:ascii="仿宋" w:hAnsi="仿宋" w:eastAsia="仿宋" w:cs="仿宋"/>
          <w:b w:val="0"/>
          <w:bCs w:val="0"/>
          <w:color w:val="auto"/>
          <w:spacing w:val="8"/>
          <w:sz w:val="28"/>
          <w:szCs w:val="28"/>
          <w:shd w:val="clear" w:color="auto" w:fill="FFFFFF"/>
        </w:rPr>
      </w:pPr>
      <w:r>
        <w:rPr>
          <w:rFonts w:hint="eastAsia" w:ascii="仿宋" w:hAnsi="仿宋" w:eastAsia="仿宋"/>
          <w:color w:val="auto"/>
          <w:sz w:val="28"/>
          <w:szCs w:val="28"/>
        </w:rPr>
        <w:t>电　　 话：</w:t>
      </w:r>
      <w:r>
        <w:rPr>
          <w:rFonts w:hint="eastAsia" w:ascii="仿宋" w:hAnsi="仿宋" w:eastAsia="仿宋"/>
          <w:color w:val="auto"/>
          <w:sz w:val="28"/>
          <w:szCs w:val="28"/>
          <w:u w:val="single"/>
        </w:rPr>
        <w:t>17341547999（请在工作时间拨打）</w:t>
      </w:r>
    </w:p>
    <w:p>
      <w:pPr>
        <w:pageBreakBefore w:val="0"/>
        <w:tabs>
          <w:tab w:val="left" w:pos="1440"/>
        </w:tabs>
        <w:kinsoku/>
        <w:overflowPunct/>
        <w:topLinePunct w:val="0"/>
        <w:bidi w:val="0"/>
        <w:spacing w:before="120" w:after="120" w:line="560" w:lineRule="exact"/>
        <w:jc w:val="right"/>
        <w:outlineLvl w:val="9"/>
        <w:rPr>
          <w:rFonts w:ascii="仿宋" w:hAnsi="仿宋" w:eastAsia="仿宋" w:cs="仿宋"/>
          <w:b w:val="0"/>
          <w:bCs w:val="0"/>
          <w:color w:val="auto"/>
          <w:spacing w:val="8"/>
          <w:sz w:val="28"/>
          <w:szCs w:val="28"/>
          <w:shd w:val="clear" w:color="auto" w:fill="FFFFFF"/>
        </w:rPr>
      </w:pPr>
      <w:r>
        <w:rPr>
          <w:rFonts w:hint="eastAsia" w:ascii="仿宋" w:hAnsi="仿宋" w:eastAsia="仿宋" w:cs="仿宋"/>
          <w:b w:val="0"/>
          <w:bCs w:val="0"/>
          <w:color w:val="auto"/>
          <w:spacing w:val="8"/>
          <w:sz w:val="28"/>
          <w:szCs w:val="28"/>
          <w:shd w:val="clear" w:color="auto" w:fill="FFFFFF"/>
          <w:lang w:eastAsia="zh-CN"/>
        </w:rPr>
        <w:t>安徽求是工程建设咨询有限公司</w:t>
      </w:r>
    </w:p>
    <w:p>
      <w:pPr>
        <w:pStyle w:val="29"/>
        <w:pageBreakBefore w:val="0"/>
        <w:kinsoku/>
        <w:overflowPunct/>
        <w:topLinePunct w:val="0"/>
        <w:bidi w:val="0"/>
        <w:spacing w:before="11" w:line="560" w:lineRule="exact"/>
        <w:jc w:val="right"/>
        <w:outlineLvl w:val="9"/>
        <w:rPr>
          <w:rFonts w:ascii="仿宋" w:hAnsi="仿宋" w:eastAsia="仿宋" w:cs="仿宋"/>
          <w:color w:val="auto"/>
          <w:kern w:val="0"/>
          <w:sz w:val="28"/>
          <w:szCs w:val="28"/>
          <w:highlight w:val="yellow"/>
        </w:rPr>
      </w:pP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w:t>
      </w:r>
    </w:p>
    <w:p>
      <w:pPr>
        <w:pageBreakBefore w:val="0"/>
        <w:kinsoku/>
        <w:overflowPunct/>
        <w:topLinePunct w:val="0"/>
        <w:bidi w:val="0"/>
        <w:jc w:val="right"/>
        <w:outlineLvl w:val="9"/>
        <w:rPr>
          <w:rFonts w:ascii="仿宋" w:hAnsi="仿宋" w:eastAsia="仿宋"/>
          <w:color w:val="auto"/>
        </w:rPr>
      </w:pPr>
    </w:p>
    <w:p>
      <w:pPr>
        <w:keepNext w:val="0"/>
        <w:keepLines w:val="0"/>
        <w:pageBreakBefore w:val="0"/>
        <w:widowControl w:val="0"/>
        <w:kinsoku/>
        <w:wordWrap/>
        <w:overflowPunct/>
        <w:topLinePunct w:val="0"/>
        <w:autoSpaceDE w:val="0"/>
        <w:autoSpaceDN w:val="0"/>
        <w:bidi w:val="0"/>
        <w:adjustRightInd w:val="0"/>
        <w:snapToGrid w:val="0"/>
        <w:spacing w:after="156" w:afterLines="50" w:line="400" w:lineRule="exact"/>
        <w:jc w:val="center"/>
        <w:textAlignment w:val="auto"/>
        <w:outlineLvl w:val="0"/>
        <w:rPr>
          <w:rFonts w:ascii="宋体" w:hAnsi="宋体" w:cs="黑体"/>
          <w:b/>
          <w:bCs/>
          <w:color w:val="auto"/>
          <w:kern w:val="0"/>
          <w:sz w:val="32"/>
          <w:szCs w:val="32"/>
        </w:rPr>
      </w:pPr>
      <w:r>
        <w:rPr>
          <w:rFonts w:ascii="宋体" w:hAnsi="宋体" w:cs="黑体"/>
          <w:color w:val="auto"/>
          <w:kern w:val="0"/>
          <w:sz w:val="32"/>
          <w:szCs w:val="32"/>
        </w:rPr>
        <w:br w:type="page"/>
      </w:r>
      <w:bookmarkStart w:id="46" w:name="_Toc26793"/>
      <w:r>
        <w:rPr>
          <w:rFonts w:hint="eastAsia" w:ascii="宋体" w:hAnsi="宋体" w:cs="黑体"/>
          <w:b/>
          <w:bCs/>
          <w:color w:val="auto"/>
          <w:kern w:val="0"/>
          <w:sz w:val="32"/>
          <w:szCs w:val="32"/>
        </w:rPr>
        <w:t>第二章  供应商须知</w:t>
      </w:r>
      <w:bookmarkEnd w:id="5"/>
      <w:bookmarkEnd w:id="46"/>
    </w:p>
    <w:p>
      <w:pPr>
        <w:pageBreakBefore w:val="0"/>
        <w:kinsoku/>
        <w:overflowPunct/>
        <w:topLinePunct w:val="0"/>
        <w:autoSpaceDE w:val="0"/>
        <w:autoSpaceDN w:val="0"/>
        <w:bidi w:val="0"/>
        <w:adjustRightInd w:val="0"/>
        <w:snapToGrid w:val="0"/>
        <w:spacing w:after="156" w:afterLines="50" w:line="400" w:lineRule="exact"/>
        <w:jc w:val="center"/>
        <w:outlineLvl w:val="9"/>
        <w:rPr>
          <w:rFonts w:ascii="宋体" w:hAnsi="宋体" w:cs="黑体"/>
          <w:b/>
          <w:bCs/>
          <w:color w:val="auto"/>
          <w:kern w:val="0"/>
          <w:sz w:val="28"/>
          <w:szCs w:val="28"/>
        </w:rPr>
      </w:pPr>
      <w:bookmarkStart w:id="47" w:name="_Toc45099858"/>
      <w:r>
        <w:rPr>
          <w:rFonts w:hint="eastAsia" w:ascii="宋体" w:hAnsi="宋体" w:cs="黑体"/>
          <w:b/>
          <w:bCs/>
          <w:color w:val="auto"/>
          <w:kern w:val="0"/>
          <w:sz w:val="28"/>
          <w:szCs w:val="28"/>
        </w:rPr>
        <w:t>（一）供应商须知前附表</w:t>
      </w:r>
      <w:bookmarkEnd w:id="47"/>
    </w:p>
    <w:tbl>
      <w:tblPr>
        <w:tblStyle w:val="7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513"/>
        <w:gridCol w:w="5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kern w:val="0"/>
                <w:szCs w:val="21"/>
              </w:rPr>
              <w:t>条款号</w:t>
            </w:r>
          </w:p>
        </w:tc>
        <w:tc>
          <w:tcPr>
            <w:tcW w:w="2513"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kern w:val="0"/>
                <w:szCs w:val="21"/>
              </w:rPr>
              <w:t>条 款 名 称</w:t>
            </w:r>
          </w:p>
        </w:tc>
        <w:tc>
          <w:tcPr>
            <w:tcW w:w="5678"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REF _Ref527101463 \r \h  \* MERGEFORMAT </w:instrText>
            </w:r>
            <w:r>
              <w:rPr>
                <w:rFonts w:hint="eastAsia" w:ascii="宋体" w:hAnsi="宋体" w:cs="宋体"/>
                <w:color w:val="auto"/>
                <w:szCs w:val="21"/>
              </w:rPr>
              <w:fldChar w:fldCharType="separate"/>
            </w:r>
            <w:r>
              <w:rPr>
                <w:rFonts w:hint="eastAsia" w:ascii="宋体" w:hAnsi="宋体" w:cs="宋体"/>
                <w:color w:val="auto"/>
                <w:kern w:val="0"/>
                <w:szCs w:val="21"/>
              </w:rPr>
              <w:t>1.7</w:t>
            </w:r>
            <w:r>
              <w:rPr>
                <w:rFonts w:hint="eastAsia" w:ascii="宋体" w:hAnsi="宋体" w:cs="宋体"/>
                <w:color w:val="auto"/>
                <w:kern w:val="0"/>
                <w:szCs w:val="21"/>
              </w:rPr>
              <w:fldChar w:fldCharType="end"/>
            </w:r>
          </w:p>
        </w:tc>
        <w:tc>
          <w:tcPr>
            <w:tcW w:w="2513" w:type="dxa"/>
            <w:vAlign w:val="center"/>
          </w:tcPr>
          <w:p>
            <w:pPr>
              <w:pageBreakBefore w:val="0"/>
              <w:kinsoku/>
              <w:overflowPunct/>
              <w:topLinePunct w:val="0"/>
              <w:autoSpaceDE w:val="0"/>
              <w:autoSpaceDN w:val="0"/>
              <w:bidi w:val="0"/>
              <w:adjustRightInd w:val="0"/>
              <w:snapToGrid w:val="0"/>
              <w:spacing w:line="400" w:lineRule="exact"/>
              <w:jc w:val="left"/>
              <w:outlineLvl w:val="9"/>
              <w:rPr>
                <w:rFonts w:ascii="宋体" w:hAnsi="宋体" w:cs="宋体"/>
                <w:color w:val="auto"/>
                <w:kern w:val="0"/>
                <w:szCs w:val="21"/>
              </w:rPr>
            </w:pPr>
            <w:r>
              <w:rPr>
                <w:rFonts w:hint="eastAsia" w:ascii="宋体" w:hAnsi="宋体" w:cs="宋体"/>
                <w:color w:val="auto"/>
                <w:kern w:val="0"/>
                <w:szCs w:val="21"/>
              </w:rPr>
              <w:t>分包</w:t>
            </w:r>
          </w:p>
        </w:tc>
        <w:tc>
          <w:tcPr>
            <w:tcW w:w="5678" w:type="dxa"/>
            <w:vAlign w:val="center"/>
          </w:tcPr>
          <w:p>
            <w:pPr>
              <w:pageBreakBefore w:val="0"/>
              <w:kinsoku/>
              <w:overflowPunct/>
              <w:topLinePunct w:val="0"/>
              <w:autoSpaceDE w:val="0"/>
              <w:autoSpaceDN w:val="0"/>
              <w:bidi w:val="0"/>
              <w:adjustRightInd w:val="0"/>
              <w:snapToGrid w:val="0"/>
              <w:spacing w:line="400" w:lineRule="exact"/>
              <w:jc w:val="left"/>
              <w:outlineLvl w:val="9"/>
              <w:rPr>
                <w:rFonts w:ascii="宋体" w:hAnsi="宋体" w:cs="宋体"/>
                <w:color w:val="auto"/>
                <w:kern w:val="0"/>
                <w:szCs w:val="21"/>
              </w:rPr>
            </w:pPr>
            <w:r>
              <w:rPr>
                <w:rFonts w:hint="eastAsia" w:ascii="宋体" w:hAnsi="宋体" w:cs="宋体"/>
                <w:color w:val="auto"/>
                <w:kern w:val="0"/>
                <w:szCs w:val="21"/>
                <w:bdr w:val="single" w:color="auto" w:sz="4" w:space="0"/>
              </w:rPr>
              <w:t>√</w:t>
            </w:r>
            <w:r>
              <w:rPr>
                <w:rFonts w:hint="eastAsia" w:ascii="宋体" w:hAnsi="宋体" w:cs="宋体"/>
                <w:color w:val="auto"/>
                <w:kern w:val="0"/>
                <w:szCs w:val="21"/>
              </w:rPr>
              <w:t>不允许</w:t>
            </w:r>
          </w:p>
          <w:p>
            <w:pPr>
              <w:pageBreakBefore w:val="0"/>
              <w:kinsoku/>
              <w:overflowPunct/>
              <w:topLinePunct w:val="0"/>
              <w:autoSpaceDE w:val="0"/>
              <w:autoSpaceDN w:val="0"/>
              <w:bidi w:val="0"/>
              <w:adjustRightInd w:val="0"/>
              <w:snapToGrid w:val="0"/>
              <w:spacing w:line="400" w:lineRule="exact"/>
              <w:jc w:val="left"/>
              <w:outlineLvl w:val="9"/>
              <w:rPr>
                <w:rFonts w:ascii="宋体" w:hAnsi="宋体" w:cs="宋体"/>
                <w:color w:val="auto"/>
                <w:kern w:val="0"/>
                <w:szCs w:val="21"/>
              </w:rPr>
            </w:pPr>
            <w:r>
              <w:rPr>
                <w:rFonts w:hint="eastAsia" w:ascii="宋体" w:hAnsi="宋体" w:cs="宋体"/>
                <w:color w:val="auto"/>
                <w:kern w:val="0"/>
                <w:szCs w:val="21"/>
                <w:bdr w:val="single" w:color="auto" w:sz="4" w:space="0"/>
              </w:rPr>
              <w:t xml:space="preserve">  </w:t>
            </w:r>
            <w:r>
              <w:rPr>
                <w:rFonts w:hint="eastAsia" w:ascii="宋体" w:hAnsi="宋体" w:cs="宋体"/>
                <w:color w:val="auto"/>
                <w:kern w:val="0"/>
                <w:szCs w:val="21"/>
              </w:rPr>
              <w:t>允  许：</w:t>
            </w:r>
          </w:p>
          <w:p>
            <w:pPr>
              <w:pageBreakBefore w:val="0"/>
              <w:kinsoku/>
              <w:overflowPunct/>
              <w:topLinePunct w:val="0"/>
              <w:autoSpaceDE w:val="0"/>
              <w:autoSpaceDN w:val="0"/>
              <w:bidi w:val="0"/>
              <w:adjustRightInd w:val="0"/>
              <w:snapToGrid w:val="0"/>
              <w:spacing w:line="400" w:lineRule="exact"/>
              <w:ind w:left="311" w:leftChars="148"/>
              <w:jc w:val="left"/>
              <w:outlineLvl w:val="9"/>
              <w:rPr>
                <w:rFonts w:ascii="宋体" w:hAnsi="宋体" w:cs="宋体"/>
                <w:color w:val="auto"/>
                <w:kern w:val="0"/>
                <w:szCs w:val="21"/>
              </w:rPr>
            </w:pPr>
            <w:r>
              <w:rPr>
                <w:rFonts w:hint="eastAsia" w:ascii="宋体" w:hAnsi="宋体" w:cs="宋体"/>
                <w:color w:val="auto"/>
                <w:kern w:val="0"/>
                <w:szCs w:val="21"/>
              </w:rPr>
              <w:t>分包内容要求：</w:t>
            </w:r>
          </w:p>
          <w:p>
            <w:pPr>
              <w:pageBreakBefore w:val="0"/>
              <w:kinsoku/>
              <w:overflowPunct/>
              <w:topLinePunct w:val="0"/>
              <w:autoSpaceDE w:val="0"/>
              <w:autoSpaceDN w:val="0"/>
              <w:bidi w:val="0"/>
              <w:adjustRightInd w:val="0"/>
              <w:snapToGrid w:val="0"/>
              <w:spacing w:line="400" w:lineRule="exact"/>
              <w:ind w:left="311" w:leftChars="148"/>
              <w:jc w:val="left"/>
              <w:outlineLvl w:val="9"/>
              <w:rPr>
                <w:rFonts w:ascii="宋体" w:hAnsi="宋体" w:cs="宋体"/>
                <w:color w:val="auto"/>
                <w:kern w:val="0"/>
                <w:szCs w:val="21"/>
              </w:rPr>
            </w:pPr>
            <w:r>
              <w:rPr>
                <w:rFonts w:hint="eastAsia" w:ascii="宋体" w:hAnsi="宋体" w:cs="宋体"/>
                <w:color w:val="auto"/>
                <w:kern w:val="0"/>
                <w:szCs w:val="21"/>
              </w:rPr>
              <w:t>分包金额要求：</w:t>
            </w:r>
          </w:p>
          <w:p>
            <w:pPr>
              <w:pageBreakBefore w:val="0"/>
              <w:kinsoku/>
              <w:overflowPunct/>
              <w:topLinePunct w:val="0"/>
              <w:autoSpaceDE w:val="0"/>
              <w:autoSpaceDN w:val="0"/>
              <w:bidi w:val="0"/>
              <w:adjustRightInd w:val="0"/>
              <w:snapToGrid w:val="0"/>
              <w:spacing w:line="400" w:lineRule="exact"/>
              <w:ind w:left="311" w:leftChars="148"/>
              <w:jc w:val="left"/>
              <w:outlineLvl w:val="9"/>
              <w:rPr>
                <w:rFonts w:ascii="宋体" w:hAnsi="宋体" w:cs="宋体"/>
                <w:color w:val="auto"/>
                <w:kern w:val="0"/>
                <w:szCs w:val="21"/>
              </w:rPr>
            </w:pPr>
            <w:r>
              <w:rPr>
                <w:rFonts w:hint="eastAsia" w:ascii="宋体" w:hAnsi="宋体" w:cs="宋体"/>
                <w:color w:val="auto"/>
                <w:kern w:val="0"/>
                <w:szCs w:val="21"/>
              </w:rPr>
              <w:t>分包人应具有的资质：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REF _Ref527657954 \r \h  \* MERGEFORMAT </w:instrText>
            </w:r>
            <w:r>
              <w:rPr>
                <w:rFonts w:hint="eastAsia" w:ascii="宋体" w:hAnsi="宋体" w:cs="宋体"/>
                <w:color w:val="auto"/>
                <w:szCs w:val="21"/>
              </w:rPr>
              <w:fldChar w:fldCharType="separate"/>
            </w:r>
            <w:r>
              <w:rPr>
                <w:rFonts w:hint="eastAsia" w:ascii="宋体" w:hAnsi="宋体" w:cs="宋体"/>
                <w:color w:val="auto"/>
                <w:szCs w:val="21"/>
              </w:rPr>
              <w:t>1.12.1</w:t>
            </w:r>
            <w:r>
              <w:rPr>
                <w:rFonts w:hint="eastAsia" w:ascii="宋体" w:hAnsi="宋体" w:cs="宋体"/>
                <w:color w:val="auto"/>
                <w:szCs w:val="21"/>
              </w:rPr>
              <w:fldChar w:fldCharType="end"/>
            </w:r>
          </w:p>
        </w:tc>
        <w:tc>
          <w:tcPr>
            <w:tcW w:w="2513" w:type="dxa"/>
            <w:vAlign w:val="center"/>
          </w:tcPr>
          <w:p>
            <w:pPr>
              <w:pageBreakBefore w:val="0"/>
              <w:kinsoku/>
              <w:overflowPunct/>
              <w:topLinePunct w:val="0"/>
              <w:autoSpaceDE w:val="0"/>
              <w:autoSpaceDN w:val="0"/>
              <w:bidi w:val="0"/>
              <w:adjustRightInd w:val="0"/>
              <w:snapToGrid w:val="0"/>
              <w:spacing w:line="400" w:lineRule="exact"/>
              <w:jc w:val="left"/>
              <w:outlineLvl w:val="9"/>
              <w:rPr>
                <w:rFonts w:ascii="宋体" w:hAnsi="宋体" w:cs="宋体"/>
                <w:color w:val="auto"/>
                <w:kern w:val="0"/>
                <w:szCs w:val="21"/>
              </w:rPr>
            </w:pPr>
            <w:r>
              <w:rPr>
                <w:rFonts w:hint="eastAsia" w:ascii="宋体" w:hAnsi="宋体" w:cs="宋体"/>
                <w:color w:val="auto"/>
                <w:kern w:val="0"/>
                <w:szCs w:val="21"/>
              </w:rPr>
              <w:t>踏勘现场</w:t>
            </w:r>
          </w:p>
        </w:tc>
        <w:tc>
          <w:tcPr>
            <w:tcW w:w="5678" w:type="dxa"/>
            <w:vAlign w:val="center"/>
          </w:tcPr>
          <w:p>
            <w:pPr>
              <w:pageBreakBefore w:val="0"/>
              <w:kinsoku/>
              <w:overflowPunct/>
              <w:topLinePunct w:val="0"/>
              <w:autoSpaceDE w:val="0"/>
              <w:autoSpaceDN w:val="0"/>
              <w:bidi w:val="0"/>
              <w:adjustRightInd w:val="0"/>
              <w:snapToGrid w:val="0"/>
              <w:spacing w:line="400" w:lineRule="exact"/>
              <w:jc w:val="left"/>
              <w:outlineLvl w:val="9"/>
              <w:rPr>
                <w:rFonts w:ascii="宋体" w:hAnsi="宋体" w:cs="宋体"/>
                <w:color w:val="auto"/>
                <w:kern w:val="0"/>
                <w:szCs w:val="21"/>
              </w:rPr>
            </w:pPr>
            <w:r>
              <w:rPr>
                <w:rFonts w:hint="eastAsia" w:ascii="宋体" w:hAnsi="宋体" w:cs="宋体"/>
                <w:color w:val="auto"/>
                <w:kern w:val="0"/>
                <w:szCs w:val="21"/>
                <w:bdr w:val="single" w:color="auto" w:sz="4" w:space="0"/>
              </w:rPr>
              <w:t>√</w:t>
            </w:r>
            <w:r>
              <w:rPr>
                <w:rFonts w:hint="eastAsia" w:ascii="宋体" w:hAnsi="宋体" w:cs="宋体"/>
                <w:color w:val="auto"/>
                <w:kern w:val="0"/>
                <w:szCs w:val="21"/>
              </w:rPr>
              <w:t>不组织</w:t>
            </w:r>
          </w:p>
          <w:p>
            <w:pPr>
              <w:pageBreakBefore w:val="0"/>
              <w:kinsoku/>
              <w:overflowPunct/>
              <w:topLinePunct w:val="0"/>
              <w:autoSpaceDE w:val="0"/>
              <w:autoSpaceDN w:val="0"/>
              <w:bidi w:val="0"/>
              <w:adjustRightInd w:val="0"/>
              <w:snapToGrid w:val="0"/>
              <w:spacing w:line="400" w:lineRule="exact"/>
              <w:jc w:val="left"/>
              <w:outlineLvl w:val="9"/>
              <w:rPr>
                <w:rFonts w:ascii="宋体" w:hAnsi="宋体" w:cs="宋体"/>
                <w:color w:val="auto"/>
                <w:kern w:val="0"/>
                <w:szCs w:val="21"/>
              </w:rPr>
            </w:pPr>
            <w:r>
              <w:rPr>
                <w:rFonts w:hint="eastAsia" w:ascii="宋体" w:hAnsi="宋体" w:cs="宋体"/>
                <w:color w:val="auto"/>
                <w:kern w:val="0"/>
                <w:szCs w:val="21"/>
                <w:bdr w:val="single" w:color="auto" w:sz="4" w:space="0"/>
              </w:rPr>
              <w:t xml:space="preserve">  </w:t>
            </w:r>
            <w:r>
              <w:rPr>
                <w:rFonts w:hint="eastAsia" w:ascii="宋体" w:hAnsi="宋体" w:cs="宋体"/>
                <w:color w:val="auto"/>
                <w:kern w:val="0"/>
                <w:szCs w:val="21"/>
              </w:rPr>
              <w:t>组  织：</w:t>
            </w:r>
          </w:p>
          <w:p>
            <w:pPr>
              <w:pageBreakBefore w:val="0"/>
              <w:kinsoku/>
              <w:overflowPunct/>
              <w:topLinePunct w:val="0"/>
              <w:autoSpaceDE w:val="0"/>
              <w:autoSpaceDN w:val="0"/>
              <w:bidi w:val="0"/>
              <w:adjustRightInd w:val="0"/>
              <w:snapToGrid w:val="0"/>
              <w:spacing w:line="400" w:lineRule="exact"/>
              <w:ind w:left="311" w:leftChars="148"/>
              <w:jc w:val="left"/>
              <w:outlineLvl w:val="9"/>
              <w:rPr>
                <w:rFonts w:ascii="宋体" w:hAnsi="宋体" w:cs="宋体"/>
                <w:color w:val="auto"/>
                <w:kern w:val="0"/>
                <w:szCs w:val="21"/>
              </w:rPr>
            </w:pPr>
            <w:r>
              <w:rPr>
                <w:rFonts w:hint="eastAsia" w:ascii="宋体" w:hAnsi="宋体" w:cs="宋体"/>
                <w:color w:val="auto"/>
                <w:kern w:val="0"/>
                <w:szCs w:val="21"/>
              </w:rPr>
              <w:t>踏勘时间：</w:t>
            </w:r>
          </w:p>
          <w:p>
            <w:pPr>
              <w:pageBreakBefore w:val="0"/>
              <w:kinsoku/>
              <w:overflowPunct/>
              <w:topLinePunct w:val="0"/>
              <w:autoSpaceDE w:val="0"/>
              <w:autoSpaceDN w:val="0"/>
              <w:bidi w:val="0"/>
              <w:adjustRightInd w:val="0"/>
              <w:snapToGrid w:val="0"/>
              <w:spacing w:line="400" w:lineRule="exact"/>
              <w:ind w:left="311" w:leftChars="148"/>
              <w:jc w:val="left"/>
              <w:outlineLvl w:val="9"/>
              <w:rPr>
                <w:rFonts w:ascii="宋体" w:hAnsi="宋体" w:cs="宋体"/>
                <w:color w:val="auto"/>
                <w:kern w:val="0"/>
                <w:szCs w:val="21"/>
              </w:rPr>
            </w:pPr>
            <w:r>
              <w:rPr>
                <w:rFonts w:hint="eastAsia" w:ascii="宋体" w:hAnsi="宋体" w:cs="宋体"/>
                <w:color w:val="auto"/>
                <w:kern w:val="0"/>
                <w:szCs w:val="21"/>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REF _Ref527101604 \r \h  \* MERGEFORMAT </w:instrText>
            </w:r>
            <w:r>
              <w:rPr>
                <w:rFonts w:hint="eastAsia" w:ascii="宋体" w:hAnsi="宋体" w:cs="宋体"/>
                <w:color w:val="auto"/>
                <w:szCs w:val="21"/>
              </w:rPr>
              <w:fldChar w:fldCharType="separate"/>
            </w:r>
            <w:r>
              <w:rPr>
                <w:rFonts w:hint="eastAsia" w:ascii="宋体" w:hAnsi="宋体" w:cs="宋体"/>
                <w:color w:val="auto"/>
                <w:kern w:val="0"/>
                <w:szCs w:val="21"/>
              </w:rPr>
              <w:t>2.2.2</w:t>
            </w:r>
            <w:r>
              <w:rPr>
                <w:rFonts w:hint="eastAsia" w:ascii="宋体" w:hAnsi="宋体" w:cs="宋体"/>
                <w:color w:val="auto"/>
                <w:kern w:val="0"/>
                <w:szCs w:val="21"/>
              </w:rPr>
              <w:fldChar w:fldCharType="end"/>
            </w:r>
          </w:p>
        </w:tc>
        <w:tc>
          <w:tcPr>
            <w:tcW w:w="2513" w:type="dxa"/>
            <w:vAlign w:val="center"/>
          </w:tcPr>
          <w:p>
            <w:pPr>
              <w:pageBreakBefore w:val="0"/>
              <w:kinsoku/>
              <w:overflowPunct/>
              <w:topLinePunct w:val="0"/>
              <w:autoSpaceDE w:val="0"/>
              <w:autoSpaceDN w:val="0"/>
              <w:bidi w:val="0"/>
              <w:adjustRightInd w:val="0"/>
              <w:snapToGrid w:val="0"/>
              <w:spacing w:line="400" w:lineRule="exact"/>
              <w:jc w:val="left"/>
              <w:outlineLvl w:val="9"/>
              <w:rPr>
                <w:rFonts w:ascii="宋体" w:hAnsi="宋体" w:cs="宋体"/>
                <w:color w:val="auto"/>
                <w:kern w:val="0"/>
                <w:szCs w:val="21"/>
              </w:rPr>
            </w:pPr>
            <w:r>
              <w:rPr>
                <w:rFonts w:hint="eastAsia" w:ascii="宋体" w:hAnsi="宋体" w:cs="宋体"/>
                <w:color w:val="auto"/>
                <w:kern w:val="0"/>
                <w:szCs w:val="21"/>
              </w:rPr>
              <w:t>供应商询问或要求澄清的截止时间</w:t>
            </w:r>
          </w:p>
        </w:tc>
        <w:tc>
          <w:tcPr>
            <w:tcW w:w="5678" w:type="dxa"/>
            <w:vAlign w:val="center"/>
          </w:tcPr>
          <w:p>
            <w:pPr>
              <w:pageBreakBefore w:val="0"/>
              <w:kinsoku/>
              <w:overflowPunct/>
              <w:topLinePunct w:val="0"/>
              <w:autoSpaceDE w:val="0"/>
              <w:autoSpaceDN w:val="0"/>
              <w:bidi w:val="0"/>
              <w:adjustRightInd w:val="0"/>
              <w:snapToGrid w:val="0"/>
              <w:spacing w:line="400" w:lineRule="exact"/>
              <w:jc w:val="left"/>
              <w:outlineLvl w:val="9"/>
              <w:rPr>
                <w:rFonts w:ascii="宋体" w:hAnsi="宋体" w:cs="宋体"/>
                <w:color w:val="auto"/>
                <w:kern w:val="0"/>
                <w:szCs w:val="21"/>
              </w:rPr>
            </w:pPr>
            <w:r>
              <w:rPr>
                <w:rFonts w:hint="eastAsia" w:ascii="宋体" w:hAnsi="宋体" w:cs="宋体"/>
                <w:color w:val="auto"/>
                <w:kern w:val="0"/>
                <w:szCs w:val="21"/>
              </w:rPr>
              <w:t xml:space="preserve"> 202</w:t>
            </w:r>
            <w:r>
              <w:rPr>
                <w:rFonts w:hint="eastAsia" w:ascii="宋体" w:hAnsi="宋体" w:cs="宋体"/>
                <w:color w:val="auto"/>
                <w:kern w:val="0"/>
                <w:szCs w:val="21"/>
                <w:lang w:val="en-US" w:eastAsia="zh-CN"/>
              </w:rPr>
              <w:t>3</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25</w:t>
            </w:r>
            <w:r>
              <w:rPr>
                <w:rFonts w:hint="eastAsia" w:ascii="宋体" w:hAnsi="宋体" w:cs="宋体"/>
                <w:color w:val="auto"/>
                <w:kern w:val="0"/>
                <w:szCs w:val="21"/>
              </w:rPr>
              <w:t>日18时00分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REF _Ref527101721 \r \h  \* MERGEFORMAT </w:instrText>
            </w:r>
            <w:r>
              <w:rPr>
                <w:rFonts w:hint="eastAsia" w:ascii="宋体" w:hAnsi="宋体" w:cs="宋体"/>
                <w:color w:val="auto"/>
                <w:szCs w:val="21"/>
              </w:rPr>
              <w:fldChar w:fldCharType="separate"/>
            </w:r>
            <w:r>
              <w:rPr>
                <w:rFonts w:hint="eastAsia" w:ascii="宋体" w:hAnsi="宋体" w:cs="宋体"/>
                <w:color w:val="auto"/>
                <w:kern w:val="0"/>
                <w:szCs w:val="21"/>
              </w:rPr>
              <w:t>2.3</w:t>
            </w:r>
            <w:r>
              <w:rPr>
                <w:rFonts w:hint="eastAsia" w:ascii="宋体" w:hAnsi="宋体" w:cs="宋体"/>
                <w:color w:val="auto"/>
                <w:kern w:val="0"/>
                <w:szCs w:val="21"/>
              </w:rPr>
              <w:fldChar w:fldCharType="end"/>
            </w:r>
          </w:p>
        </w:tc>
        <w:tc>
          <w:tcPr>
            <w:tcW w:w="2513" w:type="dxa"/>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rPr>
            </w:pPr>
            <w:bookmarkStart w:id="48" w:name="_Toc45099859"/>
            <w:r>
              <w:rPr>
                <w:rFonts w:hint="eastAsia" w:ascii="宋体" w:hAnsi="宋体" w:cs="宋体"/>
                <w:color w:val="auto"/>
                <w:kern w:val="0"/>
                <w:szCs w:val="21"/>
              </w:rPr>
              <w:t>质疑函送达方式</w:t>
            </w:r>
            <w:bookmarkEnd w:id="48"/>
          </w:p>
        </w:tc>
        <w:tc>
          <w:tcPr>
            <w:tcW w:w="5678" w:type="dxa"/>
            <w:vAlign w:val="center"/>
          </w:tcPr>
          <w:p>
            <w:pPr>
              <w:pageBreakBefore w:val="0"/>
              <w:kinsoku/>
              <w:overflowPunct/>
              <w:topLinePunct w:val="0"/>
              <w:autoSpaceDE w:val="0"/>
              <w:autoSpaceDN w:val="0"/>
              <w:bidi w:val="0"/>
              <w:adjustRightInd w:val="0"/>
              <w:snapToGrid w:val="0"/>
              <w:spacing w:line="400" w:lineRule="exact"/>
              <w:ind w:left="27" w:leftChars="13"/>
              <w:outlineLvl w:val="9"/>
              <w:rPr>
                <w:rFonts w:ascii="宋体" w:hAnsi="宋体" w:cs="宋体"/>
                <w:color w:val="auto"/>
                <w:kern w:val="0"/>
                <w:szCs w:val="21"/>
              </w:rPr>
            </w:pPr>
            <w:r>
              <w:rPr>
                <w:rFonts w:hint="eastAsia" w:ascii="宋体" w:hAnsi="宋体" w:cs="宋体"/>
                <w:color w:val="auto"/>
                <w:kern w:val="0"/>
                <w:szCs w:val="21"/>
              </w:rPr>
              <w:t>质疑提出人应将质疑函原件委派专人或通过邮寄方式</w:t>
            </w:r>
            <w:r>
              <w:rPr>
                <w:rFonts w:hint="eastAsia" w:ascii="宋体" w:hAnsi="宋体" w:cs="宋体"/>
                <w:color w:val="auto"/>
                <w:szCs w:val="21"/>
              </w:rPr>
              <w:t>在知道或者应知其权益受到损害之日起7个工作日内</w:t>
            </w:r>
            <w:r>
              <w:rPr>
                <w:rFonts w:hint="eastAsia" w:ascii="宋体" w:hAnsi="宋体" w:cs="宋体"/>
                <w:color w:val="auto"/>
                <w:kern w:val="0"/>
                <w:szCs w:val="21"/>
              </w:rPr>
              <w:t>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REF _Ref527102185 \r \h  \* MERGEFORMAT </w:instrText>
            </w:r>
            <w:r>
              <w:rPr>
                <w:rFonts w:hint="eastAsia" w:ascii="宋体" w:hAnsi="宋体" w:cs="宋体"/>
                <w:color w:val="auto"/>
                <w:szCs w:val="21"/>
              </w:rPr>
              <w:fldChar w:fldCharType="separate"/>
            </w:r>
            <w:r>
              <w:rPr>
                <w:rFonts w:hint="eastAsia" w:ascii="宋体" w:hAnsi="宋体" w:cs="宋体"/>
                <w:color w:val="auto"/>
                <w:kern w:val="0"/>
                <w:szCs w:val="21"/>
              </w:rPr>
              <w:t>3.6.1</w:t>
            </w:r>
            <w:r>
              <w:rPr>
                <w:rFonts w:hint="eastAsia" w:ascii="宋体" w:hAnsi="宋体" w:cs="宋体"/>
                <w:color w:val="auto"/>
                <w:kern w:val="0"/>
                <w:szCs w:val="21"/>
              </w:rPr>
              <w:fldChar w:fldCharType="end"/>
            </w:r>
          </w:p>
        </w:tc>
        <w:tc>
          <w:tcPr>
            <w:tcW w:w="2513" w:type="dxa"/>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rPr>
            </w:pPr>
            <w:bookmarkStart w:id="49" w:name="_Toc45099860"/>
            <w:bookmarkStart w:id="50" w:name="_Toc195921788"/>
            <w:r>
              <w:rPr>
                <w:rFonts w:hint="eastAsia" w:ascii="宋体" w:hAnsi="宋体" w:cs="宋体"/>
                <w:color w:val="auto"/>
                <w:kern w:val="0"/>
                <w:szCs w:val="21"/>
              </w:rPr>
              <w:t>响应文件有效期</w:t>
            </w:r>
            <w:bookmarkEnd w:id="49"/>
            <w:bookmarkEnd w:id="50"/>
          </w:p>
        </w:tc>
        <w:tc>
          <w:tcPr>
            <w:tcW w:w="5678" w:type="dxa"/>
            <w:vAlign w:val="center"/>
          </w:tcPr>
          <w:p>
            <w:pPr>
              <w:pageBreakBefore w:val="0"/>
              <w:kinsoku/>
              <w:overflowPunct/>
              <w:topLinePunct w:val="0"/>
              <w:autoSpaceDE w:val="0"/>
              <w:autoSpaceDN w:val="0"/>
              <w:bidi w:val="0"/>
              <w:adjustRightInd w:val="0"/>
              <w:snapToGrid w:val="0"/>
              <w:spacing w:line="400" w:lineRule="exact"/>
              <w:ind w:left="27" w:leftChars="13"/>
              <w:outlineLvl w:val="9"/>
              <w:rPr>
                <w:rFonts w:ascii="宋体" w:hAnsi="宋体" w:cs="宋体"/>
                <w:color w:val="auto"/>
                <w:kern w:val="0"/>
                <w:szCs w:val="21"/>
              </w:rPr>
            </w:pPr>
            <w:r>
              <w:rPr>
                <w:rFonts w:hint="eastAsia" w:ascii="宋体" w:hAnsi="宋体" w:cs="宋体"/>
                <w:color w:val="auto"/>
                <w:kern w:val="0"/>
                <w:szCs w:val="21"/>
              </w:rPr>
              <w:t xml:space="preserve">   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REF _Ref419361076 \r \h  \* MERGEFORMAT </w:instrText>
            </w:r>
            <w:r>
              <w:rPr>
                <w:rFonts w:hint="eastAsia" w:ascii="宋体" w:hAnsi="宋体" w:cs="宋体"/>
                <w:color w:val="auto"/>
                <w:szCs w:val="21"/>
              </w:rPr>
              <w:fldChar w:fldCharType="separate"/>
            </w:r>
            <w:r>
              <w:rPr>
                <w:rFonts w:hint="eastAsia" w:ascii="宋体" w:hAnsi="宋体" w:cs="宋体"/>
                <w:color w:val="auto"/>
                <w:kern w:val="0"/>
                <w:szCs w:val="21"/>
              </w:rPr>
              <w:t>3.7.1</w:t>
            </w:r>
            <w:r>
              <w:rPr>
                <w:rFonts w:hint="eastAsia" w:ascii="宋体" w:hAnsi="宋体" w:cs="宋体"/>
                <w:color w:val="auto"/>
                <w:kern w:val="0"/>
                <w:szCs w:val="21"/>
              </w:rPr>
              <w:fldChar w:fldCharType="end"/>
            </w:r>
          </w:p>
        </w:tc>
        <w:tc>
          <w:tcPr>
            <w:tcW w:w="2513" w:type="dxa"/>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rPr>
            </w:pPr>
            <w:bookmarkStart w:id="51" w:name="_Toc45099861"/>
            <w:bookmarkStart w:id="52" w:name="_Toc195921789"/>
            <w:r>
              <w:rPr>
                <w:rFonts w:hint="eastAsia" w:ascii="宋体" w:hAnsi="宋体" w:cs="宋体"/>
                <w:color w:val="auto"/>
                <w:kern w:val="0"/>
                <w:szCs w:val="21"/>
              </w:rPr>
              <w:t>谈判保证金</w:t>
            </w:r>
            <w:bookmarkEnd w:id="51"/>
            <w:bookmarkEnd w:id="52"/>
          </w:p>
        </w:tc>
        <w:tc>
          <w:tcPr>
            <w:tcW w:w="5678" w:type="dxa"/>
            <w:vAlign w:val="center"/>
          </w:tcPr>
          <w:p>
            <w:pPr>
              <w:pageBreakBefore w:val="0"/>
              <w:kinsoku/>
              <w:overflowPunct/>
              <w:topLinePunct w:val="0"/>
              <w:autoSpaceDE w:val="0"/>
              <w:autoSpaceDN w:val="0"/>
              <w:bidi w:val="0"/>
              <w:adjustRightInd w:val="0"/>
              <w:snapToGrid w:val="0"/>
              <w:spacing w:after="156" w:afterLines="50" w:line="400" w:lineRule="exact"/>
              <w:outlineLvl w:val="9"/>
              <w:rPr>
                <w:rFonts w:hint="default" w:ascii="宋体" w:hAnsi="宋体" w:eastAsia="宋体" w:cs="宋体"/>
                <w:color w:val="auto"/>
                <w:kern w:val="0"/>
                <w:szCs w:val="21"/>
                <w:lang w:val="en-US" w:eastAsia="zh-CN"/>
              </w:rPr>
            </w:pPr>
            <w:r>
              <w:rPr>
                <w:rFonts w:hint="eastAsia" w:ascii="宋体" w:hAnsi="宋体" w:cs="宋体"/>
                <w:b/>
                <w:bCs/>
                <w:color w:val="auto"/>
                <w:kern w:val="0"/>
                <w:szCs w:val="21"/>
              </w:rPr>
              <w:t>谈判保证金的金额：</w:t>
            </w:r>
            <w:r>
              <w:rPr>
                <w:rFonts w:hint="eastAsia" w:ascii="宋体" w:hAnsi="宋体" w:cs="宋体"/>
                <w:b/>
                <w:bCs/>
                <w:color w:val="auto"/>
                <w:kern w:val="0"/>
                <w:szCs w:val="21"/>
                <w:lang w:val="en-US" w:eastAsia="zh-CN"/>
              </w:rPr>
              <w:t>本项目不收取谈判保证金。</w:t>
            </w:r>
          </w:p>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color w:val="auto"/>
                <w:kern w:val="0"/>
                <w:szCs w:val="21"/>
              </w:rPr>
            </w:pPr>
            <w:r>
              <w:rPr>
                <w:rFonts w:hint="eastAsia" w:ascii="宋体" w:hAnsi="宋体" w:cs="宋体"/>
                <w:color w:val="auto"/>
                <w:kern w:val="0"/>
                <w:szCs w:val="21"/>
              </w:rPr>
              <w:t>谈判保证金采取银行保函或保单保函方式提交（具体以系统显示为准）</w:t>
            </w:r>
          </w:p>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color w:val="auto"/>
                <w:kern w:val="0"/>
                <w:szCs w:val="21"/>
              </w:rPr>
            </w:pPr>
            <w:r>
              <w:rPr>
                <w:rFonts w:hint="eastAsia" w:ascii="宋体" w:hAnsi="宋体" w:cs="宋体"/>
                <w:color w:val="auto"/>
                <w:kern w:val="0"/>
                <w:szCs w:val="21"/>
              </w:rPr>
              <w:t>备注：</w:t>
            </w:r>
          </w:p>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color w:val="auto"/>
                <w:kern w:val="0"/>
                <w:szCs w:val="21"/>
              </w:rPr>
            </w:pPr>
            <w:r>
              <w:rPr>
                <w:rFonts w:hint="eastAsia" w:ascii="宋体" w:hAnsi="宋体" w:cs="宋体"/>
                <w:color w:val="auto"/>
                <w:kern w:val="0"/>
                <w:szCs w:val="21"/>
              </w:rPr>
              <w:t>1、保证金必须是以上要求方式提交，未按上述要求交纳谈判保证金的投标人，其投标将被拒绝。</w:t>
            </w:r>
          </w:p>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color w:val="auto"/>
                <w:kern w:val="0"/>
                <w:szCs w:val="21"/>
              </w:rPr>
            </w:pPr>
            <w:r>
              <w:rPr>
                <w:rFonts w:hint="eastAsia" w:ascii="宋体" w:hAnsi="宋体" w:cs="宋体"/>
                <w:color w:val="auto"/>
                <w:kern w:val="0"/>
                <w:szCs w:val="21"/>
              </w:rPr>
              <w:t>2、投标人在编制响应文件时，将提交投标保证金的凭证复印件封装在响应文件指定位置；原件带到开标现场备查。</w:t>
            </w:r>
          </w:p>
          <w:p>
            <w:pPr>
              <w:pageBreakBefore w:val="0"/>
              <w:numPr>
                <w:ilvl w:val="0"/>
                <w:numId w:val="2"/>
              </w:numPr>
              <w:kinsoku/>
              <w:overflowPunct/>
              <w:topLinePunct w:val="0"/>
              <w:autoSpaceDE w:val="0"/>
              <w:autoSpaceDN w:val="0"/>
              <w:bidi w:val="0"/>
              <w:adjustRightInd w:val="0"/>
              <w:snapToGrid w:val="0"/>
              <w:spacing w:after="156" w:afterLines="50" w:line="400" w:lineRule="exact"/>
              <w:outlineLvl w:val="9"/>
              <w:rPr>
                <w:rFonts w:ascii="宋体" w:hAnsi="宋体" w:cs="宋体"/>
                <w:color w:val="auto"/>
                <w:kern w:val="0"/>
                <w:szCs w:val="21"/>
              </w:rPr>
            </w:pPr>
            <w:r>
              <w:rPr>
                <w:rFonts w:hint="eastAsia" w:ascii="宋体" w:hAnsi="宋体" w:cs="宋体"/>
                <w:color w:val="auto"/>
                <w:kern w:val="0"/>
                <w:szCs w:val="21"/>
              </w:rPr>
              <w:t>保证金递交截止时间：同开启时间。</w:t>
            </w:r>
          </w:p>
          <w:p>
            <w:pPr>
              <w:pageBreakBefore w:val="0"/>
              <w:numPr>
                <w:ilvl w:val="0"/>
                <w:numId w:val="2"/>
              </w:numPr>
              <w:kinsoku/>
              <w:overflowPunct/>
              <w:topLinePunct w:val="0"/>
              <w:autoSpaceDE w:val="0"/>
              <w:autoSpaceDN w:val="0"/>
              <w:bidi w:val="0"/>
              <w:adjustRightInd w:val="0"/>
              <w:snapToGrid w:val="0"/>
              <w:spacing w:after="156" w:afterLines="50" w:line="400" w:lineRule="exact"/>
              <w:outlineLvl w:val="9"/>
              <w:rPr>
                <w:rFonts w:ascii="宋体" w:hAnsi="宋体" w:cs="宋体"/>
                <w:color w:val="auto"/>
                <w:kern w:val="0"/>
                <w:szCs w:val="21"/>
              </w:rPr>
            </w:pPr>
            <w:r>
              <w:rPr>
                <w:rFonts w:hint="eastAsia" w:ascii="宋体" w:hAnsi="宋体" w:cs="宋体"/>
                <w:color w:val="auto"/>
                <w:kern w:val="0"/>
                <w:szCs w:val="21"/>
              </w:rPr>
              <w:t>投标保函的有效期应算至投标有效期后。</w:t>
            </w:r>
          </w:p>
          <w:p>
            <w:pPr>
              <w:pStyle w:val="72"/>
              <w:pageBreakBefore w:val="0"/>
              <w:kinsoku/>
              <w:overflowPunct/>
              <w:topLinePunct w:val="0"/>
              <w:bidi w:val="0"/>
              <w:spacing w:line="400" w:lineRule="exact"/>
              <w:ind w:left="0" w:leftChars="0" w:firstLine="0" w:firstLineChars="0"/>
              <w:outlineLvl w:val="9"/>
              <w:rPr>
                <w:rFonts w:cs="宋体"/>
                <w:color w:val="auto"/>
                <w:kern w:val="0"/>
                <w:szCs w:val="21"/>
              </w:rPr>
            </w:pPr>
            <w:r>
              <w:rPr>
                <w:rFonts w:hint="eastAsia" w:cs="宋体"/>
                <w:color w:val="auto"/>
                <w:kern w:val="0"/>
                <w:szCs w:val="21"/>
              </w:rPr>
              <w:t>5、以保函形式递交的投标保证金保函原件扫描件放入投标文件中。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REF _Ref527102437 \r \h  \* MERGEFORMAT </w:instrText>
            </w:r>
            <w:r>
              <w:rPr>
                <w:rFonts w:hint="eastAsia" w:ascii="宋体" w:hAnsi="宋体" w:cs="宋体"/>
                <w:color w:val="auto"/>
                <w:szCs w:val="21"/>
              </w:rPr>
              <w:fldChar w:fldCharType="separate"/>
            </w:r>
            <w:r>
              <w:rPr>
                <w:rFonts w:hint="eastAsia" w:ascii="宋体" w:hAnsi="宋体" w:cs="宋体"/>
                <w:color w:val="auto"/>
                <w:kern w:val="0"/>
                <w:szCs w:val="21"/>
              </w:rPr>
              <w:t>3.8.2</w:t>
            </w:r>
            <w:r>
              <w:rPr>
                <w:rFonts w:hint="eastAsia" w:ascii="宋体" w:hAnsi="宋体" w:cs="宋体"/>
                <w:color w:val="auto"/>
                <w:kern w:val="0"/>
                <w:szCs w:val="21"/>
              </w:rPr>
              <w:fldChar w:fldCharType="end"/>
            </w:r>
          </w:p>
        </w:tc>
        <w:tc>
          <w:tcPr>
            <w:tcW w:w="2513" w:type="dxa"/>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rPr>
            </w:pPr>
            <w:r>
              <w:rPr>
                <w:rFonts w:hint="eastAsia" w:ascii="宋体" w:hAnsi="宋体" w:cs="宋体"/>
                <w:color w:val="auto"/>
                <w:kern w:val="0"/>
                <w:szCs w:val="21"/>
              </w:rPr>
              <w:t>响应文件份数</w:t>
            </w:r>
          </w:p>
        </w:tc>
        <w:tc>
          <w:tcPr>
            <w:tcW w:w="5678" w:type="dxa"/>
            <w:vAlign w:val="center"/>
          </w:tcPr>
          <w:p>
            <w:pPr>
              <w:pStyle w:val="452"/>
              <w:pageBreakBefore w:val="0"/>
              <w:kinsoku/>
              <w:overflowPunct/>
              <w:topLinePunct w:val="0"/>
              <w:bidi w:val="0"/>
              <w:snapToGrid w:val="0"/>
              <w:spacing w:after="156" w:line="400" w:lineRule="exact"/>
              <w:ind w:firstLine="0" w:firstLineChars="0"/>
              <w:outlineLvl w:val="9"/>
              <w:rPr>
                <w:rStyle w:val="445"/>
                <w:rFonts w:ascii="宋体" w:hAnsi="宋体" w:cs="宋体"/>
                <w:color w:val="auto"/>
                <w:szCs w:val="21"/>
              </w:rPr>
            </w:pPr>
            <w:r>
              <w:rPr>
                <w:rStyle w:val="445"/>
                <w:rFonts w:hint="eastAsia" w:ascii="宋体" w:hAnsi="宋体" w:cs="宋体"/>
                <w:color w:val="auto"/>
                <w:szCs w:val="21"/>
                <w:lang w:val="en-US"/>
              </w:rPr>
              <w:t>纸质</w:t>
            </w:r>
            <w:r>
              <w:rPr>
                <w:rStyle w:val="445"/>
                <w:rFonts w:hint="eastAsia" w:ascii="宋体" w:hAnsi="宋体" w:cs="宋体"/>
                <w:color w:val="auto"/>
                <w:szCs w:val="21"/>
              </w:rPr>
              <w:t>响应文件</w:t>
            </w:r>
            <w:r>
              <w:rPr>
                <w:rStyle w:val="445"/>
                <w:rFonts w:hint="eastAsia" w:ascii="宋体" w:hAnsi="宋体" w:cs="宋体"/>
                <w:color w:val="auto"/>
                <w:szCs w:val="21"/>
                <w:u w:val="single"/>
              </w:rPr>
              <w:t xml:space="preserve"> </w:t>
            </w:r>
            <w:r>
              <w:rPr>
                <w:rStyle w:val="445"/>
                <w:rFonts w:hint="eastAsia" w:ascii="宋体" w:hAnsi="宋体" w:cs="宋体"/>
                <w:color w:val="auto"/>
                <w:szCs w:val="21"/>
                <w:u w:val="single"/>
                <w:lang w:val="en-US"/>
              </w:rPr>
              <w:t>3</w:t>
            </w:r>
            <w:r>
              <w:rPr>
                <w:rStyle w:val="445"/>
                <w:rFonts w:hint="eastAsia" w:ascii="宋体" w:hAnsi="宋体" w:cs="宋体"/>
                <w:color w:val="auto"/>
                <w:szCs w:val="21"/>
                <w:u w:val="single"/>
              </w:rPr>
              <w:t xml:space="preserve"> </w:t>
            </w:r>
            <w:r>
              <w:rPr>
                <w:rStyle w:val="445"/>
                <w:rFonts w:hint="eastAsia" w:ascii="宋体" w:hAnsi="宋体" w:cs="宋体"/>
                <w:color w:val="auto"/>
                <w:szCs w:val="21"/>
              </w:rPr>
              <w:t>份（</w:t>
            </w:r>
            <w:r>
              <w:rPr>
                <w:rStyle w:val="445"/>
                <w:rFonts w:hint="eastAsia" w:ascii="宋体" w:hAnsi="宋体" w:cs="宋体"/>
                <w:color w:val="auto"/>
                <w:szCs w:val="21"/>
                <w:lang w:val="en-US"/>
              </w:rPr>
              <w:t>正本壹份、副本贰份</w:t>
            </w:r>
            <w:r>
              <w:rPr>
                <w:rStyle w:val="445"/>
                <w:rFonts w:hint="eastAsia" w:ascii="宋体" w:hAnsi="宋体" w:cs="宋体"/>
                <w:color w:val="auto"/>
                <w:szCs w:val="21"/>
              </w:rPr>
              <w:t>）</w:t>
            </w:r>
          </w:p>
          <w:p>
            <w:pPr>
              <w:pageBreakBefore w:val="0"/>
              <w:kinsoku/>
              <w:overflowPunct/>
              <w:topLinePunct w:val="0"/>
              <w:autoSpaceDE w:val="0"/>
              <w:autoSpaceDN w:val="0"/>
              <w:bidi w:val="0"/>
              <w:adjustRightInd w:val="0"/>
              <w:snapToGrid w:val="0"/>
              <w:spacing w:after="156" w:line="400" w:lineRule="exact"/>
              <w:outlineLvl w:val="9"/>
              <w:rPr>
                <w:rFonts w:ascii="宋体" w:hAnsi="宋体" w:cs="宋体"/>
                <w:b/>
                <w:color w:val="auto"/>
                <w:kern w:val="0"/>
                <w:szCs w:val="21"/>
              </w:rPr>
            </w:pPr>
            <w:r>
              <w:rPr>
                <w:rStyle w:val="445"/>
                <w:rFonts w:hint="eastAsia" w:ascii="宋体" w:hAnsi="宋体" w:cs="宋体"/>
                <w:color w:val="auto"/>
                <w:szCs w:val="21"/>
              </w:rPr>
              <w:t>电子文档优盘</w:t>
            </w:r>
            <w:r>
              <w:rPr>
                <w:rStyle w:val="445"/>
                <w:rFonts w:hint="eastAsia" w:ascii="宋体" w:hAnsi="宋体" w:cs="宋体"/>
                <w:color w:val="auto"/>
                <w:szCs w:val="21"/>
                <w:u w:val="single"/>
              </w:rPr>
              <w:t>1</w:t>
            </w:r>
            <w:r>
              <w:rPr>
                <w:rStyle w:val="445"/>
                <w:rFonts w:hint="eastAsia" w:ascii="宋体" w:hAnsi="宋体" w:cs="宋体"/>
                <w:color w:val="auto"/>
                <w:szCs w:val="21"/>
              </w:rPr>
              <w:t>份（</w:t>
            </w:r>
            <w:r>
              <w:rPr>
                <w:rStyle w:val="445"/>
                <w:rFonts w:hint="eastAsia" w:ascii="宋体" w:hAnsi="宋体" w:cs="宋体"/>
                <w:color w:val="auto"/>
                <w:kern w:val="0"/>
                <w:szCs w:val="21"/>
              </w:rPr>
              <w:t>电子文档必须包含响应文件正本的所有内容，用正本按要求签字盖章后彩色扫描成PDF格式拷贝进U盘中（WODR版本也需包含在U盘内）</w:t>
            </w:r>
            <w:r>
              <w:rPr>
                <w:rStyle w:val="445"/>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REF _Ref527102501 \r \h  \* MERGEFORMAT </w:instrText>
            </w:r>
            <w:r>
              <w:rPr>
                <w:rFonts w:hint="eastAsia" w:ascii="宋体" w:hAnsi="宋体" w:cs="宋体"/>
                <w:color w:val="auto"/>
                <w:szCs w:val="21"/>
              </w:rPr>
              <w:fldChar w:fldCharType="separate"/>
            </w:r>
            <w:r>
              <w:rPr>
                <w:rFonts w:hint="eastAsia" w:ascii="宋体" w:hAnsi="宋体" w:cs="宋体"/>
                <w:color w:val="auto"/>
                <w:kern w:val="0"/>
                <w:szCs w:val="21"/>
              </w:rPr>
              <w:t>4.1.2</w:t>
            </w:r>
            <w:r>
              <w:rPr>
                <w:rFonts w:hint="eastAsia" w:ascii="宋体" w:hAnsi="宋体" w:cs="宋体"/>
                <w:color w:val="auto"/>
                <w:kern w:val="0"/>
                <w:szCs w:val="21"/>
              </w:rPr>
              <w:fldChar w:fldCharType="end"/>
            </w:r>
          </w:p>
        </w:tc>
        <w:tc>
          <w:tcPr>
            <w:tcW w:w="2513" w:type="dxa"/>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rPr>
            </w:pPr>
            <w:r>
              <w:rPr>
                <w:rFonts w:hint="eastAsia" w:ascii="宋体" w:hAnsi="宋体" w:cs="宋体"/>
                <w:color w:val="auto"/>
                <w:kern w:val="0"/>
                <w:szCs w:val="21"/>
              </w:rPr>
              <w:t>封套上写明</w:t>
            </w:r>
          </w:p>
        </w:tc>
        <w:tc>
          <w:tcPr>
            <w:tcW w:w="5678" w:type="dxa"/>
            <w:vAlign w:val="center"/>
          </w:tcPr>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color w:val="auto"/>
                <w:kern w:val="0"/>
                <w:szCs w:val="21"/>
              </w:rPr>
            </w:pPr>
            <w:r>
              <w:rPr>
                <w:rFonts w:hint="eastAsia" w:ascii="宋体" w:hAnsi="宋体" w:cs="宋体"/>
                <w:color w:val="auto"/>
                <w:kern w:val="0"/>
                <w:szCs w:val="21"/>
              </w:rPr>
              <w:t>采购人名称：</w:t>
            </w:r>
          </w:p>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b/>
                <w:color w:val="auto"/>
                <w:kern w:val="0"/>
                <w:szCs w:val="21"/>
              </w:rPr>
            </w:pPr>
            <w:r>
              <w:rPr>
                <w:rFonts w:hint="eastAsia" w:ascii="宋体" w:hAnsi="宋体" w:cs="宋体"/>
                <w:color w:val="auto"/>
                <w:kern w:val="0"/>
                <w:szCs w:val="21"/>
              </w:rPr>
              <w:t>项目编号：</w:t>
            </w:r>
          </w:p>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b/>
                <w:color w:val="auto"/>
                <w:kern w:val="0"/>
                <w:szCs w:val="21"/>
              </w:rPr>
            </w:pPr>
            <w:r>
              <w:rPr>
                <w:rFonts w:hint="eastAsia" w:ascii="宋体" w:hAnsi="宋体" w:cs="宋体"/>
                <w:color w:val="auto"/>
                <w:kern w:val="0"/>
                <w:szCs w:val="21"/>
                <w:u w:val="single"/>
              </w:rPr>
              <w:t xml:space="preserve">        </w:t>
            </w:r>
            <w:r>
              <w:rPr>
                <w:rFonts w:hint="eastAsia" w:ascii="宋体" w:hAnsi="宋体" w:cs="宋体"/>
                <w:color w:val="auto"/>
                <w:kern w:val="0"/>
                <w:szCs w:val="21"/>
              </w:rPr>
              <w:t>（项目名称）</w:t>
            </w:r>
            <w:r>
              <w:rPr>
                <w:rFonts w:hint="eastAsia" w:ascii="宋体" w:hAnsi="宋体" w:cs="宋体"/>
                <w:color w:val="auto"/>
                <w:kern w:val="0"/>
                <w:szCs w:val="21"/>
                <w:u w:val="single"/>
              </w:rPr>
              <w:t xml:space="preserve">       </w:t>
            </w:r>
            <w:r>
              <w:rPr>
                <w:rFonts w:hint="eastAsia" w:ascii="宋体" w:hAnsi="宋体" w:cs="宋体"/>
                <w:color w:val="auto"/>
                <w:kern w:val="0"/>
                <w:szCs w:val="21"/>
              </w:rPr>
              <w:t>包响应文件在    年 月 日 时 分前不得开启</w:t>
            </w:r>
          </w:p>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b/>
                <w:color w:val="auto"/>
                <w:kern w:val="0"/>
                <w:szCs w:val="21"/>
              </w:rPr>
            </w:pPr>
            <w:r>
              <w:rPr>
                <w:rFonts w:hint="eastAsia" w:ascii="宋体" w:hAnsi="宋体" w:cs="宋体"/>
                <w:color w:val="auto"/>
                <w:kern w:val="0"/>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REF _Ref527102573 \r \h  \* MERGEFORMAT </w:instrText>
            </w:r>
            <w:r>
              <w:rPr>
                <w:rFonts w:hint="eastAsia" w:ascii="宋体" w:hAnsi="宋体" w:cs="宋体"/>
                <w:color w:val="auto"/>
                <w:szCs w:val="21"/>
                <w:highlight w:val="none"/>
              </w:rPr>
              <w:fldChar w:fldCharType="separate"/>
            </w:r>
            <w:r>
              <w:rPr>
                <w:rFonts w:hint="eastAsia" w:ascii="宋体" w:hAnsi="宋体" w:cs="宋体"/>
                <w:color w:val="auto"/>
                <w:kern w:val="0"/>
                <w:szCs w:val="21"/>
                <w:highlight w:val="none"/>
              </w:rPr>
              <w:t>5.1.1</w:t>
            </w:r>
            <w:r>
              <w:rPr>
                <w:rFonts w:hint="eastAsia" w:ascii="宋体" w:hAnsi="宋体" w:cs="宋体"/>
                <w:color w:val="auto"/>
                <w:kern w:val="0"/>
                <w:szCs w:val="21"/>
                <w:highlight w:val="none"/>
              </w:rPr>
              <w:fldChar w:fldCharType="end"/>
            </w:r>
          </w:p>
        </w:tc>
        <w:tc>
          <w:tcPr>
            <w:tcW w:w="2513" w:type="dxa"/>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highlight w:val="none"/>
              </w:rPr>
            </w:pPr>
            <w:r>
              <w:rPr>
                <w:rFonts w:hint="eastAsia" w:ascii="宋体" w:hAnsi="宋体" w:cs="宋体"/>
                <w:color w:val="auto"/>
                <w:kern w:val="0"/>
                <w:szCs w:val="21"/>
                <w:highlight w:val="none"/>
              </w:rPr>
              <w:t>谈判小组成员</w:t>
            </w:r>
          </w:p>
        </w:tc>
        <w:tc>
          <w:tcPr>
            <w:tcW w:w="5678" w:type="dxa"/>
            <w:vAlign w:val="center"/>
          </w:tcPr>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b/>
                <w:color w:val="auto"/>
                <w:kern w:val="0"/>
                <w:szCs w:val="21"/>
                <w:highlight w:val="none"/>
              </w:rPr>
            </w:pPr>
            <w:r>
              <w:rPr>
                <w:rFonts w:hint="eastAsia" w:ascii="宋体" w:hAnsi="宋体" w:cs="宋体"/>
                <w:color w:val="auto"/>
                <w:kern w:val="0"/>
                <w:szCs w:val="21"/>
                <w:highlight w:val="none"/>
              </w:rPr>
              <w:t>从</w:t>
            </w:r>
            <w:r>
              <w:rPr>
                <w:rFonts w:hint="eastAsia" w:ascii="宋体" w:hAnsi="宋体" w:cs="宋体"/>
                <w:color w:val="auto"/>
                <w:kern w:val="0"/>
                <w:szCs w:val="21"/>
                <w:highlight w:val="none"/>
                <w:lang w:val="en-US" w:eastAsia="zh-CN"/>
              </w:rPr>
              <w:t>西藏</w:t>
            </w:r>
            <w:r>
              <w:rPr>
                <w:rFonts w:hint="eastAsia" w:ascii="宋体" w:hAnsi="宋体" w:cs="宋体"/>
                <w:color w:val="auto"/>
                <w:kern w:val="0"/>
                <w:szCs w:val="21"/>
                <w:highlight w:val="none"/>
              </w:rPr>
              <w:t>政府采购评审专家库抽取的评审专家</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REF _Ref527102841 \r \h  \* MERGEFORMAT </w:instrText>
            </w:r>
            <w:r>
              <w:rPr>
                <w:rFonts w:hint="eastAsia" w:ascii="宋体" w:hAnsi="宋体" w:cs="宋体"/>
                <w:color w:val="auto"/>
                <w:szCs w:val="21"/>
              </w:rPr>
              <w:fldChar w:fldCharType="separate"/>
            </w:r>
            <w:r>
              <w:rPr>
                <w:rFonts w:hint="eastAsia" w:ascii="宋体" w:hAnsi="宋体" w:cs="宋体"/>
                <w:color w:val="auto"/>
                <w:kern w:val="0"/>
                <w:szCs w:val="21"/>
              </w:rPr>
              <w:t>6.1</w:t>
            </w:r>
            <w:r>
              <w:rPr>
                <w:rFonts w:hint="eastAsia" w:ascii="宋体" w:hAnsi="宋体" w:cs="宋体"/>
                <w:color w:val="auto"/>
                <w:kern w:val="0"/>
                <w:szCs w:val="21"/>
              </w:rPr>
              <w:fldChar w:fldCharType="end"/>
            </w:r>
          </w:p>
        </w:tc>
        <w:tc>
          <w:tcPr>
            <w:tcW w:w="2513" w:type="dxa"/>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rPr>
            </w:pPr>
            <w:r>
              <w:rPr>
                <w:rFonts w:hint="eastAsia" w:ascii="宋体" w:hAnsi="宋体" w:cs="宋体"/>
                <w:color w:val="auto"/>
                <w:kern w:val="0"/>
                <w:szCs w:val="21"/>
              </w:rPr>
              <w:t>确定成交供应商方式</w:t>
            </w:r>
          </w:p>
        </w:tc>
        <w:tc>
          <w:tcPr>
            <w:tcW w:w="5678" w:type="dxa"/>
            <w:vAlign w:val="center"/>
          </w:tcPr>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color w:val="auto"/>
                <w:kern w:val="0"/>
                <w:szCs w:val="21"/>
              </w:rPr>
            </w:pPr>
            <w:r>
              <w:rPr>
                <w:rFonts w:hint="eastAsia" w:ascii="宋体" w:hAnsi="宋体" w:cs="宋体"/>
                <w:color w:val="auto"/>
                <w:kern w:val="0"/>
                <w:szCs w:val="21"/>
              </w:rPr>
              <w:fldChar w:fldCharType="begin"/>
            </w:r>
            <w:r>
              <w:rPr>
                <w:rFonts w:hint="eastAsia" w:ascii="宋体" w:hAnsi="宋体" w:cs="宋体"/>
                <w:color w:val="auto"/>
                <w:kern w:val="0"/>
                <w:szCs w:val="21"/>
              </w:rPr>
              <w:instrText xml:space="preserve"> eq \o\ac(</w:instrText>
            </w:r>
            <w:r>
              <w:rPr>
                <w:rFonts w:hint="eastAsia" w:ascii="宋体" w:hAnsi="宋体" w:cs="宋体"/>
                <w:color w:val="auto"/>
                <w:kern w:val="0"/>
                <w:position w:val="-4"/>
                <w:sz w:val="31"/>
                <w:szCs w:val="21"/>
              </w:rPr>
              <w:instrText xml:space="preserve">□</w:instrText>
            </w:r>
            <w:r>
              <w:rPr>
                <w:rFonts w:hint="eastAsia" w:ascii="宋体" w:hAnsi="宋体" w:cs="宋体"/>
                <w:color w:val="auto"/>
                <w:kern w:val="0"/>
                <w:szCs w:val="21"/>
              </w:rPr>
              <w:instrText xml:space="preserve">,√)</w:instrText>
            </w:r>
            <w:r>
              <w:rPr>
                <w:rFonts w:hint="eastAsia" w:ascii="宋体" w:hAnsi="宋体" w:cs="宋体"/>
                <w:color w:val="auto"/>
                <w:kern w:val="0"/>
                <w:szCs w:val="21"/>
              </w:rPr>
              <w:fldChar w:fldCharType="end"/>
            </w:r>
            <w:r>
              <w:rPr>
                <w:rFonts w:hint="eastAsia" w:ascii="宋体" w:hAnsi="宋体" w:cs="宋体"/>
                <w:color w:val="auto"/>
                <w:kern w:val="0"/>
                <w:szCs w:val="21"/>
              </w:rPr>
              <w:t>采购人</w:t>
            </w:r>
          </w:p>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color w:val="auto"/>
                <w:kern w:val="0"/>
                <w:szCs w:val="21"/>
              </w:rPr>
            </w:pPr>
            <w:r>
              <w:rPr>
                <w:rFonts w:hint="eastAsia" w:ascii="宋体" w:hAnsi="宋体" w:cs="宋体"/>
                <w:color w:val="auto"/>
                <w:kern w:val="0"/>
                <w:szCs w:val="21"/>
              </w:rPr>
              <w:t>□采购人授权谈判小组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REF _Ref421009348 \r \h  \* MERGEFORMAT </w:instrText>
            </w:r>
            <w:r>
              <w:rPr>
                <w:rFonts w:hint="eastAsia" w:ascii="宋体" w:hAnsi="宋体" w:cs="宋体"/>
                <w:color w:val="auto"/>
                <w:szCs w:val="21"/>
              </w:rPr>
              <w:fldChar w:fldCharType="separate"/>
            </w:r>
            <w:r>
              <w:rPr>
                <w:rFonts w:hint="eastAsia" w:ascii="宋体" w:hAnsi="宋体" w:cs="宋体"/>
                <w:color w:val="auto"/>
                <w:kern w:val="0"/>
                <w:szCs w:val="21"/>
              </w:rPr>
              <w:t>6.4.1</w:t>
            </w:r>
            <w:r>
              <w:rPr>
                <w:rFonts w:hint="eastAsia" w:ascii="宋体" w:hAnsi="宋体" w:cs="宋体"/>
                <w:color w:val="auto"/>
                <w:kern w:val="0"/>
                <w:szCs w:val="21"/>
              </w:rPr>
              <w:fldChar w:fldCharType="end"/>
            </w:r>
          </w:p>
        </w:tc>
        <w:tc>
          <w:tcPr>
            <w:tcW w:w="2513" w:type="dxa"/>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rPr>
            </w:pPr>
            <w:bookmarkStart w:id="53" w:name="_Toc45099862"/>
            <w:r>
              <w:rPr>
                <w:rFonts w:hint="eastAsia" w:ascii="宋体" w:hAnsi="宋体" w:cs="宋体"/>
                <w:color w:val="auto"/>
                <w:kern w:val="0"/>
                <w:szCs w:val="21"/>
              </w:rPr>
              <w:t>履约保证金</w:t>
            </w:r>
            <w:bookmarkEnd w:id="53"/>
          </w:p>
        </w:tc>
        <w:tc>
          <w:tcPr>
            <w:tcW w:w="5678" w:type="dxa"/>
            <w:vAlign w:val="center"/>
          </w:tcPr>
          <w:p>
            <w:pPr>
              <w:pageBreakBefore w:val="0"/>
              <w:kinsoku/>
              <w:overflowPunct/>
              <w:topLinePunct w:val="0"/>
              <w:autoSpaceDE w:val="0"/>
              <w:autoSpaceDN w:val="0"/>
              <w:bidi w:val="0"/>
              <w:adjustRightInd w:val="0"/>
              <w:snapToGrid w:val="0"/>
              <w:spacing w:after="156" w:afterLines="50" w:line="400" w:lineRule="exact"/>
              <w:outlineLvl w:val="9"/>
              <w:rPr>
                <w:rFonts w:ascii="宋体" w:hAnsi="宋体" w:cs="宋体"/>
                <w:color w:val="auto"/>
                <w:kern w:val="0"/>
                <w:szCs w:val="21"/>
              </w:rPr>
            </w:pPr>
            <w:r>
              <w:rPr>
                <w:rFonts w:hint="eastAsia" w:ascii="宋体" w:hAnsi="宋体" w:cs="宋体"/>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b/>
                <w:bCs/>
                <w:color w:val="auto"/>
                <w:kern w:val="0"/>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REF _Ref527103019 \r \h  \* MERGEFORMAT </w:instrText>
            </w:r>
            <w:r>
              <w:rPr>
                <w:rFonts w:hint="eastAsia" w:ascii="宋体" w:hAnsi="宋体" w:cs="宋体"/>
                <w:color w:val="auto"/>
                <w:szCs w:val="21"/>
              </w:rPr>
              <w:fldChar w:fldCharType="separate"/>
            </w:r>
            <w:r>
              <w:rPr>
                <w:rFonts w:hint="eastAsia" w:ascii="宋体" w:hAnsi="宋体" w:cs="宋体"/>
                <w:b/>
                <w:bCs/>
                <w:color w:val="auto"/>
                <w:kern w:val="0"/>
                <w:szCs w:val="21"/>
              </w:rPr>
              <w:t>9</w:t>
            </w:r>
            <w:r>
              <w:rPr>
                <w:rFonts w:hint="eastAsia" w:ascii="宋体" w:hAnsi="宋体" w:cs="宋体"/>
                <w:b/>
                <w:bCs/>
                <w:color w:val="auto"/>
                <w:kern w:val="0"/>
                <w:szCs w:val="21"/>
              </w:rPr>
              <w:fldChar w:fldCharType="end"/>
            </w:r>
          </w:p>
        </w:tc>
        <w:tc>
          <w:tcPr>
            <w:tcW w:w="8191" w:type="dxa"/>
            <w:gridSpan w:val="2"/>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rPr>
            </w:pPr>
            <w:r>
              <w:rPr>
                <w:rFonts w:hint="eastAsia" w:ascii="宋体" w:hAnsi="宋体" w:cs="宋体"/>
                <w:color w:val="auto"/>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kern w:val="0"/>
                <w:szCs w:val="21"/>
              </w:rPr>
              <w:t>（1）</w:t>
            </w:r>
          </w:p>
        </w:tc>
        <w:tc>
          <w:tcPr>
            <w:tcW w:w="8191" w:type="dxa"/>
            <w:gridSpan w:val="2"/>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rPr>
            </w:pPr>
            <w:r>
              <w:rPr>
                <w:rFonts w:hint="eastAsia" w:ascii="宋体" w:hAnsi="宋体" w:cs="宋体"/>
                <w:color w:val="auto"/>
                <w:kern w:val="0"/>
                <w:szCs w:val="21"/>
              </w:rPr>
              <w:t>成交供应商应在收到成交通知书后五个工作日内向采购代理机构交纳代理服务费。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kern w:val="0"/>
                <w:szCs w:val="21"/>
              </w:rPr>
              <w:t>（2）</w:t>
            </w:r>
          </w:p>
        </w:tc>
        <w:tc>
          <w:tcPr>
            <w:tcW w:w="2513" w:type="dxa"/>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rPr>
            </w:pPr>
            <w:r>
              <w:rPr>
                <w:rFonts w:hint="eastAsia" w:ascii="宋体" w:hAnsi="宋体" w:cs="宋体"/>
                <w:color w:val="auto"/>
                <w:kern w:val="0"/>
                <w:szCs w:val="21"/>
              </w:rPr>
              <w:t>代理服务费计算</w:t>
            </w:r>
          </w:p>
        </w:tc>
        <w:tc>
          <w:tcPr>
            <w:tcW w:w="5678" w:type="dxa"/>
            <w:vAlign w:val="center"/>
          </w:tcPr>
          <w:p>
            <w:pPr>
              <w:pageBreakBefore w:val="0"/>
              <w:kinsoku/>
              <w:overflowPunct/>
              <w:topLinePunct w:val="0"/>
              <w:autoSpaceDE w:val="0"/>
              <w:autoSpaceDN w:val="0"/>
              <w:bidi w:val="0"/>
              <w:adjustRightInd w:val="0"/>
              <w:snapToGrid w:val="0"/>
              <w:spacing w:line="400" w:lineRule="exact"/>
              <w:outlineLvl w:val="9"/>
              <w:rPr>
                <w:rFonts w:ascii="宋体" w:hAnsi="宋体" w:cs="宋体"/>
                <w:color w:val="auto"/>
                <w:kern w:val="0"/>
                <w:szCs w:val="21"/>
              </w:rPr>
            </w:pPr>
            <w:r>
              <w:rPr>
                <w:rFonts w:hint="eastAsia" w:ascii="宋体" w:hAnsi="宋体" w:cs="宋体"/>
                <w:color w:val="auto"/>
                <w:kern w:val="0"/>
                <w:szCs w:val="21"/>
              </w:rPr>
              <w:t>本项目代理服务费按固定收费</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陆</w:t>
            </w:r>
            <w:r>
              <w:rPr>
                <w:rFonts w:hint="eastAsia" w:ascii="宋体" w:hAnsi="宋体" w:cs="宋体"/>
                <w:color w:val="auto"/>
                <w:kern w:val="0"/>
                <w:szCs w:val="21"/>
                <w:u w:val="single"/>
              </w:rPr>
              <w:t xml:space="preserve"> </w:t>
            </w:r>
            <w:r>
              <w:rPr>
                <w:rFonts w:hint="eastAsia" w:ascii="宋体" w:hAnsi="宋体" w:cs="宋体"/>
                <w:color w:val="auto"/>
                <w:kern w:val="0"/>
                <w:szCs w:val="21"/>
                <w:lang w:val="en-US" w:eastAsia="zh-CN"/>
              </w:rPr>
              <w:t>仟</w:t>
            </w:r>
            <w:r>
              <w:rPr>
                <w:rFonts w:hint="eastAsia" w:ascii="宋体" w:hAnsi="宋体" w:cs="宋体"/>
                <w:color w:val="auto"/>
                <w:kern w:val="0"/>
                <w:szCs w:val="21"/>
              </w:rPr>
              <w:t>元向成交人收取。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kern w:val="0"/>
                <w:szCs w:val="21"/>
              </w:rPr>
              <w:t>（3）</w:t>
            </w:r>
          </w:p>
        </w:tc>
        <w:tc>
          <w:tcPr>
            <w:tcW w:w="2513" w:type="dxa"/>
            <w:vAlign w:val="center"/>
          </w:tcPr>
          <w:p>
            <w:pPr>
              <w:pageBreakBefore w:val="0"/>
              <w:kinsoku/>
              <w:overflowPunct/>
              <w:topLinePunct w:val="0"/>
              <w:bidi w:val="0"/>
              <w:spacing w:line="400" w:lineRule="exact"/>
              <w:outlineLvl w:val="9"/>
              <w:rPr>
                <w:rFonts w:ascii="宋体" w:hAnsi="宋体" w:cs="宋体"/>
                <w:color w:val="auto"/>
                <w:szCs w:val="21"/>
              </w:rPr>
            </w:pPr>
            <w:r>
              <w:rPr>
                <w:rFonts w:hint="eastAsia" w:ascii="宋体" w:hAnsi="宋体" w:cs="宋体"/>
                <w:color w:val="auto"/>
                <w:szCs w:val="21"/>
              </w:rPr>
              <w:t>政府采购相关支持、鼓励政策折扣比例</w:t>
            </w:r>
          </w:p>
        </w:tc>
        <w:tc>
          <w:tcPr>
            <w:tcW w:w="5678" w:type="dxa"/>
            <w:vAlign w:val="center"/>
          </w:tcPr>
          <w:p>
            <w:pPr>
              <w:pStyle w:val="18"/>
              <w:pageBreakBefore w:val="0"/>
              <w:kinsoku/>
              <w:overflowPunct/>
              <w:topLinePunct w:val="0"/>
              <w:bidi w:val="0"/>
              <w:spacing w:line="400" w:lineRule="exact"/>
              <w:ind w:firstLine="0"/>
              <w:outlineLvl w:val="9"/>
              <w:rPr>
                <w:rFonts w:hAnsi="宋体" w:cs="宋体"/>
                <w:color w:val="auto"/>
                <w:sz w:val="21"/>
                <w:szCs w:val="21"/>
              </w:rPr>
            </w:pPr>
            <w:r>
              <w:rPr>
                <w:rFonts w:hint="eastAsia" w:hAnsi="宋体" w:cs="宋体"/>
                <w:color w:val="auto"/>
                <w:sz w:val="21"/>
                <w:szCs w:val="21"/>
              </w:rPr>
              <w:t>小微企业报价扣除比例：</w:t>
            </w:r>
            <w:r>
              <w:rPr>
                <w:rFonts w:hint="eastAsia" w:hAnsi="宋体" w:cs="宋体"/>
                <w:color w:val="auto"/>
                <w:sz w:val="21"/>
                <w:szCs w:val="21"/>
                <w:u w:val="single"/>
              </w:rPr>
              <w:t xml:space="preserve">  </w:t>
            </w:r>
            <w:r>
              <w:rPr>
                <w:rFonts w:hint="eastAsia" w:hAnsi="宋体" w:cs="宋体"/>
                <w:color w:val="auto"/>
                <w:sz w:val="21"/>
                <w:szCs w:val="21"/>
                <w:u w:val="single"/>
                <w:lang w:val="en-US" w:eastAsia="zh-CN"/>
              </w:rPr>
              <w:t>10</w:t>
            </w:r>
            <w:r>
              <w:rPr>
                <w:rFonts w:hint="eastAsia" w:hAnsi="宋体" w:cs="宋体"/>
                <w:color w:val="auto"/>
                <w:sz w:val="21"/>
                <w:szCs w:val="21"/>
                <w:u w:val="single"/>
              </w:rPr>
              <w:t xml:space="preserve">%     </w:t>
            </w:r>
          </w:p>
          <w:p>
            <w:pPr>
              <w:pStyle w:val="18"/>
              <w:pageBreakBefore w:val="0"/>
              <w:kinsoku/>
              <w:overflowPunct/>
              <w:topLinePunct w:val="0"/>
              <w:bidi w:val="0"/>
              <w:spacing w:line="400" w:lineRule="exact"/>
              <w:ind w:firstLine="0"/>
              <w:outlineLvl w:val="9"/>
              <w:rPr>
                <w:rFonts w:hAnsi="宋体" w:cs="宋体"/>
                <w:color w:val="auto"/>
                <w:sz w:val="21"/>
                <w:szCs w:val="21"/>
              </w:rPr>
            </w:pPr>
            <w:r>
              <w:rPr>
                <w:rFonts w:hint="eastAsia" w:hAnsi="宋体" w:cs="宋体"/>
                <w:color w:val="auto"/>
                <w:sz w:val="21"/>
                <w:szCs w:val="21"/>
              </w:rPr>
              <w:t>监狱企业报价扣除比例：</w:t>
            </w:r>
            <w:r>
              <w:rPr>
                <w:rFonts w:hint="eastAsia" w:hAnsi="宋体" w:cs="宋体"/>
                <w:color w:val="auto"/>
                <w:sz w:val="21"/>
                <w:szCs w:val="21"/>
                <w:u w:val="single"/>
              </w:rPr>
              <w:t xml:space="preserve">  </w:t>
            </w:r>
            <w:r>
              <w:rPr>
                <w:rFonts w:hint="eastAsia" w:hAnsi="宋体" w:cs="宋体"/>
                <w:color w:val="auto"/>
                <w:sz w:val="21"/>
                <w:szCs w:val="21"/>
                <w:u w:val="single"/>
                <w:lang w:val="en-US" w:eastAsia="zh-CN"/>
              </w:rPr>
              <w:t>10</w:t>
            </w:r>
            <w:r>
              <w:rPr>
                <w:rFonts w:hint="eastAsia" w:hAnsi="宋体" w:cs="宋体"/>
                <w:color w:val="auto"/>
                <w:sz w:val="21"/>
                <w:szCs w:val="21"/>
                <w:u w:val="single"/>
              </w:rPr>
              <w:t xml:space="preserve">%     </w:t>
            </w:r>
          </w:p>
          <w:p>
            <w:pPr>
              <w:pStyle w:val="18"/>
              <w:pageBreakBefore w:val="0"/>
              <w:kinsoku/>
              <w:overflowPunct/>
              <w:topLinePunct w:val="0"/>
              <w:bidi w:val="0"/>
              <w:spacing w:line="400" w:lineRule="exact"/>
              <w:ind w:firstLine="0"/>
              <w:outlineLvl w:val="9"/>
              <w:rPr>
                <w:rFonts w:hAnsi="宋体" w:cs="宋体"/>
                <w:color w:val="auto"/>
                <w:sz w:val="21"/>
                <w:szCs w:val="21"/>
              </w:rPr>
            </w:pPr>
            <w:r>
              <w:rPr>
                <w:rFonts w:hint="eastAsia" w:hAnsi="宋体" w:cs="宋体"/>
                <w:color w:val="auto"/>
                <w:sz w:val="21"/>
                <w:szCs w:val="21"/>
              </w:rPr>
              <w:t>残疾人福利性单位报价扣除比例：</w:t>
            </w:r>
            <w:r>
              <w:rPr>
                <w:rFonts w:hint="eastAsia" w:hAnsi="宋体" w:cs="宋体"/>
                <w:color w:val="auto"/>
                <w:sz w:val="21"/>
                <w:szCs w:val="21"/>
                <w:u w:val="single"/>
              </w:rPr>
              <w:t xml:space="preserve">  </w:t>
            </w:r>
            <w:r>
              <w:rPr>
                <w:rFonts w:hint="eastAsia" w:hAnsi="宋体" w:cs="宋体"/>
                <w:color w:val="auto"/>
                <w:sz w:val="21"/>
                <w:szCs w:val="21"/>
                <w:u w:val="single"/>
                <w:lang w:val="en-US" w:eastAsia="zh-CN"/>
              </w:rPr>
              <w:t>10</w:t>
            </w:r>
            <w:r>
              <w:rPr>
                <w:rFonts w:hint="eastAsia" w:hAnsi="宋体" w:cs="宋体"/>
                <w:color w:val="auto"/>
                <w:sz w:val="21"/>
                <w:szCs w:val="21"/>
                <w:u w:val="single"/>
              </w:rPr>
              <w:t xml:space="preserve">%      </w:t>
            </w:r>
          </w:p>
          <w:p>
            <w:pPr>
              <w:pStyle w:val="18"/>
              <w:pageBreakBefore w:val="0"/>
              <w:kinsoku/>
              <w:overflowPunct/>
              <w:topLinePunct w:val="0"/>
              <w:bidi w:val="0"/>
              <w:spacing w:line="400" w:lineRule="exact"/>
              <w:ind w:firstLine="0"/>
              <w:outlineLvl w:val="9"/>
              <w:rPr>
                <w:rFonts w:hAnsi="宋体" w:cs="宋体"/>
                <w:color w:val="auto"/>
                <w:sz w:val="21"/>
                <w:szCs w:val="21"/>
                <w:u w:val="single"/>
              </w:rPr>
            </w:pPr>
            <w:r>
              <w:rPr>
                <w:rFonts w:hint="eastAsia" w:hAnsi="宋体" w:cs="宋体"/>
                <w:color w:val="auto"/>
                <w:sz w:val="21"/>
                <w:szCs w:val="21"/>
              </w:rPr>
              <w:t>符合27.2条要求的联合体价格扣除比例：</w:t>
            </w:r>
            <w:r>
              <w:rPr>
                <w:rFonts w:hint="eastAsia" w:hAnsi="宋体" w:cs="宋体"/>
                <w:color w:val="auto"/>
                <w:sz w:val="21"/>
                <w:szCs w:val="21"/>
                <w:u w:val="single"/>
              </w:rPr>
              <w:t xml:space="preserve"> </w:t>
            </w:r>
            <w:r>
              <w:rPr>
                <w:rFonts w:hint="eastAsia" w:hAnsi="宋体" w:cs="宋体"/>
                <w:color w:val="auto"/>
                <w:sz w:val="21"/>
                <w:szCs w:val="21"/>
                <w:u w:val="single"/>
                <w:lang w:val="en-US" w:eastAsia="zh-CN"/>
              </w:rPr>
              <w:t>4</w:t>
            </w:r>
            <w:r>
              <w:rPr>
                <w:rFonts w:hint="eastAsia" w:hAnsi="宋体" w:cs="宋体"/>
                <w:color w:val="auto"/>
                <w:sz w:val="21"/>
                <w:szCs w:val="21"/>
                <w:u w:val="single"/>
              </w:rPr>
              <w:t xml:space="preserve">%    </w:t>
            </w:r>
          </w:p>
          <w:p>
            <w:pPr>
              <w:pStyle w:val="18"/>
              <w:pageBreakBefore w:val="0"/>
              <w:kinsoku/>
              <w:overflowPunct/>
              <w:topLinePunct w:val="0"/>
              <w:bidi w:val="0"/>
              <w:spacing w:line="400" w:lineRule="exact"/>
              <w:ind w:firstLine="0"/>
              <w:outlineLvl w:val="9"/>
              <w:rPr>
                <w:rFonts w:hAnsi="宋体" w:cs="宋体"/>
                <w:color w:val="auto"/>
                <w:sz w:val="21"/>
                <w:szCs w:val="21"/>
              </w:rPr>
            </w:pPr>
            <w:r>
              <w:rPr>
                <w:rFonts w:hint="eastAsia" w:hAnsi="宋体" w:cs="宋体"/>
                <w:color w:val="auto"/>
                <w:sz w:val="21"/>
                <w:szCs w:val="21"/>
              </w:rPr>
              <w:t>节能产品价格扣除比例：</w:t>
            </w:r>
            <w:r>
              <w:rPr>
                <w:rFonts w:hint="eastAsia" w:hAnsi="宋体" w:cs="宋体"/>
                <w:color w:val="auto"/>
                <w:sz w:val="21"/>
                <w:szCs w:val="21"/>
                <w:u w:val="single"/>
              </w:rPr>
              <w:t xml:space="preserve">   </w:t>
            </w:r>
            <w:r>
              <w:rPr>
                <w:rFonts w:hint="eastAsia" w:hAnsi="宋体" w:cs="宋体"/>
                <w:color w:val="auto"/>
                <w:sz w:val="21"/>
                <w:szCs w:val="21"/>
                <w:u w:val="single"/>
                <w:lang w:val="en-US" w:eastAsia="zh-CN"/>
              </w:rPr>
              <w:t>4</w:t>
            </w:r>
            <w:r>
              <w:rPr>
                <w:rFonts w:hint="eastAsia" w:hAnsi="宋体" w:cs="宋体"/>
                <w:color w:val="auto"/>
                <w:sz w:val="21"/>
                <w:szCs w:val="21"/>
                <w:u w:val="single"/>
              </w:rPr>
              <w:t xml:space="preserve">%       </w:t>
            </w:r>
          </w:p>
          <w:p>
            <w:pPr>
              <w:pStyle w:val="18"/>
              <w:pageBreakBefore w:val="0"/>
              <w:kinsoku/>
              <w:overflowPunct/>
              <w:topLinePunct w:val="0"/>
              <w:bidi w:val="0"/>
              <w:spacing w:line="400" w:lineRule="exact"/>
              <w:ind w:firstLine="0"/>
              <w:outlineLvl w:val="9"/>
              <w:rPr>
                <w:rFonts w:hAnsi="宋体" w:cs="宋体"/>
                <w:color w:val="auto"/>
                <w:sz w:val="21"/>
                <w:szCs w:val="21"/>
              </w:rPr>
            </w:pPr>
            <w:r>
              <w:rPr>
                <w:rFonts w:hint="eastAsia" w:hAnsi="宋体" w:cs="宋体"/>
                <w:color w:val="auto"/>
                <w:sz w:val="21"/>
                <w:szCs w:val="21"/>
              </w:rPr>
              <w:t>环保产品价格扣除比例：</w:t>
            </w:r>
            <w:r>
              <w:rPr>
                <w:rFonts w:hint="eastAsia" w:hAnsi="宋体" w:cs="宋体"/>
                <w:color w:val="auto"/>
                <w:sz w:val="21"/>
                <w:szCs w:val="21"/>
                <w:u w:val="single"/>
              </w:rPr>
              <w:t xml:space="preserve">    </w:t>
            </w:r>
            <w:r>
              <w:rPr>
                <w:rFonts w:hint="eastAsia" w:hAnsi="宋体" w:cs="宋体"/>
                <w:color w:val="auto"/>
                <w:sz w:val="21"/>
                <w:szCs w:val="21"/>
                <w:u w:val="single"/>
                <w:lang w:val="en-US" w:eastAsia="zh-CN"/>
              </w:rPr>
              <w:t>4</w:t>
            </w:r>
            <w:r>
              <w:rPr>
                <w:rFonts w:hint="eastAsia" w:hAnsi="宋体" w:cs="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kern w:val="0"/>
                <w:szCs w:val="21"/>
              </w:rPr>
              <w:t>（4）</w:t>
            </w:r>
          </w:p>
        </w:tc>
        <w:tc>
          <w:tcPr>
            <w:tcW w:w="2513" w:type="dxa"/>
            <w:vAlign w:val="center"/>
          </w:tcPr>
          <w:p>
            <w:pPr>
              <w:pageBreakBefore w:val="0"/>
              <w:kinsoku/>
              <w:overflowPunct/>
              <w:topLinePunct w:val="0"/>
              <w:bidi w:val="0"/>
              <w:spacing w:line="400" w:lineRule="exact"/>
              <w:outlineLvl w:val="9"/>
              <w:rPr>
                <w:rFonts w:ascii="宋体" w:hAnsi="宋体" w:cs="宋体"/>
                <w:color w:val="auto"/>
                <w:szCs w:val="21"/>
              </w:rPr>
            </w:pPr>
            <w:r>
              <w:rPr>
                <w:rFonts w:hint="eastAsia" w:ascii="宋体" w:hAnsi="宋体" w:cs="宋体"/>
                <w:color w:val="auto"/>
                <w:szCs w:val="21"/>
              </w:rPr>
              <w:t>推荐成交候选人数量</w:t>
            </w:r>
          </w:p>
        </w:tc>
        <w:tc>
          <w:tcPr>
            <w:tcW w:w="5678" w:type="dxa"/>
            <w:vAlign w:val="center"/>
          </w:tcPr>
          <w:p>
            <w:pPr>
              <w:pStyle w:val="18"/>
              <w:pageBreakBefore w:val="0"/>
              <w:kinsoku/>
              <w:overflowPunct/>
              <w:topLinePunct w:val="0"/>
              <w:bidi w:val="0"/>
              <w:spacing w:line="400" w:lineRule="exact"/>
              <w:ind w:firstLine="0"/>
              <w:outlineLvl w:val="9"/>
              <w:rPr>
                <w:rFonts w:hAnsi="宋体" w:cs="宋体"/>
                <w:color w:val="auto"/>
                <w:sz w:val="21"/>
                <w:szCs w:val="21"/>
              </w:rPr>
            </w:pPr>
            <w:r>
              <w:rPr>
                <w:rFonts w:hint="eastAsia" w:hAnsi="宋体" w:cs="宋体"/>
                <w:color w:val="auto"/>
                <w:sz w:val="21"/>
                <w:szCs w:val="21"/>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7" w:type="dxa"/>
            <w:vAlign w:val="center"/>
          </w:tcPr>
          <w:p>
            <w:pPr>
              <w:pageBreakBefore w:val="0"/>
              <w:kinsoku/>
              <w:overflowPunct/>
              <w:topLinePunct w:val="0"/>
              <w:autoSpaceDE w:val="0"/>
              <w:autoSpaceDN w:val="0"/>
              <w:bidi w:val="0"/>
              <w:adjustRightInd w:val="0"/>
              <w:snapToGrid w:val="0"/>
              <w:spacing w:line="400" w:lineRule="exact"/>
              <w:jc w:val="center"/>
              <w:outlineLvl w:val="9"/>
              <w:rPr>
                <w:rFonts w:ascii="宋体" w:hAnsi="宋体" w:cs="宋体"/>
                <w:color w:val="auto"/>
                <w:kern w:val="0"/>
                <w:szCs w:val="21"/>
              </w:rPr>
            </w:pPr>
            <w:r>
              <w:rPr>
                <w:rFonts w:hint="eastAsia" w:ascii="宋体" w:hAnsi="宋体" w:cs="宋体"/>
                <w:color w:val="auto"/>
                <w:kern w:val="0"/>
                <w:szCs w:val="21"/>
              </w:rPr>
              <w:t>（5）</w:t>
            </w:r>
          </w:p>
        </w:tc>
        <w:tc>
          <w:tcPr>
            <w:tcW w:w="2513" w:type="dxa"/>
            <w:vAlign w:val="center"/>
          </w:tcPr>
          <w:p>
            <w:pPr>
              <w:pageBreakBefore w:val="0"/>
              <w:kinsoku/>
              <w:overflowPunct/>
              <w:topLinePunct w:val="0"/>
              <w:bidi w:val="0"/>
              <w:spacing w:line="400" w:lineRule="exact"/>
              <w:outlineLvl w:val="9"/>
              <w:rPr>
                <w:rFonts w:ascii="宋体" w:hAnsi="宋体" w:cs="宋体"/>
                <w:color w:val="auto"/>
                <w:szCs w:val="21"/>
              </w:rPr>
            </w:pPr>
            <w:r>
              <w:rPr>
                <w:rFonts w:hint="eastAsia" w:ascii="宋体" w:hAnsi="宋体" w:cs="宋体"/>
                <w:color w:val="auto"/>
                <w:szCs w:val="21"/>
              </w:rPr>
              <w:t>成交公告发布的媒体及公告期限</w:t>
            </w:r>
          </w:p>
        </w:tc>
        <w:tc>
          <w:tcPr>
            <w:tcW w:w="5678" w:type="dxa"/>
            <w:vAlign w:val="center"/>
          </w:tcPr>
          <w:p>
            <w:pPr>
              <w:pStyle w:val="18"/>
              <w:pageBreakBefore w:val="0"/>
              <w:kinsoku/>
              <w:overflowPunct/>
              <w:topLinePunct w:val="0"/>
              <w:bidi w:val="0"/>
              <w:spacing w:line="400" w:lineRule="exact"/>
              <w:ind w:firstLine="0"/>
              <w:outlineLvl w:val="9"/>
              <w:rPr>
                <w:rFonts w:hAnsi="宋体" w:cs="宋体"/>
                <w:color w:val="auto"/>
                <w:sz w:val="21"/>
                <w:szCs w:val="21"/>
              </w:rPr>
            </w:pPr>
            <w:r>
              <w:rPr>
                <w:rFonts w:hint="eastAsia" w:hAnsi="宋体" w:cs="宋体"/>
                <w:color w:val="auto"/>
                <w:sz w:val="21"/>
                <w:szCs w:val="21"/>
              </w:rPr>
              <w:t>发布媒体：《西藏政府采购网》</w:t>
            </w:r>
          </w:p>
          <w:p>
            <w:pPr>
              <w:pStyle w:val="18"/>
              <w:pageBreakBefore w:val="0"/>
              <w:kinsoku/>
              <w:overflowPunct/>
              <w:topLinePunct w:val="0"/>
              <w:bidi w:val="0"/>
              <w:spacing w:line="400" w:lineRule="exact"/>
              <w:ind w:firstLine="0"/>
              <w:outlineLvl w:val="9"/>
              <w:rPr>
                <w:rFonts w:hAnsi="宋体" w:cs="宋体"/>
                <w:color w:val="auto"/>
                <w:sz w:val="21"/>
                <w:szCs w:val="21"/>
              </w:rPr>
            </w:pPr>
            <w:r>
              <w:rPr>
                <w:rFonts w:hint="eastAsia" w:hAnsi="宋体" w:cs="宋体"/>
                <w:color w:val="auto"/>
                <w:sz w:val="21"/>
                <w:szCs w:val="21"/>
              </w:rPr>
              <w:t>公告期限：</w:t>
            </w:r>
            <w:r>
              <w:rPr>
                <w:rFonts w:hint="eastAsia" w:hAnsi="宋体" w:cs="宋体"/>
                <w:color w:val="auto"/>
                <w:sz w:val="21"/>
                <w:szCs w:val="21"/>
                <w:u w:val="single"/>
              </w:rPr>
              <w:t xml:space="preserve">  1个工作日    </w:t>
            </w:r>
          </w:p>
        </w:tc>
      </w:tr>
    </w:tbl>
    <w:p>
      <w:pPr>
        <w:pageBreakBefore w:val="0"/>
        <w:kinsoku/>
        <w:overflowPunct/>
        <w:topLinePunct w:val="0"/>
        <w:autoSpaceDE w:val="0"/>
        <w:autoSpaceDN w:val="0"/>
        <w:bidi w:val="0"/>
        <w:adjustRightInd w:val="0"/>
        <w:snapToGrid w:val="0"/>
        <w:spacing w:after="156" w:afterLines="50" w:line="380" w:lineRule="exact"/>
        <w:jc w:val="center"/>
        <w:outlineLvl w:val="9"/>
        <w:rPr>
          <w:rFonts w:ascii="宋体" w:hAnsi="宋体" w:cs="黑体"/>
          <w:b/>
          <w:bCs/>
          <w:color w:val="auto"/>
          <w:kern w:val="0"/>
          <w:sz w:val="28"/>
          <w:szCs w:val="28"/>
        </w:rPr>
      </w:pPr>
      <w:r>
        <w:rPr>
          <w:rFonts w:ascii="宋体" w:hAnsi="宋体" w:cs="仿宋_GB2312"/>
          <w:color w:val="auto"/>
          <w:kern w:val="0"/>
          <w:szCs w:val="21"/>
        </w:rPr>
        <w:br w:type="page"/>
      </w:r>
      <w:bookmarkStart w:id="54" w:name="_Toc45099863"/>
      <w:r>
        <w:rPr>
          <w:rFonts w:hint="eastAsia" w:ascii="宋体" w:hAnsi="宋体" w:cs="黑体"/>
          <w:b/>
          <w:bCs/>
          <w:color w:val="auto"/>
          <w:kern w:val="0"/>
          <w:sz w:val="28"/>
          <w:szCs w:val="28"/>
        </w:rPr>
        <w:t>（二）供应商须知</w:t>
      </w:r>
      <w:bookmarkEnd w:id="54"/>
    </w:p>
    <w:p>
      <w:pPr>
        <w:pageBreakBefore w:val="0"/>
        <w:numPr>
          <w:ilvl w:val="0"/>
          <w:numId w:val="3"/>
        </w:numPr>
        <w:kinsoku/>
        <w:overflowPunct/>
        <w:topLinePunct w:val="0"/>
        <w:autoSpaceDE w:val="0"/>
        <w:autoSpaceDN w:val="0"/>
        <w:bidi w:val="0"/>
        <w:adjustRightInd w:val="0"/>
        <w:spacing w:after="156" w:afterLines="50" w:line="380" w:lineRule="exact"/>
        <w:outlineLvl w:val="9"/>
        <w:rPr>
          <w:rFonts w:ascii="黑体" w:hAnsi="宋体" w:eastAsia="黑体" w:cs="黑体"/>
          <w:color w:val="auto"/>
          <w:kern w:val="0"/>
          <w:sz w:val="24"/>
        </w:rPr>
      </w:pPr>
      <w:bookmarkStart w:id="55" w:name="_Toc45099864"/>
      <w:bookmarkStart w:id="56" w:name="_Toc195921793"/>
      <w:r>
        <w:rPr>
          <w:rFonts w:hint="eastAsia" w:ascii="黑体" w:hAnsi="宋体" w:eastAsia="黑体" w:cs="黑体"/>
          <w:color w:val="auto"/>
          <w:kern w:val="0"/>
          <w:sz w:val="24"/>
        </w:rPr>
        <w:t>总则</w:t>
      </w:r>
      <w:bookmarkEnd w:id="55"/>
      <w:bookmarkEnd w:id="56"/>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57" w:name="_Toc195921794"/>
      <w:r>
        <w:rPr>
          <w:rFonts w:hint="eastAsia" w:ascii="宋体" w:hAnsi="宋体" w:cs="黑体"/>
          <w:color w:val="auto"/>
          <w:kern w:val="0"/>
          <w:sz w:val="24"/>
        </w:rPr>
        <w:t>项目概况</w:t>
      </w:r>
      <w:bookmarkEnd w:id="57"/>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根据《中华人民共和国政府采购法》和《中华人民共和国政府采购法实施条例》等有关法律、法规和规章的规定，对本项目通过竞争性谈判进行采购。</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采购人：</w:t>
      </w:r>
      <w:r>
        <w:rPr>
          <w:rFonts w:hint="eastAsia"/>
          <w:color w:val="auto"/>
          <w:sz w:val="24"/>
        </w:rPr>
        <w:t>指依法进行政府采购的国家机关、事业单位、团体组织。本项目采购人见竞争性谈判公告/谈判邀请书</w:t>
      </w:r>
      <w:r>
        <w:rPr>
          <w:rFonts w:hint="eastAsia" w:ascii="宋体" w:hAnsi="宋体" w:cs="黑体"/>
          <w:color w:val="auto"/>
          <w:kern w:val="0"/>
          <w:sz w:val="24"/>
        </w:rPr>
        <w:t>。</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采购代理机构：</w:t>
      </w:r>
      <w:r>
        <w:rPr>
          <w:rFonts w:hint="eastAsia"/>
          <w:color w:val="auto"/>
          <w:sz w:val="24"/>
        </w:rPr>
        <w:t>指采购人委托的采购代理机构。本项目采购代理机构见竞争性谈判公告/谈判邀请书</w:t>
      </w:r>
      <w:r>
        <w:rPr>
          <w:rFonts w:hint="eastAsia" w:ascii="宋体" w:hAnsi="宋体" w:cs="黑体"/>
          <w:color w:val="auto"/>
          <w:kern w:val="0"/>
          <w:sz w:val="24"/>
        </w:rPr>
        <w:t>。</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采购项目名称：</w:t>
      </w:r>
    </w:p>
    <w:p>
      <w:pPr>
        <w:pageBreakBefore w:val="0"/>
        <w:kinsoku/>
        <w:overflowPunct/>
        <w:topLinePunct w:val="0"/>
        <w:autoSpaceDE w:val="0"/>
        <w:autoSpaceDN w:val="0"/>
        <w:bidi w:val="0"/>
        <w:adjustRightInd w:val="0"/>
        <w:snapToGrid w:val="0"/>
        <w:spacing w:after="156" w:afterLines="50" w:line="380" w:lineRule="exact"/>
        <w:ind w:left="1079"/>
        <w:outlineLvl w:val="9"/>
        <w:rPr>
          <w:rFonts w:ascii="宋体" w:hAnsi="宋体"/>
          <w:color w:val="auto"/>
          <w:sz w:val="24"/>
        </w:rPr>
      </w:pPr>
      <w:r>
        <w:rPr>
          <w:rFonts w:hint="eastAsia" w:ascii="宋体" w:hAnsi="宋体"/>
          <w:color w:val="auto"/>
          <w:sz w:val="24"/>
        </w:rPr>
        <w:t>见竞争性谈判公告</w:t>
      </w:r>
      <w:r>
        <w:rPr>
          <w:rFonts w:hint="eastAsia"/>
          <w:color w:val="auto"/>
          <w:sz w:val="24"/>
        </w:rPr>
        <w:t>/谈判邀请书</w:t>
      </w:r>
      <w:r>
        <w:rPr>
          <w:rFonts w:hint="eastAsia" w:ascii="宋体" w:hAnsi="宋体"/>
          <w:color w:val="auto"/>
          <w:sz w:val="24"/>
        </w:rPr>
        <w:t>。</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58" w:name="_Toc195921795"/>
      <w:r>
        <w:rPr>
          <w:rFonts w:hint="eastAsia" w:ascii="宋体" w:hAnsi="宋体" w:cs="黑体"/>
          <w:color w:val="auto"/>
          <w:kern w:val="0"/>
          <w:sz w:val="24"/>
        </w:rPr>
        <w:t>采购预算</w:t>
      </w:r>
      <w:bookmarkEnd w:id="58"/>
      <w:r>
        <w:rPr>
          <w:rFonts w:hint="eastAsia" w:ascii="宋体" w:hAnsi="宋体" w:cs="黑体"/>
          <w:color w:val="auto"/>
          <w:kern w:val="0"/>
          <w:sz w:val="24"/>
        </w:rPr>
        <w:t>及最高限价</w:t>
      </w:r>
    </w:p>
    <w:p>
      <w:pPr>
        <w:pageBreakBefore w:val="0"/>
        <w:kinsoku/>
        <w:overflowPunct/>
        <w:topLinePunct w:val="0"/>
        <w:autoSpaceDE w:val="0"/>
        <w:autoSpaceDN w:val="0"/>
        <w:bidi w:val="0"/>
        <w:adjustRightInd w:val="0"/>
        <w:snapToGrid w:val="0"/>
        <w:spacing w:after="156" w:afterLines="50" w:line="380" w:lineRule="exact"/>
        <w:ind w:left="1079"/>
        <w:outlineLvl w:val="9"/>
        <w:rPr>
          <w:rFonts w:ascii="宋体" w:hAnsi="宋体"/>
          <w:color w:val="auto"/>
          <w:sz w:val="24"/>
        </w:rPr>
      </w:pPr>
      <w:r>
        <w:rPr>
          <w:rFonts w:hint="eastAsia" w:ascii="宋体" w:hAnsi="宋体"/>
          <w:color w:val="auto"/>
          <w:sz w:val="24"/>
        </w:rPr>
        <w:t>见竞争性谈判公告</w:t>
      </w:r>
      <w:r>
        <w:rPr>
          <w:rFonts w:hint="eastAsia"/>
          <w:color w:val="auto"/>
          <w:sz w:val="24"/>
        </w:rPr>
        <w:t>/谈判邀请书</w:t>
      </w:r>
      <w:r>
        <w:rPr>
          <w:rFonts w:hint="eastAsia" w:ascii="宋体" w:hAnsi="宋体"/>
          <w:color w:val="auto"/>
          <w:sz w:val="24"/>
        </w:rPr>
        <w:t>。</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59" w:name="_Toc195921796"/>
      <w:r>
        <w:rPr>
          <w:rFonts w:hint="eastAsia" w:ascii="宋体" w:hAnsi="宋体" w:cs="黑体"/>
          <w:color w:val="auto"/>
          <w:kern w:val="0"/>
          <w:sz w:val="24"/>
        </w:rPr>
        <w:t>采购范围、供货期/服务期和质量要求</w:t>
      </w:r>
      <w:bookmarkEnd w:id="59"/>
    </w:p>
    <w:p>
      <w:pPr>
        <w:pageBreakBefore w:val="0"/>
        <w:kinsoku/>
        <w:overflowPunct/>
        <w:topLinePunct w:val="0"/>
        <w:autoSpaceDE w:val="0"/>
        <w:autoSpaceDN w:val="0"/>
        <w:bidi w:val="0"/>
        <w:adjustRightInd w:val="0"/>
        <w:snapToGrid w:val="0"/>
        <w:spacing w:after="156" w:afterLines="50" w:line="380" w:lineRule="exact"/>
        <w:ind w:left="1079"/>
        <w:outlineLvl w:val="9"/>
        <w:rPr>
          <w:rFonts w:ascii="宋体" w:hAnsi="宋体"/>
          <w:color w:val="auto"/>
          <w:sz w:val="24"/>
        </w:rPr>
      </w:pPr>
      <w:r>
        <w:rPr>
          <w:rFonts w:hint="eastAsia" w:ascii="宋体" w:hAnsi="宋体"/>
          <w:color w:val="auto"/>
          <w:sz w:val="24"/>
        </w:rPr>
        <w:t>见采购需求。</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供应商：</w:t>
      </w:r>
      <w:r>
        <w:rPr>
          <w:rFonts w:hint="eastAsia" w:asciiTheme="minorEastAsia" w:hAnsiTheme="minorEastAsia"/>
          <w:color w:val="auto"/>
          <w:sz w:val="24"/>
        </w:rPr>
        <w:t>指递交响应文件的法人、其他组织或自然人</w:t>
      </w:r>
      <w:r>
        <w:rPr>
          <w:rFonts w:hint="eastAsia" w:ascii="宋体" w:hAnsi="宋体" w:cs="黑体"/>
          <w:color w:val="auto"/>
          <w:kern w:val="0"/>
          <w:sz w:val="24"/>
        </w:rPr>
        <w:t>。</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ascii="宋体" w:hAnsi="宋体" w:cs="黑体"/>
          <w:color w:val="auto"/>
          <w:kern w:val="0"/>
          <w:sz w:val="24"/>
        </w:rPr>
        <w:t>对供应商相关要求</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符合竞争性谈判公告</w:t>
      </w:r>
      <w:r>
        <w:rPr>
          <w:rFonts w:hint="eastAsia"/>
          <w:color w:val="auto"/>
          <w:sz w:val="24"/>
        </w:rPr>
        <w:t>/谈判邀请书</w:t>
      </w:r>
      <w:r>
        <w:rPr>
          <w:rFonts w:hint="eastAsia" w:ascii="宋体" w:hAnsi="宋体" w:cs="黑体"/>
          <w:color w:val="auto"/>
          <w:kern w:val="0"/>
          <w:sz w:val="24"/>
        </w:rPr>
        <w:t>“供应商资格要求”。</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Theme="minorEastAsia" w:hAnsiTheme="minorEastAsia"/>
          <w:color w:val="auto"/>
          <w:sz w:val="24"/>
        </w:rPr>
        <w:t>供应商应当遵循公平竞争的原则，不得恶意串通，不得妨碍其他供应商的竞争行为，不得损害采购人或者其他供应商的合法权益。</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供应商不得以向采购人、采购代理机构、谈判小组成员行贿或者采取其他不正当手段谋取成交。</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竞争性谈判公告</w:t>
      </w:r>
      <w:r>
        <w:rPr>
          <w:rFonts w:hint="eastAsia"/>
          <w:color w:val="auto"/>
          <w:sz w:val="24"/>
        </w:rPr>
        <w:t>/谈判邀请书</w:t>
      </w:r>
      <w:r>
        <w:rPr>
          <w:rFonts w:hint="eastAsia" w:ascii="宋体" w:hAnsi="宋体" w:cs="黑体"/>
          <w:color w:val="auto"/>
          <w:kern w:val="0"/>
          <w:sz w:val="24"/>
        </w:rPr>
        <w:t>规定接受联合体的，还应遵守以下规定：</w:t>
      </w:r>
    </w:p>
    <w:p>
      <w:pPr>
        <w:pageBreakBefore w:val="0"/>
        <w:numPr>
          <w:ilvl w:val="0"/>
          <w:numId w:val="4"/>
        </w:numPr>
        <w:tabs>
          <w:tab w:val="left" w:pos="1701"/>
        </w:tabs>
        <w:kinsoku/>
        <w:overflowPunct/>
        <w:topLinePunct w:val="0"/>
        <w:autoSpaceDE w:val="0"/>
        <w:autoSpaceDN w:val="0"/>
        <w:bidi w:val="0"/>
        <w:adjustRightInd w:val="0"/>
        <w:snapToGrid w:val="0"/>
        <w:spacing w:after="156" w:afterLines="50" w:line="380" w:lineRule="exact"/>
        <w:ind w:left="1701" w:hanging="622"/>
        <w:outlineLvl w:val="9"/>
        <w:rPr>
          <w:rFonts w:ascii="宋体" w:hAnsi="宋体"/>
          <w:color w:val="auto"/>
          <w:sz w:val="24"/>
        </w:rPr>
      </w:pPr>
      <w:r>
        <w:rPr>
          <w:rFonts w:hint="eastAsia" w:ascii="宋体" w:hAnsi="宋体"/>
          <w:color w:val="auto"/>
          <w:sz w:val="24"/>
        </w:rPr>
        <w:t>联合体各方应按谈判文件提供的格式签订联合体协议书，明确联合体牵头人和各方工作内容和义务；</w:t>
      </w:r>
    </w:p>
    <w:p>
      <w:pPr>
        <w:pageBreakBefore w:val="0"/>
        <w:numPr>
          <w:ilvl w:val="0"/>
          <w:numId w:val="4"/>
        </w:numPr>
        <w:tabs>
          <w:tab w:val="left" w:pos="1701"/>
        </w:tabs>
        <w:kinsoku/>
        <w:overflowPunct/>
        <w:topLinePunct w:val="0"/>
        <w:autoSpaceDE w:val="0"/>
        <w:autoSpaceDN w:val="0"/>
        <w:bidi w:val="0"/>
        <w:adjustRightInd w:val="0"/>
        <w:snapToGrid w:val="0"/>
        <w:spacing w:after="156" w:afterLines="50" w:line="380" w:lineRule="exact"/>
        <w:ind w:left="1701" w:hanging="622"/>
        <w:outlineLvl w:val="9"/>
        <w:rPr>
          <w:rFonts w:ascii="宋体" w:hAnsi="宋体"/>
          <w:color w:val="auto"/>
          <w:sz w:val="24"/>
        </w:rPr>
      </w:pPr>
      <w:r>
        <w:rPr>
          <w:rFonts w:ascii="宋体" w:hAnsi="宋体"/>
          <w:color w:val="auto"/>
          <w:sz w:val="24"/>
        </w:rPr>
        <w:t>联合体中有同类资质的供应商按照联合体分工承担相同工作的，应当按照资质等级较低的供应商确定联合体的资质等级。</w:t>
      </w:r>
    </w:p>
    <w:p>
      <w:pPr>
        <w:pageBreakBefore w:val="0"/>
        <w:numPr>
          <w:ilvl w:val="0"/>
          <w:numId w:val="4"/>
        </w:numPr>
        <w:tabs>
          <w:tab w:val="left" w:pos="1701"/>
        </w:tabs>
        <w:kinsoku/>
        <w:overflowPunct/>
        <w:topLinePunct w:val="0"/>
        <w:autoSpaceDE w:val="0"/>
        <w:autoSpaceDN w:val="0"/>
        <w:bidi w:val="0"/>
        <w:adjustRightInd w:val="0"/>
        <w:snapToGrid w:val="0"/>
        <w:spacing w:after="156" w:afterLines="50" w:line="380" w:lineRule="exact"/>
        <w:ind w:left="1701" w:hanging="622"/>
        <w:outlineLvl w:val="9"/>
        <w:rPr>
          <w:rFonts w:ascii="宋体" w:hAnsi="宋体"/>
          <w:color w:val="auto"/>
          <w:sz w:val="24"/>
        </w:rPr>
      </w:pPr>
      <w:r>
        <w:rPr>
          <w:rFonts w:ascii="宋体" w:hAnsi="宋体"/>
          <w:color w:val="auto"/>
          <w:sz w:val="24"/>
        </w:rPr>
        <w:t>联合体各方不得再单独参加或者与其他供应商另外组成联合体参加同一合同项下的</w:t>
      </w:r>
      <w:r>
        <w:rPr>
          <w:rFonts w:hint="eastAsia" w:ascii="宋体" w:hAnsi="宋体"/>
          <w:color w:val="auto"/>
          <w:sz w:val="24"/>
        </w:rPr>
        <w:t>谈判。</w:t>
      </w:r>
    </w:p>
    <w:p>
      <w:pPr>
        <w:pageBreakBefore w:val="0"/>
        <w:numPr>
          <w:ilvl w:val="0"/>
          <w:numId w:val="4"/>
        </w:numPr>
        <w:tabs>
          <w:tab w:val="left" w:pos="1701"/>
        </w:tabs>
        <w:kinsoku/>
        <w:overflowPunct/>
        <w:topLinePunct w:val="0"/>
        <w:autoSpaceDE w:val="0"/>
        <w:autoSpaceDN w:val="0"/>
        <w:bidi w:val="0"/>
        <w:adjustRightInd w:val="0"/>
        <w:snapToGrid w:val="0"/>
        <w:spacing w:after="156" w:afterLines="50" w:line="380" w:lineRule="exact"/>
        <w:ind w:left="1701" w:hanging="622"/>
        <w:outlineLvl w:val="9"/>
        <w:rPr>
          <w:rFonts w:ascii="宋体" w:hAnsi="宋体"/>
          <w:color w:val="auto"/>
          <w:sz w:val="24"/>
        </w:rPr>
      </w:pPr>
      <w:r>
        <w:rPr>
          <w:rFonts w:hint="eastAsia" w:ascii="宋体" w:hAnsi="宋体"/>
          <w:color w:val="auto"/>
          <w:sz w:val="24"/>
        </w:rPr>
        <w:t>联合体各方应当共同与采购人签订采购合同，就合同约定的事项对采购人承担连带责任。</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本项目将执行在政府采购活动中查询及使用信用记录的规定，具体要求为：</w:t>
      </w:r>
    </w:p>
    <w:p>
      <w:pPr>
        <w:pageBreakBefore w:val="0"/>
        <w:numPr>
          <w:ilvl w:val="0"/>
          <w:numId w:val="5"/>
        </w:numPr>
        <w:tabs>
          <w:tab w:val="left" w:pos="1701"/>
        </w:tabs>
        <w:kinsoku/>
        <w:overflowPunct/>
        <w:topLinePunct w:val="0"/>
        <w:autoSpaceDE w:val="0"/>
        <w:autoSpaceDN w:val="0"/>
        <w:bidi w:val="0"/>
        <w:adjustRightInd w:val="0"/>
        <w:snapToGrid w:val="0"/>
        <w:spacing w:after="156" w:afterLines="50" w:line="380" w:lineRule="exact"/>
        <w:ind w:left="1701" w:hanging="622"/>
        <w:outlineLvl w:val="9"/>
        <w:rPr>
          <w:rFonts w:ascii="宋体" w:hAnsi="宋体"/>
          <w:color w:val="auto"/>
          <w:sz w:val="24"/>
        </w:rPr>
      </w:pPr>
      <w:r>
        <w:rPr>
          <w:rFonts w:hint="eastAsia" w:ascii="宋体" w:hAnsi="宋体"/>
          <w:color w:val="auto"/>
          <w:sz w:val="24"/>
        </w:rPr>
        <w:t>信用信息查询的截止时点：递交首次响应文件截止时间后。</w:t>
      </w:r>
      <w:r>
        <w:rPr>
          <w:rFonts w:ascii="宋体" w:hAnsi="宋体"/>
          <w:color w:val="auto"/>
          <w:sz w:val="24"/>
        </w:rPr>
        <w:t xml:space="preserve"> </w:t>
      </w:r>
    </w:p>
    <w:p>
      <w:pPr>
        <w:pageBreakBefore w:val="0"/>
        <w:numPr>
          <w:ilvl w:val="0"/>
          <w:numId w:val="5"/>
        </w:numPr>
        <w:tabs>
          <w:tab w:val="left" w:pos="1701"/>
        </w:tabs>
        <w:kinsoku/>
        <w:overflowPunct/>
        <w:topLinePunct w:val="0"/>
        <w:autoSpaceDE w:val="0"/>
        <w:autoSpaceDN w:val="0"/>
        <w:bidi w:val="0"/>
        <w:adjustRightInd w:val="0"/>
        <w:snapToGrid w:val="0"/>
        <w:spacing w:after="156" w:afterLines="50" w:line="380" w:lineRule="exact"/>
        <w:ind w:left="1701" w:hanging="622"/>
        <w:outlineLvl w:val="9"/>
        <w:rPr>
          <w:rFonts w:ascii="宋体" w:hAnsi="宋体"/>
          <w:color w:val="auto"/>
          <w:sz w:val="24"/>
        </w:rPr>
      </w:pPr>
      <w:r>
        <w:rPr>
          <w:rFonts w:hint="eastAsia" w:ascii="宋体" w:hAnsi="宋体"/>
          <w:color w:val="auto"/>
          <w:sz w:val="24"/>
        </w:rPr>
        <w:t>查询渠道：“信用中国”网站（</w:t>
      </w:r>
      <w:r>
        <w:rPr>
          <w:rFonts w:ascii="宋体" w:hAnsi="宋体"/>
          <w:color w:val="auto"/>
          <w:sz w:val="24"/>
        </w:rPr>
        <w:t xml:space="preserve">www.creditchina.gov.cn）和中国政府采购网（www.ccgp.gov.cn）； </w:t>
      </w:r>
    </w:p>
    <w:p>
      <w:pPr>
        <w:pageBreakBefore w:val="0"/>
        <w:numPr>
          <w:ilvl w:val="0"/>
          <w:numId w:val="5"/>
        </w:numPr>
        <w:tabs>
          <w:tab w:val="left" w:pos="1701"/>
        </w:tabs>
        <w:kinsoku/>
        <w:overflowPunct/>
        <w:topLinePunct w:val="0"/>
        <w:autoSpaceDE w:val="0"/>
        <w:autoSpaceDN w:val="0"/>
        <w:bidi w:val="0"/>
        <w:adjustRightInd w:val="0"/>
        <w:snapToGrid w:val="0"/>
        <w:spacing w:after="156" w:afterLines="50" w:line="380" w:lineRule="exact"/>
        <w:ind w:left="1701" w:hanging="622"/>
        <w:outlineLvl w:val="9"/>
        <w:rPr>
          <w:rFonts w:ascii="宋体" w:hAnsi="宋体"/>
          <w:color w:val="auto"/>
          <w:sz w:val="24"/>
        </w:rPr>
      </w:pPr>
      <w:r>
        <w:rPr>
          <w:rFonts w:hint="eastAsia" w:ascii="宋体" w:hAnsi="宋体"/>
          <w:color w:val="auto"/>
          <w:sz w:val="24"/>
        </w:rPr>
        <w:t>信用信息查询记录和证据留存具体方式：将经查询存在不良信用记录的潜在供应商的查询结果网页截图作为查询记录和证据，与其他谈判文件一并保存；</w:t>
      </w:r>
      <w:r>
        <w:rPr>
          <w:rFonts w:ascii="宋体" w:hAnsi="宋体"/>
          <w:color w:val="auto"/>
          <w:sz w:val="24"/>
        </w:rPr>
        <w:t xml:space="preserve"> </w:t>
      </w:r>
    </w:p>
    <w:p>
      <w:pPr>
        <w:pageBreakBefore w:val="0"/>
        <w:numPr>
          <w:ilvl w:val="0"/>
          <w:numId w:val="5"/>
        </w:numPr>
        <w:tabs>
          <w:tab w:val="left" w:pos="1701"/>
        </w:tabs>
        <w:kinsoku/>
        <w:overflowPunct/>
        <w:topLinePunct w:val="0"/>
        <w:autoSpaceDE w:val="0"/>
        <w:autoSpaceDN w:val="0"/>
        <w:bidi w:val="0"/>
        <w:adjustRightInd w:val="0"/>
        <w:snapToGrid w:val="0"/>
        <w:spacing w:after="156" w:afterLines="50" w:line="380" w:lineRule="exact"/>
        <w:ind w:left="1701" w:hanging="622"/>
        <w:outlineLvl w:val="9"/>
        <w:rPr>
          <w:rFonts w:ascii="宋体" w:hAnsi="宋体"/>
          <w:color w:val="auto"/>
          <w:sz w:val="24"/>
        </w:rPr>
      </w:pPr>
      <w:r>
        <w:rPr>
          <w:rFonts w:hint="eastAsia" w:ascii="宋体" w:hAnsi="宋体"/>
          <w:color w:val="auto"/>
          <w:sz w:val="24"/>
        </w:rPr>
        <w:t>信用信息的使用规则：</w:t>
      </w:r>
      <w:r>
        <w:rPr>
          <w:rFonts w:ascii="宋体" w:hAnsi="宋体"/>
          <w:color w:val="auto"/>
          <w:sz w:val="24"/>
        </w:rPr>
        <w:t>本政府采购项目的供应商在</w:t>
      </w:r>
      <w:r>
        <w:rPr>
          <w:rFonts w:hint="eastAsia" w:ascii="宋体" w:hAnsi="宋体"/>
          <w:color w:val="auto"/>
          <w:sz w:val="24"/>
        </w:rPr>
        <w:t>信用信息查询</w:t>
      </w:r>
      <w:r>
        <w:rPr>
          <w:rFonts w:ascii="宋体" w:hAnsi="宋体"/>
          <w:color w:val="auto"/>
          <w:sz w:val="24"/>
        </w:rPr>
        <w:t>截止时点（含）之前存在</w:t>
      </w:r>
      <w:r>
        <w:rPr>
          <w:rFonts w:hint="eastAsia" w:ascii="宋体" w:hAnsi="宋体"/>
          <w:color w:val="auto"/>
          <w:sz w:val="24"/>
        </w:rPr>
        <w:t>第一章竞争性谈判公告</w:t>
      </w:r>
      <w:r>
        <w:rPr>
          <w:rFonts w:hint="eastAsia"/>
          <w:color w:val="auto"/>
          <w:sz w:val="24"/>
        </w:rPr>
        <w:t>/谈判邀请书“供应商资格要求”中</w:t>
      </w:r>
      <w:r>
        <w:rPr>
          <w:rFonts w:hint="eastAsia" w:ascii="宋体" w:hAnsi="宋体"/>
          <w:color w:val="auto"/>
          <w:sz w:val="24"/>
        </w:rPr>
        <w:t>所述</w:t>
      </w:r>
      <w:r>
        <w:rPr>
          <w:rFonts w:ascii="宋体" w:hAnsi="宋体"/>
          <w:color w:val="auto"/>
          <w:sz w:val="24"/>
        </w:rPr>
        <w:t>不良信用记录的，不得参与谈判。</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60" w:name="_Ref527101463"/>
      <w:r>
        <w:rPr>
          <w:rFonts w:hint="eastAsia" w:ascii="宋体" w:hAnsi="宋体" w:cs="黑体"/>
          <w:color w:val="auto"/>
          <w:kern w:val="0"/>
          <w:sz w:val="24"/>
        </w:rPr>
        <w:t>分包</w:t>
      </w:r>
      <w:bookmarkEnd w:id="60"/>
    </w:p>
    <w:p>
      <w:pPr>
        <w:pageBreakBefore w:val="0"/>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r>
        <w:rPr>
          <w:rFonts w:hint="eastAsia" w:ascii="宋体" w:hAnsi="宋体" w:cs="黑体"/>
          <w:color w:val="auto"/>
          <w:kern w:val="0"/>
          <w:sz w:val="24"/>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61" w:name="_Toc195921799"/>
      <w:r>
        <w:rPr>
          <w:rFonts w:hint="eastAsia" w:ascii="宋体" w:hAnsi="宋体" w:cs="黑体"/>
          <w:color w:val="auto"/>
          <w:kern w:val="0"/>
          <w:sz w:val="24"/>
        </w:rPr>
        <w:t>费用承担</w:t>
      </w:r>
      <w:bookmarkEnd w:id="61"/>
    </w:p>
    <w:p>
      <w:pPr>
        <w:pageBreakBefore w:val="0"/>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r>
        <w:rPr>
          <w:rFonts w:hint="eastAsia" w:ascii="宋体" w:hAnsi="宋体" w:cs="黑体"/>
          <w:color w:val="auto"/>
          <w:kern w:val="0"/>
          <w:sz w:val="24"/>
        </w:rPr>
        <w:t>供应商准备和参加谈判活动发生的费用自理。</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62" w:name="_Toc195921800"/>
      <w:r>
        <w:rPr>
          <w:rFonts w:hint="eastAsia" w:ascii="宋体" w:hAnsi="宋体" w:cs="黑体"/>
          <w:color w:val="auto"/>
          <w:kern w:val="0"/>
          <w:sz w:val="24"/>
        </w:rPr>
        <w:t>保密</w:t>
      </w:r>
      <w:bookmarkEnd w:id="62"/>
    </w:p>
    <w:p>
      <w:pPr>
        <w:pageBreakBefore w:val="0"/>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r>
        <w:rPr>
          <w:rFonts w:hint="eastAsia" w:ascii="宋体" w:hAnsi="宋体" w:cs="黑体"/>
          <w:color w:val="auto"/>
          <w:kern w:val="0"/>
          <w:sz w:val="24"/>
        </w:rPr>
        <w:t>参与谈判活动的各方应对谈判文件和响应文件中的商业和技术等秘密保密，违者应对由此造成的后果承担法律责任。</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63" w:name="_Toc195921801"/>
      <w:r>
        <w:rPr>
          <w:rFonts w:hint="eastAsia" w:ascii="宋体" w:hAnsi="宋体" w:cs="黑体"/>
          <w:color w:val="auto"/>
          <w:kern w:val="0"/>
          <w:sz w:val="24"/>
        </w:rPr>
        <w:t>语言文字</w:t>
      </w:r>
      <w:bookmarkEnd w:id="63"/>
    </w:p>
    <w:p>
      <w:pPr>
        <w:pageBreakBefore w:val="0"/>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r>
        <w:rPr>
          <w:rFonts w:hint="eastAsia" w:ascii="宋体" w:hAnsi="宋体" w:cs="黑体"/>
          <w:color w:val="auto"/>
          <w:kern w:val="0"/>
          <w:sz w:val="24"/>
        </w:rPr>
        <w:t>除专用术语外，与谈判有关的语言均使用中文。必要时专用术语应附有中文注释。</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64" w:name="_Toc195921802"/>
      <w:r>
        <w:rPr>
          <w:rFonts w:hint="eastAsia" w:ascii="宋体" w:hAnsi="宋体" w:cs="黑体"/>
          <w:color w:val="auto"/>
          <w:kern w:val="0"/>
          <w:sz w:val="24"/>
        </w:rPr>
        <w:t>计量单位</w:t>
      </w:r>
      <w:bookmarkEnd w:id="64"/>
    </w:p>
    <w:p>
      <w:pPr>
        <w:pageBreakBefore w:val="0"/>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r>
        <w:rPr>
          <w:rFonts w:hint="eastAsia" w:ascii="宋体" w:hAnsi="宋体" w:cs="黑体"/>
          <w:color w:val="auto"/>
          <w:kern w:val="0"/>
          <w:sz w:val="24"/>
        </w:rPr>
        <w:t>所有计量均采用中华人民共和国法定计量单位。</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65" w:name="_Ref527101478"/>
      <w:r>
        <w:rPr>
          <w:rFonts w:ascii="宋体" w:hAnsi="宋体" w:cs="黑体"/>
          <w:color w:val="auto"/>
          <w:kern w:val="0"/>
          <w:sz w:val="24"/>
        </w:rPr>
        <w:t>踏勘现场</w:t>
      </w:r>
      <w:bookmarkEnd w:id="65"/>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66" w:name="_Ref527657954"/>
      <w:r>
        <w:rPr>
          <w:rFonts w:ascii="宋体" w:hAnsi="宋体" w:cs="黑体"/>
          <w:color w:val="auto"/>
          <w:kern w:val="0"/>
          <w:sz w:val="24"/>
        </w:rPr>
        <w:t>供应商须知前附表规定组织踏勘现场的，采购人须按照规定时间、地点组织供应商踏勘项目现场。</w:t>
      </w:r>
      <w:bookmarkEnd w:id="66"/>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ascii="宋体" w:hAnsi="宋体" w:cs="黑体"/>
          <w:color w:val="auto"/>
          <w:kern w:val="0"/>
          <w:sz w:val="24"/>
        </w:rPr>
        <w:t>供应商承担踏勘现场所发生的自身费用、责任和风险。</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ascii="宋体" w:hAnsi="宋体" w:cs="黑体"/>
          <w:color w:val="auto"/>
          <w:kern w:val="0"/>
          <w:sz w:val="24"/>
        </w:rPr>
        <w:t>采购人向供应商提供的有关现场的资料和数据，是采购人现有的能被供应商利用的资料，采购人不对供应商由此而做出的推论、理解和结论负责。</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ascii="宋体" w:hAnsi="宋体" w:cs="黑体"/>
          <w:color w:val="auto"/>
          <w:kern w:val="0"/>
          <w:sz w:val="24"/>
        </w:rPr>
        <w:t>除采购人原因外，供应商应对踏勘现场而造成的人员伤亡、财产损失以及由此引起的连带责任和费用负责。</w:t>
      </w:r>
    </w:p>
    <w:p>
      <w:pPr>
        <w:pageBreakBefore w:val="0"/>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p>
    <w:p>
      <w:pPr>
        <w:pageBreakBefore w:val="0"/>
        <w:numPr>
          <w:ilvl w:val="0"/>
          <w:numId w:val="3"/>
        </w:numPr>
        <w:kinsoku/>
        <w:overflowPunct/>
        <w:topLinePunct w:val="0"/>
        <w:autoSpaceDE w:val="0"/>
        <w:autoSpaceDN w:val="0"/>
        <w:bidi w:val="0"/>
        <w:adjustRightInd w:val="0"/>
        <w:spacing w:after="156" w:afterLines="50" w:line="380" w:lineRule="exact"/>
        <w:outlineLvl w:val="9"/>
        <w:rPr>
          <w:rFonts w:ascii="黑体" w:hAnsi="宋体" w:eastAsia="黑体" w:cs="黑体"/>
          <w:color w:val="auto"/>
          <w:kern w:val="0"/>
          <w:sz w:val="24"/>
        </w:rPr>
      </w:pPr>
      <w:bookmarkStart w:id="67" w:name="_Toc45099865"/>
      <w:r>
        <w:rPr>
          <w:rFonts w:hint="eastAsia" w:ascii="黑体" w:hAnsi="宋体" w:eastAsia="黑体" w:cs="黑体"/>
          <w:color w:val="auto"/>
          <w:kern w:val="0"/>
          <w:sz w:val="24"/>
        </w:rPr>
        <w:t>谈判文件</w:t>
      </w:r>
      <w:bookmarkEnd w:id="67"/>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68" w:name="_Toc195921808"/>
      <w:r>
        <w:rPr>
          <w:rFonts w:hint="eastAsia" w:ascii="宋体" w:hAnsi="宋体" w:cs="黑体"/>
          <w:color w:val="auto"/>
          <w:kern w:val="0"/>
          <w:sz w:val="24"/>
        </w:rPr>
        <w:t>谈判文件的组成</w:t>
      </w:r>
      <w:bookmarkEnd w:id="68"/>
    </w:p>
    <w:p>
      <w:pPr>
        <w:pageBreakBefore w:val="0"/>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r>
        <w:rPr>
          <w:rFonts w:hint="eastAsia" w:ascii="宋体" w:hAnsi="宋体" w:cs="黑体"/>
          <w:color w:val="auto"/>
          <w:kern w:val="0"/>
          <w:sz w:val="24"/>
        </w:rPr>
        <w:t>本谈判文件包括：</w:t>
      </w:r>
    </w:p>
    <w:p>
      <w:pPr>
        <w:pStyle w:val="427"/>
        <w:pageBreakBefore w:val="0"/>
        <w:numPr>
          <w:ilvl w:val="0"/>
          <w:numId w:val="6"/>
        </w:numPr>
        <w:kinsoku/>
        <w:overflowPunct/>
        <w:topLinePunct w:val="0"/>
        <w:autoSpaceDE w:val="0"/>
        <w:autoSpaceDN w:val="0"/>
        <w:bidi w:val="0"/>
        <w:adjustRightInd w:val="0"/>
        <w:snapToGrid w:val="0"/>
        <w:spacing w:after="156" w:afterLines="50" w:line="380" w:lineRule="exact"/>
        <w:ind w:firstLineChars="0"/>
        <w:outlineLvl w:val="9"/>
        <w:rPr>
          <w:rFonts w:ascii="宋体" w:hAnsi="宋体" w:cs="黑体"/>
          <w:color w:val="auto"/>
          <w:kern w:val="0"/>
          <w:sz w:val="24"/>
        </w:rPr>
      </w:pPr>
      <w:r>
        <w:rPr>
          <w:rFonts w:hint="eastAsia" w:ascii="宋体" w:hAnsi="宋体" w:cs="黑体"/>
          <w:color w:val="auto"/>
          <w:kern w:val="0"/>
          <w:sz w:val="24"/>
        </w:rPr>
        <w:t>竞争性谈判公告</w:t>
      </w:r>
      <w:r>
        <w:rPr>
          <w:rFonts w:hint="eastAsia"/>
          <w:color w:val="auto"/>
          <w:sz w:val="24"/>
        </w:rPr>
        <w:t>/邀请书</w:t>
      </w:r>
      <w:r>
        <w:rPr>
          <w:rFonts w:hint="eastAsia" w:ascii="宋体" w:hAnsi="宋体" w:cs="黑体"/>
          <w:color w:val="auto"/>
          <w:kern w:val="0"/>
          <w:sz w:val="24"/>
        </w:rPr>
        <w:t>；</w:t>
      </w:r>
    </w:p>
    <w:p>
      <w:pPr>
        <w:pStyle w:val="427"/>
        <w:pageBreakBefore w:val="0"/>
        <w:numPr>
          <w:ilvl w:val="0"/>
          <w:numId w:val="6"/>
        </w:numPr>
        <w:kinsoku/>
        <w:overflowPunct/>
        <w:topLinePunct w:val="0"/>
        <w:autoSpaceDE w:val="0"/>
        <w:autoSpaceDN w:val="0"/>
        <w:bidi w:val="0"/>
        <w:adjustRightInd w:val="0"/>
        <w:snapToGrid w:val="0"/>
        <w:spacing w:after="156" w:afterLines="50" w:line="380" w:lineRule="exact"/>
        <w:ind w:firstLineChars="0"/>
        <w:outlineLvl w:val="9"/>
        <w:rPr>
          <w:rFonts w:ascii="宋体" w:hAnsi="宋体" w:cs="黑体"/>
          <w:color w:val="auto"/>
          <w:kern w:val="0"/>
          <w:sz w:val="24"/>
        </w:rPr>
      </w:pPr>
      <w:r>
        <w:rPr>
          <w:rFonts w:hint="eastAsia" w:ascii="宋体" w:hAnsi="宋体" w:cs="黑体"/>
          <w:color w:val="auto"/>
          <w:kern w:val="0"/>
          <w:sz w:val="24"/>
        </w:rPr>
        <w:t>供应商须知；</w:t>
      </w:r>
    </w:p>
    <w:p>
      <w:pPr>
        <w:pStyle w:val="427"/>
        <w:pageBreakBefore w:val="0"/>
        <w:numPr>
          <w:ilvl w:val="0"/>
          <w:numId w:val="6"/>
        </w:numPr>
        <w:kinsoku/>
        <w:overflowPunct/>
        <w:topLinePunct w:val="0"/>
        <w:autoSpaceDE w:val="0"/>
        <w:autoSpaceDN w:val="0"/>
        <w:bidi w:val="0"/>
        <w:adjustRightInd w:val="0"/>
        <w:snapToGrid w:val="0"/>
        <w:spacing w:after="156" w:afterLines="50" w:line="380" w:lineRule="exact"/>
        <w:ind w:firstLineChars="0"/>
        <w:outlineLvl w:val="9"/>
        <w:rPr>
          <w:rFonts w:ascii="宋体" w:hAnsi="宋体" w:cs="黑体"/>
          <w:color w:val="auto"/>
          <w:kern w:val="0"/>
          <w:sz w:val="24"/>
        </w:rPr>
      </w:pPr>
      <w:r>
        <w:rPr>
          <w:rFonts w:hint="eastAsia" w:ascii="宋体" w:hAnsi="宋体" w:cs="黑体"/>
          <w:color w:val="auto"/>
          <w:kern w:val="0"/>
          <w:sz w:val="24"/>
        </w:rPr>
        <w:t>评审办法和标准；</w:t>
      </w:r>
    </w:p>
    <w:p>
      <w:pPr>
        <w:pStyle w:val="427"/>
        <w:pageBreakBefore w:val="0"/>
        <w:numPr>
          <w:ilvl w:val="0"/>
          <w:numId w:val="6"/>
        </w:numPr>
        <w:kinsoku/>
        <w:overflowPunct/>
        <w:topLinePunct w:val="0"/>
        <w:autoSpaceDE w:val="0"/>
        <w:autoSpaceDN w:val="0"/>
        <w:bidi w:val="0"/>
        <w:adjustRightInd w:val="0"/>
        <w:snapToGrid w:val="0"/>
        <w:spacing w:after="156" w:afterLines="50" w:line="380" w:lineRule="exact"/>
        <w:ind w:firstLineChars="0"/>
        <w:outlineLvl w:val="9"/>
        <w:rPr>
          <w:rFonts w:ascii="宋体" w:hAnsi="宋体" w:cs="黑体"/>
          <w:color w:val="auto"/>
          <w:kern w:val="0"/>
          <w:sz w:val="24"/>
        </w:rPr>
      </w:pPr>
      <w:r>
        <w:rPr>
          <w:rFonts w:hint="eastAsia" w:ascii="宋体" w:hAnsi="宋体" w:cs="黑体"/>
          <w:color w:val="auto"/>
          <w:kern w:val="0"/>
          <w:sz w:val="24"/>
        </w:rPr>
        <w:t>合同条款；</w:t>
      </w:r>
    </w:p>
    <w:p>
      <w:pPr>
        <w:pStyle w:val="427"/>
        <w:pageBreakBefore w:val="0"/>
        <w:numPr>
          <w:ilvl w:val="0"/>
          <w:numId w:val="6"/>
        </w:numPr>
        <w:kinsoku/>
        <w:overflowPunct/>
        <w:topLinePunct w:val="0"/>
        <w:autoSpaceDE w:val="0"/>
        <w:autoSpaceDN w:val="0"/>
        <w:bidi w:val="0"/>
        <w:adjustRightInd w:val="0"/>
        <w:snapToGrid w:val="0"/>
        <w:spacing w:after="156" w:afterLines="50" w:line="380" w:lineRule="exact"/>
        <w:ind w:firstLineChars="0"/>
        <w:outlineLvl w:val="9"/>
        <w:rPr>
          <w:rFonts w:ascii="宋体" w:hAnsi="宋体" w:cs="黑体"/>
          <w:color w:val="auto"/>
          <w:kern w:val="0"/>
          <w:sz w:val="24"/>
        </w:rPr>
      </w:pPr>
      <w:r>
        <w:rPr>
          <w:rFonts w:hint="eastAsia" w:ascii="宋体" w:hAnsi="宋体" w:cs="黑体"/>
          <w:color w:val="auto"/>
          <w:kern w:val="0"/>
          <w:sz w:val="24"/>
        </w:rPr>
        <w:t>采购需求</w:t>
      </w:r>
    </w:p>
    <w:p>
      <w:pPr>
        <w:pStyle w:val="427"/>
        <w:pageBreakBefore w:val="0"/>
        <w:numPr>
          <w:ilvl w:val="0"/>
          <w:numId w:val="6"/>
        </w:numPr>
        <w:kinsoku/>
        <w:overflowPunct/>
        <w:topLinePunct w:val="0"/>
        <w:autoSpaceDE w:val="0"/>
        <w:autoSpaceDN w:val="0"/>
        <w:bidi w:val="0"/>
        <w:adjustRightInd w:val="0"/>
        <w:snapToGrid w:val="0"/>
        <w:spacing w:after="156" w:afterLines="50" w:line="380" w:lineRule="exact"/>
        <w:ind w:firstLineChars="0"/>
        <w:outlineLvl w:val="9"/>
        <w:rPr>
          <w:rFonts w:ascii="宋体" w:hAnsi="宋体" w:cs="黑体"/>
          <w:color w:val="auto"/>
          <w:kern w:val="0"/>
          <w:sz w:val="24"/>
        </w:rPr>
      </w:pPr>
      <w:r>
        <w:rPr>
          <w:rFonts w:hint="eastAsia" w:ascii="宋体" w:hAnsi="宋体" w:cs="黑体"/>
          <w:color w:val="auto"/>
          <w:kern w:val="0"/>
          <w:sz w:val="24"/>
        </w:rPr>
        <w:t>响应文件格式。</w:t>
      </w:r>
    </w:p>
    <w:p>
      <w:pPr>
        <w:pageBreakBefore w:val="0"/>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r>
        <w:rPr>
          <w:rFonts w:hint="eastAsia" w:ascii="宋体" w:hAnsi="宋体" w:cs="黑体"/>
          <w:color w:val="auto"/>
          <w:kern w:val="0"/>
          <w:sz w:val="24"/>
        </w:rPr>
        <w:t>根据本章第</w:t>
      </w:r>
      <w:r>
        <w:rPr>
          <w:color w:val="auto"/>
          <w:sz w:val="24"/>
        </w:rPr>
        <w:fldChar w:fldCharType="begin"/>
      </w:r>
      <w:r>
        <w:rPr>
          <w:color w:val="auto"/>
          <w:sz w:val="24"/>
        </w:rPr>
        <w:instrText xml:space="preserve"> REF _Ref527652798 \r \h  \* MERGEFORMAT </w:instrText>
      </w:r>
      <w:r>
        <w:rPr>
          <w:color w:val="auto"/>
          <w:sz w:val="24"/>
        </w:rPr>
        <w:fldChar w:fldCharType="separate"/>
      </w:r>
      <w:r>
        <w:rPr>
          <w:rFonts w:ascii="宋体" w:hAnsi="宋体" w:cs="黑体"/>
          <w:color w:val="auto"/>
          <w:kern w:val="0"/>
          <w:sz w:val="24"/>
        </w:rPr>
        <w:t>2.2</w:t>
      </w:r>
      <w:r>
        <w:rPr>
          <w:rFonts w:ascii="宋体" w:hAnsi="宋体" w:cs="黑体"/>
          <w:color w:val="auto"/>
          <w:kern w:val="0"/>
          <w:sz w:val="24"/>
        </w:rPr>
        <w:fldChar w:fldCharType="end"/>
      </w:r>
      <w:r>
        <w:rPr>
          <w:rFonts w:hint="eastAsia" w:ascii="宋体" w:hAnsi="宋体" w:cs="黑体"/>
          <w:color w:val="auto"/>
          <w:kern w:val="0"/>
          <w:sz w:val="24"/>
        </w:rPr>
        <w:t>款对谈判文件所作的澄清、修改，构成谈判文件的组成部分。</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69" w:name="_Ref426441946"/>
      <w:bookmarkStart w:id="70" w:name="_Toc195921809"/>
      <w:bookmarkStart w:id="71" w:name="_Ref527652798"/>
      <w:r>
        <w:rPr>
          <w:rFonts w:hint="eastAsia" w:ascii="宋体" w:hAnsi="宋体" w:cs="黑体"/>
          <w:color w:val="auto"/>
          <w:kern w:val="0"/>
          <w:sz w:val="24"/>
        </w:rPr>
        <w:t>谈判文件的澄清</w:t>
      </w:r>
      <w:bookmarkEnd w:id="69"/>
      <w:bookmarkEnd w:id="70"/>
      <w:r>
        <w:rPr>
          <w:rFonts w:hint="eastAsia" w:ascii="宋体" w:hAnsi="宋体" w:cs="黑体"/>
          <w:color w:val="auto"/>
          <w:kern w:val="0"/>
          <w:sz w:val="24"/>
        </w:rPr>
        <w:t>或修改</w:t>
      </w:r>
      <w:bookmarkEnd w:id="71"/>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供应商应仔细阅读和检查谈判文件的全部内容。如发现缺页或附件不全，应及时向采购人提出，以便补齐。</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olor w:val="auto"/>
          <w:sz w:val="24"/>
        </w:rPr>
      </w:pPr>
      <w:bookmarkStart w:id="72" w:name="_Ref527101604"/>
      <w:r>
        <w:rPr>
          <w:rFonts w:hint="eastAsia" w:ascii="宋体" w:hAnsi="宋体"/>
          <w:color w:val="auto"/>
          <w:sz w:val="24"/>
        </w:rPr>
        <w:t>供应商</w:t>
      </w:r>
      <w:r>
        <w:rPr>
          <w:rFonts w:hint="eastAsia" w:ascii="宋体" w:hAnsi="宋体" w:cs="黑体"/>
          <w:color w:val="auto"/>
          <w:kern w:val="0"/>
          <w:sz w:val="24"/>
        </w:rPr>
        <w:t>如有疑问</w:t>
      </w:r>
      <w:r>
        <w:rPr>
          <w:rFonts w:cs="宋体" w:asciiTheme="minorEastAsia" w:hAnsiTheme="minorEastAsia" w:eastAsiaTheme="minorEastAsia"/>
          <w:color w:val="auto"/>
          <w:sz w:val="24"/>
        </w:rPr>
        <w:t>可以在供应商须知前附表规定的时间内向采购人提出询问</w:t>
      </w:r>
      <w:r>
        <w:rPr>
          <w:rFonts w:hint="eastAsia" w:ascii="宋体" w:hAnsi="宋体" w:cs="黑体"/>
          <w:color w:val="auto"/>
          <w:kern w:val="0"/>
          <w:sz w:val="24"/>
        </w:rPr>
        <w:t>，要求采购人对谈判文件予以澄清。</w:t>
      </w:r>
      <w:bookmarkEnd w:id="72"/>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hAnsi="宋体" w:cs="宋体"/>
          <w:color w:val="auto"/>
          <w:sz w:val="24"/>
        </w:rPr>
      </w:pPr>
      <w:r>
        <w:rPr>
          <w:rFonts w:hint="eastAsia" w:hAnsi="宋体" w:cs="宋体"/>
          <w:color w:val="auto"/>
          <w:sz w:val="24"/>
        </w:rPr>
        <w:t>提交首次响应文件截止之日前，采购人、采购代理机构或者谈判小组可以对已发出的谈判文件进行必要的澄清或者修改，澄清或者修改的内容作为谈判文件</w:t>
      </w:r>
      <w:r>
        <w:rPr>
          <w:rFonts w:hint="eastAsia" w:cs="宋体" w:asciiTheme="minorEastAsia" w:hAnsiTheme="minorEastAsia" w:eastAsiaTheme="minorEastAsia"/>
          <w:color w:val="auto"/>
          <w:sz w:val="24"/>
        </w:rPr>
        <w:t>的组成部分。澄清或者修改的内容可能影响响应文件编制的，采购人、采购代理机构或者谈判小组应当在提交首次响应文件截止之日 3 个工作日前，以书面形式通知所有接收谈判文件的供应商，不足 3 个工作日的，应当顺延提交首次响应文件截止之日。</w:t>
      </w:r>
    </w:p>
    <w:p>
      <w:pPr>
        <w:pageBreakBefore w:val="0"/>
        <w:kinsoku/>
        <w:overflowPunct/>
        <w:topLinePunct w:val="0"/>
        <w:autoSpaceDE w:val="0"/>
        <w:autoSpaceDN w:val="0"/>
        <w:bidi w:val="0"/>
        <w:adjustRightInd w:val="0"/>
        <w:snapToGrid w:val="0"/>
        <w:spacing w:after="156" w:afterLines="50" w:line="380" w:lineRule="exact"/>
        <w:ind w:left="1134" w:leftChars="540"/>
        <w:outlineLvl w:val="9"/>
        <w:rPr>
          <w:rFonts w:hAnsi="宋体" w:cs="宋体"/>
          <w:color w:val="auto"/>
          <w:sz w:val="24"/>
        </w:rPr>
      </w:pPr>
      <w:r>
        <w:rPr>
          <w:rFonts w:hint="eastAsia" w:ascii="宋体" w:hAnsi="宋体" w:cs="黑体"/>
          <w:color w:val="auto"/>
          <w:kern w:val="0"/>
          <w:sz w:val="24"/>
        </w:rPr>
        <w:t>通过发布公告邀请供应商参加谈判的，澄清修改和更正内容将在谈判公告发布媒体上予以公告。</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供应商应在收到澄清或修改文件后</w:t>
      </w:r>
      <w:r>
        <w:rPr>
          <w:rFonts w:hint="eastAsia" w:ascii="宋体" w:hAnsi="宋体" w:cs="宋体"/>
          <w:color w:val="auto"/>
          <w:sz w:val="24"/>
        </w:rPr>
        <w:t>24小时内或根据澄清通知中要求的时间内</w:t>
      </w:r>
      <w:r>
        <w:rPr>
          <w:rFonts w:hint="eastAsia" w:ascii="宋体" w:hAnsi="宋体" w:cs="黑体"/>
          <w:color w:val="auto"/>
          <w:kern w:val="0"/>
          <w:sz w:val="24"/>
        </w:rPr>
        <w:t>，将加盖公章的回执书面形式通知采购人</w:t>
      </w:r>
      <w:r>
        <w:rPr>
          <w:rFonts w:hAnsi="宋体" w:cs="宋体"/>
          <w:color w:val="auto"/>
          <w:sz w:val="24"/>
        </w:rPr>
        <w:t>、采购代理机构或谈判小组</w:t>
      </w:r>
      <w:r>
        <w:rPr>
          <w:rFonts w:hint="eastAsia" w:ascii="宋体" w:hAnsi="宋体" w:cs="黑体"/>
          <w:color w:val="auto"/>
          <w:kern w:val="0"/>
          <w:sz w:val="24"/>
        </w:rPr>
        <w:t>，确认已收到该澄清。否则，视为同意和接受该澄清或者修改内容。</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73" w:name="_Ref527101721"/>
      <w:r>
        <w:rPr>
          <w:rFonts w:cs="宋体" w:asciiTheme="minorEastAsia" w:hAnsiTheme="minorEastAsia" w:eastAsiaTheme="minorEastAsia"/>
          <w:color w:val="auto"/>
          <w:sz w:val="24"/>
        </w:rPr>
        <w:t>供应商对谈判文件提出质疑的，</w:t>
      </w:r>
      <w:r>
        <w:rPr>
          <w:rFonts w:hint="eastAsia" w:asciiTheme="minorEastAsia" w:hAnsiTheme="minorEastAsia"/>
          <w:color w:val="auto"/>
          <w:sz w:val="24"/>
        </w:rPr>
        <w:t>应当在获取谈判文件或者谈判文件公告期限届满之日起 7 个工作日内</w:t>
      </w:r>
      <w:r>
        <w:rPr>
          <w:rFonts w:hint="eastAsia" w:ascii="宋体" w:hAnsi="宋体"/>
          <w:color w:val="auto"/>
          <w:sz w:val="24"/>
        </w:rPr>
        <w:t>，按供应商须知前附表中质疑函送达的方式以书面形式一次性提出质疑</w:t>
      </w:r>
      <w:r>
        <w:rPr>
          <w:rFonts w:cs="宋体" w:asciiTheme="minorEastAsia" w:hAnsiTheme="minorEastAsia" w:eastAsiaTheme="minorEastAsia"/>
          <w:color w:val="auto"/>
          <w:sz w:val="24"/>
        </w:rPr>
        <w:t>。供应商</w:t>
      </w:r>
      <w:r>
        <w:rPr>
          <w:rFonts w:hint="eastAsia" w:asciiTheme="minorEastAsia" w:hAnsiTheme="minorEastAsia"/>
          <w:color w:val="auto"/>
          <w:sz w:val="24"/>
        </w:rPr>
        <w:t>提出质疑应当提交质疑函和必要的证明材料，质疑函的内容应符合政府采购质疑和投诉办法的规定。</w:t>
      </w:r>
      <w:bookmarkEnd w:id="73"/>
    </w:p>
    <w:p>
      <w:pPr>
        <w:pageBreakBefore w:val="0"/>
        <w:numPr>
          <w:ilvl w:val="0"/>
          <w:numId w:val="3"/>
        </w:numPr>
        <w:kinsoku/>
        <w:overflowPunct/>
        <w:topLinePunct w:val="0"/>
        <w:autoSpaceDE w:val="0"/>
        <w:autoSpaceDN w:val="0"/>
        <w:bidi w:val="0"/>
        <w:adjustRightInd w:val="0"/>
        <w:spacing w:after="156" w:afterLines="50" w:line="380" w:lineRule="exact"/>
        <w:outlineLvl w:val="9"/>
        <w:rPr>
          <w:rFonts w:ascii="黑体" w:hAnsi="宋体" w:eastAsia="黑体" w:cs="黑体"/>
          <w:color w:val="auto"/>
          <w:kern w:val="0"/>
          <w:sz w:val="24"/>
        </w:rPr>
      </w:pPr>
      <w:bookmarkStart w:id="74" w:name="_Toc45099866"/>
      <w:r>
        <w:rPr>
          <w:rFonts w:hint="eastAsia" w:ascii="黑体" w:hAnsi="宋体" w:eastAsia="黑体" w:cs="黑体"/>
          <w:color w:val="auto"/>
          <w:kern w:val="0"/>
          <w:sz w:val="24"/>
        </w:rPr>
        <w:t>响应文件编制</w:t>
      </w:r>
      <w:bookmarkEnd w:id="74"/>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75" w:name="_Toc195921812"/>
      <w:r>
        <w:rPr>
          <w:rFonts w:hint="eastAsia" w:ascii="宋体" w:hAnsi="宋体" w:cs="黑体"/>
          <w:color w:val="auto"/>
          <w:kern w:val="0"/>
          <w:sz w:val="24"/>
        </w:rPr>
        <w:t>响应文件的组成</w:t>
      </w:r>
      <w:bookmarkEnd w:id="75"/>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响应文件应包括下列内容：</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首次报价函及其附录；</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法定代表人身份证明；</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授权委托书；</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谈判保证金；</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分项报价表；</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商务、合同条款偏差表；</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供应商基本情况表</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资格证明文件（详见响应文件格式要求）；</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供应商供货业绩一览表（服务业绩一览表）</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小微企业、监狱企业、残疾人福利单位的声明函或证明材料（如有）</w:t>
      </w:r>
      <w:r>
        <w:rPr>
          <w:rFonts w:ascii="宋体" w:hAnsi="宋体" w:cs="黑体"/>
          <w:color w:val="auto"/>
          <w:kern w:val="0"/>
          <w:sz w:val="24"/>
        </w:rPr>
        <w:t>；</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响应承诺书；</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技术偏差表</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对货物（或服务）的技术规格、数量、服务标准、验收等要求的响应；</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拟派服务实施人员表和资历表（适用于服务谈判）；</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ascii="宋体" w:hAnsi="宋体" w:cs="黑体"/>
          <w:color w:val="auto"/>
          <w:kern w:val="0"/>
          <w:sz w:val="24"/>
        </w:rPr>
        <w:t>售后服务支持能力</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供应商其他承诺（如有）；</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ascii="宋体" w:hAnsi="宋体" w:cs="黑体"/>
          <w:color w:val="auto"/>
          <w:kern w:val="0"/>
          <w:sz w:val="24"/>
        </w:rPr>
        <w:t>最后报价函（谈判结束后，根据谈判小组要求提交）；</w:t>
      </w:r>
    </w:p>
    <w:p>
      <w:pPr>
        <w:pageBreakBefore w:val="0"/>
        <w:numPr>
          <w:ilvl w:val="0"/>
          <w:numId w:val="7"/>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谈判文件要求的其他内容以及供应商认为必要的其他内容。</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76" w:name="_Toc195921813"/>
      <w:r>
        <w:rPr>
          <w:rFonts w:hint="eastAsia" w:ascii="宋体" w:hAnsi="宋体" w:cs="黑体"/>
          <w:color w:val="auto"/>
          <w:kern w:val="0"/>
          <w:sz w:val="24"/>
        </w:rPr>
        <w:t>首次报价</w:t>
      </w:r>
      <w:bookmarkEnd w:id="76"/>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77" w:name="_Toc195921814"/>
      <w:r>
        <w:rPr>
          <w:rFonts w:hint="eastAsia" w:ascii="宋体" w:hAnsi="宋体" w:cs="黑体"/>
          <w:color w:val="auto"/>
          <w:kern w:val="0"/>
          <w:sz w:val="24"/>
        </w:rPr>
        <w:t>供应商应按谈判文件第六章提供的格式进行首次报价。</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所有根据合同或其它原因应由供应商支付的税款和其它应交纳的费用都应包括在供应商提交的报价中。</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ascii="宋体" w:hAnsi="宋体" w:cs="黑体"/>
          <w:color w:val="auto"/>
          <w:kern w:val="0"/>
          <w:sz w:val="24"/>
        </w:rPr>
        <w:t>供应商应仔细阅读所有谈判文件，填报自己认为正确的报价。</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供应商对采购内容只允许有一个报价，采购人不接受任何有选择的报价。</w:t>
      </w:r>
    </w:p>
    <w:p>
      <w:pPr>
        <w:pageBreakBefore w:val="0"/>
        <w:numPr>
          <w:ilvl w:val="1"/>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本项目为总价合同，除非合同另有约定，供应商所报的最后价格在合同执行过程中是固定不变的，不得以任何理由予以变更。任何包含价格调整要求的响应文件，将被认为是非实质响应性而予以拒绝。</w:t>
      </w:r>
    </w:p>
    <w:p>
      <w:pPr>
        <w:pageBreakBefore w:val="0"/>
        <w:numPr>
          <w:ilvl w:val="1"/>
          <w:numId w:val="3"/>
        </w:numPr>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报价不得有选择性报价和附有条件的报价，且不得高于预算价或最高限价，否则其报价无效。</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78" w:name="_Ref421009326"/>
      <w:r>
        <w:rPr>
          <w:rFonts w:hint="eastAsia" w:ascii="宋体" w:hAnsi="宋体" w:cs="黑体"/>
          <w:color w:val="auto"/>
          <w:kern w:val="0"/>
          <w:sz w:val="24"/>
        </w:rPr>
        <w:t>响应文件有效期</w:t>
      </w:r>
      <w:bookmarkEnd w:id="77"/>
      <w:bookmarkEnd w:id="78"/>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79" w:name="_Ref527102185"/>
      <w:r>
        <w:rPr>
          <w:rFonts w:hint="eastAsia" w:asciiTheme="minorEastAsia" w:hAnsiTheme="minorEastAsia"/>
          <w:color w:val="auto"/>
          <w:sz w:val="24"/>
        </w:rPr>
        <w:t>本项目</w:t>
      </w:r>
      <w:r>
        <w:rPr>
          <w:rFonts w:hint="eastAsia" w:ascii="宋体" w:hAnsi="宋体" w:cs="黑体"/>
          <w:color w:val="auto"/>
          <w:kern w:val="0"/>
          <w:sz w:val="24"/>
        </w:rPr>
        <w:t>响应文件</w:t>
      </w:r>
      <w:r>
        <w:rPr>
          <w:rFonts w:hint="eastAsia" w:asciiTheme="minorEastAsia" w:hAnsiTheme="minorEastAsia"/>
          <w:color w:val="auto"/>
          <w:sz w:val="24"/>
        </w:rPr>
        <w:t>有效期见供应商须知前附表。</w:t>
      </w:r>
      <w:r>
        <w:rPr>
          <w:rFonts w:hint="eastAsia" w:ascii="宋体" w:hAnsi="宋体" w:cs="黑体"/>
          <w:color w:val="auto"/>
          <w:kern w:val="0"/>
          <w:sz w:val="24"/>
        </w:rPr>
        <w:t>响应文件</w:t>
      </w:r>
      <w:r>
        <w:rPr>
          <w:rFonts w:hint="eastAsia" w:asciiTheme="minorEastAsia" w:hAnsiTheme="minorEastAsia"/>
          <w:color w:val="auto"/>
          <w:sz w:val="24"/>
        </w:rPr>
        <w:t>有效期从提交响应文件的截止之日起算。响应文件中承诺的有效期应当不少于谈判文件中载明的有效期。</w:t>
      </w:r>
      <w:bookmarkEnd w:id="79"/>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在供应商须知前附表规定的响应文件有效期内，供应商不得要求撤销或修改其响应文件。</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80" w:name="_Toc195921815"/>
      <w:r>
        <w:rPr>
          <w:rFonts w:hint="eastAsia" w:ascii="宋体" w:hAnsi="宋体" w:cs="黑体"/>
          <w:color w:val="auto"/>
          <w:kern w:val="0"/>
          <w:sz w:val="24"/>
        </w:rPr>
        <w:t>谈判保证金</w:t>
      </w:r>
      <w:bookmarkEnd w:id="80"/>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81" w:name="_Ref419361076"/>
      <w:r>
        <w:rPr>
          <w:rFonts w:hint="eastAsia" w:ascii="宋体" w:hAnsi="宋体" w:cs="黑体"/>
          <w:color w:val="auto"/>
          <w:kern w:val="0"/>
          <w:sz w:val="24"/>
        </w:rPr>
        <w:t>供应商应按供应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81"/>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供应商不按本章第</w:t>
      </w:r>
      <w:r>
        <w:rPr>
          <w:color w:val="auto"/>
          <w:sz w:val="24"/>
        </w:rPr>
        <w:fldChar w:fldCharType="begin"/>
      </w:r>
      <w:r>
        <w:rPr>
          <w:color w:val="auto"/>
          <w:sz w:val="24"/>
        </w:rPr>
        <w:instrText xml:space="preserve"> REF _Ref419361076 \r \h  \* MERGEFORMAT </w:instrText>
      </w:r>
      <w:r>
        <w:rPr>
          <w:color w:val="auto"/>
          <w:sz w:val="24"/>
        </w:rPr>
        <w:fldChar w:fldCharType="separate"/>
      </w:r>
      <w:r>
        <w:rPr>
          <w:rFonts w:ascii="宋体" w:hAnsi="宋体" w:cs="黑体"/>
          <w:color w:val="auto"/>
          <w:kern w:val="0"/>
          <w:sz w:val="24"/>
        </w:rPr>
        <w:t>3.</w:t>
      </w:r>
      <w:r>
        <w:rPr>
          <w:rFonts w:hint="eastAsia" w:ascii="宋体" w:hAnsi="宋体" w:cs="黑体"/>
          <w:color w:val="auto"/>
          <w:kern w:val="0"/>
          <w:sz w:val="24"/>
        </w:rPr>
        <w:t>7</w:t>
      </w:r>
      <w:r>
        <w:rPr>
          <w:rFonts w:ascii="宋体" w:hAnsi="宋体" w:cs="黑体"/>
          <w:color w:val="auto"/>
          <w:kern w:val="0"/>
          <w:sz w:val="24"/>
        </w:rPr>
        <w:t>.1</w:t>
      </w:r>
      <w:r>
        <w:rPr>
          <w:rFonts w:ascii="宋体" w:hAnsi="宋体" w:cs="黑体"/>
          <w:color w:val="auto"/>
          <w:kern w:val="0"/>
          <w:sz w:val="24"/>
        </w:rPr>
        <w:fldChar w:fldCharType="end"/>
      </w:r>
      <w:r>
        <w:rPr>
          <w:rFonts w:hint="eastAsia" w:ascii="宋体" w:hAnsi="宋体" w:cs="黑体"/>
          <w:color w:val="auto"/>
          <w:kern w:val="0"/>
          <w:sz w:val="24"/>
        </w:rPr>
        <w:t>项要求提交谈判保证金的，其响应文件无效。</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olor w:val="auto"/>
          <w:sz w:val="24"/>
        </w:rPr>
      </w:pPr>
      <w:bookmarkStart w:id="82" w:name="_Ref419361088"/>
      <w:r>
        <w:rPr>
          <w:rFonts w:hint="eastAsia" w:ascii="宋体" w:hAnsi="宋体"/>
          <w:color w:val="auto"/>
          <w:sz w:val="24"/>
        </w:rPr>
        <w:t>供应商在首次递交响应文件截止时间3日前，按谈判文件的要求向采购代理机构递交谈判保证金，递交首次响应文件截止时间之后递交的谈判保证金将被拒绝。</w:t>
      </w:r>
      <w:bookmarkEnd w:id="82"/>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olor w:val="auto"/>
          <w:sz w:val="24"/>
        </w:rPr>
      </w:pPr>
      <w:r>
        <w:rPr>
          <w:rFonts w:hint="eastAsia" w:ascii="宋体" w:hAnsi="宋体"/>
          <w:color w:val="auto"/>
          <w:sz w:val="24"/>
        </w:rPr>
        <w:t>供应商在汇款时务必注明所参与谈判项目的编号及用途，否则，因款项用途不明导致响应文件无效等后果由供应商自行承担。</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采购人或者采购代理机构应当自成交通知书发出之日起5个工作日内退还非成交供应商的谈判保证金，自政府采购合同签订之日起5个工作日内退还成交供应商的谈判保证金</w:t>
      </w:r>
      <w:r>
        <w:rPr>
          <w:rFonts w:hint="eastAsia" w:asciiTheme="minorEastAsia" w:hAnsiTheme="minorEastAsia"/>
          <w:color w:val="auto"/>
          <w:sz w:val="24"/>
        </w:rPr>
        <w:t>或者转为成交供应商的履约保证金</w:t>
      </w:r>
      <w:r>
        <w:rPr>
          <w:rFonts w:hint="eastAsia" w:ascii="宋体" w:hAnsi="宋体" w:cs="黑体"/>
          <w:color w:val="auto"/>
          <w:kern w:val="0"/>
          <w:sz w:val="24"/>
        </w:rPr>
        <w:t>。</w:t>
      </w:r>
    </w:p>
    <w:p>
      <w:pPr>
        <w:pageBreakBefore w:val="0"/>
        <w:numPr>
          <w:ilvl w:val="255"/>
          <w:numId w:val="0"/>
        </w:numPr>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r>
        <w:rPr>
          <w:rFonts w:hint="eastAsia" w:ascii="宋体" w:hAnsi="宋体" w:cs="黑体"/>
          <w:color w:val="auto"/>
          <w:kern w:val="0"/>
          <w:sz w:val="24"/>
        </w:rPr>
        <w:t>采购人或者采购代理机构逾期退还谈判保证金的，除退还谈判保证金本金外，还应当按中国人民银行同期贷款基准利率上浮20％后的利率支付超期资金占用费，但因供应商自身原因导致无法及时退还的除外。</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hAnsi="宋体" w:cs="宋体"/>
          <w:color w:val="auto"/>
          <w:sz w:val="24"/>
        </w:rPr>
        <w:t>供应商有下列行为之一者，其谈判保证金可不予退还：</w:t>
      </w:r>
    </w:p>
    <w:p>
      <w:pPr>
        <w:pageBreakBefore w:val="0"/>
        <w:tabs>
          <w:tab w:val="left" w:pos="1843"/>
        </w:tabs>
        <w:kinsoku/>
        <w:overflowPunct/>
        <w:topLinePunct w:val="0"/>
        <w:autoSpaceDE w:val="0"/>
        <w:autoSpaceDN w:val="0"/>
        <w:bidi w:val="0"/>
        <w:adjustRightInd w:val="0"/>
        <w:snapToGrid w:val="0"/>
        <w:spacing w:after="156" w:afterLines="50" w:line="380" w:lineRule="exact"/>
        <w:ind w:left="1734" w:leftChars="540" w:hanging="600" w:hangingChars="250"/>
        <w:outlineLvl w:val="9"/>
        <w:rPr>
          <w:rFonts w:ascii="宋体" w:hAnsi="宋体" w:cs="黑体"/>
          <w:color w:val="auto"/>
          <w:kern w:val="0"/>
          <w:sz w:val="24"/>
        </w:rPr>
      </w:pPr>
      <w:r>
        <w:rPr>
          <w:rFonts w:hint="eastAsia" w:ascii="宋体" w:hAnsi="宋体" w:cs="黑体"/>
          <w:color w:val="auto"/>
          <w:kern w:val="0"/>
          <w:sz w:val="24"/>
        </w:rPr>
        <w:t>（1）供应商在响应文件有效期内撤回响应文件的；</w:t>
      </w:r>
    </w:p>
    <w:p>
      <w:pPr>
        <w:pageBreakBefore w:val="0"/>
        <w:tabs>
          <w:tab w:val="left" w:pos="1843"/>
        </w:tabs>
        <w:kinsoku/>
        <w:overflowPunct/>
        <w:topLinePunct w:val="0"/>
        <w:autoSpaceDE w:val="0"/>
        <w:autoSpaceDN w:val="0"/>
        <w:bidi w:val="0"/>
        <w:adjustRightInd w:val="0"/>
        <w:snapToGrid w:val="0"/>
        <w:spacing w:after="156" w:afterLines="50" w:line="380" w:lineRule="exact"/>
        <w:ind w:left="1734" w:leftChars="540" w:hanging="600" w:hangingChars="250"/>
        <w:outlineLvl w:val="9"/>
        <w:rPr>
          <w:rFonts w:ascii="宋体" w:hAnsi="宋体" w:cs="黑体"/>
          <w:color w:val="auto"/>
          <w:kern w:val="0"/>
          <w:sz w:val="24"/>
        </w:rPr>
      </w:pPr>
      <w:r>
        <w:rPr>
          <w:rFonts w:hint="eastAsia" w:ascii="宋体" w:hAnsi="宋体" w:cs="黑体"/>
          <w:color w:val="auto"/>
          <w:kern w:val="0"/>
          <w:sz w:val="24"/>
        </w:rPr>
        <w:t>（2）供应商在响应文件中提供虚假材料的；</w:t>
      </w:r>
    </w:p>
    <w:p>
      <w:pPr>
        <w:pageBreakBefore w:val="0"/>
        <w:tabs>
          <w:tab w:val="left" w:pos="1843"/>
        </w:tabs>
        <w:kinsoku/>
        <w:overflowPunct/>
        <w:topLinePunct w:val="0"/>
        <w:autoSpaceDE w:val="0"/>
        <w:autoSpaceDN w:val="0"/>
        <w:bidi w:val="0"/>
        <w:adjustRightInd w:val="0"/>
        <w:snapToGrid w:val="0"/>
        <w:spacing w:after="156" w:afterLines="50" w:line="380" w:lineRule="exact"/>
        <w:ind w:left="1734" w:leftChars="540" w:hanging="600" w:hangingChars="250"/>
        <w:outlineLvl w:val="9"/>
        <w:rPr>
          <w:rFonts w:ascii="宋体" w:hAnsi="宋体" w:cs="黑体"/>
          <w:color w:val="auto"/>
          <w:kern w:val="0"/>
          <w:sz w:val="24"/>
        </w:rPr>
      </w:pPr>
      <w:r>
        <w:rPr>
          <w:rFonts w:hint="eastAsia" w:ascii="宋体" w:hAnsi="宋体" w:cs="黑体"/>
          <w:color w:val="auto"/>
          <w:kern w:val="0"/>
          <w:sz w:val="24"/>
        </w:rPr>
        <w:t>（3）除因不可抗力或谈判文件认可的情形以外，成交供应商不与采购人签订合同的；</w:t>
      </w:r>
    </w:p>
    <w:p>
      <w:pPr>
        <w:pageBreakBefore w:val="0"/>
        <w:tabs>
          <w:tab w:val="left" w:pos="1843"/>
        </w:tabs>
        <w:kinsoku/>
        <w:overflowPunct/>
        <w:topLinePunct w:val="0"/>
        <w:autoSpaceDE w:val="0"/>
        <w:autoSpaceDN w:val="0"/>
        <w:bidi w:val="0"/>
        <w:adjustRightInd w:val="0"/>
        <w:snapToGrid w:val="0"/>
        <w:spacing w:after="156" w:afterLines="50" w:line="380" w:lineRule="exact"/>
        <w:ind w:left="1734" w:leftChars="540" w:hanging="600" w:hangingChars="250"/>
        <w:outlineLvl w:val="9"/>
        <w:rPr>
          <w:rFonts w:ascii="宋体" w:hAnsi="宋体" w:cs="黑体"/>
          <w:color w:val="auto"/>
          <w:kern w:val="0"/>
          <w:sz w:val="24"/>
        </w:rPr>
      </w:pPr>
      <w:r>
        <w:rPr>
          <w:rFonts w:hint="eastAsia" w:ascii="宋体" w:hAnsi="宋体" w:cs="黑体"/>
          <w:color w:val="auto"/>
          <w:kern w:val="0"/>
          <w:sz w:val="24"/>
        </w:rPr>
        <w:t>（4）供应商与采购人、其他供应商或者采购代理机构恶意串通的；</w:t>
      </w:r>
    </w:p>
    <w:p>
      <w:pPr>
        <w:pageBreakBefore w:val="0"/>
        <w:tabs>
          <w:tab w:val="left" w:pos="1843"/>
        </w:tabs>
        <w:kinsoku/>
        <w:overflowPunct/>
        <w:topLinePunct w:val="0"/>
        <w:autoSpaceDE w:val="0"/>
        <w:autoSpaceDN w:val="0"/>
        <w:bidi w:val="0"/>
        <w:adjustRightInd w:val="0"/>
        <w:snapToGrid w:val="0"/>
        <w:spacing w:after="156" w:afterLines="50" w:line="380" w:lineRule="exact"/>
        <w:ind w:left="1734" w:leftChars="540" w:hanging="600" w:hangingChars="250"/>
        <w:outlineLvl w:val="9"/>
        <w:rPr>
          <w:rFonts w:ascii="宋体" w:hAnsi="宋体" w:cs="黑体"/>
          <w:color w:val="auto"/>
          <w:kern w:val="0"/>
          <w:sz w:val="24"/>
        </w:rPr>
      </w:pPr>
      <w:r>
        <w:rPr>
          <w:rFonts w:hint="eastAsia" w:ascii="宋体" w:hAnsi="宋体" w:cs="黑体"/>
          <w:color w:val="auto"/>
          <w:kern w:val="0"/>
          <w:sz w:val="24"/>
        </w:rPr>
        <w:t>（5）谈判文件规定应由成交供应商缴纳代理服务费而成交供应商未缴纳的；</w:t>
      </w:r>
    </w:p>
    <w:p>
      <w:pPr>
        <w:pageBreakBefore w:val="0"/>
        <w:tabs>
          <w:tab w:val="left" w:pos="1843"/>
        </w:tabs>
        <w:kinsoku/>
        <w:overflowPunct/>
        <w:topLinePunct w:val="0"/>
        <w:autoSpaceDE w:val="0"/>
        <w:autoSpaceDN w:val="0"/>
        <w:bidi w:val="0"/>
        <w:adjustRightInd w:val="0"/>
        <w:snapToGrid w:val="0"/>
        <w:spacing w:after="156" w:afterLines="50" w:line="380" w:lineRule="exact"/>
        <w:ind w:left="1734" w:leftChars="540" w:hanging="600" w:hangingChars="250"/>
        <w:outlineLvl w:val="9"/>
        <w:rPr>
          <w:rFonts w:ascii="宋体" w:hAnsi="宋体" w:cs="黑体"/>
          <w:color w:val="auto"/>
          <w:kern w:val="0"/>
          <w:sz w:val="24"/>
        </w:rPr>
      </w:pPr>
      <w:r>
        <w:rPr>
          <w:rFonts w:hint="eastAsia" w:ascii="宋体" w:hAnsi="宋体" w:cs="黑体"/>
          <w:color w:val="auto"/>
          <w:kern w:val="0"/>
          <w:sz w:val="24"/>
        </w:rPr>
        <w:t>（6）谈判文件规定的其他情形。</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83" w:name="_Toc195921818"/>
      <w:r>
        <w:rPr>
          <w:rFonts w:hint="eastAsia" w:ascii="宋体" w:hAnsi="宋体" w:cs="黑体"/>
          <w:color w:val="auto"/>
          <w:kern w:val="0"/>
          <w:sz w:val="24"/>
        </w:rPr>
        <w:t>响应文件的编制</w:t>
      </w:r>
      <w:bookmarkEnd w:id="83"/>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响应文件应按第六章“响应文件格式”进行编写，如有必要，可以增加附页，作为响应文件的组成部分。供应商可以提出比谈判文件要求更有利于采购人的承诺。</w:t>
      </w:r>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ascii="宋体" w:hAnsi="宋体" w:cs="黑体"/>
          <w:color w:val="auto"/>
          <w:kern w:val="0"/>
          <w:sz w:val="24"/>
        </w:rPr>
      </w:pPr>
      <w:r>
        <w:rPr>
          <w:rFonts w:hint="eastAsia" w:ascii="宋体" w:hAnsi="宋体" w:cs="黑体"/>
          <w:b/>
          <w:color w:val="auto"/>
          <w:kern w:val="0"/>
          <w:sz w:val="24"/>
        </w:rPr>
        <w:t>响应文件应当对谈判文件有关采购范围、供货期/服务期、响应文件有效期及谈判文件要求实质性内容作出响应</w:t>
      </w:r>
      <w:r>
        <w:rPr>
          <w:rFonts w:hint="eastAsia" w:ascii="宋体" w:hAnsi="宋体" w:cs="黑体"/>
          <w:color w:val="auto"/>
          <w:kern w:val="0"/>
          <w:sz w:val="24"/>
        </w:rPr>
        <w:t>。</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84" w:name="_Ref527102437"/>
      <w:r>
        <w:rPr>
          <w:rFonts w:hint="eastAsia" w:ascii="宋体" w:hAnsi="宋体" w:cs="黑体"/>
          <w:color w:val="auto"/>
          <w:kern w:val="0"/>
          <w:sz w:val="24"/>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84"/>
    </w:p>
    <w:p>
      <w:pPr>
        <w:pageBreakBefore w:val="0"/>
        <w:tabs>
          <w:tab w:val="left" w:pos="1260"/>
        </w:tabs>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r>
        <w:rPr>
          <w:rFonts w:hint="eastAsia" w:ascii="宋体" w:hAnsi="宋体" w:cs="黑体"/>
          <w:color w:val="auto"/>
          <w:kern w:val="0"/>
          <w:sz w:val="24"/>
        </w:rPr>
        <w:t>首次响应文件递交截止时间前，如对首次响应文件进行了修改，包括在响应文件行间插字、涂改和增删，均应由供应商的法定代表人或经授权的代表在修改的每一页上签字。</w:t>
      </w:r>
    </w:p>
    <w:p>
      <w:pPr>
        <w:pageBreakBefore w:val="0"/>
        <w:tabs>
          <w:tab w:val="left" w:pos="1260"/>
        </w:tabs>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r>
        <w:rPr>
          <w:rFonts w:hint="eastAsia" w:ascii="宋体" w:hAnsi="宋体" w:cs="黑体"/>
          <w:color w:val="auto"/>
          <w:kern w:val="0"/>
          <w:sz w:val="24"/>
        </w:rPr>
        <w:t>响应文件的副本可采用正本的复印件。</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响应文件正本一份，副本及电子文档要求份数见供应商须知前附表。正本和副本的封面上应清楚地标记“正本”或“副本”的字样。当副本和正本不一致时，以正本为准。</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85" w:name="_Ref527102466"/>
      <w:r>
        <w:rPr>
          <w:rFonts w:hint="eastAsia" w:ascii="宋体" w:hAnsi="宋体" w:cs="黑体"/>
          <w:color w:val="auto"/>
          <w:kern w:val="0"/>
          <w:sz w:val="24"/>
        </w:rPr>
        <w:t>响应文件的正本与副本应分别装订成册，并编制目录，具体分册及装订要求见供应商须知前附表规定。</w:t>
      </w:r>
      <w:bookmarkEnd w:id="85"/>
    </w:p>
    <w:p>
      <w:pPr>
        <w:pageBreakBefore w:val="0"/>
        <w:numPr>
          <w:ilvl w:val="0"/>
          <w:numId w:val="3"/>
        </w:numPr>
        <w:kinsoku/>
        <w:overflowPunct/>
        <w:topLinePunct w:val="0"/>
        <w:autoSpaceDE w:val="0"/>
        <w:autoSpaceDN w:val="0"/>
        <w:bidi w:val="0"/>
        <w:adjustRightInd w:val="0"/>
        <w:spacing w:after="156" w:afterLines="50" w:line="380" w:lineRule="exact"/>
        <w:outlineLvl w:val="9"/>
        <w:rPr>
          <w:rFonts w:ascii="黑体" w:hAnsi="宋体" w:eastAsia="黑体" w:cs="黑体"/>
          <w:color w:val="auto"/>
          <w:kern w:val="0"/>
          <w:sz w:val="24"/>
        </w:rPr>
      </w:pPr>
      <w:bookmarkStart w:id="86" w:name="_Toc195921819"/>
      <w:bookmarkStart w:id="87" w:name="_Toc45099867"/>
      <w:r>
        <w:rPr>
          <w:rFonts w:hint="eastAsia" w:ascii="黑体" w:hAnsi="宋体" w:eastAsia="黑体" w:cs="黑体"/>
          <w:color w:val="auto"/>
          <w:kern w:val="0"/>
          <w:sz w:val="24"/>
        </w:rPr>
        <w:t>响应文件</w:t>
      </w:r>
      <w:bookmarkEnd w:id="86"/>
      <w:r>
        <w:rPr>
          <w:rFonts w:hint="eastAsia" w:ascii="黑体" w:hAnsi="宋体" w:eastAsia="黑体" w:cs="黑体"/>
          <w:color w:val="auto"/>
          <w:kern w:val="0"/>
          <w:sz w:val="24"/>
        </w:rPr>
        <w:t>提交</w:t>
      </w:r>
      <w:bookmarkEnd w:id="87"/>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88" w:name="_Toc195921820"/>
      <w:r>
        <w:rPr>
          <w:rFonts w:hint="eastAsia" w:ascii="宋体" w:hAnsi="宋体" w:cs="黑体"/>
          <w:color w:val="auto"/>
          <w:kern w:val="0"/>
          <w:sz w:val="24"/>
        </w:rPr>
        <w:t>响应文件的</w:t>
      </w:r>
      <w:bookmarkEnd w:id="88"/>
      <w:r>
        <w:rPr>
          <w:rFonts w:hint="eastAsia" w:ascii="宋体" w:hAnsi="宋体" w:cs="黑体"/>
          <w:color w:val="auto"/>
          <w:kern w:val="0"/>
          <w:sz w:val="24"/>
        </w:rPr>
        <w:t>密封和标记</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89" w:name="_Ref421008478"/>
      <w:r>
        <w:rPr>
          <w:rFonts w:hint="eastAsia" w:ascii="宋体" w:hAnsi="宋体" w:cs="黑体"/>
          <w:color w:val="auto"/>
          <w:kern w:val="0"/>
          <w:sz w:val="24"/>
        </w:rPr>
        <w:t>供应商递交的响应文件，应按照标包分别加以密封。密封方式为在响应文件外包装封口处加盖公章或“密封章”。</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90" w:name="_Ref527102501"/>
      <w:r>
        <w:rPr>
          <w:rFonts w:hint="eastAsia" w:ascii="宋体" w:hAnsi="宋体" w:cs="黑体"/>
          <w:color w:val="auto"/>
          <w:kern w:val="0"/>
          <w:sz w:val="24"/>
        </w:rPr>
        <w:t>响应文件的封套上应标识的其他内容见供应商须知前附表。</w:t>
      </w:r>
      <w:bookmarkEnd w:id="89"/>
      <w:bookmarkEnd w:id="90"/>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未按本章第</w:t>
      </w:r>
      <w:r>
        <w:rPr>
          <w:color w:val="auto"/>
          <w:sz w:val="24"/>
        </w:rPr>
        <w:fldChar w:fldCharType="begin"/>
      </w:r>
      <w:r>
        <w:rPr>
          <w:color w:val="auto"/>
          <w:sz w:val="24"/>
        </w:rPr>
        <w:instrText xml:space="preserve"> REF _Ref421008478 \r \h  \* MERGEFORMAT </w:instrText>
      </w:r>
      <w:r>
        <w:rPr>
          <w:color w:val="auto"/>
          <w:sz w:val="24"/>
        </w:rPr>
        <w:fldChar w:fldCharType="separate"/>
      </w:r>
      <w:r>
        <w:rPr>
          <w:rFonts w:ascii="宋体" w:hAnsi="宋体" w:cs="黑体"/>
          <w:color w:val="auto"/>
          <w:kern w:val="0"/>
          <w:sz w:val="24"/>
        </w:rPr>
        <w:t>4.1.1</w:t>
      </w:r>
      <w:r>
        <w:rPr>
          <w:rFonts w:ascii="宋体" w:hAnsi="宋体" w:cs="黑体"/>
          <w:color w:val="auto"/>
          <w:kern w:val="0"/>
          <w:sz w:val="24"/>
        </w:rPr>
        <w:fldChar w:fldCharType="end"/>
      </w:r>
      <w:r>
        <w:rPr>
          <w:rFonts w:hint="eastAsia" w:ascii="宋体" w:hAnsi="宋体" w:cs="黑体"/>
          <w:color w:val="auto"/>
          <w:kern w:val="0"/>
          <w:sz w:val="24"/>
        </w:rPr>
        <w:t>项、第</w:t>
      </w:r>
      <w:r>
        <w:rPr>
          <w:rFonts w:hint="eastAsia"/>
          <w:color w:val="auto"/>
          <w:sz w:val="24"/>
        </w:rPr>
        <w:fldChar w:fldCharType="begin"/>
      </w:r>
      <w:r>
        <w:rPr>
          <w:color w:val="auto"/>
          <w:sz w:val="24"/>
        </w:rPr>
        <w:instrText xml:space="preserve"> REF _Ref421008478 \r \h  \* MERGEFORMAT </w:instrText>
      </w:r>
      <w:r>
        <w:rPr>
          <w:rFonts w:hint="eastAsia"/>
          <w:color w:val="auto"/>
          <w:sz w:val="24"/>
        </w:rPr>
        <w:fldChar w:fldCharType="separate"/>
      </w:r>
      <w:r>
        <w:rPr>
          <w:rFonts w:ascii="宋体" w:hAnsi="宋体" w:cs="黑体"/>
          <w:color w:val="auto"/>
          <w:kern w:val="0"/>
          <w:sz w:val="24"/>
        </w:rPr>
        <w:t>4.1.</w:t>
      </w:r>
      <w:r>
        <w:rPr>
          <w:rFonts w:hint="eastAsia" w:ascii="宋体" w:hAnsi="宋体" w:cs="黑体"/>
          <w:color w:val="auto"/>
          <w:kern w:val="0"/>
          <w:sz w:val="24"/>
        </w:rPr>
        <w:t>2</w:t>
      </w:r>
      <w:r>
        <w:rPr>
          <w:rFonts w:hint="eastAsia" w:ascii="宋体" w:hAnsi="宋体" w:cs="黑体"/>
          <w:color w:val="auto"/>
          <w:kern w:val="0"/>
          <w:sz w:val="24"/>
        </w:rPr>
        <w:fldChar w:fldCharType="end"/>
      </w:r>
      <w:r>
        <w:rPr>
          <w:rFonts w:hint="eastAsia" w:ascii="宋体" w:hAnsi="宋体" w:cs="黑体"/>
          <w:color w:val="auto"/>
          <w:kern w:val="0"/>
          <w:sz w:val="24"/>
        </w:rPr>
        <w:t>项要求密封并加写标识的响应文件，采购人不予受理。</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91" w:name="_Toc195921821"/>
      <w:r>
        <w:rPr>
          <w:rFonts w:hint="eastAsia" w:ascii="宋体" w:hAnsi="宋体" w:cs="黑体"/>
          <w:color w:val="auto"/>
          <w:kern w:val="0"/>
          <w:sz w:val="24"/>
        </w:rPr>
        <w:t>首次响应文件的递交</w:t>
      </w:r>
      <w:bookmarkEnd w:id="91"/>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供应商应在竞争性谈判公告</w:t>
      </w:r>
      <w:r>
        <w:rPr>
          <w:rFonts w:hint="eastAsia"/>
          <w:color w:val="auto"/>
          <w:sz w:val="24"/>
        </w:rPr>
        <w:t>/邀请书</w:t>
      </w:r>
      <w:r>
        <w:rPr>
          <w:rFonts w:hint="eastAsia" w:ascii="宋体" w:hAnsi="宋体" w:cs="黑体"/>
          <w:color w:val="auto"/>
          <w:kern w:val="0"/>
          <w:sz w:val="24"/>
        </w:rPr>
        <w:t>规定的递交响应文件截止时间前递交首次响应文件。如有变化，见澄清修改文件。</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供应商递交首次响应文件的地点：见竞争性谈判公告</w:t>
      </w:r>
      <w:r>
        <w:rPr>
          <w:rFonts w:hint="eastAsia"/>
          <w:color w:val="auto"/>
          <w:sz w:val="24"/>
        </w:rPr>
        <w:t>/邀请书</w:t>
      </w:r>
      <w:r>
        <w:rPr>
          <w:rFonts w:hint="eastAsia" w:ascii="宋体" w:hAnsi="宋体" w:cs="黑体"/>
          <w:color w:val="auto"/>
          <w:kern w:val="0"/>
          <w:sz w:val="24"/>
        </w:rPr>
        <w:t>。如有变化，见澄清修改文件。</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除因供应商家数不满足要求未进行谈判的情形外，供应商所递交的响应文件不予退还。</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Theme="minorEastAsia" w:hAnsiTheme="minorEastAsia"/>
          <w:color w:val="auto"/>
          <w:sz w:val="24"/>
        </w:rPr>
        <w:t>逾期送达、</w:t>
      </w:r>
      <w:r>
        <w:rPr>
          <w:rFonts w:hint="eastAsia" w:ascii="宋体" w:hAnsi="宋体" w:cs="黑体"/>
          <w:color w:val="auto"/>
          <w:kern w:val="0"/>
          <w:sz w:val="24"/>
        </w:rPr>
        <w:t>未送达指定地点</w:t>
      </w:r>
      <w:r>
        <w:rPr>
          <w:rFonts w:hint="eastAsia" w:asciiTheme="minorEastAsia" w:hAnsiTheme="minorEastAsia"/>
          <w:color w:val="auto"/>
          <w:sz w:val="24"/>
        </w:rPr>
        <w:t>的响应文件</w:t>
      </w:r>
      <w:r>
        <w:rPr>
          <w:rFonts w:hint="eastAsia" w:ascii="宋体" w:hAnsi="宋体" w:cs="黑体"/>
          <w:color w:val="auto"/>
          <w:kern w:val="0"/>
          <w:sz w:val="24"/>
        </w:rPr>
        <w:t>，采购人不予受理。</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92" w:name="_Toc195921822"/>
      <w:r>
        <w:rPr>
          <w:rFonts w:hint="eastAsia" w:ascii="宋体" w:hAnsi="宋体" w:cs="黑体"/>
          <w:color w:val="auto"/>
          <w:kern w:val="0"/>
          <w:sz w:val="24"/>
        </w:rPr>
        <w:t>响应文件的修改与撤回</w:t>
      </w:r>
      <w:bookmarkEnd w:id="92"/>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在竞争性谈判公告</w:t>
      </w:r>
      <w:r>
        <w:rPr>
          <w:rFonts w:hint="eastAsia"/>
          <w:color w:val="auto"/>
          <w:sz w:val="24"/>
        </w:rPr>
        <w:t>/邀请书</w:t>
      </w:r>
      <w:r>
        <w:rPr>
          <w:rFonts w:hint="eastAsia" w:ascii="宋体" w:hAnsi="宋体" w:cs="黑体"/>
          <w:color w:val="auto"/>
          <w:kern w:val="0"/>
          <w:sz w:val="24"/>
        </w:rPr>
        <w:t>规定的首次响应文件递交截止时间前，供应商可以修改或撤回已递交的首次响应文件，但应以书面形式通知采购人。</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修改的内容为首次响应文件的组成部分。修改的首次响应文件应按照本章第</w:t>
      </w:r>
      <w:r>
        <w:rPr>
          <w:rFonts w:ascii="宋体" w:hAnsi="宋体" w:cs="黑体"/>
          <w:color w:val="auto"/>
          <w:kern w:val="0"/>
          <w:sz w:val="24"/>
        </w:rPr>
        <w:t>3</w:t>
      </w:r>
      <w:r>
        <w:rPr>
          <w:rFonts w:hint="eastAsia" w:ascii="宋体" w:hAnsi="宋体" w:cs="黑体"/>
          <w:color w:val="auto"/>
          <w:kern w:val="0"/>
          <w:sz w:val="24"/>
        </w:rPr>
        <w:t>条、第</w:t>
      </w:r>
      <w:r>
        <w:rPr>
          <w:rFonts w:ascii="宋体" w:hAnsi="宋体" w:cs="黑体"/>
          <w:color w:val="auto"/>
          <w:kern w:val="0"/>
          <w:sz w:val="24"/>
        </w:rPr>
        <w:t>4</w:t>
      </w:r>
      <w:r>
        <w:rPr>
          <w:rFonts w:hint="eastAsia" w:ascii="宋体" w:hAnsi="宋体" w:cs="黑体"/>
          <w:color w:val="auto"/>
          <w:kern w:val="0"/>
          <w:sz w:val="24"/>
        </w:rPr>
        <w:t>条规定进行编制、标记和递交，并标明“修改”字样。</w:t>
      </w:r>
    </w:p>
    <w:p>
      <w:pPr>
        <w:pageBreakBefore w:val="0"/>
        <w:numPr>
          <w:ilvl w:val="0"/>
          <w:numId w:val="3"/>
        </w:numPr>
        <w:kinsoku/>
        <w:overflowPunct/>
        <w:topLinePunct w:val="0"/>
        <w:autoSpaceDE w:val="0"/>
        <w:autoSpaceDN w:val="0"/>
        <w:bidi w:val="0"/>
        <w:adjustRightInd w:val="0"/>
        <w:spacing w:after="156" w:afterLines="50" w:line="380" w:lineRule="exact"/>
        <w:outlineLvl w:val="9"/>
        <w:rPr>
          <w:rFonts w:ascii="黑体" w:hAnsi="宋体" w:eastAsia="黑体" w:cs="黑体"/>
          <w:color w:val="auto"/>
          <w:kern w:val="0"/>
          <w:sz w:val="24"/>
        </w:rPr>
      </w:pPr>
      <w:bookmarkStart w:id="93" w:name="_Toc45099868"/>
      <w:r>
        <w:rPr>
          <w:rFonts w:hint="eastAsia" w:ascii="黑体" w:hAnsi="宋体" w:eastAsia="黑体" w:cs="黑体"/>
          <w:color w:val="auto"/>
          <w:kern w:val="0"/>
          <w:sz w:val="24"/>
        </w:rPr>
        <w:t>评审与谈判</w:t>
      </w:r>
      <w:bookmarkEnd w:id="93"/>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r>
        <w:rPr>
          <w:rFonts w:hint="eastAsia" w:ascii="宋体" w:hAnsi="宋体" w:cs="黑体"/>
          <w:color w:val="auto"/>
          <w:kern w:val="0"/>
          <w:sz w:val="24"/>
        </w:rPr>
        <w:t>谈判小组</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94" w:name="_Ref527102573"/>
      <w:r>
        <w:rPr>
          <w:rFonts w:hint="eastAsia" w:ascii="宋体" w:hAnsi="宋体" w:cs="黑体"/>
          <w:color w:val="auto"/>
          <w:kern w:val="0"/>
          <w:sz w:val="24"/>
        </w:rPr>
        <w:t>竞争性谈判小组由采购人代表和评审专家组成，采购人代表和评审专家人数见供应商须知前附表。</w:t>
      </w:r>
      <w:bookmarkEnd w:id="94"/>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谈判小组成员有下列情形之一的，应当回避：</w:t>
      </w:r>
    </w:p>
    <w:p>
      <w:pPr>
        <w:pStyle w:val="39"/>
        <w:pageBreakBefore w:val="0"/>
        <w:numPr>
          <w:ilvl w:val="0"/>
          <w:numId w:val="8"/>
        </w:numPr>
        <w:kinsoku/>
        <w:overflowPunct/>
        <w:topLinePunct w:val="0"/>
        <w:bidi w:val="0"/>
        <w:snapToGrid w:val="0"/>
        <w:spacing w:after="156" w:afterLines="50" w:line="380" w:lineRule="exact"/>
        <w:ind w:left="1985" w:hanging="851"/>
        <w:outlineLvl w:val="9"/>
        <w:rPr>
          <w:rFonts w:hAnsi="宋体" w:cs="宋体"/>
          <w:color w:val="auto"/>
          <w:sz w:val="24"/>
          <w:szCs w:val="24"/>
        </w:rPr>
      </w:pPr>
      <w:r>
        <w:rPr>
          <w:rFonts w:hAnsi="宋体" w:cs="宋体"/>
          <w:color w:val="auto"/>
          <w:sz w:val="24"/>
          <w:szCs w:val="24"/>
        </w:rPr>
        <w:t>参加采购活动前3年内与供应商存在劳动关系；</w:t>
      </w:r>
    </w:p>
    <w:p>
      <w:pPr>
        <w:pStyle w:val="39"/>
        <w:pageBreakBefore w:val="0"/>
        <w:numPr>
          <w:ilvl w:val="0"/>
          <w:numId w:val="8"/>
        </w:numPr>
        <w:kinsoku/>
        <w:overflowPunct/>
        <w:topLinePunct w:val="0"/>
        <w:bidi w:val="0"/>
        <w:snapToGrid w:val="0"/>
        <w:spacing w:after="156" w:afterLines="50" w:line="380" w:lineRule="exact"/>
        <w:ind w:left="1985" w:hanging="851"/>
        <w:outlineLvl w:val="9"/>
        <w:rPr>
          <w:rFonts w:hAnsi="宋体" w:cs="宋体"/>
          <w:color w:val="auto"/>
          <w:sz w:val="24"/>
          <w:szCs w:val="24"/>
        </w:rPr>
      </w:pPr>
      <w:r>
        <w:rPr>
          <w:rFonts w:hAnsi="宋体" w:cs="宋体"/>
          <w:color w:val="auto"/>
          <w:sz w:val="24"/>
          <w:szCs w:val="24"/>
        </w:rPr>
        <w:t>参加采购活动前3年内担任供应商的董事、监事；</w:t>
      </w:r>
    </w:p>
    <w:p>
      <w:pPr>
        <w:pStyle w:val="39"/>
        <w:pageBreakBefore w:val="0"/>
        <w:numPr>
          <w:ilvl w:val="0"/>
          <w:numId w:val="8"/>
        </w:numPr>
        <w:kinsoku/>
        <w:overflowPunct/>
        <w:topLinePunct w:val="0"/>
        <w:bidi w:val="0"/>
        <w:snapToGrid w:val="0"/>
        <w:spacing w:after="156" w:afterLines="50" w:line="380" w:lineRule="exact"/>
        <w:ind w:left="1985" w:hanging="851"/>
        <w:outlineLvl w:val="9"/>
        <w:rPr>
          <w:rFonts w:hAnsi="宋体" w:cs="宋体"/>
          <w:color w:val="auto"/>
          <w:sz w:val="24"/>
          <w:szCs w:val="24"/>
        </w:rPr>
      </w:pPr>
      <w:r>
        <w:rPr>
          <w:rFonts w:hAnsi="宋体" w:cs="宋体"/>
          <w:color w:val="auto"/>
          <w:sz w:val="24"/>
          <w:szCs w:val="24"/>
        </w:rPr>
        <w:t>参加采购活动前3年内是供应商的控股股东或者实际控制人；</w:t>
      </w:r>
    </w:p>
    <w:p>
      <w:pPr>
        <w:pStyle w:val="39"/>
        <w:pageBreakBefore w:val="0"/>
        <w:numPr>
          <w:ilvl w:val="0"/>
          <w:numId w:val="8"/>
        </w:numPr>
        <w:kinsoku/>
        <w:overflowPunct/>
        <w:topLinePunct w:val="0"/>
        <w:bidi w:val="0"/>
        <w:snapToGrid w:val="0"/>
        <w:spacing w:after="156" w:afterLines="50" w:line="380" w:lineRule="exact"/>
        <w:ind w:left="1985" w:hanging="851"/>
        <w:outlineLvl w:val="9"/>
        <w:rPr>
          <w:rFonts w:hAnsi="宋体" w:cs="宋体"/>
          <w:color w:val="auto"/>
          <w:sz w:val="24"/>
          <w:szCs w:val="24"/>
        </w:rPr>
      </w:pPr>
      <w:r>
        <w:rPr>
          <w:rFonts w:hAnsi="宋体" w:cs="宋体"/>
          <w:color w:val="auto"/>
          <w:sz w:val="24"/>
          <w:szCs w:val="24"/>
        </w:rPr>
        <w:t>与供应商的法定代表人或者负责人有夫妻、直系血亲、三代以内旁系血亲或者近姻亲关系；</w:t>
      </w:r>
    </w:p>
    <w:p>
      <w:pPr>
        <w:pStyle w:val="39"/>
        <w:pageBreakBefore w:val="0"/>
        <w:numPr>
          <w:ilvl w:val="0"/>
          <w:numId w:val="8"/>
        </w:numPr>
        <w:kinsoku/>
        <w:overflowPunct/>
        <w:topLinePunct w:val="0"/>
        <w:bidi w:val="0"/>
        <w:snapToGrid w:val="0"/>
        <w:spacing w:after="156" w:afterLines="50" w:line="380" w:lineRule="exact"/>
        <w:ind w:left="1985" w:hanging="851"/>
        <w:outlineLvl w:val="9"/>
        <w:rPr>
          <w:rFonts w:hAnsi="宋体" w:cs="宋体"/>
          <w:color w:val="auto"/>
          <w:sz w:val="24"/>
          <w:szCs w:val="24"/>
        </w:rPr>
      </w:pPr>
      <w:r>
        <w:rPr>
          <w:rFonts w:hAnsi="宋体" w:cs="宋体"/>
          <w:color w:val="auto"/>
          <w:sz w:val="24"/>
          <w:szCs w:val="24"/>
        </w:rPr>
        <w:t>与供应商有其他可能影响政府采购活动公平、公正进行的关系。</w:t>
      </w:r>
    </w:p>
    <w:p>
      <w:pPr>
        <w:pageBreakBefore w:val="0"/>
        <w:numPr>
          <w:ilvl w:val="2"/>
          <w:numId w:val="3"/>
        </w:numPr>
        <w:tabs>
          <w:tab w:val="left" w:pos="1260"/>
          <w:tab w:val="left" w:pos="1418"/>
          <w:tab w:val="left" w:pos="1800"/>
        </w:tabs>
        <w:kinsoku/>
        <w:overflowPunct/>
        <w:topLinePunct w:val="0"/>
        <w:autoSpaceDE w:val="0"/>
        <w:autoSpaceDN w:val="0"/>
        <w:bidi w:val="0"/>
        <w:adjustRightInd w:val="0"/>
        <w:snapToGrid w:val="0"/>
        <w:spacing w:before="120" w:after="156" w:afterLines="50" w:line="380" w:lineRule="exact"/>
        <w:outlineLvl w:val="9"/>
        <w:rPr>
          <w:rFonts w:ascii="宋体" w:hAnsi="宋体" w:cs="黑体"/>
          <w:color w:val="auto"/>
          <w:kern w:val="0"/>
          <w:sz w:val="24"/>
        </w:rPr>
      </w:pPr>
      <w:r>
        <w:rPr>
          <w:rFonts w:hint="eastAsia" w:ascii="宋体" w:hAnsi="宋体" w:cs="黑体"/>
          <w:color w:val="auto"/>
          <w:kern w:val="0"/>
          <w:sz w:val="24"/>
        </w:rPr>
        <w:t>谈判小组</w:t>
      </w:r>
      <w:r>
        <w:rPr>
          <w:rFonts w:hint="eastAsia" w:asciiTheme="minorEastAsia" w:hAnsiTheme="minorEastAsia"/>
          <w:color w:val="auto"/>
          <w:sz w:val="24"/>
        </w:rPr>
        <w:t>负责具体评审事务，并独立履行下列职责</w:t>
      </w:r>
      <w:r>
        <w:rPr>
          <w:rFonts w:hint="eastAsia" w:ascii="宋体" w:hAnsi="宋体" w:cs="黑体"/>
          <w:color w:val="auto"/>
          <w:kern w:val="0"/>
          <w:sz w:val="24"/>
        </w:rPr>
        <w:t>：</w:t>
      </w:r>
    </w:p>
    <w:p>
      <w:pPr>
        <w:pStyle w:val="39"/>
        <w:pageBreakBefore w:val="0"/>
        <w:numPr>
          <w:ilvl w:val="0"/>
          <w:numId w:val="9"/>
        </w:numPr>
        <w:kinsoku/>
        <w:overflowPunct/>
        <w:topLinePunct w:val="0"/>
        <w:bidi w:val="0"/>
        <w:snapToGrid w:val="0"/>
        <w:spacing w:after="156" w:afterLines="50" w:line="380" w:lineRule="exact"/>
        <w:ind w:left="1985" w:hanging="851"/>
        <w:outlineLvl w:val="9"/>
        <w:rPr>
          <w:rFonts w:hAnsi="宋体" w:cs="宋体"/>
          <w:color w:val="auto"/>
          <w:sz w:val="24"/>
          <w:szCs w:val="24"/>
        </w:rPr>
      </w:pPr>
      <w:bookmarkStart w:id="95" w:name="_Toc195921828"/>
      <w:r>
        <w:rPr>
          <w:rFonts w:hint="eastAsia" w:hAnsi="宋体" w:cs="宋体"/>
          <w:color w:val="auto"/>
          <w:sz w:val="24"/>
          <w:szCs w:val="24"/>
        </w:rPr>
        <w:t>确认谈判文件；</w:t>
      </w:r>
    </w:p>
    <w:p>
      <w:pPr>
        <w:pStyle w:val="39"/>
        <w:pageBreakBefore w:val="0"/>
        <w:numPr>
          <w:ilvl w:val="0"/>
          <w:numId w:val="9"/>
        </w:numPr>
        <w:kinsoku/>
        <w:overflowPunct/>
        <w:topLinePunct w:val="0"/>
        <w:bidi w:val="0"/>
        <w:snapToGrid w:val="0"/>
        <w:spacing w:after="156" w:afterLines="50" w:line="380" w:lineRule="exact"/>
        <w:ind w:left="1985" w:hanging="851"/>
        <w:outlineLvl w:val="9"/>
        <w:rPr>
          <w:rFonts w:hAnsi="宋体" w:cs="宋体"/>
          <w:color w:val="auto"/>
          <w:sz w:val="24"/>
          <w:szCs w:val="24"/>
        </w:rPr>
      </w:pPr>
      <w:r>
        <w:rPr>
          <w:rFonts w:hint="eastAsia" w:hAnsi="宋体" w:cs="宋体"/>
          <w:color w:val="auto"/>
          <w:sz w:val="24"/>
          <w:szCs w:val="24"/>
        </w:rPr>
        <w:t>审查供应商的响应文件并作出评价；</w:t>
      </w:r>
    </w:p>
    <w:p>
      <w:pPr>
        <w:pStyle w:val="39"/>
        <w:pageBreakBefore w:val="0"/>
        <w:numPr>
          <w:ilvl w:val="0"/>
          <w:numId w:val="9"/>
        </w:numPr>
        <w:kinsoku/>
        <w:overflowPunct/>
        <w:topLinePunct w:val="0"/>
        <w:bidi w:val="0"/>
        <w:snapToGrid w:val="0"/>
        <w:spacing w:after="156" w:afterLines="50" w:line="380" w:lineRule="exact"/>
        <w:ind w:left="1985" w:hanging="851"/>
        <w:outlineLvl w:val="9"/>
        <w:rPr>
          <w:rFonts w:hAnsi="宋体" w:cs="宋体"/>
          <w:color w:val="auto"/>
          <w:sz w:val="24"/>
          <w:szCs w:val="24"/>
        </w:rPr>
      </w:pPr>
      <w:r>
        <w:rPr>
          <w:rFonts w:hint="eastAsia" w:hAnsi="宋体" w:cs="宋体"/>
          <w:color w:val="auto"/>
          <w:sz w:val="24"/>
          <w:szCs w:val="24"/>
        </w:rPr>
        <w:t>要求供应商解释或者澄清其响应文件；</w:t>
      </w:r>
    </w:p>
    <w:p>
      <w:pPr>
        <w:pStyle w:val="39"/>
        <w:pageBreakBefore w:val="0"/>
        <w:numPr>
          <w:ilvl w:val="0"/>
          <w:numId w:val="9"/>
        </w:numPr>
        <w:kinsoku/>
        <w:overflowPunct/>
        <w:topLinePunct w:val="0"/>
        <w:bidi w:val="0"/>
        <w:snapToGrid w:val="0"/>
        <w:spacing w:after="156" w:afterLines="50" w:line="380" w:lineRule="exact"/>
        <w:ind w:left="1985" w:hanging="851"/>
        <w:outlineLvl w:val="9"/>
        <w:rPr>
          <w:rFonts w:hAnsi="宋体" w:cs="宋体"/>
          <w:color w:val="auto"/>
          <w:sz w:val="24"/>
          <w:szCs w:val="24"/>
        </w:rPr>
      </w:pPr>
      <w:r>
        <w:rPr>
          <w:rFonts w:hint="eastAsia" w:hAnsi="宋体" w:cs="宋体"/>
          <w:color w:val="auto"/>
          <w:sz w:val="24"/>
          <w:szCs w:val="24"/>
        </w:rPr>
        <w:t>编写评审报告；</w:t>
      </w:r>
    </w:p>
    <w:p>
      <w:pPr>
        <w:pStyle w:val="39"/>
        <w:pageBreakBefore w:val="0"/>
        <w:numPr>
          <w:ilvl w:val="0"/>
          <w:numId w:val="9"/>
        </w:numPr>
        <w:kinsoku/>
        <w:overflowPunct/>
        <w:topLinePunct w:val="0"/>
        <w:bidi w:val="0"/>
        <w:snapToGrid w:val="0"/>
        <w:spacing w:after="156" w:afterLines="50" w:line="380" w:lineRule="exact"/>
        <w:ind w:left="1985" w:hanging="851"/>
        <w:outlineLvl w:val="9"/>
        <w:rPr>
          <w:rFonts w:hAnsi="宋体" w:cs="宋体"/>
          <w:color w:val="auto"/>
          <w:sz w:val="24"/>
          <w:szCs w:val="24"/>
        </w:rPr>
      </w:pPr>
      <w:r>
        <w:rPr>
          <w:rFonts w:hint="eastAsia" w:hAnsi="宋体" w:cs="宋体"/>
          <w:color w:val="auto"/>
          <w:sz w:val="24"/>
          <w:szCs w:val="24"/>
        </w:rPr>
        <w:t>告知采购人、采购代理机构在评审过程中发现的供应商的违法违规行为。</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r>
        <w:rPr>
          <w:rFonts w:hint="eastAsia" w:ascii="宋体" w:hAnsi="宋体" w:cs="黑体"/>
          <w:color w:val="auto"/>
          <w:kern w:val="0"/>
          <w:sz w:val="24"/>
        </w:rPr>
        <w:t>谈判小组所有成员集中与单一供应商分别进行谈判，并给予所有参加谈判的供应商平等的谈判机会。</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cs="TimesNewRomanPSMT" w:asciiTheme="minorEastAsia" w:hAnsiTheme="minorEastAsia" w:eastAsiaTheme="minorEastAsia"/>
          <w:color w:val="auto"/>
          <w:kern w:val="0"/>
          <w:sz w:val="24"/>
        </w:rPr>
      </w:pPr>
      <w:r>
        <w:rPr>
          <w:rFonts w:hint="eastAsia" w:cs="TimesNewRomanPSMT" w:asciiTheme="minorEastAsia" w:hAnsiTheme="minorEastAsia" w:eastAsiaTheme="minorEastAsia"/>
          <w:color w:val="auto"/>
          <w:kern w:val="0"/>
          <w:sz w:val="24"/>
        </w:rPr>
        <w:t>谈判结束后，谈判小组可以要求所有继续参加谈判的供应商在规定时间内提交最后报价函，提交最后报价函的供应商不得少于3家，但公开招标的货物、服务采购项目，招标过程中提交投标文件或者经评审实质性响应招标文件要求的供应商只有两家时，经财政部门批准后采用竞争性谈判采购方式的除外。</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cs="TimesNewRomanPSMT" w:asciiTheme="minorEastAsia" w:hAnsiTheme="minorEastAsia" w:eastAsiaTheme="minorEastAsia"/>
          <w:color w:val="auto"/>
          <w:kern w:val="0"/>
          <w:sz w:val="24"/>
        </w:rPr>
      </w:pPr>
      <w:r>
        <w:rPr>
          <w:rFonts w:hint="eastAsia" w:cs="TimesNewRomanPSMT" w:asciiTheme="minorEastAsia" w:hAnsiTheme="minorEastAsia" w:eastAsiaTheme="minorEastAsia"/>
          <w:color w:val="auto"/>
          <w:kern w:val="0"/>
          <w:sz w:val="24"/>
        </w:rPr>
        <w:t>供应商应当按照谈判文件的变动情况和谈判小组的要求重新提交最后报价函，并由其法定代表人或授权代表签字或者加盖公章。由授权代表签字的，应当附法定代表人授权书。</w:t>
      </w:r>
    </w:p>
    <w:p>
      <w:pPr>
        <w:pageBreakBefore w:val="0"/>
        <w:kinsoku/>
        <w:overflowPunct/>
        <w:topLinePunct w:val="0"/>
        <w:autoSpaceDE w:val="0"/>
        <w:autoSpaceDN w:val="0"/>
        <w:bidi w:val="0"/>
        <w:adjustRightInd w:val="0"/>
        <w:snapToGrid w:val="0"/>
        <w:spacing w:after="156" w:afterLines="50" w:line="380" w:lineRule="exact"/>
        <w:ind w:left="1134" w:leftChars="540"/>
        <w:outlineLvl w:val="9"/>
        <w:rPr>
          <w:rFonts w:cs="TimesNewRomanPSMT" w:asciiTheme="minorEastAsia" w:hAnsiTheme="minorEastAsia" w:eastAsiaTheme="minorEastAsia"/>
          <w:color w:val="auto"/>
          <w:kern w:val="0"/>
          <w:sz w:val="24"/>
        </w:rPr>
      </w:pPr>
      <w:r>
        <w:rPr>
          <w:rFonts w:hint="eastAsia" w:cs="TimesNewRomanPSMT" w:asciiTheme="minorEastAsia" w:hAnsiTheme="minorEastAsia" w:eastAsiaTheme="minorEastAsia"/>
          <w:color w:val="auto"/>
          <w:kern w:val="0"/>
          <w:sz w:val="24"/>
        </w:rPr>
        <w:t>最后报价函是供应商响应文件的有效组成部分。</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cs="TimesNewRomanPSMT" w:asciiTheme="minorEastAsia" w:hAnsiTheme="minorEastAsia" w:eastAsiaTheme="minorEastAsia"/>
          <w:color w:val="auto"/>
          <w:kern w:val="0"/>
          <w:sz w:val="24"/>
        </w:rPr>
      </w:pPr>
      <w:r>
        <w:rPr>
          <w:rFonts w:hint="eastAsia" w:cs="TimesNewRomanPSMT" w:asciiTheme="minorEastAsia" w:hAnsiTheme="minorEastAsia" w:eastAsiaTheme="minorEastAsia"/>
          <w:color w:val="auto"/>
          <w:kern w:val="0"/>
          <w:sz w:val="24"/>
        </w:rPr>
        <w:t>若竞争性谈判最后报价函与供应商首次递交的报价函及报价函附录的内容有差异，以竞争性谈判最后报价函内容为准。</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Theme="minorEastAsia" w:hAnsiTheme="minorEastAsia"/>
          <w:color w:val="auto"/>
          <w:sz w:val="24"/>
        </w:rPr>
      </w:pPr>
      <w:r>
        <w:rPr>
          <w:rFonts w:hint="eastAsia" w:cs="TimesNewRomanPSMT" w:asciiTheme="minorEastAsia" w:hAnsiTheme="minorEastAsia" w:eastAsiaTheme="minorEastAsia"/>
          <w:color w:val="auto"/>
          <w:kern w:val="0"/>
          <w:sz w:val="24"/>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Theme="minorEastAsia" w:hAnsiTheme="minorEastAsia"/>
          <w:color w:val="auto"/>
          <w:sz w:val="24"/>
        </w:rPr>
      </w:pPr>
      <w:r>
        <w:rPr>
          <w:rFonts w:hint="eastAsia" w:cs="TimesNewRomanPSMT" w:asciiTheme="minorEastAsia" w:hAnsiTheme="minorEastAsia" w:eastAsiaTheme="minorEastAsia"/>
          <w:color w:val="auto"/>
          <w:kern w:val="0"/>
          <w:sz w:val="24"/>
        </w:rPr>
        <w:t>谈判小组</w:t>
      </w:r>
      <w:r>
        <w:rPr>
          <w:rFonts w:hint="eastAsia" w:asciiTheme="minorEastAsia" w:hAnsiTheme="minorEastAsia"/>
          <w:color w:val="auto"/>
          <w:sz w:val="24"/>
        </w:rPr>
        <w:t>按照第三章“评审办法和标准”规定的评审方法和标准，对提交最后报价函的响应文件进行评审。“评审办法”没有规定的方法、评审因素和标准，不作为评审依据。</w:t>
      </w:r>
    </w:p>
    <w:bookmarkEnd w:id="95"/>
    <w:p>
      <w:pPr>
        <w:pageBreakBefore w:val="0"/>
        <w:numPr>
          <w:ilvl w:val="0"/>
          <w:numId w:val="3"/>
        </w:numPr>
        <w:kinsoku/>
        <w:overflowPunct/>
        <w:topLinePunct w:val="0"/>
        <w:autoSpaceDE w:val="0"/>
        <w:autoSpaceDN w:val="0"/>
        <w:bidi w:val="0"/>
        <w:adjustRightInd w:val="0"/>
        <w:spacing w:after="156" w:afterLines="50" w:line="380" w:lineRule="exact"/>
        <w:outlineLvl w:val="9"/>
        <w:rPr>
          <w:rFonts w:ascii="黑体" w:hAnsi="宋体" w:eastAsia="黑体" w:cs="黑体"/>
          <w:color w:val="auto"/>
          <w:kern w:val="0"/>
          <w:sz w:val="24"/>
        </w:rPr>
      </w:pPr>
      <w:bookmarkStart w:id="96" w:name="_Toc45099869"/>
      <w:bookmarkStart w:id="97" w:name="_Toc195921830"/>
      <w:r>
        <w:rPr>
          <w:rFonts w:hint="eastAsia" w:ascii="黑体" w:hAnsi="宋体" w:eastAsia="黑体" w:cs="黑体"/>
          <w:color w:val="auto"/>
          <w:kern w:val="0"/>
          <w:sz w:val="24"/>
        </w:rPr>
        <w:t>合同授予</w:t>
      </w:r>
      <w:bookmarkEnd w:id="96"/>
      <w:bookmarkEnd w:id="97"/>
    </w:p>
    <w:p>
      <w:pPr>
        <w:pageBreakBefore w:val="0"/>
        <w:numPr>
          <w:ilvl w:val="1"/>
          <w:numId w:val="3"/>
        </w:numPr>
        <w:kinsoku/>
        <w:overflowPunct/>
        <w:topLinePunct w:val="0"/>
        <w:autoSpaceDE w:val="0"/>
        <w:autoSpaceDN w:val="0"/>
        <w:bidi w:val="0"/>
        <w:adjustRightInd w:val="0"/>
        <w:snapToGrid w:val="0"/>
        <w:spacing w:after="156" w:afterLines="50" w:line="380" w:lineRule="exact"/>
        <w:ind w:left="1680" w:hanging="1680" w:hangingChars="700"/>
        <w:outlineLvl w:val="9"/>
        <w:rPr>
          <w:rFonts w:ascii="宋体" w:hAnsi="宋体" w:cs="黑体"/>
          <w:color w:val="auto"/>
          <w:kern w:val="0"/>
          <w:sz w:val="24"/>
        </w:rPr>
      </w:pPr>
      <w:bookmarkStart w:id="98" w:name="_Toc195921831"/>
      <w:bookmarkStart w:id="99" w:name="_Ref526866822"/>
      <w:bookmarkStart w:id="100" w:name="_Ref527102841"/>
      <w:r>
        <w:rPr>
          <w:rFonts w:hint="eastAsia" w:ascii="宋体" w:hAnsi="宋体" w:cs="黑体"/>
          <w:color w:val="auto"/>
          <w:kern w:val="0"/>
          <w:sz w:val="24"/>
        </w:rPr>
        <w:t>确定成交供应商方式</w:t>
      </w:r>
      <w:bookmarkEnd w:id="98"/>
      <w:bookmarkEnd w:id="99"/>
      <w:bookmarkEnd w:id="100"/>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ascii="宋体" w:hAnsi="宋体" w:cs="黑体"/>
          <w:color w:val="auto"/>
          <w:kern w:val="0"/>
          <w:sz w:val="24"/>
        </w:rPr>
      </w:pPr>
      <w:r>
        <w:rPr>
          <w:rFonts w:hint="eastAsia" w:asciiTheme="minorEastAsia" w:hAnsiTheme="minorEastAsia"/>
          <w:color w:val="auto"/>
          <w:sz w:val="24"/>
        </w:rPr>
        <w:t>采购人应当从评审报告提出的成交候选人中，根据质量和服务均能满足采购文件实质性响应要求且最后报价最低的原则确定成交供应商，也可以书面授权谈判小组直接确定成交供应商。具体方式见供应商须知前附表。</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680" w:hanging="1680" w:hangingChars="700"/>
        <w:outlineLvl w:val="9"/>
        <w:rPr>
          <w:rFonts w:ascii="宋体" w:hAnsi="宋体" w:cs="黑体"/>
          <w:color w:val="auto"/>
          <w:kern w:val="0"/>
          <w:sz w:val="24"/>
        </w:rPr>
      </w:pPr>
      <w:r>
        <w:rPr>
          <w:rFonts w:hint="eastAsia" w:ascii="宋体" w:hAnsi="宋体" w:cs="黑体"/>
          <w:color w:val="auto"/>
          <w:kern w:val="0"/>
          <w:sz w:val="24"/>
        </w:rPr>
        <w:t>成交公告</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olor w:val="auto"/>
          <w:sz w:val="24"/>
        </w:rPr>
      </w:pPr>
      <w:r>
        <w:rPr>
          <w:rFonts w:hint="eastAsia" w:asciiTheme="minorEastAsia" w:hAnsiTheme="minorEastAsia"/>
          <w:color w:val="auto"/>
          <w:sz w:val="24"/>
        </w:rPr>
        <w:t>采购人或者采购代理机构应当自成交供应商确定之日起2个工作日内，在省级以上财政部门指定的媒体上公告成交结果。</w:t>
      </w:r>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asciiTheme="minorEastAsia" w:hAnsiTheme="minorEastAsia"/>
          <w:color w:val="auto"/>
          <w:sz w:val="24"/>
        </w:rPr>
      </w:pPr>
      <w:r>
        <w:rPr>
          <w:rFonts w:hint="eastAsia" w:asciiTheme="minorEastAsia" w:hAnsiTheme="minorEastAsia"/>
          <w:color w:val="auto"/>
          <w:sz w:val="24"/>
        </w:rPr>
        <w:t>成交公告期限为1个工作日。</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olor w:val="auto"/>
          <w:sz w:val="24"/>
        </w:rPr>
      </w:pPr>
      <w:r>
        <w:rPr>
          <w:rFonts w:ascii="宋体" w:hAnsi="宋体" w:cs="黑体"/>
          <w:color w:val="auto"/>
          <w:kern w:val="0"/>
          <w:sz w:val="24"/>
        </w:rPr>
        <w:t>供应商</w:t>
      </w:r>
      <w:r>
        <w:rPr>
          <w:rFonts w:hint="eastAsia" w:ascii="宋体" w:hAnsi="宋体" w:cs="黑体"/>
          <w:color w:val="auto"/>
          <w:kern w:val="0"/>
          <w:sz w:val="24"/>
        </w:rPr>
        <w:t>可以在成交公告期限届满之日</w:t>
      </w:r>
      <w:r>
        <w:rPr>
          <w:rFonts w:hint="eastAsia" w:ascii="宋体" w:hAnsi="宋体"/>
          <w:color w:val="auto"/>
          <w:sz w:val="24"/>
        </w:rPr>
        <w:t>起七个工作日内，按本须知</w:t>
      </w:r>
      <w:r>
        <w:rPr>
          <w:color w:val="auto"/>
          <w:sz w:val="24"/>
        </w:rPr>
        <w:fldChar w:fldCharType="begin"/>
      </w:r>
      <w:r>
        <w:rPr>
          <w:color w:val="auto"/>
          <w:sz w:val="24"/>
        </w:rPr>
        <w:instrText xml:space="preserve"> REF _Ref527101721 \r \h  \* MERGEFORMAT </w:instrText>
      </w:r>
      <w:r>
        <w:rPr>
          <w:color w:val="auto"/>
          <w:sz w:val="24"/>
        </w:rPr>
        <w:fldChar w:fldCharType="separate"/>
      </w:r>
      <w:r>
        <w:rPr>
          <w:rFonts w:ascii="宋体" w:hAnsi="宋体"/>
          <w:color w:val="auto"/>
          <w:sz w:val="24"/>
        </w:rPr>
        <w:t>2.3</w:t>
      </w:r>
      <w:r>
        <w:rPr>
          <w:rFonts w:ascii="宋体" w:hAnsi="宋体"/>
          <w:color w:val="auto"/>
          <w:sz w:val="24"/>
        </w:rPr>
        <w:fldChar w:fldCharType="end"/>
      </w:r>
      <w:r>
        <w:rPr>
          <w:rFonts w:hint="eastAsia" w:ascii="宋体" w:hAnsi="宋体"/>
          <w:color w:val="auto"/>
          <w:sz w:val="24"/>
        </w:rPr>
        <w:t>款接收质疑函的方式以书面形式一次性提出对成交结果的质疑。</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680" w:hanging="1680" w:hangingChars="700"/>
        <w:outlineLvl w:val="9"/>
        <w:rPr>
          <w:rFonts w:ascii="宋体" w:hAnsi="宋体" w:cs="黑体"/>
          <w:color w:val="auto"/>
          <w:kern w:val="0"/>
          <w:sz w:val="24"/>
        </w:rPr>
      </w:pPr>
      <w:bookmarkStart w:id="101" w:name="_Toc195921832"/>
      <w:r>
        <w:rPr>
          <w:rFonts w:hint="eastAsia" w:ascii="宋体" w:hAnsi="宋体" w:cs="黑体"/>
          <w:color w:val="auto"/>
          <w:kern w:val="0"/>
          <w:sz w:val="24"/>
        </w:rPr>
        <w:t>成交通知</w:t>
      </w:r>
      <w:bookmarkEnd w:id="101"/>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ascii="宋体" w:hAnsi="宋体" w:cs="黑体"/>
          <w:color w:val="auto"/>
          <w:kern w:val="0"/>
          <w:sz w:val="24"/>
        </w:rPr>
      </w:pPr>
      <w:r>
        <w:rPr>
          <w:rFonts w:hint="eastAsia" w:ascii="宋体" w:hAnsi="宋体" w:cs="宋体"/>
          <w:color w:val="auto"/>
          <w:kern w:val="0"/>
          <w:sz w:val="24"/>
        </w:rPr>
        <w:t>在公告成交结果的同时</w:t>
      </w:r>
      <w:r>
        <w:rPr>
          <w:rFonts w:hint="eastAsia" w:ascii="宋体" w:hAnsi="宋体" w:cs="黑体"/>
          <w:color w:val="auto"/>
          <w:kern w:val="0"/>
          <w:sz w:val="24"/>
        </w:rPr>
        <w:t>，采购人以书面形式向成交供应商发出成交通知书，同时将成交结果通知其他参加谈判的供应商。成交通知书将作为签订合同的依据。成交通知书对采购人和成交供应商均具有法律效力。</w:t>
      </w:r>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ascii="宋体" w:hAnsi="宋体" w:cs="黑体"/>
          <w:color w:val="auto"/>
          <w:kern w:val="0"/>
          <w:sz w:val="24"/>
        </w:rPr>
      </w:pPr>
      <w:r>
        <w:rPr>
          <w:rFonts w:hint="eastAsia" w:asciiTheme="minorEastAsia" w:hAnsiTheme="minorEastAsia"/>
          <w:color w:val="auto"/>
          <w:sz w:val="24"/>
        </w:rPr>
        <w:t>成交通知书发出后，成交供应商无正当理由放弃成交项目的，应当依法承担相应责任。</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r>
        <w:rPr>
          <w:rFonts w:hint="eastAsia" w:ascii="宋体" w:hAnsi="宋体" w:cs="黑体"/>
          <w:color w:val="auto"/>
          <w:kern w:val="0"/>
          <w:sz w:val="24"/>
        </w:rPr>
        <w:t>履约保证金</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bookmarkStart w:id="102" w:name="_Ref421009348"/>
      <w:r>
        <w:rPr>
          <w:rFonts w:hint="eastAsia" w:ascii="宋体" w:hAnsi="宋体" w:cs="黑体"/>
          <w:color w:val="auto"/>
          <w:kern w:val="0"/>
          <w:sz w:val="24"/>
        </w:rPr>
        <w:t>在签订合同前，成交供应商应按供应商须知前附表规定的金额、担保形式和谈判文件第四章“合同条款及格式”规定的履约保证金格式向采购人提交履约保证金。</w:t>
      </w:r>
      <w:bookmarkEnd w:id="102"/>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成交供应商不能按本章第</w:t>
      </w:r>
      <w:r>
        <w:rPr>
          <w:color w:val="auto"/>
          <w:sz w:val="24"/>
        </w:rPr>
        <w:fldChar w:fldCharType="begin"/>
      </w:r>
      <w:r>
        <w:rPr>
          <w:color w:val="auto"/>
          <w:sz w:val="24"/>
        </w:rPr>
        <w:instrText xml:space="preserve"> REF _Ref421009348 \r \h  \* MERGEFORMAT </w:instrText>
      </w:r>
      <w:r>
        <w:rPr>
          <w:color w:val="auto"/>
          <w:sz w:val="24"/>
        </w:rPr>
        <w:fldChar w:fldCharType="separate"/>
      </w:r>
      <w:r>
        <w:rPr>
          <w:rFonts w:ascii="宋体" w:hAnsi="宋体" w:cs="黑体"/>
          <w:color w:val="auto"/>
          <w:kern w:val="0"/>
          <w:sz w:val="24"/>
        </w:rPr>
        <w:t>6.4.1</w:t>
      </w:r>
      <w:r>
        <w:rPr>
          <w:rFonts w:ascii="宋体" w:hAnsi="宋体" w:cs="黑体"/>
          <w:color w:val="auto"/>
          <w:kern w:val="0"/>
          <w:sz w:val="24"/>
        </w:rPr>
        <w:fldChar w:fldCharType="end"/>
      </w:r>
      <w:r>
        <w:rPr>
          <w:rFonts w:hint="eastAsia" w:ascii="宋体" w:hAnsi="宋体" w:cs="黑体"/>
          <w:color w:val="auto"/>
          <w:kern w:val="0"/>
          <w:sz w:val="24"/>
        </w:rPr>
        <w:t>项要求提交履约保证金的，视为放弃成交，其谈判保证金不予退还，给采购人造成的损失超过谈判保证金数额的，成交供应商还应当对超过部分予以赔偿。</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103" w:name="_Toc195921834"/>
      <w:r>
        <w:rPr>
          <w:rFonts w:hint="eastAsia" w:ascii="宋体" w:hAnsi="宋体" w:cs="黑体"/>
          <w:color w:val="auto"/>
          <w:kern w:val="0"/>
          <w:sz w:val="24"/>
        </w:rPr>
        <w:t>签订合同</w:t>
      </w:r>
      <w:bookmarkEnd w:id="103"/>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Theme="minorEastAsia" w:hAnsiTheme="minorEastAsia"/>
          <w:color w:val="auto"/>
          <w:sz w:val="24"/>
        </w:rPr>
        <w:t>采购人应当自成交通知书发出之日起30日内，按照谈判文件和成交供应商响应文件的规定，与成交供应商签订书面合同。所签订的合同不得对谈判文件确定的事项和成交供应商响应文件作实质性修改。</w:t>
      </w:r>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asciiTheme="minorEastAsia" w:hAnsiTheme="minorEastAsia"/>
          <w:color w:val="auto"/>
          <w:sz w:val="24"/>
        </w:rPr>
      </w:pPr>
      <w:r>
        <w:rPr>
          <w:rFonts w:hint="eastAsia" w:asciiTheme="minorEastAsia" w:hAnsiTheme="minorEastAsia"/>
          <w:color w:val="auto"/>
          <w:sz w:val="24"/>
        </w:rPr>
        <w:t>采购人不得向成交供应商提出任何不合理的要求作为签订合同的条件。</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成交供应商无正当理由拒签合同的，采购人取消其成交资格，其谈判保证金不予退还；给采购人造成的损失超过谈判保证金数额的，成交供应商还应当对超过部分予以赔偿。</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发出成交通知书后，采购人无正当理由拒签合同的，采购人向成交供应商退还谈判保证金；给成交供应商造成损失的，还应当赔偿损失。</w:t>
      </w:r>
    </w:p>
    <w:p>
      <w:pPr>
        <w:pageBreakBefore w:val="0"/>
        <w:numPr>
          <w:ilvl w:val="2"/>
          <w:numId w:val="3"/>
        </w:numPr>
        <w:tabs>
          <w:tab w:val="left" w:pos="1260"/>
        </w:tabs>
        <w:kinsoku/>
        <w:overflowPunct/>
        <w:topLinePunct w:val="0"/>
        <w:autoSpaceDE w:val="0"/>
        <w:autoSpaceDN w:val="0"/>
        <w:bidi w:val="0"/>
        <w:adjustRightInd w:val="0"/>
        <w:snapToGrid w:val="0"/>
        <w:spacing w:after="156" w:afterLines="50" w:line="380" w:lineRule="exact"/>
        <w:outlineLvl w:val="9"/>
        <w:rPr>
          <w:rFonts w:ascii="宋体" w:hAnsi="宋体" w:cs="黑体"/>
          <w:color w:val="auto"/>
          <w:kern w:val="0"/>
          <w:sz w:val="24"/>
        </w:rPr>
      </w:pPr>
      <w:r>
        <w:rPr>
          <w:rFonts w:hint="eastAsia" w:ascii="宋体" w:hAnsi="宋体" w:cs="黑体"/>
          <w:color w:val="auto"/>
          <w:kern w:val="0"/>
          <w:sz w:val="24"/>
        </w:rPr>
        <w:t>成交供应商拒绝签订政府采购合同的，采购人可以按照第</w:t>
      </w:r>
      <w:r>
        <w:rPr>
          <w:color w:val="auto"/>
          <w:sz w:val="24"/>
        </w:rPr>
        <w:fldChar w:fldCharType="begin"/>
      </w:r>
      <w:r>
        <w:rPr>
          <w:color w:val="auto"/>
          <w:sz w:val="24"/>
        </w:rPr>
        <w:instrText xml:space="preserve"> REF _Ref526866822 \r \h  \* MERGEFORMAT </w:instrText>
      </w:r>
      <w:r>
        <w:rPr>
          <w:color w:val="auto"/>
          <w:sz w:val="24"/>
        </w:rPr>
        <w:fldChar w:fldCharType="separate"/>
      </w:r>
      <w:r>
        <w:rPr>
          <w:rFonts w:ascii="宋体" w:hAnsi="宋体" w:cs="黑体"/>
          <w:color w:val="auto"/>
          <w:kern w:val="0"/>
          <w:sz w:val="24"/>
        </w:rPr>
        <w:t>6.1</w:t>
      </w:r>
      <w:r>
        <w:rPr>
          <w:rFonts w:ascii="宋体" w:hAnsi="宋体" w:cs="黑体"/>
          <w:color w:val="auto"/>
          <w:kern w:val="0"/>
          <w:sz w:val="24"/>
        </w:rPr>
        <w:fldChar w:fldCharType="end"/>
      </w:r>
      <w:r>
        <w:rPr>
          <w:rFonts w:ascii="宋体" w:hAnsi="宋体" w:cs="黑体"/>
          <w:color w:val="auto"/>
          <w:kern w:val="0"/>
          <w:sz w:val="24"/>
        </w:rPr>
        <w:t>款</w:t>
      </w:r>
      <w:r>
        <w:rPr>
          <w:rFonts w:hint="eastAsia" w:ascii="宋体" w:hAnsi="宋体" w:cs="黑体"/>
          <w:color w:val="auto"/>
          <w:kern w:val="0"/>
          <w:sz w:val="24"/>
        </w:rPr>
        <w:t>原则确定其他供应商作为成交供应商并签订政府采购合同，也可以重新开展采购活动。拒绝签订政府采购合同的成交供应商不得参加对该项目重新开展的采购活动。</w:t>
      </w:r>
    </w:p>
    <w:p>
      <w:pPr>
        <w:pageBreakBefore w:val="0"/>
        <w:numPr>
          <w:ilvl w:val="0"/>
          <w:numId w:val="3"/>
        </w:numPr>
        <w:kinsoku/>
        <w:overflowPunct/>
        <w:topLinePunct w:val="0"/>
        <w:autoSpaceDE w:val="0"/>
        <w:autoSpaceDN w:val="0"/>
        <w:bidi w:val="0"/>
        <w:adjustRightInd w:val="0"/>
        <w:spacing w:after="156" w:afterLines="50" w:line="380" w:lineRule="exact"/>
        <w:outlineLvl w:val="9"/>
        <w:rPr>
          <w:rFonts w:ascii="黑体" w:hAnsi="宋体" w:eastAsia="黑体" w:cs="黑体"/>
          <w:color w:val="auto"/>
          <w:kern w:val="0"/>
          <w:sz w:val="24"/>
        </w:rPr>
      </w:pPr>
      <w:bookmarkStart w:id="104" w:name="_Toc45099870"/>
      <w:bookmarkStart w:id="105" w:name="_Toc195921838"/>
      <w:r>
        <w:rPr>
          <w:rFonts w:hint="eastAsia" w:ascii="黑体" w:hAnsi="宋体" w:eastAsia="黑体" w:cs="黑体"/>
          <w:color w:val="auto"/>
          <w:kern w:val="0"/>
          <w:sz w:val="24"/>
        </w:rPr>
        <w:t>重新开展采购活动</w:t>
      </w:r>
      <w:bookmarkEnd w:id="104"/>
    </w:p>
    <w:p>
      <w:pPr>
        <w:pageBreakBefore w:val="0"/>
        <w:tabs>
          <w:tab w:val="left" w:pos="1260"/>
        </w:tabs>
        <w:kinsoku/>
        <w:overflowPunct/>
        <w:topLinePunct w:val="0"/>
        <w:autoSpaceDE w:val="0"/>
        <w:autoSpaceDN w:val="0"/>
        <w:bidi w:val="0"/>
        <w:adjustRightInd w:val="0"/>
        <w:snapToGrid w:val="0"/>
        <w:spacing w:after="156" w:afterLines="50" w:line="380" w:lineRule="exact"/>
        <w:ind w:left="1134" w:leftChars="540"/>
        <w:outlineLvl w:val="9"/>
        <w:rPr>
          <w:rFonts w:ascii="宋体" w:hAnsi="宋体" w:cs="黑体"/>
          <w:color w:val="auto"/>
          <w:kern w:val="0"/>
          <w:sz w:val="24"/>
        </w:rPr>
      </w:pPr>
      <w:r>
        <w:rPr>
          <w:rFonts w:hint="eastAsia" w:ascii="宋体" w:hAnsi="宋体" w:cs="黑体"/>
          <w:color w:val="auto"/>
          <w:kern w:val="0"/>
          <w:sz w:val="24"/>
        </w:rPr>
        <w:t>出现下列情形之一的，采购人或者采购代理机构应当终止竞争性谈判采购活动，通过发布公告邀请供应商参加谈判的，将在谈判公告发布媒体上发布（通过邀请方式的，将通知每位接受邀请的供应商）项目终止公告并说明原因，重新开展采购活动：</w:t>
      </w:r>
    </w:p>
    <w:p>
      <w:pPr>
        <w:pageBreakBefore w:val="0"/>
        <w:tabs>
          <w:tab w:val="left" w:pos="1260"/>
        </w:tabs>
        <w:kinsoku/>
        <w:overflowPunct/>
        <w:topLinePunct w:val="0"/>
        <w:autoSpaceDE w:val="0"/>
        <w:autoSpaceDN w:val="0"/>
        <w:bidi w:val="0"/>
        <w:adjustRightInd w:val="0"/>
        <w:snapToGrid w:val="0"/>
        <w:spacing w:after="156" w:afterLines="50" w:line="380" w:lineRule="exact"/>
        <w:ind w:left="1983" w:leftChars="540" w:hanging="849" w:hangingChars="354"/>
        <w:outlineLvl w:val="9"/>
        <w:rPr>
          <w:rFonts w:ascii="宋体" w:hAnsi="宋体" w:cs="黑体"/>
          <w:color w:val="auto"/>
          <w:kern w:val="0"/>
          <w:sz w:val="24"/>
        </w:rPr>
      </w:pPr>
      <w:r>
        <w:rPr>
          <w:rFonts w:hint="eastAsia" w:ascii="宋体" w:hAnsi="宋体" w:cs="黑体"/>
          <w:color w:val="auto"/>
          <w:kern w:val="0"/>
          <w:sz w:val="24"/>
        </w:rPr>
        <w:t>（1）</w:t>
      </w:r>
      <w:r>
        <w:rPr>
          <w:rFonts w:hint="eastAsia" w:ascii="宋体" w:hAnsi="宋体" w:cs="黑体"/>
          <w:color w:val="auto"/>
          <w:kern w:val="0"/>
          <w:sz w:val="24"/>
        </w:rPr>
        <w:tab/>
      </w:r>
      <w:r>
        <w:rPr>
          <w:rFonts w:hint="eastAsia" w:ascii="宋体" w:hAnsi="宋体" w:cs="黑体"/>
          <w:color w:val="auto"/>
          <w:kern w:val="0"/>
          <w:sz w:val="24"/>
        </w:rPr>
        <w:t>因情况变化，不再符合规定的竞争性谈判采购方式适用情形的；</w:t>
      </w:r>
    </w:p>
    <w:p>
      <w:pPr>
        <w:pageBreakBefore w:val="0"/>
        <w:tabs>
          <w:tab w:val="left" w:pos="1260"/>
        </w:tabs>
        <w:kinsoku/>
        <w:overflowPunct/>
        <w:topLinePunct w:val="0"/>
        <w:autoSpaceDE w:val="0"/>
        <w:autoSpaceDN w:val="0"/>
        <w:bidi w:val="0"/>
        <w:adjustRightInd w:val="0"/>
        <w:snapToGrid w:val="0"/>
        <w:spacing w:after="156" w:afterLines="50" w:line="380" w:lineRule="exact"/>
        <w:ind w:left="1983" w:leftChars="540" w:hanging="849" w:hangingChars="354"/>
        <w:outlineLvl w:val="9"/>
        <w:rPr>
          <w:rFonts w:ascii="宋体" w:hAnsi="宋体" w:cs="黑体"/>
          <w:color w:val="auto"/>
          <w:kern w:val="0"/>
          <w:sz w:val="24"/>
        </w:rPr>
      </w:pPr>
      <w:r>
        <w:rPr>
          <w:rFonts w:hint="eastAsia" w:ascii="宋体" w:hAnsi="宋体" w:cs="黑体"/>
          <w:color w:val="auto"/>
          <w:kern w:val="0"/>
          <w:sz w:val="24"/>
        </w:rPr>
        <w:t>（2）</w:t>
      </w:r>
      <w:r>
        <w:rPr>
          <w:rFonts w:hint="eastAsia" w:ascii="宋体" w:hAnsi="宋体" w:cs="黑体"/>
          <w:color w:val="auto"/>
          <w:kern w:val="0"/>
          <w:sz w:val="24"/>
        </w:rPr>
        <w:tab/>
      </w:r>
      <w:r>
        <w:rPr>
          <w:rFonts w:hint="eastAsia" w:ascii="宋体" w:hAnsi="宋体" w:cs="黑体"/>
          <w:color w:val="auto"/>
          <w:kern w:val="0"/>
          <w:sz w:val="24"/>
        </w:rPr>
        <w:t>出现影响采购公正的违法、违规行为的；</w:t>
      </w:r>
    </w:p>
    <w:p>
      <w:pPr>
        <w:pageBreakBefore w:val="0"/>
        <w:tabs>
          <w:tab w:val="left" w:pos="2127"/>
        </w:tabs>
        <w:kinsoku/>
        <w:overflowPunct/>
        <w:topLinePunct w:val="0"/>
        <w:autoSpaceDE w:val="0"/>
        <w:autoSpaceDN w:val="0"/>
        <w:bidi w:val="0"/>
        <w:adjustRightInd w:val="0"/>
        <w:snapToGrid w:val="0"/>
        <w:spacing w:after="156" w:afterLines="50" w:line="380" w:lineRule="exact"/>
        <w:ind w:left="1983" w:leftChars="540" w:hanging="849" w:hangingChars="354"/>
        <w:outlineLvl w:val="9"/>
        <w:rPr>
          <w:rFonts w:ascii="宋体" w:hAnsi="宋体" w:cs="黑体"/>
          <w:color w:val="auto"/>
          <w:kern w:val="0"/>
          <w:sz w:val="24"/>
        </w:rPr>
      </w:pPr>
      <w:r>
        <w:rPr>
          <w:rFonts w:hint="eastAsia" w:ascii="宋体" w:hAnsi="宋体" w:cs="黑体"/>
          <w:color w:val="auto"/>
          <w:kern w:val="0"/>
          <w:sz w:val="24"/>
        </w:rPr>
        <w:t>（</w:t>
      </w:r>
      <w:r>
        <w:rPr>
          <w:rFonts w:ascii="宋体" w:hAnsi="宋体" w:cs="黑体"/>
          <w:color w:val="auto"/>
          <w:kern w:val="0"/>
          <w:sz w:val="24"/>
        </w:rPr>
        <w:t>3）</w:t>
      </w:r>
      <w:r>
        <w:rPr>
          <w:rFonts w:ascii="宋体" w:hAnsi="宋体" w:cs="黑体"/>
          <w:color w:val="auto"/>
          <w:kern w:val="0"/>
          <w:sz w:val="24"/>
        </w:rPr>
        <w:tab/>
      </w:r>
      <w:r>
        <w:rPr>
          <w:rFonts w:hint="eastAsia" w:ascii="宋体" w:hAnsi="宋体" w:cs="黑体"/>
          <w:color w:val="auto"/>
          <w:kern w:val="0"/>
          <w:sz w:val="24"/>
        </w:rPr>
        <w:t>在采购过程中符合竞争要求的供应商或者报价未超过采购预算或最高限价的供应商不足</w:t>
      </w:r>
      <w:r>
        <w:rPr>
          <w:rFonts w:ascii="宋体" w:hAnsi="宋体" w:cs="黑体"/>
          <w:color w:val="auto"/>
          <w:kern w:val="0"/>
          <w:sz w:val="24"/>
        </w:rPr>
        <w:t>3家的，但</w:t>
      </w:r>
      <w:r>
        <w:rPr>
          <w:rFonts w:hint="eastAsia" w:cs="宋体" w:asciiTheme="minorEastAsia" w:hAnsiTheme="minorEastAsia" w:eastAsiaTheme="minorEastAsia"/>
          <w:color w:val="auto"/>
          <w:sz w:val="24"/>
        </w:rPr>
        <w:t>公开招标的货物、服务采购项目，招标过程中提交投标文件或者经评审实质性响应招标文件要求的供应商只有两家时，经财政部门批准后采用竞争</w:t>
      </w:r>
      <w:r>
        <w:rPr>
          <w:rFonts w:hint="eastAsia" w:cs="TimesNewRomanPSMT" w:asciiTheme="minorEastAsia" w:hAnsiTheme="minorEastAsia" w:eastAsiaTheme="minorEastAsia"/>
          <w:color w:val="auto"/>
          <w:kern w:val="0"/>
          <w:sz w:val="24"/>
        </w:rPr>
        <w:t>性谈判采购方式的除外</w:t>
      </w:r>
      <w:r>
        <w:rPr>
          <w:rFonts w:hint="eastAsia" w:ascii="宋体" w:hAnsi="宋体" w:cs="黑体"/>
          <w:color w:val="auto"/>
          <w:kern w:val="0"/>
          <w:sz w:val="24"/>
        </w:rPr>
        <w:t>。</w:t>
      </w:r>
    </w:p>
    <w:p>
      <w:pPr>
        <w:pageBreakBefore w:val="0"/>
        <w:numPr>
          <w:ilvl w:val="0"/>
          <w:numId w:val="3"/>
        </w:numPr>
        <w:kinsoku/>
        <w:overflowPunct/>
        <w:topLinePunct w:val="0"/>
        <w:autoSpaceDE w:val="0"/>
        <w:autoSpaceDN w:val="0"/>
        <w:bidi w:val="0"/>
        <w:adjustRightInd w:val="0"/>
        <w:spacing w:after="156" w:afterLines="50" w:line="380" w:lineRule="exact"/>
        <w:outlineLvl w:val="9"/>
        <w:rPr>
          <w:rFonts w:ascii="黑体" w:hAnsi="宋体" w:eastAsia="黑体" w:cs="黑体"/>
          <w:color w:val="auto"/>
          <w:kern w:val="0"/>
          <w:sz w:val="24"/>
        </w:rPr>
      </w:pPr>
      <w:bookmarkStart w:id="106" w:name="_Toc45099871"/>
      <w:r>
        <w:rPr>
          <w:rFonts w:hint="eastAsia" w:ascii="黑体" w:hAnsi="宋体" w:eastAsia="黑体" w:cs="黑体"/>
          <w:color w:val="auto"/>
          <w:kern w:val="0"/>
          <w:sz w:val="24"/>
        </w:rPr>
        <w:t>纪律和监督</w:t>
      </w:r>
      <w:bookmarkEnd w:id="105"/>
      <w:bookmarkEnd w:id="106"/>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107" w:name="_Toc195921839"/>
      <w:r>
        <w:rPr>
          <w:rFonts w:hint="eastAsia" w:ascii="宋体" w:hAnsi="宋体" w:cs="黑体"/>
          <w:color w:val="auto"/>
          <w:kern w:val="0"/>
          <w:sz w:val="24"/>
        </w:rPr>
        <w:t>对采购人的要求</w:t>
      </w:r>
      <w:bookmarkEnd w:id="107"/>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ascii="宋体" w:hAnsi="宋体" w:cs="黑体"/>
          <w:color w:val="auto"/>
          <w:kern w:val="0"/>
          <w:sz w:val="24"/>
        </w:rPr>
      </w:pPr>
      <w:r>
        <w:rPr>
          <w:rFonts w:hAnsi="宋体" w:cs="宋体"/>
          <w:color w:val="auto"/>
          <w:sz w:val="24"/>
        </w:rPr>
        <w:t>采购人在政府采购活动中应当维护国家利益和社会公共利益，公正廉洁，诚实守信，执行政府采购政策</w:t>
      </w:r>
      <w:r>
        <w:rPr>
          <w:rFonts w:hint="eastAsia" w:hAnsi="宋体" w:cs="宋体"/>
          <w:color w:val="auto"/>
          <w:sz w:val="24"/>
        </w:rPr>
        <w:t>。</w:t>
      </w:r>
      <w:r>
        <w:rPr>
          <w:rFonts w:hAnsi="宋体" w:cs="宋体"/>
          <w:color w:val="auto"/>
          <w:sz w:val="24"/>
        </w:rPr>
        <w:t>采购人不得向供应商索要或者接受其给予的赠品、回扣或者与采购无关的其他商品、服务</w:t>
      </w:r>
      <w:r>
        <w:rPr>
          <w:rFonts w:hint="eastAsia" w:ascii="宋体" w:hAnsi="宋体" w:cs="黑体"/>
          <w:color w:val="auto"/>
          <w:kern w:val="0"/>
          <w:sz w:val="24"/>
        </w:rPr>
        <w:t>。</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108" w:name="_Toc195921840"/>
      <w:r>
        <w:rPr>
          <w:rFonts w:hint="eastAsia" w:ascii="宋体" w:hAnsi="宋体" w:cs="黑体"/>
          <w:color w:val="auto"/>
          <w:kern w:val="0"/>
          <w:sz w:val="24"/>
        </w:rPr>
        <w:t>对采购代理机构的要求</w:t>
      </w:r>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hAnsi="宋体" w:cs="宋体"/>
          <w:color w:val="auto"/>
          <w:sz w:val="24"/>
        </w:rPr>
      </w:pPr>
      <w:r>
        <w:rPr>
          <w:rFonts w:hAnsi="宋体" w:cs="宋体"/>
          <w:color w:val="auto"/>
          <w:sz w:val="24"/>
        </w:rPr>
        <w:t>采购代理机构不得与采购人、供应商恶意串通操纵政府采购活动。</w:t>
      </w:r>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hAnsi="宋体" w:cs="宋体"/>
          <w:color w:val="auto"/>
          <w:sz w:val="24"/>
        </w:rPr>
      </w:pPr>
      <w:r>
        <w:rPr>
          <w:rFonts w:hAnsi="宋体" w:cs="宋体"/>
          <w:color w:val="auto"/>
          <w:sz w:val="24"/>
        </w:rPr>
        <w:t>采购代理机构工作人员不得接受采购人或者供应商组织的宴请、旅游、娱乐，不得收受礼品、现金、有价证券等，不得向采购人或者供应商报销应当由个人承担的费用。</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r>
        <w:rPr>
          <w:rFonts w:hint="eastAsia" w:ascii="宋体" w:hAnsi="宋体" w:cs="黑体"/>
          <w:color w:val="auto"/>
          <w:kern w:val="0"/>
          <w:sz w:val="24"/>
        </w:rPr>
        <w:t>对供应商的纪律要求</w:t>
      </w:r>
      <w:bookmarkEnd w:id="108"/>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ascii="宋体" w:hAnsi="宋体" w:cs="黑体"/>
          <w:color w:val="auto"/>
          <w:kern w:val="0"/>
          <w:sz w:val="24"/>
        </w:rPr>
      </w:pPr>
      <w:r>
        <w:rPr>
          <w:rFonts w:hint="eastAsia" w:ascii="宋体" w:hAnsi="宋体" w:cs="黑体"/>
          <w:color w:val="auto"/>
          <w:kern w:val="0"/>
          <w:sz w:val="24"/>
        </w:rPr>
        <w:t>供应商不得相互串通或者与采购人串通，不得向采购人或者谈判小组成员行贿谋取成交，不得以他人名义或者以其他方式弄虚作假骗取成交；供应商不得以任何方式干扰、影响谈判工作。</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109" w:name="_Toc195921841"/>
      <w:r>
        <w:rPr>
          <w:rFonts w:hint="eastAsia" w:ascii="宋体" w:hAnsi="宋体" w:cs="黑体"/>
          <w:color w:val="auto"/>
          <w:kern w:val="0"/>
          <w:sz w:val="24"/>
        </w:rPr>
        <w:t>谈判小组及其成员不得有下列行为</w:t>
      </w:r>
      <w:bookmarkEnd w:id="109"/>
    </w:p>
    <w:p>
      <w:pPr>
        <w:pStyle w:val="427"/>
        <w:pageBreakBefore w:val="0"/>
        <w:numPr>
          <w:ilvl w:val="0"/>
          <w:numId w:val="10"/>
        </w:numPr>
        <w:kinsoku/>
        <w:overflowPunct/>
        <w:topLinePunct w:val="0"/>
        <w:bidi w:val="0"/>
        <w:snapToGrid w:val="0"/>
        <w:spacing w:after="156" w:afterLines="50" w:line="380" w:lineRule="exact"/>
        <w:ind w:left="1985" w:hanging="853" w:firstLineChars="0"/>
        <w:outlineLvl w:val="9"/>
        <w:rPr>
          <w:rFonts w:asciiTheme="minorEastAsia" w:hAnsiTheme="minorEastAsia"/>
          <w:color w:val="auto"/>
          <w:sz w:val="24"/>
        </w:rPr>
      </w:pPr>
      <w:r>
        <w:rPr>
          <w:rFonts w:hint="eastAsia" w:asciiTheme="minorEastAsia" w:hAnsiTheme="minorEastAsia"/>
          <w:color w:val="auto"/>
          <w:sz w:val="24"/>
        </w:rPr>
        <w:t>确定参与谈判至谈判结束前私自接触供应商；</w:t>
      </w:r>
    </w:p>
    <w:p>
      <w:pPr>
        <w:pStyle w:val="427"/>
        <w:pageBreakBefore w:val="0"/>
        <w:numPr>
          <w:ilvl w:val="0"/>
          <w:numId w:val="10"/>
        </w:numPr>
        <w:kinsoku/>
        <w:overflowPunct/>
        <w:topLinePunct w:val="0"/>
        <w:bidi w:val="0"/>
        <w:snapToGrid w:val="0"/>
        <w:spacing w:after="156" w:afterLines="50" w:line="380" w:lineRule="exact"/>
        <w:ind w:left="1985" w:hanging="853" w:firstLineChars="0"/>
        <w:outlineLvl w:val="9"/>
        <w:rPr>
          <w:rFonts w:asciiTheme="minorEastAsia" w:hAnsiTheme="minorEastAsia"/>
          <w:color w:val="auto"/>
          <w:sz w:val="24"/>
        </w:rPr>
      </w:pPr>
      <w:r>
        <w:rPr>
          <w:rFonts w:hint="eastAsia" w:asciiTheme="minorEastAsia" w:hAnsiTheme="minorEastAsia"/>
          <w:color w:val="auto"/>
          <w:sz w:val="24"/>
        </w:rPr>
        <w:t>接受供应商提出的与响应文件不一致的澄清或者说明，谈判小组要求供应商作出必要的澄清、说明或者补正的情形除外；</w:t>
      </w:r>
    </w:p>
    <w:p>
      <w:pPr>
        <w:pStyle w:val="427"/>
        <w:pageBreakBefore w:val="0"/>
        <w:numPr>
          <w:ilvl w:val="0"/>
          <w:numId w:val="10"/>
        </w:numPr>
        <w:kinsoku/>
        <w:overflowPunct/>
        <w:topLinePunct w:val="0"/>
        <w:bidi w:val="0"/>
        <w:snapToGrid w:val="0"/>
        <w:spacing w:after="156" w:afterLines="50" w:line="380" w:lineRule="exact"/>
        <w:ind w:left="1985" w:hanging="853" w:firstLineChars="0"/>
        <w:outlineLvl w:val="9"/>
        <w:rPr>
          <w:rFonts w:asciiTheme="minorEastAsia" w:hAnsiTheme="minorEastAsia"/>
          <w:color w:val="auto"/>
          <w:sz w:val="24"/>
        </w:rPr>
      </w:pPr>
      <w:r>
        <w:rPr>
          <w:rFonts w:hint="eastAsia" w:asciiTheme="minorEastAsia" w:hAnsiTheme="minorEastAsia"/>
          <w:color w:val="auto"/>
          <w:sz w:val="24"/>
        </w:rPr>
        <w:t>违反评审纪律发表倾向性意见或者征询采购人的倾向性意见；</w:t>
      </w:r>
    </w:p>
    <w:p>
      <w:pPr>
        <w:pStyle w:val="427"/>
        <w:pageBreakBefore w:val="0"/>
        <w:numPr>
          <w:ilvl w:val="0"/>
          <w:numId w:val="10"/>
        </w:numPr>
        <w:kinsoku/>
        <w:overflowPunct/>
        <w:topLinePunct w:val="0"/>
        <w:bidi w:val="0"/>
        <w:snapToGrid w:val="0"/>
        <w:spacing w:after="156" w:afterLines="50" w:line="380" w:lineRule="exact"/>
        <w:ind w:left="1985" w:hanging="853" w:firstLineChars="0"/>
        <w:outlineLvl w:val="9"/>
        <w:rPr>
          <w:rFonts w:asciiTheme="minorEastAsia" w:hAnsiTheme="minorEastAsia"/>
          <w:color w:val="auto"/>
          <w:sz w:val="24"/>
        </w:rPr>
      </w:pPr>
      <w:r>
        <w:rPr>
          <w:rFonts w:hint="eastAsia" w:asciiTheme="minorEastAsia" w:hAnsiTheme="minorEastAsia"/>
          <w:color w:val="auto"/>
          <w:sz w:val="24"/>
        </w:rPr>
        <w:t>在评审与谈判过程中擅离职守，影响评审程序正常进行的；</w:t>
      </w:r>
    </w:p>
    <w:p>
      <w:pPr>
        <w:pStyle w:val="427"/>
        <w:pageBreakBefore w:val="0"/>
        <w:numPr>
          <w:ilvl w:val="0"/>
          <w:numId w:val="10"/>
        </w:numPr>
        <w:kinsoku/>
        <w:overflowPunct/>
        <w:topLinePunct w:val="0"/>
        <w:bidi w:val="0"/>
        <w:snapToGrid w:val="0"/>
        <w:spacing w:after="156" w:afterLines="50" w:line="380" w:lineRule="exact"/>
        <w:ind w:left="1985" w:hanging="853" w:firstLineChars="0"/>
        <w:outlineLvl w:val="9"/>
        <w:rPr>
          <w:rFonts w:asciiTheme="minorEastAsia" w:hAnsiTheme="minorEastAsia"/>
          <w:color w:val="auto"/>
          <w:sz w:val="24"/>
        </w:rPr>
      </w:pPr>
      <w:r>
        <w:rPr>
          <w:rFonts w:hint="eastAsia" w:asciiTheme="minorEastAsia" w:hAnsiTheme="minorEastAsia"/>
          <w:color w:val="auto"/>
          <w:sz w:val="24"/>
        </w:rPr>
        <w:t>记录、复制或者带走任何评审资料；</w:t>
      </w:r>
    </w:p>
    <w:p>
      <w:pPr>
        <w:pStyle w:val="427"/>
        <w:pageBreakBefore w:val="0"/>
        <w:numPr>
          <w:ilvl w:val="0"/>
          <w:numId w:val="10"/>
        </w:numPr>
        <w:kinsoku/>
        <w:overflowPunct/>
        <w:topLinePunct w:val="0"/>
        <w:bidi w:val="0"/>
        <w:snapToGrid w:val="0"/>
        <w:spacing w:after="156" w:afterLines="50" w:line="380" w:lineRule="exact"/>
        <w:ind w:left="1985" w:hanging="853" w:firstLineChars="0"/>
        <w:outlineLvl w:val="9"/>
        <w:rPr>
          <w:rFonts w:asciiTheme="minorEastAsia" w:hAnsiTheme="minorEastAsia"/>
          <w:color w:val="auto"/>
          <w:sz w:val="24"/>
        </w:rPr>
      </w:pPr>
      <w:r>
        <w:rPr>
          <w:rFonts w:hint="eastAsia" w:asciiTheme="minorEastAsia" w:hAnsiTheme="minorEastAsia"/>
          <w:color w:val="auto"/>
          <w:sz w:val="24"/>
        </w:rPr>
        <w:t>其他不遵守评审纪律的行为。</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133" w:hanging="1132" w:hangingChars="472"/>
        <w:outlineLvl w:val="9"/>
        <w:rPr>
          <w:rFonts w:ascii="宋体" w:hAnsi="宋体" w:cs="黑体"/>
          <w:color w:val="auto"/>
          <w:kern w:val="0"/>
          <w:sz w:val="24"/>
        </w:rPr>
      </w:pPr>
      <w:bookmarkStart w:id="110" w:name="_Toc195921842"/>
      <w:r>
        <w:rPr>
          <w:rFonts w:hint="eastAsia" w:ascii="宋体" w:hAnsi="宋体" w:cs="黑体"/>
          <w:color w:val="auto"/>
          <w:kern w:val="0"/>
          <w:sz w:val="24"/>
        </w:rPr>
        <w:t>对与评审活动有关的工作人员的纪律要求</w:t>
      </w:r>
      <w:bookmarkEnd w:id="110"/>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ascii="宋体" w:hAnsi="宋体" w:cs="黑体"/>
          <w:color w:val="auto"/>
          <w:kern w:val="0"/>
          <w:sz w:val="24"/>
        </w:rPr>
      </w:pPr>
      <w:r>
        <w:rPr>
          <w:rFonts w:hint="eastAsia" w:ascii="宋体" w:hAnsi="宋体" w:cs="黑体"/>
          <w:color w:val="auto"/>
          <w:kern w:val="0"/>
          <w:sz w:val="24"/>
        </w:rPr>
        <w:t>与</w:t>
      </w:r>
      <w:r>
        <w:rPr>
          <w:rFonts w:hint="eastAsia" w:asciiTheme="minorEastAsia" w:hAnsiTheme="minorEastAsia"/>
          <w:color w:val="auto"/>
          <w:sz w:val="24"/>
        </w:rPr>
        <w:t>评审与谈判</w:t>
      </w:r>
      <w:r>
        <w:rPr>
          <w:rFonts w:hint="eastAsia" w:ascii="宋体" w:hAnsi="宋体" w:cs="黑体"/>
          <w:color w:val="auto"/>
          <w:kern w:val="0"/>
          <w:sz w:val="24"/>
        </w:rPr>
        <w:t>活动有关的工作人员不得收受他人的财物或者其他好处，不得向他人透漏对响应文件的</w:t>
      </w:r>
      <w:r>
        <w:rPr>
          <w:rFonts w:hint="eastAsia" w:asciiTheme="minorEastAsia" w:hAnsiTheme="minorEastAsia"/>
          <w:color w:val="auto"/>
          <w:sz w:val="24"/>
        </w:rPr>
        <w:t>评审与谈判</w:t>
      </w:r>
      <w:r>
        <w:rPr>
          <w:rFonts w:hint="eastAsia" w:ascii="宋体" w:hAnsi="宋体" w:cs="黑体"/>
          <w:color w:val="auto"/>
          <w:kern w:val="0"/>
          <w:sz w:val="24"/>
        </w:rPr>
        <w:t>、成交候选人的推荐情况以及</w:t>
      </w:r>
      <w:r>
        <w:rPr>
          <w:rFonts w:hint="eastAsia" w:asciiTheme="minorEastAsia" w:hAnsiTheme="minorEastAsia"/>
          <w:color w:val="auto"/>
          <w:sz w:val="24"/>
        </w:rPr>
        <w:t>评审与谈判</w:t>
      </w:r>
      <w:r>
        <w:rPr>
          <w:rFonts w:hint="eastAsia" w:ascii="宋体" w:hAnsi="宋体" w:cs="黑体"/>
          <w:color w:val="auto"/>
          <w:kern w:val="0"/>
          <w:sz w:val="24"/>
        </w:rPr>
        <w:t>有关的其他情况。在评审活动中，参与</w:t>
      </w:r>
      <w:r>
        <w:rPr>
          <w:rFonts w:hint="eastAsia" w:asciiTheme="minorEastAsia" w:hAnsiTheme="minorEastAsia"/>
          <w:color w:val="auto"/>
          <w:sz w:val="24"/>
        </w:rPr>
        <w:t>评审与谈判</w:t>
      </w:r>
      <w:r>
        <w:rPr>
          <w:rFonts w:hint="eastAsia" w:ascii="宋体" w:hAnsi="宋体" w:cs="黑体"/>
          <w:color w:val="auto"/>
          <w:kern w:val="0"/>
          <w:sz w:val="24"/>
        </w:rPr>
        <w:t>活动有关的工作人员不得擅离职守，影响</w:t>
      </w:r>
      <w:r>
        <w:rPr>
          <w:rFonts w:hint="eastAsia" w:asciiTheme="minorEastAsia" w:hAnsiTheme="minorEastAsia"/>
          <w:color w:val="auto"/>
          <w:sz w:val="24"/>
        </w:rPr>
        <w:t>评审与谈判</w:t>
      </w:r>
      <w:r>
        <w:rPr>
          <w:rFonts w:hint="eastAsia" w:ascii="宋体" w:hAnsi="宋体" w:cs="黑体"/>
          <w:color w:val="auto"/>
          <w:kern w:val="0"/>
          <w:sz w:val="24"/>
        </w:rPr>
        <w:t>程序正常进行。</w:t>
      </w:r>
    </w:p>
    <w:p>
      <w:pPr>
        <w:pageBreakBefore w:val="0"/>
        <w:numPr>
          <w:ilvl w:val="1"/>
          <w:numId w:val="3"/>
        </w:numPr>
        <w:kinsoku/>
        <w:overflowPunct/>
        <w:topLinePunct w:val="0"/>
        <w:autoSpaceDE w:val="0"/>
        <w:autoSpaceDN w:val="0"/>
        <w:bidi w:val="0"/>
        <w:adjustRightInd w:val="0"/>
        <w:snapToGrid w:val="0"/>
        <w:spacing w:after="156" w:afterLines="50" w:line="380" w:lineRule="exact"/>
        <w:ind w:left="1920" w:hanging="1920" w:hangingChars="800"/>
        <w:outlineLvl w:val="9"/>
        <w:rPr>
          <w:rFonts w:ascii="宋体" w:hAnsi="宋体" w:cs="黑体"/>
          <w:color w:val="auto"/>
          <w:kern w:val="0"/>
          <w:sz w:val="24"/>
        </w:rPr>
      </w:pPr>
      <w:bookmarkStart w:id="111" w:name="_Toc195921843"/>
      <w:r>
        <w:rPr>
          <w:rFonts w:hint="eastAsia" w:ascii="宋体" w:hAnsi="宋体" w:cs="黑体"/>
          <w:color w:val="auto"/>
          <w:kern w:val="0"/>
          <w:sz w:val="24"/>
        </w:rPr>
        <w:t>投诉</w:t>
      </w:r>
      <w:bookmarkEnd w:id="111"/>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ascii="宋体" w:hAnsi="宋体" w:cs="黑体"/>
          <w:color w:val="auto"/>
          <w:kern w:val="0"/>
          <w:sz w:val="24"/>
        </w:rPr>
      </w:pPr>
      <w:r>
        <w:rPr>
          <w:rFonts w:hint="eastAsia" w:ascii="宋体" w:hAnsi="宋体" w:cs="黑体"/>
          <w:color w:val="auto"/>
          <w:kern w:val="0"/>
          <w:sz w:val="24"/>
        </w:rPr>
        <w:t>质疑供应商对采购人、采购代理机构的答复不满意或者采购人、采购代理机构未在规定的时间内作出答复的，可以在答复期满后十五个工作日内向同级政府采购监督管理部门投诉。</w:t>
      </w:r>
    </w:p>
    <w:p>
      <w:pPr>
        <w:pageBreakBefore w:val="0"/>
        <w:numPr>
          <w:ilvl w:val="0"/>
          <w:numId w:val="3"/>
        </w:numPr>
        <w:kinsoku/>
        <w:overflowPunct/>
        <w:topLinePunct w:val="0"/>
        <w:autoSpaceDE w:val="0"/>
        <w:autoSpaceDN w:val="0"/>
        <w:bidi w:val="0"/>
        <w:adjustRightInd w:val="0"/>
        <w:spacing w:after="156" w:afterLines="50" w:line="380" w:lineRule="exact"/>
        <w:outlineLvl w:val="9"/>
        <w:rPr>
          <w:rFonts w:ascii="黑体" w:hAnsi="宋体" w:eastAsia="黑体" w:cs="黑体"/>
          <w:color w:val="auto"/>
          <w:kern w:val="0"/>
          <w:sz w:val="24"/>
        </w:rPr>
      </w:pPr>
      <w:bookmarkStart w:id="112" w:name="_Toc45099872"/>
      <w:bookmarkStart w:id="113" w:name="_Toc195921844"/>
      <w:bookmarkStart w:id="114" w:name="_Ref527103019"/>
      <w:r>
        <w:rPr>
          <w:rFonts w:hint="eastAsia" w:ascii="黑体" w:hAnsi="宋体" w:eastAsia="黑体" w:cs="黑体"/>
          <w:color w:val="auto"/>
          <w:kern w:val="0"/>
          <w:sz w:val="24"/>
        </w:rPr>
        <w:t>其他</w:t>
      </w:r>
      <w:bookmarkEnd w:id="112"/>
      <w:bookmarkEnd w:id="113"/>
      <w:bookmarkEnd w:id="114"/>
    </w:p>
    <w:p>
      <w:pPr>
        <w:pageBreakBefore w:val="0"/>
        <w:tabs>
          <w:tab w:val="left" w:pos="1260"/>
        </w:tabs>
        <w:kinsoku/>
        <w:overflowPunct/>
        <w:topLinePunct w:val="0"/>
        <w:autoSpaceDE w:val="0"/>
        <w:autoSpaceDN w:val="0"/>
        <w:bidi w:val="0"/>
        <w:adjustRightInd w:val="0"/>
        <w:snapToGrid w:val="0"/>
        <w:spacing w:after="156" w:afterLines="50" w:line="380" w:lineRule="exact"/>
        <w:ind w:left="1134"/>
        <w:outlineLvl w:val="9"/>
        <w:rPr>
          <w:rFonts w:ascii="宋体" w:hAnsi="宋体" w:cs="黑体"/>
          <w:color w:val="auto"/>
          <w:kern w:val="0"/>
          <w:sz w:val="24"/>
        </w:rPr>
      </w:pPr>
      <w:r>
        <w:rPr>
          <w:rFonts w:hint="eastAsia" w:ascii="宋体" w:hAnsi="宋体" w:cs="黑体"/>
          <w:color w:val="auto"/>
          <w:kern w:val="0"/>
          <w:sz w:val="24"/>
        </w:rPr>
        <w:t>需要补充的其他内容见供应商须知前附表。</w:t>
      </w:r>
    </w:p>
    <w:p>
      <w:pPr>
        <w:keepNext w:val="0"/>
        <w:keepLines w:val="0"/>
        <w:pageBreakBefore w:val="0"/>
        <w:widowControl w:val="0"/>
        <w:kinsoku/>
        <w:wordWrap/>
        <w:overflowPunct/>
        <w:topLinePunct w:val="0"/>
        <w:autoSpaceDE w:val="0"/>
        <w:autoSpaceDN w:val="0"/>
        <w:bidi w:val="0"/>
        <w:adjustRightInd w:val="0"/>
        <w:snapToGrid w:val="0"/>
        <w:spacing w:after="156" w:afterLines="50" w:line="360" w:lineRule="auto"/>
        <w:jc w:val="center"/>
        <w:textAlignment w:val="auto"/>
        <w:outlineLvl w:val="0"/>
        <w:rPr>
          <w:rFonts w:ascii="宋体" w:hAnsi="宋体" w:cs="黑体"/>
          <w:b/>
          <w:bCs/>
          <w:color w:val="auto"/>
          <w:kern w:val="0"/>
          <w:sz w:val="32"/>
          <w:szCs w:val="32"/>
        </w:rPr>
      </w:pPr>
      <w:r>
        <w:rPr>
          <w:color w:val="auto"/>
        </w:rPr>
        <w:br w:type="page"/>
      </w:r>
      <w:bookmarkStart w:id="115" w:name="_Toc195921851"/>
      <w:bookmarkStart w:id="116" w:name="_Toc19980"/>
      <w:r>
        <w:rPr>
          <w:rFonts w:hint="eastAsia" w:ascii="宋体" w:hAnsi="宋体" w:cs="黑体"/>
          <w:b/>
          <w:bCs/>
          <w:color w:val="auto"/>
          <w:kern w:val="0"/>
          <w:sz w:val="32"/>
          <w:szCs w:val="32"/>
        </w:rPr>
        <w:t>第三章  评审办法</w:t>
      </w:r>
      <w:bookmarkEnd w:id="115"/>
      <w:r>
        <w:rPr>
          <w:rFonts w:hint="eastAsia" w:ascii="宋体" w:hAnsi="宋体" w:cs="黑体"/>
          <w:b/>
          <w:bCs/>
          <w:color w:val="auto"/>
          <w:kern w:val="0"/>
          <w:sz w:val="32"/>
          <w:szCs w:val="32"/>
        </w:rPr>
        <w:t>和标准</w:t>
      </w:r>
      <w:bookmarkEnd w:id="116"/>
    </w:p>
    <w:p>
      <w:pPr>
        <w:pageBreakBefore w:val="0"/>
        <w:numPr>
          <w:ilvl w:val="0"/>
          <w:numId w:val="11"/>
        </w:numPr>
        <w:tabs>
          <w:tab w:val="left" w:pos="1122"/>
          <w:tab w:val="clear" w:pos="1077"/>
        </w:tabs>
        <w:kinsoku/>
        <w:overflowPunct/>
        <w:topLinePunct w:val="0"/>
        <w:autoSpaceDE w:val="0"/>
        <w:autoSpaceDN w:val="0"/>
        <w:bidi w:val="0"/>
        <w:adjustRightInd w:val="0"/>
        <w:snapToGrid w:val="0"/>
        <w:spacing w:after="156" w:afterLines="50" w:line="360" w:lineRule="auto"/>
        <w:ind w:left="1134" w:hanging="1134"/>
        <w:jc w:val="left"/>
        <w:outlineLvl w:val="9"/>
        <w:rPr>
          <w:rFonts w:ascii="宋体" w:hAnsi="宋体" w:cs="宋体"/>
          <w:color w:val="auto"/>
          <w:kern w:val="0"/>
          <w:sz w:val="24"/>
        </w:rPr>
      </w:pPr>
      <w:bookmarkStart w:id="117" w:name="_Toc45099874"/>
      <w:r>
        <w:rPr>
          <w:rFonts w:hint="eastAsia" w:ascii="宋体" w:hAnsi="宋体" w:cs="宋体"/>
          <w:color w:val="auto"/>
          <w:kern w:val="0"/>
          <w:sz w:val="24"/>
        </w:rPr>
        <w:t>资格审查及符合性审查</w:t>
      </w:r>
      <w:bookmarkEnd w:id="117"/>
    </w:p>
    <w:p>
      <w:pPr>
        <w:pageBreakBefore w:val="0"/>
        <w:numPr>
          <w:ilvl w:val="1"/>
          <w:numId w:val="11"/>
        </w:numPr>
        <w:tabs>
          <w:tab w:val="left" w:pos="1134"/>
        </w:tabs>
        <w:kinsoku/>
        <w:overflowPunct/>
        <w:topLinePunct w:val="0"/>
        <w:autoSpaceDE w:val="0"/>
        <w:autoSpaceDN w:val="0"/>
        <w:bidi w:val="0"/>
        <w:adjustRightInd w:val="0"/>
        <w:snapToGrid w:val="0"/>
        <w:spacing w:after="156" w:afterLines="50" w:line="360" w:lineRule="auto"/>
        <w:jc w:val="left"/>
        <w:outlineLvl w:val="9"/>
        <w:rPr>
          <w:rFonts w:ascii="宋体" w:hAnsi="宋体" w:cs="宋体"/>
          <w:color w:val="auto"/>
          <w:kern w:val="0"/>
          <w:sz w:val="24"/>
        </w:rPr>
      </w:pPr>
      <w:r>
        <w:rPr>
          <w:rFonts w:hint="eastAsia" w:ascii="宋体" w:hAnsi="宋体" w:cs="宋体"/>
          <w:color w:val="auto"/>
          <w:kern w:val="0"/>
          <w:sz w:val="24"/>
        </w:rPr>
        <w:t>谈判小组按附表一所列审查标准，对供应商资格进行审查，以确定供应商是否具备谈判资格。</w:t>
      </w:r>
    </w:p>
    <w:p>
      <w:pPr>
        <w:pageBreakBefore w:val="0"/>
        <w:numPr>
          <w:ilvl w:val="1"/>
          <w:numId w:val="11"/>
        </w:numPr>
        <w:tabs>
          <w:tab w:val="left" w:pos="1134"/>
        </w:tabs>
        <w:kinsoku/>
        <w:overflowPunct/>
        <w:topLinePunct w:val="0"/>
        <w:autoSpaceDE w:val="0"/>
        <w:autoSpaceDN w:val="0"/>
        <w:bidi w:val="0"/>
        <w:adjustRightInd w:val="0"/>
        <w:snapToGrid w:val="0"/>
        <w:spacing w:after="156" w:afterLines="50" w:line="360" w:lineRule="auto"/>
        <w:jc w:val="left"/>
        <w:outlineLvl w:val="9"/>
        <w:rPr>
          <w:rFonts w:ascii="宋体" w:hAnsi="宋体" w:cs="宋体"/>
          <w:color w:val="auto"/>
          <w:kern w:val="0"/>
          <w:sz w:val="24"/>
        </w:rPr>
      </w:pPr>
      <w:r>
        <w:rPr>
          <w:rFonts w:hint="eastAsia" w:ascii="宋体" w:hAnsi="宋体" w:cs="宋体"/>
          <w:color w:val="auto"/>
          <w:kern w:val="0"/>
          <w:sz w:val="24"/>
        </w:rPr>
        <w:t>谈判小组对符合资格要求的供应商按本章附表二进行符合性审查，以确定其是否满足谈判文件的实质性要求。</w:t>
      </w:r>
    </w:p>
    <w:p>
      <w:pPr>
        <w:pageBreakBefore w:val="0"/>
        <w:numPr>
          <w:ilvl w:val="1"/>
          <w:numId w:val="11"/>
        </w:numPr>
        <w:tabs>
          <w:tab w:val="left" w:pos="1134"/>
        </w:tabs>
        <w:kinsoku/>
        <w:overflowPunct/>
        <w:topLinePunct w:val="0"/>
        <w:autoSpaceDE w:val="0"/>
        <w:autoSpaceDN w:val="0"/>
        <w:bidi w:val="0"/>
        <w:adjustRightInd w:val="0"/>
        <w:snapToGrid w:val="0"/>
        <w:spacing w:after="156" w:afterLines="50" w:line="360" w:lineRule="auto"/>
        <w:jc w:val="left"/>
        <w:outlineLvl w:val="9"/>
        <w:rPr>
          <w:rFonts w:ascii="宋体" w:hAnsi="宋体" w:cs="宋体"/>
          <w:color w:val="auto"/>
          <w:kern w:val="0"/>
          <w:sz w:val="24"/>
        </w:rPr>
      </w:pPr>
      <w:r>
        <w:rPr>
          <w:rFonts w:hint="eastAsia" w:ascii="宋体" w:hAnsi="宋体" w:cs="宋体"/>
          <w:color w:val="auto"/>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ageBreakBefore w:val="0"/>
        <w:tabs>
          <w:tab w:val="left" w:pos="993"/>
          <w:tab w:val="left" w:pos="1418"/>
        </w:tabs>
        <w:kinsoku/>
        <w:overflowPunct/>
        <w:topLinePunct w:val="0"/>
        <w:autoSpaceDE w:val="0"/>
        <w:autoSpaceDN w:val="0"/>
        <w:bidi w:val="0"/>
        <w:adjustRightInd w:val="0"/>
        <w:snapToGrid w:val="0"/>
        <w:spacing w:before="120" w:after="156" w:afterLines="50" w:line="360" w:lineRule="auto"/>
        <w:ind w:left="1050" w:leftChars="500"/>
        <w:jc w:val="left"/>
        <w:outlineLvl w:val="9"/>
        <w:rPr>
          <w:rFonts w:ascii="宋体" w:hAnsi="宋体" w:cs="宋体"/>
          <w:color w:val="auto"/>
          <w:kern w:val="0"/>
          <w:sz w:val="24"/>
        </w:rPr>
      </w:pPr>
      <w:r>
        <w:rPr>
          <w:rFonts w:hint="eastAsia" w:ascii="宋体" w:hAnsi="宋体" w:cs="宋体"/>
          <w:color w:val="auto"/>
          <w:kern w:val="0"/>
          <w:sz w:val="24"/>
        </w:rPr>
        <w:t>谈判小组不接受供应商主动提出的澄清、说明或补正。</w:t>
      </w:r>
    </w:p>
    <w:p>
      <w:pPr>
        <w:pageBreakBefore w:val="0"/>
        <w:tabs>
          <w:tab w:val="left" w:pos="993"/>
          <w:tab w:val="left" w:pos="1418"/>
        </w:tabs>
        <w:kinsoku/>
        <w:overflowPunct/>
        <w:topLinePunct w:val="0"/>
        <w:autoSpaceDE w:val="0"/>
        <w:autoSpaceDN w:val="0"/>
        <w:bidi w:val="0"/>
        <w:adjustRightInd w:val="0"/>
        <w:snapToGrid w:val="0"/>
        <w:spacing w:before="120" w:after="156" w:afterLines="50" w:line="360" w:lineRule="auto"/>
        <w:ind w:left="1050" w:leftChars="500"/>
        <w:jc w:val="left"/>
        <w:outlineLvl w:val="9"/>
        <w:rPr>
          <w:rFonts w:ascii="宋体" w:hAnsi="宋体" w:cs="宋体"/>
          <w:color w:val="auto"/>
          <w:kern w:val="0"/>
          <w:sz w:val="24"/>
        </w:rPr>
      </w:pPr>
      <w:r>
        <w:rPr>
          <w:rFonts w:hint="eastAsia" w:ascii="宋体" w:hAnsi="宋体" w:cs="宋体"/>
          <w:color w:val="auto"/>
          <w:kern w:val="0"/>
          <w:sz w:val="24"/>
        </w:rPr>
        <w:t>供应商的书面澄清、说明和补正属于响应文件的组成部分。</w:t>
      </w:r>
    </w:p>
    <w:p>
      <w:pPr>
        <w:pageBreakBefore w:val="0"/>
        <w:tabs>
          <w:tab w:val="left" w:pos="993"/>
          <w:tab w:val="left" w:pos="1418"/>
        </w:tabs>
        <w:kinsoku/>
        <w:overflowPunct/>
        <w:topLinePunct w:val="0"/>
        <w:autoSpaceDE w:val="0"/>
        <w:autoSpaceDN w:val="0"/>
        <w:bidi w:val="0"/>
        <w:adjustRightInd w:val="0"/>
        <w:snapToGrid w:val="0"/>
        <w:spacing w:before="120" w:after="156" w:afterLines="50" w:line="360" w:lineRule="auto"/>
        <w:ind w:left="1050" w:leftChars="500"/>
        <w:jc w:val="left"/>
        <w:outlineLvl w:val="9"/>
        <w:rPr>
          <w:rFonts w:ascii="宋体" w:hAnsi="宋体" w:cs="宋体"/>
          <w:color w:val="auto"/>
          <w:kern w:val="0"/>
          <w:sz w:val="24"/>
        </w:rPr>
      </w:pPr>
      <w:r>
        <w:rPr>
          <w:rFonts w:hint="eastAsia" w:ascii="宋体" w:hAnsi="宋体" w:cs="宋体"/>
          <w:color w:val="auto"/>
          <w:kern w:val="0"/>
          <w:sz w:val="24"/>
        </w:rPr>
        <w:t>谈判小组对供应商提交的澄清、说明或补正有疑问的，可以要求供应商进一步澄清、说明或补正，直至满足谈判小组的要求。</w:t>
      </w:r>
    </w:p>
    <w:p>
      <w:pPr>
        <w:pageBreakBefore w:val="0"/>
        <w:numPr>
          <w:ilvl w:val="1"/>
          <w:numId w:val="11"/>
        </w:numPr>
        <w:tabs>
          <w:tab w:val="left" w:pos="1134"/>
        </w:tabs>
        <w:kinsoku/>
        <w:overflowPunct/>
        <w:topLinePunct w:val="0"/>
        <w:autoSpaceDE w:val="0"/>
        <w:autoSpaceDN w:val="0"/>
        <w:bidi w:val="0"/>
        <w:adjustRightInd w:val="0"/>
        <w:snapToGrid w:val="0"/>
        <w:spacing w:after="156" w:afterLines="50" w:line="360" w:lineRule="auto"/>
        <w:jc w:val="left"/>
        <w:outlineLvl w:val="9"/>
        <w:rPr>
          <w:rFonts w:ascii="宋体" w:hAnsi="宋体" w:cs="宋体"/>
          <w:color w:val="auto"/>
          <w:kern w:val="0"/>
          <w:sz w:val="24"/>
        </w:rPr>
      </w:pPr>
      <w:r>
        <w:rPr>
          <w:rFonts w:hint="eastAsia" w:ascii="宋体" w:hAnsi="宋体" w:cs="宋体"/>
          <w:color w:val="auto"/>
          <w:kern w:val="0"/>
          <w:sz w:val="24"/>
        </w:rPr>
        <w:t>不具备谈判文件要求的资格或未通过符合性审查的供应商，不参与谈判，由谈判小组告知该供应商。</w:t>
      </w:r>
    </w:p>
    <w:p>
      <w:pPr>
        <w:pageBreakBefore w:val="0"/>
        <w:numPr>
          <w:ilvl w:val="1"/>
          <w:numId w:val="11"/>
        </w:numPr>
        <w:tabs>
          <w:tab w:val="left" w:pos="1134"/>
        </w:tabs>
        <w:kinsoku/>
        <w:overflowPunct/>
        <w:topLinePunct w:val="0"/>
        <w:autoSpaceDE w:val="0"/>
        <w:autoSpaceDN w:val="0"/>
        <w:bidi w:val="0"/>
        <w:adjustRightInd w:val="0"/>
        <w:snapToGrid w:val="0"/>
        <w:spacing w:after="156" w:afterLines="50" w:line="360" w:lineRule="auto"/>
        <w:jc w:val="left"/>
        <w:outlineLvl w:val="9"/>
        <w:rPr>
          <w:rFonts w:ascii="宋体" w:hAnsi="宋体" w:cs="宋体"/>
          <w:color w:val="auto"/>
          <w:kern w:val="0"/>
          <w:sz w:val="24"/>
        </w:rPr>
      </w:pPr>
      <w:r>
        <w:rPr>
          <w:rFonts w:hint="eastAsia" w:ascii="宋体" w:hAnsi="宋体" w:cs="宋体"/>
          <w:color w:val="auto"/>
          <w:kern w:val="0"/>
          <w:sz w:val="24"/>
        </w:rPr>
        <w:t>通过资格审查和符合性审查的合格供应商不足3家的，不再进行评审和谈判，但</w:t>
      </w:r>
      <w:r>
        <w:rPr>
          <w:rFonts w:hint="eastAsia" w:ascii="宋体" w:hAnsi="宋体" w:cs="宋体"/>
          <w:color w:val="auto"/>
          <w:sz w:val="24"/>
        </w:rPr>
        <w:t>公开招标的货物、服务采购项目，招标过程中提交投标文件或者经评审实质性响应招标文件要求的供应商只有两家时，经财政部门批准后采用竞争</w:t>
      </w:r>
      <w:r>
        <w:rPr>
          <w:rFonts w:hint="eastAsia" w:ascii="宋体" w:hAnsi="宋体" w:cs="宋体"/>
          <w:color w:val="auto"/>
          <w:kern w:val="0"/>
          <w:sz w:val="24"/>
        </w:rPr>
        <w:t>性谈判采购方式的除外。</w:t>
      </w:r>
    </w:p>
    <w:p>
      <w:pPr>
        <w:pageBreakBefore w:val="0"/>
        <w:numPr>
          <w:ilvl w:val="0"/>
          <w:numId w:val="11"/>
        </w:numPr>
        <w:tabs>
          <w:tab w:val="left" w:pos="1122"/>
          <w:tab w:val="clear" w:pos="1077"/>
        </w:tabs>
        <w:kinsoku/>
        <w:overflowPunct/>
        <w:topLinePunct w:val="0"/>
        <w:autoSpaceDE w:val="0"/>
        <w:autoSpaceDN w:val="0"/>
        <w:bidi w:val="0"/>
        <w:adjustRightInd w:val="0"/>
        <w:snapToGrid w:val="0"/>
        <w:spacing w:after="156" w:afterLines="50" w:line="360" w:lineRule="auto"/>
        <w:ind w:left="1134" w:hanging="1134"/>
        <w:jc w:val="left"/>
        <w:outlineLvl w:val="9"/>
        <w:rPr>
          <w:rFonts w:ascii="宋体" w:hAnsi="宋体" w:cs="宋体"/>
          <w:color w:val="auto"/>
          <w:kern w:val="0"/>
          <w:sz w:val="24"/>
        </w:rPr>
      </w:pPr>
      <w:bookmarkStart w:id="118" w:name="_Toc45099875"/>
      <w:r>
        <w:rPr>
          <w:rFonts w:hint="eastAsia" w:ascii="宋体" w:hAnsi="宋体" w:cs="宋体"/>
          <w:color w:val="auto"/>
          <w:kern w:val="0"/>
          <w:sz w:val="24"/>
        </w:rPr>
        <w:t>谈判</w:t>
      </w:r>
      <w:bookmarkEnd w:id="118"/>
    </w:p>
    <w:p>
      <w:pPr>
        <w:pageBreakBefore w:val="0"/>
        <w:numPr>
          <w:ilvl w:val="1"/>
          <w:numId w:val="11"/>
        </w:numPr>
        <w:tabs>
          <w:tab w:val="left" w:pos="1134"/>
        </w:tabs>
        <w:kinsoku/>
        <w:overflowPunct/>
        <w:topLinePunct w:val="0"/>
        <w:autoSpaceDE w:val="0"/>
        <w:autoSpaceDN w:val="0"/>
        <w:bidi w:val="0"/>
        <w:adjustRightInd w:val="0"/>
        <w:snapToGrid w:val="0"/>
        <w:spacing w:after="156" w:afterLines="50" w:line="360" w:lineRule="auto"/>
        <w:jc w:val="left"/>
        <w:outlineLvl w:val="9"/>
        <w:rPr>
          <w:rFonts w:ascii="宋体" w:hAnsi="宋体" w:cs="宋体"/>
          <w:color w:val="auto"/>
          <w:kern w:val="0"/>
          <w:sz w:val="24"/>
        </w:rPr>
      </w:pPr>
      <w:r>
        <w:rPr>
          <w:rFonts w:hint="eastAsia" w:ascii="宋体" w:hAnsi="宋体" w:cs="宋体"/>
          <w:color w:val="auto"/>
          <w:kern w:val="0"/>
          <w:sz w:val="24"/>
        </w:rPr>
        <w:t>谈判小组所有成员集中与单一供应商分别进行谈判，并给予所有参加谈判的供应商平等的谈判机会。</w:t>
      </w:r>
    </w:p>
    <w:p>
      <w:pPr>
        <w:pageBreakBefore w:val="0"/>
        <w:numPr>
          <w:ilvl w:val="1"/>
          <w:numId w:val="11"/>
        </w:numPr>
        <w:tabs>
          <w:tab w:val="left" w:pos="1134"/>
        </w:tabs>
        <w:kinsoku/>
        <w:overflowPunct/>
        <w:topLinePunct w:val="0"/>
        <w:autoSpaceDE w:val="0"/>
        <w:autoSpaceDN w:val="0"/>
        <w:bidi w:val="0"/>
        <w:adjustRightInd w:val="0"/>
        <w:snapToGrid w:val="0"/>
        <w:spacing w:after="156" w:afterLines="50" w:line="360" w:lineRule="auto"/>
        <w:jc w:val="left"/>
        <w:outlineLvl w:val="9"/>
        <w:rPr>
          <w:rFonts w:ascii="宋体" w:hAnsi="宋体" w:cs="宋体"/>
          <w:color w:val="auto"/>
          <w:kern w:val="0"/>
          <w:sz w:val="24"/>
        </w:rPr>
      </w:pPr>
      <w:r>
        <w:rPr>
          <w:rFonts w:hint="eastAsia" w:ascii="宋体" w:hAnsi="宋体" w:cs="宋体"/>
          <w:color w:val="auto"/>
          <w:kern w:val="0"/>
          <w:sz w:val="24"/>
        </w:rPr>
        <w:t>谈判过程中，谈判小组可以根据与供应商的谈判情况，在不违反相关法律法规、强制性标准、规范情况下，对谈判文件的技术标准、拟签订合同的部分条款进行变动。变动内容是谈判文件的有效组成部分，谈判小组以书面形式通知所有参加谈判的供应商，需征得采购人代表签字同意。</w:t>
      </w:r>
    </w:p>
    <w:p>
      <w:pPr>
        <w:pageBreakBefore w:val="0"/>
        <w:numPr>
          <w:ilvl w:val="1"/>
          <w:numId w:val="11"/>
        </w:numPr>
        <w:tabs>
          <w:tab w:val="left" w:pos="1134"/>
        </w:tabs>
        <w:kinsoku/>
        <w:overflowPunct/>
        <w:topLinePunct w:val="0"/>
        <w:autoSpaceDE w:val="0"/>
        <w:autoSpaceDN w:val="0"/>
        <w:bidi w:val="0"/>
        <w:adjustRightInd w:val="0"/>
        <w:snapToGrid w:val="0"/>
        <w:spacing w:after="156" w:afterLines="50" w:line="360" w:lineRule="auto"/>
        <w:jc w:val="left"/>
        <w:outlineLvl w:val="9"/>
        <w:rPr>
          <w:rFonts w:ascii="宋体" w:hAnsi="宋体" w:cs="宋体"/>
          <w:color w:val="auto"/>
          <w:kern w:val="0"/>
          <w:sz w:val="24"/>
        </w:rPr>
      </w:pPr>
      <w:r>
        <w:rPr>
          <w:rFonts w:hint="eastAsia" w:ascii="宋体" w:hAnsi="宋体" w:cs="宋体"/>
          <w:color w:val="auto"/>
          <w:kern w:val="0"/>
          <w:sz w:val="24"/>
        </w:rPr>
        <w:t>谈判结束后，谈判小组可以要求所有继续参加谈判的供应商在规定时间内提交最后报价函，提交最后报价函的供应商不得少于3家，但</w:t>
      </w:r>
      <w:r>
        <w:rPr>
          <w:rFonts w:hint="eastAsia" w:ascii="宋体" w:hAnsi="宋体" w:cs="宋体"/>
          <w:color w:val="auto"/>
          <w:sz w:val="24"/>
        </w:rPr>
        <w:t>公开招标的货物、服务采购项目，招标过程中提交投标文件或者经评审实质性响应招标文件要求的供应商只有两家时，经财政部门批准后采用竞争</w:t>
      </w:r>
      <w:r>
        <w:rPr>
          <w:rFonts w:hint="eastAsia" w:ascii="宋体" w:hAnsi="宋体" w:cs="宋体"/>
          <w:color w:val="auto"/>
          <w:kern w:val="0"/>
          <w:sz w:val="24"/>
        </w:rPr>
        <w:t>性谈判采购方式的除外。</w:t>
      </w:r>
    </w:p>
    <w:p>
      <w:pPr>
        <w:pageBreakBefore w:val="0"/>
        <w:numPr>
          <w:ilvl w:val="0"/>
          <w:numId w:val="11"/>
        </w:numPr>
        <w:tabs>
          <w:tab w:val="left" w:pos="1122"/>
          <w:tab w:val="clear" w:pos="1077"/>
        </w:tabs>
        <w:kinsoku/>
        <w:overflowPunct/>
        <w:topLinePunct w:val="0"/>
        <w:autoSpaceDE w:val="0"/>
        <w:autoSpaceDN w:val="0"/>
        <w:bidi w:val="0"/>
        <w:adjustRightInd w:val="0"/>
        <w:snapToGrid w:val="0"/>
        <w:spacing w:after="156" w:afterLines="50" w:line="360" w:lineRule="auto"/>
        <w:ind w:left="1134" w:hanging="1134"/>
        <w:jc w:val="left"/>
        <w:outlineLvl w:val="9"/>
        <w:rPr>
          <w:rFonts w:ascii="宋体" w:hAnsi="宋体" w:cs="宋体"/>
          <w:color w:val="auto"/>
          <w:kern w:val="0"/>
          <w:sz w:val="24"/>
        </w:rPr>
      </w:pPr>
      <w:bookmarkStart w:id="119" w:name="_Toc45099876"/>
      <w:r>
        <w:rPr>
          <w:rFonts w:hint="eastAsia" w:ascii="宋体" w:hAnsi="宋体" w:cs="宋体"/>
          <w:color w:val="auto"/>
          <w:kern w:val="0"/>
          <w:sz w:val="24"/>
        </w:rPr>
        <w:t>评审</w:t>
      </w:r>
      <w:bookmarkEnd w:id="119"/>
    </w:p>
    <w:p>
      <w:pPr>
        <w:pageBreakBefore w:val="0"/>
        <w:numPr>
          <w:ilvl w:val="1"/>
          <w:numId w:val="11"/>
        </w:numPr>
        <w:tabs>
          <w:tab w:val="left" w:pos="1134"/>
        </w:tabs>
        <w:kinsoku/>
        <w:overflowPunct/>
        <w:topLinePunct w:val="0"/>
        <w:autoSpaceDE w:val="0"/>
        <w:autoSpaceDN w:val="0"/>
        <w:bidi w:val="0"/>
        <w:adjustRightInd w:val="0"/>
        <w:snapToGrid w:val="0"/>
        <w:spacing w:after="156" w:afterLines="50" w:line="360" w:lineRule="auto"/>
        <w:jc w:val="left"/>
        <w:outlineLvl w:val="9"/>
        <w:rPr>
          <w:rFonts w:ascii="宋体" w:hAnsi="宋体" w:cs="宋体"/>
          <w:color w:val="auto"/>
          <w:kern w:val="0"/>
          <w:sz w:val="24"/>
        </w:rPr>
      </w:pPr>
      <w:r>
        <w:rPr>
          <w:rFonts w:hint="eastAsia" w:ascii="宋体" w:hAnsi="宋体" w:cs="宋体"/>
          <w:color w:val="auto"/>
          <w:kern w:val="0"/>
          <w:sz w:val="24"/>
        </w:rPr>
        <w:t>报价评审</w:t>
      </w:r>
    </w:p>
    <w:p>
      <w:pPr>
        <w:pageBreakBefore w:val="0"/>
        <w:numPr>
          <w:ilvl w:val="2"/>
          <w:numId w:val="11"/>
        </w:numPr>
        <w:tabs>
          <w:tab w:val="left" w:pos="1134"/>
          <w:tab w:val="left" w:pos="1843"/>
        </w:tabs>
        <w:kinsoku/>
        <w:overflowPunct/>
        <w:topLinePunct w:val="0"/>
        <w:autoSpaceDE w:val="0"/>
        <w:autoSpaceDN w:val="0"/>
        <w:bidi w:val="0"/>
        <w:adjustRightInd w:val="0"/>
        <w:snapToGrid w:val="0"/>
        <w:spacing w:after="156" w:afterLines="50" w:line="360" w:lineRule="auto"/>
        <w:ind w:left="1134" w:hanging="1134"/>
        <w:jc w:val="left"/>
        <w:outlineLvl w:val="9"/>
        <w:rPr>
          <w:rFonts w:ascii="宋体" w:hAnsi="宋体" w:cs="宋体"/>
          <w:color w:val="auto"/>
          <w:kern w:val="0"/>
          <w:sz w:val="24"/>
        </w:rPr>
      </w:pPr>
      <w:r>
        <w:rPr>
          <w:rFonts w:hint="eastAsia" w:ascii="宋体" w:hAnsi="宋体" w:cs="宋体"/>
          <w:color w:val="auto"/>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不能合理说明或者不能提供相应证明材料的，谈判小组可以取消其谈判资格。</w:t>
      </w:r>
    </w:p>
    <w:p>
      <w:pPr>
        <w:pageBreakBefore w:val="0"/>
        <w:numPr>
          <w:ilvl w:val="2"/>
          <w:numId w:val="11"/>
        </w:numPr>
        <w:tabs>
          <w:tab w:val="left" w:pos="1134"/>
          <w:tab w:val="left" w:pos="1843"/>
        </w:tabs>
        <w:kinsoku/>
        <w:overflowPunct/>
        <w:topLinePunct w:val="0"/>
        <w:autoSpaceDE w:val="0"/>
        <w:autoSpaceDN w:val="0"/>
        <w:bidi w:val="0"/>
        <w:adjustRightInd w:val="0"/>
        <w:snapToGrid w:val="0"/>
        <w:spacing w:after="156" w:afterLines="50" w:line="360" w:lineRule="auto"/>
        <w:ind w:left="1134" w:hanging="1134"/>
        <w:jc w:val="left"/>
        <w:outlineLvl w:val="9"/>
        <w:rPr>
          <w:rFonts w:ascii="宋体" w:hAnsi="宋体" w:cs="宋体"/>
          <w:color w:val="auto"/>
          <w:kern w:val="0"/>
          <w:sz w:val="24"/>
        </w:rPr>
      </w:pPr>
      <w:bookmarkStart w:id="120" w:name="_Ref526928181"/>
      <w:r>
        <w:rPr>
          <w:rFonts w:hint="eastAsia" w:ascii="宋体" w:hAnsi="宋体" w:cs="宋体"/>
          <w:color w:val="auto"/>
          <w:kern w:val="0"/>
          <w:sz w:val="24"/>
          <w:lang w:val="en-US" w:eastAsia="zh-CN"/>
        </w:rPr>
        <w:t>根据《财政部关于进一步加大政府采购支持中小企业力度的通知》（财库﹝2022﹞19号）</w:t>
      </w:r>
      <w:r>
        <w:rPr>
          <w:rFonts w:hint="eastAsia" w:ascii="宋体" w:hAnsi="宋体" w:cs="宋体"/>
          <w:color w:val="auto"/>
          <w:kern w:val="0"/>
          <w:sz w:val="24"/>
        </w:rPr>
        <w:t>调整供应商参与评审的价格。（专门面向中小企业的项目）</w:t>
      </w:r>
      <w:bookmarkEnd w:id="120"/>
    </w:p>
    <w:p>
      <w:pPr>
        <w:pageBreakBefore w:val="0"/>
        <w:tabs>
          <w:tab w:val="left" w:pos="1134"/>
          <w:tab w:val="left" w:pos="1260"/>
          <w:tab w:val="left" w:pos="1418"/>
          <w:tab w:val="left" w:pos="1800"/>
        </w:tabs>
        <w:kinsoku/>
        <w:overflowPunct/>
        <w:topLinePunct w:val="0"/>
        <w:autoSpaceDE w:val="0"/>
        <w:autoSpaceDN w:val="0"/>
        <w:bidi w:val="0"/>
        <w:adjustRightInd w:val="0"/>
        <w:snapToGrid w:val="0"/>
        <w:spacing w:before="120" w:after="156" w:afterLines="50" w:line="360" w:lineRule="auto"/>
        <w:ind w:left="1134" w:leftChars="540"/>
        <w:outlineLvl w:val="9"/>
        <w:rPr>
          <w:rFonts w:ascii="宋体" w:hAnsi="宋体" w:cs="宋体"/>
          <w:color w:val="auto"/>
          <w:sz w:val="24"/>
        </w:rPr>
      </w:pPr>
      <w:r>
        <w:rPr>
          <w:rFonts w:hint="eastAsia" w:ascii="宋体" w:hAnsi="宋体" w:cs="宋体"/>
          <w:color w:val="auto"/>
          <w:sz w:val="24"/>
        </w:rPr>
        <w:t>对小型和微型企业产品的价格给予</w:t>
      </w:r>
      <w:r>
        <w:rPr>
          <w:rFonts w:hint="eastAsia" w:ascii="宋体" w:hAnsi="宋体" w:cs="宋体"/>
          <w:color w:val="auto"/>
          <w:sz w:val="24"/>
          <w:lang w:val="en-US" w:eastAsia="zh-CN"/>
        </w:rPr>
        <w:t>10</w:t>
      </w:r>
      <w:r>
        <w:rPr>
          <w:rFonts w:hint="eastAsia" w:ascii="宋体" w:hAnsi="宋体" w:cs="宋体"/>
          <w:color w:val="auto"/>
          <w:sz w:val="24"/>
        </w:rPr>
        <w:t>%的扣除。或小型、微型企业的协议合同金额占到联合体协议合同总金额30%以上的，可给予联合体</w:t>
      </w:r>
      <w:r>
        <w:rPr>
          <w:rFonts w:hint="eastAsia" w:ascii="宋体" w:hAnsi="宋体" w:cs="宋体"/>
          <w:color w:val="auto"/>
          <w:sz w:val="24"/>
          <w:lang w:val="en-US" w:eastAsia="zh-CN"/>
        </w:rPr>
        <w:t>4</w:t>
      </w:r>
      <w:r>
        <w:rPr>
          <w:rFonts w:hint="eastAsia" w:ascii="宋体" w:hAnsi="宋体" w:cs="宋体"/>
          <w:color w:val="auto"/>
          <w:sz w:val="24"/>
        </w:rPr>
        <w:t>%的价格扣除。</w:t>
      </w:r>
    </w:p>
    <w:p>
      <w:pPr>
        <w:pageBreakBefore w:val="0"/>
        <w:tabs>
          <w:tab w:val="left" w:pos="1134"/>
          <w:tab w:val="left" w:pos="1260"/>
          <w:tab w:val="left" w:pos="1418"/>
          <w:tab w:val="left" w:pos="1800"/>
        </w:tabs>
        <w:kinsoku/>
        <w:overflowPunct/>
        <w:topLinePunct w:val="0"/>
        <w:autoSpaceDE w:val="0"/>
        <w:autoSpaceDN w:val="0"/>
        <w:bidi w:val="0"/>
        <w:adjustRightInd w:val="0"/>
        <w:snapToGrid w:val="0"/>
        <w:spacing w:before="120" w:after="156" w:afterLines="50" w:line="360" w:lineRule="auto"/>
        <w:ind w:left="1134" w:leftChars="540"/>
        <w:outlineLvl w:val="9"/>
        <w:rPr>
          <w:rFonts w:ascii="宋体" w:hAnsi="宋体" w:cs="宋体"/>
          <w:color w:val="auto"/>
          <w:sz w:val="24"/>
        </w:rPr>
      </w:pPr>
      <w:r>
        <w:rPr>
          <w:rFonts w:hint="eastAsia" w:ascii="宋体" w:hAnsi="宋体" w:cs="宋体"/>
          <w:color w:val="auto"/>
          <w:sz w:val="24"/>
        </w:rPr>
        <w:t>注：监狱企业、残疾人福利性单位视同小微企业；残疾人福利性单位属于小型、微型企业的，不重复享受政策。</w:t>
      </w:r>
    </w:p>
    <w:p>
      <w:pPr>
        <w:pageBreakBefore w:val="0"/>
        <w:numPr>
          <w:ilvl w:val="2"/>
          <w:numId w:val="11"/>
        </w:numPr>
        <w:tabs>
          <w:tab w:val="left" w:pos="1134"/>
          <w:tab w:val="left" w:pos="1843"/>
        </w:tabs>
        <w:kinsoku/>
        <w:overflowPunct/>
        <w:topLinePunct w:val="0"/>
        <w:autoSpaceDE w:val="0"/>
        <w:autoSpaceDN w:val="0"/>
        <w:bidi w:val="0"/>
        <w:adjustRightInd w:val="0"/>
        <w:snapToGrid w:val="0"/>
        <w:spacing w:after="156" w:afterLines="50" w:line="360" w:lineRule="auto"/>
        <w:ind w:left="1134" w:hanging="1134"/>
        <w:jc w:val="left"/>
        <w:outlineLvl w:val="9"/>
        <w:rPr>
          <w:rFonts w:ascii="宋体" w:hAnsi="宋体" w:cs="宋体"/>
          <w:color w:val="auto"/>
          <w:kern w:val="0"/>
          <w:sz w:val="24"/>
        </w:rPr>
      </w:pPr>
      <w:bookmarkStart w:id="121" w:name="_Ref529265369"/>
      <w:r>
        <w:rPr>
          <w:rFonts w:hint="eastAsia" w:ascii="宋体" w:hAnsi="宋体" w:cs="宋体"/>
          <w:color w:val="auto"/>
          <w:kern w:val="0"/>
          <w:sz w:val="24"/>
        </w:rPr>
        <w:t>对供应商提供的产品属于优先采购的节能、环境标志产品时给予 1%的价格扣除。</w:t>
      </w:r>
      <w:bookmarkEnd w:id="121"/>
    </w:p>
    <w:p>
      <w:pPr>
        <w:pageBreakBefore w:val="0"/>
        <w:numPr>
          <w:ilvl w:val="1"/>
          <w:numId w:val="11"/>
        </w:numPr>
        <w:tabs>
          <w:tab w:val="left" w:pos="1134"/>
        </w:tabs>
        <w:kinsoku/>
        <w:overflowPunct/>
        <w:topLinePunct w:val="0"/>
        <w:autoSpaceDE w:val="0"/>
        <w:autoSpaceDN w:val="0"/>
        <w:bidi w:val="0"/>
        <w:adjustRightInd w:val="0"/>
        <w:snapToGrid w:val="0"/>
        <w:spacing w:after="156" w:afterLines="50" w:line="360" w:lineRule="auto"/>
        <w:jc w:val="left"/>
        <w:outlineLvl w:val="9"/>
        <w:rPr>
          <w:rFonts w:ascii="宋体" w:hAnsi="宋体" w:cs="宋体"/>
          <w:color w:val="auto"/>
          <w:kern w:val="0"/>
          <w:sz w:val="24"/>
        </w:rPr>
      </w:pPr>
      <w:r>
        <w:rPr>
          <w:rFonts w:hint="eastAsia" w:ascii="宋体" w:hAnsi="宋体" w:cs="宋体"/>
          <w:color w:val="auto"/>
          <w:kern w:val="0"/>
          <w:sz w:val="24"/>
        </w:rPr>
        <w:t>评审结果</w:t>
      </w:r>
    </w:p>
    <w:p>
      <w:pPr>
        <w:pageBreakBefore w:val="0"/>
        <w:tabs>
          <w:tab w:val="left" w:pos="1134"/>
          <w:tab w:val="left" w:pos="1260"/>
          <w:tab w:val="left" w:pos="1418"/>
          <w:tab w:val="left" w:pos="1800"/>
        </w:tabs>
        <w:kinsoku/>
        <w:overflowPunct/>
        <w:topLinePunct w:val="0"/>
        <w:autoSpaceDE w:val="0"/>
        <w:autoSpaceDN w:val="0"/>
        <w:bidi w:val="0"/>
        <w:adjustRightInd w:val="0"/>
        <w:snapToGrid w:val="0"/>
        <w:spacing w:before="120" w:after="156" w:afterLines="50" w:line="360" w:lineRule="auto"/>
        <w:ind w:left="1134" w:leftChars="540"/>
        <w:outlineLvl w:val="9"/>
        <w:rPr>
          <w:rFonts w:ascii="宋体" w:hAnsi="宋体" w:cs="宋体"/>
          <w:color w:val="auto"/>
          <w:sz w:val="24"/>
        </w:rPr>
      </w:pPr>
      <w:r>
        <w:rPr>
          <w:rFonts w:hint="eastAsia" w:ascii="宋体" w:hAnsi="宋体" w:cs="宋体"/>
          <w:color w:val="auto"/>
          <w:kern w:val="0"/>
          <w:sz w:val="24"/>
        </w:rPr>
        <w:t>除第二章供应商须知前附表授权直接确定成交供应商外,</w:t>
      </w:r>
      <w:r>
        <w:rPr>
          <w:rFonts w:hint="eastAsia" w:ascii="宋体" w:hAnsi="宋体" w:cs="宋体"/>
          <w:color w:val="auto"/>
          <w:sz w:val="24"/>
        </w:rPr>
        <w:t>谈判小组应当从质量和服务均能满足采购文件实质性响应要求的供应商中，按照第</w:t>
      </w:r>
      <w:r>
        <w:rPr>
          <w:rFonts w:hint="eastAsia" w:ascii="宋体" w:hAnsi="宋体" w:cs="宋体"/>
          <w:color w:val="auto"/>
          <w:sz w:val="24"/>
        </w:rPr>
        <w:fldChar w:fldCharType="begin"/>
      </w:r>
      <w:r>
        <w:rPr>
          <w:rFonts w:hint="eastAsia" w:ascii="宋体" w:hAnsi="宋体" w:cs="宋体"/>
          <w:color w:val="auto"/>
          <w:sz w:val="24"/>
        </w:rPr>
        <w:instrText xml:space="preserve"> REF _Ref526928181 \r \h  \* MERGEFORMAT </w:instrText>
      </w:r>
      <w:r>
        <w:rPr>
          <w:rFonts w:hint="eastAsia" w:ascii="宋体" w:hAnsi="宋体" w:cs="宋体"/>
          <w:color w:val="auto"/>
          <w:sz w:val="24"/>
        </w:rPr>
        <w:fldChar w:fldCharType="separate"/>
      </w:r>
      <w:r>
        <w:rPr>
          <w:rFonts w:hint="eastAsia" w:ascii="宋体" w:hAnsi="宋体" w:cs="宋体"/>
          <w:color w:val="auto"/>
          <w:sz w:val="24"/>
        </w:rPr>
        <w:t>3.1.2</w:t>
      </w:r>
      <w:r>
        <w:rPr>
          <w:rFonts w:hint="eastAsia" w:ascii="宋体" w:hAnsi="宋体" w:cs="宋体"/>
          <w:color w:val="auto"/>
          <w:sz w:val="24"/>
        </w:rPr>
        <w:fldChar w:fldCharType="end"/>
      </w:r>
      <w:r>
        <w:rPr>
          <w:rFonts w:hint="eastAsia" w:ascii="宋体" w:hAnsi="宋体" w:cs="宋体"/>
          <w:color w:val="auto"/>
          <w:sz w:val="24"/>
        </w:rPr>
        <w:t>和</w:t>
      </w:r>
      <w:r>
        <w:rPr>
          <w:rFonts w:hint="eastAsia" w:ascii="宋体" w:hAnsi="宋体" w:cs="宋体"/>
          <w:color w:val="auto"/>
          <w:sz w:val="24"/>
        </w:rPr>
        <w:fldChar w:fldCharType="begin"/>
      </w:r>
      <w:r>
        <w:rPr>
          <w:rFonts w:hint="eastAsia" w:ascii="宋体" w:hAnsi="宋体" w:cs="宋体"/>
          <w:color w:val="auto"/>
          <w:sz w:val="24"/>
        </w:rPr>
        <w:instrText xml:space="preserve"> REF _Ref529265369 \r \h  \* MERGEFORMAT </w:instrText>
      </w:r>
      <w:r>
        <w:rPr>
          <w:rFonts w:hint="eastAsia" w:ascii="宋体" w:hAnsi="宋体" w:cs="宋体"/>
          <w:color w:val="auto"/>
          <w:sz w:val="24"/>
        </w:rPr>
        <w:fldChar w:fldCharType="separate"/>
      </w:r>
      <w:r>
        <w:rPr>
          <w:rFonts w:hint="eastAsia" w:ascii="宋体" w:hAnsi="宋体" w:cs="宋体"/>
          <w:color w:val="auto"/>
          <w:sz w:val="24"/>
        </w:rPr>
        <w:t>3.1.3</w:t>
      </w:r>
      <w:r>
        <w:rPr>
          <w:rFonts w:hint="eastAsia" w:ascii="宋体" w:hAnsi="宋体" w:cs="宋体"/>
          <w:color w:val="auto"/>
          <w:sz w:val="24"/>
        </w:rPr>
        <w:fldChar w:fldCharType="end"/>
      </w:r>
      <w:r>
        <w:rPr>
          <w:rFonts w:hint="eastAsia" w:ascii="宋体" w:hAnsi="宋体" w:cs="宋体"/>
          <w:color w:val="auto"/>
          <w:sz w:val="24"/>
        </w:rPr>
        <w:t>项调整后的最后报价由低到高的顺序提出3名以上成交候选人，并编写评审报告。</w:t>
      </w:r>
    </w:p>
    <w:p>
      <w:pPr>
        <w:pageBreakBefore w:val="0"/>
        <w:tabs>
          <w:tab w:val="left" w:pos="1134"/>
          <w:tab w:val="left" w:pos="1260"/>
          <w:tab w:val="left" w:pos="1418"/>
          <w:tab w:val="left" w:pos="1800"/>
        </w:tabs>
        <w:kinsoku/>
        <w:overflowPunct/>
        <w:topLinePunct w:val="0"/>
        <w:autoSpaceDE w:val="0"/>
        <w:autoSpaceDN w:val="0"/>
        <w:bidi w:val="0"/>
        <w:adjustRightInd w:val="0"/>
        <w:snapToGrid w:val="0"/>
        <w:spacing w:before="120" w:after="156" w:afterLines="50" w:line="360" w:lineRule="auto"/>
        <w:ind w:left="1134" w:leftChars="540"/>
        <w:outlineLvl w:val="9"/>
        <w:rPr>
          <w:rFonts w:cs="宋体" w:asciiTheme="minorEastAsia" w:hAnsiTheme="minorEastAsia" w:eastAsiaTheme="minorEastAsia"/>
          <w:color w:val="auto"/>
          <w:sz w:val="24"/>
          <w:lang w:val="en-GB"/>
        </w:rPr>
      </w:pPr>
      <w:r>
        <w:rPr>
          <w:rFonts w:hint="eastAsia" w:ascii="宋体" w:hAnsi="宋体" w:cs="宋体"/>
          <w:color w:val="auto"/>
          <w:sz w:val="24"/>
          <w:lang w:val="en-GB"/>
        </w:rPr>
        <w:t>若两家及以上供应商在最后轮次报价中相同的，由谈判小组以随机抽取的方式确定其排序。</w:t>
      </w:r>
    </w:p>
    <w:p>
      <w:pPr>
        <w:pageBreakBefore w:val="0"/>
        <w:tabs>
          <w:tab w:val="left" w:pos="1134"/>
          <w:tab w:val="left" w:pos="1260"/>
          <w:tab w:val="left" w:pos="1418"/>
          <w:tab w:val="left" w:pos="1800"/>
        </w:tabs>
        <w:kinsoku/>
        <w:overflowPunct/>
        <w:topLinePunct w:val="0"/>
        <w:autoSpaceDE w:val="0"/>
        <w:autoSpaceDN w:val="0"/>
        <w:bidi w:val="0"/>
        <w:adjustRightInd w:val="0"/>
        <w:snapToGrid w:val="0"/>
        <w:spacing w:before="120" w:after="156" w:afterLines="50"/>
        <w:ind w:left="1134" w:leftChars="540"/>
        <w:outlineLvl w:val="9"/>
        <w:rPr>
          <w:rFonts w:ascii="宋体" w:hAnsi="宋体" w:cs="TimesNewRomanPSMT"/>
          <w:color w:val="auto"/>
          <w:kern w:val="0"/>
          <w:sz w:val="24"/>
        </w:rPr>
      </w:pPr>
    </w:p>
    <w:p>
      <w:pPr>
        <w:pageBreakBefore w:val="0"/>
        <w:tabs>
          <w:tab w:val="left" w:pos="-94"/>
          <w:tab w:val="left" w:pos="428"/>
        </w:tabs>
        <w:kinsoku/>
        <w:overflowPunct/>
        <w:topLinePunct w:val="0"/>
        <w:bidi w:val="0"/>
        <w:adjustRightInd w:val="0"/>
        <w:spacing w:line="360" w:lineRule="auto"/>
        <w:ind w:left="23" w:leftChars="11"/>
        <w:jc w:val="center"/>
        <w:textAlignment w:val="baseline"/>
        <w:outlineLvl w:val="9"/>
        <w:rPr>
          <w:b/>
          <w:color w:val="auto"/>
          <w:sz w:val="28"/>
          <w:szCs w:val="28"/>
        </w:rPr>
      </w:pPr>
      <w:r>
        <w:rPr>
          <w:color w:val="auto"/>
        </w:rPr>
        <w:br w:type="page"/>
      </w:r>
      <w:bookmarkStart w:id="122" w:name="_Toc414446032"/>
      <w:bookmarkStart w:id="123" w:name="_Toc45099877"/>
      <w:bookmarkStart w:id="124" w:name="_Toc410631196"/>
      <w:r>
        <w:rPr>
          <w:b/>
          <w:color w:val="auto"/>
          <w:sz w:val="28"/>
          <w:szCs w:val="28"/>
        </w:rPr>
        <w:t>附表一</w:t>
      </w:r>
      <w:r>
        <w:rPr>
          <w:rFonts w:hint="eastAsia"/>
          <w:b/>
          <w:color w:val="auto"/>
          <w:sz w:val="28"/>
          <w:szCs w:val="28"/>
        </w:rPr>
        <w:t xml:space="preserve"> </w:t>
      </w:r>
      <w:r>
        <w:rPr>
          <w:b/>
          <w:color w:val="auto"/>
          <w:sz w:val="28"/>
          <w:szCs w:val="28"/>
        </w:rPr>
        <w:t>资格审查表</w:t>
      </w:r>
      <w:bookmarkEnd w:id="122"/>
      <w:bookmarkEnd w:id="123"/>
      <w:bookmarkEnd w:id="124"/>
    </w:p>
    <w:tbl>
      <w:tblPr>
        <w:tblStyle w:val="7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b/>
                <w:color w:val="auto"/>
                <w:szCs w:val="21"/>
              </w:rPr>
            </w:pPr>
            <w:r>
              <w:rPr>
                <w:rFonts w:hint="eastAsia" w:ascii="宋体" w:hAnsi="宋体" w:cs="宋体"/>
                <w:b/>
                <w:color w:val="auto"/>
                <w:szCs w:val="21"/>
              </w:rPr>
              <w:t>序号</w:t>
            </w:r>
          </w:p>
        </w:tc>
        <w:tc>
          <w:tcPr>
            <w:tcW w:w="2991" w:type="dxa"/>
            <w:vAlign w:val="center"/>
          </w:tcPr>
          <w:p>
            <w:pPr>
              <w:pageBreakBefore w:val="0"/>
              <w:kinsoku/>
              <w:overflowPunct/>
              <w:topLinePunct w:val="0"/>
              <w:bidi w:val="0"/>
              <w:snapToGrid w:val="0"/>
              <w:jc w:val="center"/>
              <w:outlineLvl w:val="9"/>
              <w:rPr>
                <w:rFonts w:ascii="宋体" w:hAnsi="宋体" w:cs="宋体"/>
                <w:b/>
                <w:color w:val="auto"/>
                <w:szCs w:val="21"/>
              </w:rPr>
            </w:pPr>
            <w:r>
              <w:rPr>
                <w:rFonts w:hint="eastAsia" w:ascii="宋体" w:hAnsi="宋体" w:cs="宋体"/>
                <w:b/>
                <w:color w:val="auto"/>
                <w:szCs w:val="21"/>
              </w:rPr>
              <w:t>评审内容</w:t>
            </w:r>
          </w:p>
        </w:tc>
        <w:tc>
          <w:tcPr>
            <w:tcW w:w="4020" w:type="dxa"/>
            <w:vAlign w:val="center"/>
          </w:tcPr>
          <w:p>
            <w:pPr>
              <w:pageBreakBefore w:val="0"/>
              <w:kinsoku/>
              <w:overflowPunct/>
              <w:topLinePunct w:val="0"/>
              <w:bidi w:val="0"/>
              <w:snapToGrid w:val="0"/>
              <w:jc w:val="center"/>
              <w:outlineLvl w:val="9"/>
              <w:rPr>
                <w:rFonts w:ascii="宋体" w:hAnsi="宋体" w:cs="宋体"/>
                <w:b/>
                <w:color w:val="auto"/>
                <w:szCs w:val="21"/>
              </w:rPr>
            </w:pPr>
            <w:r>
              <w:rPr>
                <w:rFonts w:hint="eastAsia" w:ascii="宋体" w:hAnsi="宋体" w:cs="宋体"/>
                <w:b/>
                <w:color w:val="auto"/>
                <w:szCs w:val="21"/>
              </w:rPr>
              <w:t>评审合格标准</w:t>
            </w:r>
          </w:p>
        </w:tc>
        <w:tc>
          <w:tcPr>
            <w:tcW w:w="1499" w:type="dxa"/>
            <w:vAlign w:val="center"/>
          </w:tcPr>
          <w:p>
            <w:pPr>
              <w:pageBreakBefore w:val="0"/>
              <w:kinsoku/>
              <w:overflowPunct/>
              <w:topLinePunct w:val="0"/>
              <w:bidi w:val="0"/>
              <w:snapToGrid w:val="0"/>
              <w:jc w:val="center"/>
              <w:outlineLvl w:val="9"/>
              <w:rPr>
                <w:rFonts w:ascii="宋体" w:hAnsi="宋体" w:cs="宋体"/>
                <w:b/>
                <w:color w:val="auto"/>
                <w:szCs w:val="21"/>
              </w:rPr>
            </w:pPr>
            <w:r>
              <w:rPr>
                <w:rFonts w:hint="eastAsia" w:ascii="宋体" w:hAnsi="宋体" w:cs="宋体"/>
                <w:b/>
                <w:color w:val="auto"/>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b/>
                <w:color w:val="auto"/>
                <w:szCs w:val="21"/>
              </w:rPr>
            </w:pPr>
            <w:r>
              <w:rPr>
                <w:rFonts w:hint="eastAsia" w:ascii="宋体" w:hAnsi="宋体" w:cs="宋体"/>
                <w:color w:val="auto"/>
                <w:szCs w:val="21"/>
              </w:rPr>
              <w:t>1</w:t>
            </w:r>
          </w:p>
        </w:tc>
        <w:tc>
          <w:tcPr>
            <w:tcW w:w="2991" w:type="dxa"/>
            <w:vAlign w:val="center"/>
          </w:tcPr>
          <w:p>
            <w:pPr>
              <w:pageBreakBefore w:val="0"/>
              <w:kinsoku/>
              <w:overflowPunct/>
              <w:topLinePunct w:val="0"/>
              <w:bidi w:val="0"/>
              <w:snapToGrid w:val="0"/>
              <w:jc w:val="left"/>
              <w:outlineLvl w:val="9"/>
              <w:rPr>
                <w:rFonts w:ascii="宋体" w:hAnsi="宋体" w:cs="宋体"/>
                <w:b/>
                <w:color w:val="auto"/>
                <w:szCs w:val="21"/>
              </w:rPr>
            </w:pPr>
            <w:r>
              <w:rPr>
                <w:rFonts w:hint="eastAsia" w:ascii="宋体" w:hAnsi="宋体" w:cs="宋体"/>
                <w:color w:val="auto"/>
                <w:szCs w:val="21"/>
              </w:rPr>
              <w:t>供应商名称</w:t>
            </w:r>
          </w:p>
        </w:tc>
        <w:tc>
          <w:tcPr>
            <w:tcW w:w="4020" w:type="dxa"/>
            <w:vAlign w:val="center"/>
          </w:tcPr>
          <w:p>
            <w:pPr>
              <w:pageBreakBefore w:val="0"/>
              <w:kinsoku/>
              <w:overflowPunct/>
              <w:topLinePunct w:val="0"/>
              <w:bidi w:val="0"/>
              <w:snapToGrid w:val="0"/>
              <w:jc w:val="left"/>
              <w:outlineLvl w:val="9"/>
              <w:rPr>
                <w:rFonts w:ascii="宋体" w:hAnsi="宋体" w:cs="宋体"/>
                <w:b/>
                <w:color w:val="auto"/>
                <w:szCs w:val="21"/>
              </w:rPr>
            </w:pPr>
            <w:r>
              <w:rPr>
                <w:rFonts w:hint="eastAsia" w:ascii="宋体" w:hAnsi="宋体" w:cs="宋体"/>
                <w:color w:val="auto"/>
                <w:szCs w:val="21"/>
              </w:rPr>
              <w:t>与报名的营业执照一致（符合法定工商变更程序除外）；</w:t>
            </w:r>
          </w:p>
        </w:tc>
        <w:tc>
          <w:tcPr>
            <w:tcW w:w="1499" w:type="dxa"/>
            <w:vAlign w:val="center"/>
          </w:tcPr>
          <w:p>
            <w:pPr>
              <w:pageBreakBefore w:val="0"/>
              <w:kinsoku/>
              <w:overflowPunct/>
              <w:topLinePunct w:val="0"/>
              <w:bidi w:val="0"/>
              <w:snapToGrid w:val="0"/>
              <w:jc w:val="center"/>
              <w:outlineLvl w:val="9"/>
              <w:rPr>
                <w:rFonts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r>
              <w:rPr>
                <w:rFonts w:hint="eastAsia" w:ascii="宋体" w:hAnsi="宋体" w:cs="宋体"/>
                <w:color w:val="auto"/>
                <w:szCs w:val="21"/>
              </w:rPr>
              <w:t>2</w:t>
            </w:r>
          </w:p>
        </w:tc>
        <w:tc>
          <w:tcPr>
            <w:tcW w:w="2991" w:type="dxa"/>
            <w:vAlign w:val="center"/>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具有独立承担民事责任的能力</w:t>
            </w:r>
          </w:p>
        </w:tc>
        <w:tc>
          <w:tcPr>
            <w:tcW w:w="4020" w:type="dxa"/>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提供了有效的法人或者其他组织的营业执照等证明文件，自然人的身份证明</w:t>
            </w:r>
          </w:p>
        </w:tc>
        <w:tc>
          <w:tcPr>
            <w:tcW w:w="1499" w:type="dxa"/>
            <w:vAlign w:val="center"/>
          </w:tcPr>
          <w:p>
            <w:pPr>
              <w:pageBreakBefore w:val="0"/>
              <w:kinsoku/>
              <w:overflowPunct/>
              <w:topLinePunct w:val="0"/>
              <w:bidi w:val="0"/>
              <w:snapToGrid w:val="0"/>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r>
              <w:rPr>
                <w:rFonts w:hint="eastAsia" w:ascii="宋体" w:hAnsi="宋体" w:cs="宋体"/>
                <w:color w:val="auto"/>
                <w:szCs w:val="21"/>
              </w:rPr>
              <w:t>3</w:t>
            </w:r>
          </w:p>
        </w:tc>
        <w:tc>
          <w:tcPr>
            <w:tcW w:w="2991" w:type="dxa"/>
            <w:vAlign w:val="center"/>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具有健全的财务会计制度</w:t>
            </w:r>
          </w:p>
        </w:tc>
        <w:tc>
          <w:tcPr>
            <w:tcW w:w="4020" w:type="dxa"/>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提供了满足谈判文件要求的经审计的财务报告/或本年度基本开户银行出具的资信证明</w:t>
            </w:r>
          </w:p>
        </w:tc>
        <w:tc>
          <w:tcPr>
            <w:tcW w:w="1499" w:type="dxa"/>
            <w:vAlign w:val="center"/>
          </w:tcPr>
          <w:p>
            <w:pPr>
              <w:pageBreakBefore w:val="0"/>
              <w:kinsoku/>
              <w:overflowPunct/>
              <w:topLinePunct w:val="0"/>
              <w:bidi w:val="0"/>
              <w:snapToGrid w:val="0"/>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r>
              <w:rPr>
                <w:rFonts w:hint="eastAsia" w:ascii="宋体" w:hAnsi="宋体" w:cs="宋体"/>
                <w:color w:val="auto"/>
                <w:szCs w:val="21"/>
              </w:rPr>
              <w:t>4</w:t>
            </w:r>
          </w:p>
        </w:tc>
        <w:tc>
          <w:tcPr>
            <w:tcW w:w="2991" w:type="dxa"/>
            <w:vAlign w:val="center"/>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具有履行合同所必需的设备和专业技术能力</w:t>
            </w:r>
          </w:p>
        </w:tc>
        <w:tc>
          <w:tcPr>
            <w:tcW w:w="4020" w:type="dxa"/>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提供了可充分满足履行合同所需设备和专业技术能力的证明材料或承诺</w:t>
            </w:r>
          </w:p>
        </w:tc>
        <w:tc>
          <w:tcPr>
            <w:tcW w:w="1499" w:type="dxa"/>
            <w:vAlign w:val="center"/>
          </w:tcPr>
          <w:p>
            <w:pPr>
              <w:pageBreakBefore w:val="0"/>
              <w:kinsoku/>
              <w:overflowPunct/>
              <w:topLinePunct w:val="0"/>
              <w:bidi w:val="0"/>
              <w:snapToGrid w:val="0"/>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r>
              <w:rPr>
                <w:rFonts w:hint="eastAsia" w:ascii="宋体" w:hAnsi="宋体" w:cs="宋体"/>
                <w:color w:val="auto"/>
                <w:szCs w:val="21"/>
              </w:rPr>
              <w:t>5</w:t>
            </w:r>
          </w:p>
        </w:tc>
        <w:tc>
          <w:tcPr>
            <w:tcW w:w="2991" w:type="dxa"/>
            <w:vAlign w:val="center"/>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有依法缴纳税收和社会保障资金的良好记录</w:t>
            </w:r>
          </w:p>
        </w:tc>
        <w:tc>
          <w:tcPr>
            <w:tcW w:w="4020" w:type="dxa"/>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1.提供了谈判文件要求时间内的缴纳增值税和企业所得税的凭证（银行出具的缴税凭证或税务机关出具的证明的复印件，并加盖本单位公章）或免税证明（复印件加盖公章）。</w:t>
            </w:r>
          </w:p>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2. 提供了谈判文件要求时间内的社会保障资金缴纳记录（专用收据或社会保险缴纳清单）或免缴纳证明（复印件加盖公章）</w:t>
            </w:r>
          </w:p>
        </w:tc>
        <w:tc>
          <w:tcPr>
            <w:tcW w:w="1499" w:type="dxa"/>
            <w:vAlign w:val="center"/>
          </w:tcPr>
          <w:p>
            <w:pPr>
              <w:pageBreakBefore w:val="0"/>
              <w:kinsoku/>
              <w:overflowPunct/>
              <w:topLinePunct w:val="0"/>
              <w:bidi w:val="0"/>
              <w:snapToGrid w:val="0"/>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r>
              <w:rPr>
                <w:rFonts w:hint="eastAsia" w:ascii="宋体" w:hAnsi="宋体" w:cs="宋体"/>
                <w:color w:val="auto"/>
                <w:szCs w:val="21"/>
              </w:rPr>
              <w:t>6</w:t>
            </w:r>
          </w:p>
        </w:tc>
        <w:tc>
          <w:tcPr>
            <w:tcW w:w="2991" w:type="dxa"/>
            <w:vAlign w:val="center"/>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参加政府采购活动前三年内，在经营活动中没有重大违法记录</w:t>
            </w:r>
          </w:p>
        </w:tc>
        <w:tc>
          <w:tcPr>
            <w:tcW w:w="4020" w:type="dxa"/>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提供了有效的参加政府采购活动前3年内在经营活动中没有重大违法记录的书面声明</w:t>
            </w:r>
          </w:p>
        </w:tc>
        <w:tc>
          <w:tcPr>
            <w:tcW w:w="1499" w:type="dxa"/>
            <w:vAlign w:val="center"/>
          </w:tcPr>
          <w:p>
            <w:pPr>
              <w:pageBreakBefore w:val="0"/>
              <w:kinsoku/>
              <w:overflowPunct/>
              <w:topLinePunct w:val="0"/>
              <w:bidi w:val="0"/>
              <w:snapToGrid w:val="0"/>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r>
              <w:rPr>
                <w:rFonts w:hint="eastAsia" w:ascii="宋体" w:hAnsi="宋体" w:cs="宋体"/>
                <w:color w:val="auto"/>
                <w:szCs w:val="21"/>
              </w:rPr>
              <w:t>7</w:t>
            </w:r>
          </w:p>
        </w:tc>
        <w:tc>
          <w:tcPr>
            <w:tcW w:w="2991" w:type="dxa"/>
            <w:vAlign w:val="center"/>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“信用中国”网站和中国政府采购网（www.ccgp.gov.cn）查询记录</w:t>
            </w:r>
          </w:p>
        </w:tc>
        <w:tc>
          <w:tcPr>
            <w:tcW w:w="4020" w:type="dxa"/>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未被“信用中国”网站（</w:t>
            </w:r>
            <w:r>
              <w:rPr>
                <w:color w:val="auto"/>
              </w:rPr>
              <w:fldChar w:fldCharType="begin"/>
            </w:r>
            <w:r>
              <w:rPr>
                <w:color w:val="auto"/>
              </w:rPr>
              <w:instrText xml:space="preserve"> HYPERLINK "http://www.creditchina.gov.cn）中列入失信被执行人和/" </w:instrText>
            </w:r>
            <w:r>
              <w:rPr>
                <w:color w:val="auto"/>
              </w:rPr>
              <w:fldChar w:fldCharType="separate"/>
            </w:r>
            <w:r>
              <w:rPr>
                <w:rFonts w:hint="eastAsia" w:ascii="宋体" w:hAnsi="宋体" w:cs="宋体"/>
                <w:color w:val="auto"/>
                <w:szCs w:val="21"/>
              </w:rPr>
              <w:t>www.creditchina.gov.cn）中列入失信被执行人和/</w:t>
            </w:r>
            <w:r>
              <w:rPr>
                <w:rFonts w:hint="eastAsia" w:ascii="宋体" w:hAnsi="宋体" w:cs="宋体"/>
                <w:color w:val="auto"/>
                <w:szCs w:val="21"/>
              </w:rPr>
              <w:fldChar w:fldCharType="end"/>
            </w:r>
            <w:r>
              <w:rPr>
                <w:rFonts w:hint="eastAsia" w:ascii="宋体" w:hAnsi="宋体" w:cs="宋体"/>
                <w:color w:val="auto"/>
                <w:szCs w:val="21"/>
              </w:rPr>
              <w:t>或税收违法黑名单的供应商、未被中国政府采购网（www.ccgp.gov.cn）列入政府采购严重违法失信行为记录名单中被财政部门禁止参加政府采购活动的供应商（处罚决定规定的时间和地域范围内）</w:t>
            </w:r>
          </w:p>
        </w:tc>
        <w:tc>
          <w:tcPr>
            <w:tcW w:w="1499" w:type="dxa"/>
            <w:vAlign w:val="center"/>
          </w:tcPr>
          <w:p>
            <w:pPr>
              <w:pageBreakBefore w:val="0"/>
              <w:kinsoku/>
              <w:overflowPunct/>
              <w:topLinePunct w:val="0"/>
              <w:bidi w:val="0"/>
              <w:snapToGrid w:val="0"/>
              <w:ind w:left="425"/>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r>
              <w:rPr>
                <w:rFonts w:hint="eastAsia" w:ascii="宋体" w:hAnsi="宋体" w:cs="宋体"/>
                <w:color w:val="auto"/>
                <w:szCs w:val="21"/>
              </w:rPr>
              <w:t>8</w:t>
            </w:r>
          </w:p>
        </w:tc>
        <w:tc>
          <w:tcPr>
            <w:tcW w:w="2991" w:type="dxa"/>
            <w:vAlign w:val="center"/>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单位负责人为同一人或者存在控股、管理关系的不同单位，不得同时参加本项目的谈判</w:t>
            </w:r>
          </w:p>
        </w:tc>
        <w:tc>
          <w:tcPr>
            <w:tcW w:w="4020" w:type="dxa"/>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提供了法人代表、控股股东、控股企业及管理、被管理单位情况声明且各供应商之间不存在单位负责人为同一人或者存在控股、管理关系情形。</w:t>
            </w:r>
          </w:p>
        </w:tc>
        <w:tc>
          <w:tcPr>
            <w:tcW w:w="1499" w:type="dxa"/>
            <w:vAlign w:val="center"/>
          </w:tcPr>
          <w:p>
            <w:pPr>
              <w:pageBreakBefore w:val="0"/>
              <w:kinsoku/>
              <w:overflowPunct/>
              <w:topLinePunct w:val="0"/>
              <w:bidi w:val="0"/>
              <w:snapToGrid w:val="0"/>
              <w:ind w:left="425"/>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r>
              <w:rPr>
                <w:rFonts w:hint="eastAsia" w:ascii="宋体" w:hAnsi="宋体" w:cs="宋体"/>
                <w:color w:val="auto"/>
                <w:szCs w:val="21"/>
              </w:rPr>
              <w:t>9</w:t>
            </w:r>
          </w:p>
        </w:tc>
        <w:tc>
          <w:tcPr>
            <w:tcW w:w="2991" w:type="dxa"/>
            <w:vAlign w:val="center"/>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为本项目提供整体设计、规范编制或者项目管理、监理、检测等服务的供应商，不得再参加本项目谈判</w:t>
            </w:r>
          </w:p>
        </w:tc>
        <w:tc>
          <w:tcPr>
            <w:tcW w:w="4020" w:type="dxa"/>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提供了供应商未为本项目提供整体设计、规范编制或者项目管理、监理、检测等服务的声明。</w:t>
            </w:r>
          </w:p>
        </w:tc>
        <w:tc>
          <w:tcPr>
            <w:tcW w:w="1499" w:type="dxa"/>
            <w:vAlign w:val="center"/>
          </w:tcPr>
          <w:p>
            <w:pPr>
              <w:pageBreakBefore w:val="0"/>
              <w:kinsoku/>
              <w:overflowPunct/>
              <w:topLinePunct w:val="0"/>
              <w:bidi w:val="0"/>
              <w:snapToGrid w:val="0"/>
              <w:ind w:left="425"/>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r>
              <w:rPr>
                <w:rFonts w:hint="eastAsia" w:ascii="宋体" w:hAnsi="宋体" w:cs="宋体"/>
                <w:color w:val="auto"/>
                <w:szCs w:val="21"/>
              </w:rPr>
              <w:t>10</w:t>
            </w:r>
          </w:p>
        </w:tc>
        <w:tc>
          <w:tcPr>
            <w:tcW w:w="2991" w:type="dxa"/>
            <w:vAlign w:val="center"/>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联合体</w:t>
            </w:r>
          </w:p>
        </w:tc>
        <w:tc>
          <w:tcPr>
            <w:tcW w:w="4020" w:type="dxa"/>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谈判文件允许联合体时，提供了满足谈判文件要求的联合体协议书。</w:t>
            </w:r>
          </w:p>
        </w:tc>
        <w:tc>
          <w:tcPr>
            <w:tcW w:w="1499" w:type="dxa"/>
            <w:vAlign w:val="center"/>
          </w:tcPr>
          <w:p>
            <w:pPr>
              <w:pageBreakBefore w:val="0"/>
              <w:kinsoku/>
              <w:overflowPunct/>
              <w:topLinePunct w:val="0"/>
              <w:bidi w:val="0"/>
              <w:snapToGrid w:val="0"/>
              <w:ind w:left="425"/>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r>
              <w:rPr>
                <w:rFonts w:hint="eastAsia" w:ascii="宋体" w:hAnsi="宋体" w:cs="宋体"/>
                <w:color w:val="auto"/>
                <w:szCs w:val="21"/>
              </w:rPr>
              <w:t>11</w:t>
            </w:r>
          </w:p>
        </w:tc>
        <w:tc>
          <w:tcPr>
            <w:tcW w:w="2991" w:type="dxa"/>
            <w:vAlign w:val="center"/>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供应商特定资格条件</w:t>
            </w:r>
          </w:p>
        </w:tc>
        <w:tc>
          <w:tcPr>
            <w:tcW w:w="4020" w:type="dxa"/>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无</w:t>
            </w:r>
          </w:p>
        </w:tc>
        <w:tc>
          <w:tcPr>
            <w:tcW w:w="1499" w:type="dxa"/>
            <w:vAlign w:val="center"/>
          </w:tcPr>
          <w:p>
            <w:pPr>
              <w:pageBreakBefore w:val="0"/>
              <w:kinsoku/>
              <w:overflowPunct/>
              <w:topLinePunct w:val="0"/>
              <w:bidi w:val="0"/>
              <w:snapToGrid w:val="0"/>
              <w:ind w:left="425"/>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r>
              <w:rPr>
                <w:rFonts w:hint="eastAsia" w:ascii="宋体" w:hAnsi="宋体" w:cs="宋体"/>
                <w:color w:val="auto"/>
                <w:szCs w:val="21"/>
              </w:rPr>
              <w:t>12</w:t>
            </w:r>
          </w:p>
        </w:tc>
        <w:tc>
          <w:tcPr>
            <w:tcW w:w="2991" w:type="dxa"/>
            <w:vAlign w:val="center"/>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中小企业声明函</w:t>
            </w:r>
          </w:p>
        </w:tc>
        <w:tc>
          <w:tcPr>
            <w:tcW w:w="4020" w:type="dxa"/>
          </w:tcPr>
          <w:p>
            <w:pPr>
              <w:pageBreakBefore w:val="0"/>
              <w:kinsoku/>
              <w:overflowPunct/>
              <w:topLinePunct w:val="0"/>
              <w:bidi w:val="0"/>
              <w:snapToGrid w:val="0"/>
              <w:jc w:val="left"/>
              <w:outlineLvl w:val="9"/>
              <w:rPr>
                <w:rFonts w:ascii="宋体" w:hAnsi="宋体" w:cs="宋体"/>
                <w:color w:val="auto"/>
                <w:szCs w:val="21"/>
              </w:rPr>
            </w:pPr>
            <w:r>
              <w:rPr>
                <w:rFonts w:hint="eastAsia" w:ascii="宋体" w:hAnsi="宋体" w:cs="宋体"/>
                <w:color w:val="auto"/>
                <w:szCs w:val="21"/>
              </w:rPr>
              <w:t>提供中小企业声明函</w:t>
            </w:r>
          </w:p>
        </w:tc>
        <w:tc>
          <w:tcPr>
            <w:tcW w:w="1499" w:type="dxa"/>
            <w:vAlign w:val="center"/>
          </w:tcPr>
          <w:p>
            <w:pPr>
              <w:pageBreakBefore w:val="0"/>
              <w:kinsoku/>
              <w:overflowPunct/>
              <w:topLinePunct w:val="0"/>
              <w:bidi w:val="0"/>
              <w:snapToGrid w:val="0"/>
              <w:ind w:left="425"/>
              <w:jc w:val="center"/>
              <w:outlineLvl w:val="9"/>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pageBreakBefore w:val="0"/>
              <w:kinsoku/>
              <w:overflowPunct/>
              <w:topLinePunct w:val="0"/>
              <w:bidi w:val="0"/>
              <w:snapToGrid w:val="0"/>
              <w:jc w:val="center"/>
              <w:outlineLvl w:val="9"/>
              <w:rPr>
                <w:rFonts w:ascii="宋体" w:hAnsi="宋体" w:cs="宋体"/>
                <w:color w:val="auto"/>
                <w:szCs w:val="21"/>
              </w:rPr>
            </w:pPr>
          </w:p>
        </w:tc>
        <w:tc>
          <w:tcPr>
            <w:tcW w:w="2991" w:type="dxa"/>
            <w:vAlign w:val="center"/>
          </w:tcPr>
          <w:p>
            <w:pPr>
              <w:pageBreakBefore w:val="0"/>
              <w:kinsoku/>
              <w:overflowPunct/>
              <w:topLinePunct w:val="0"/>
              <w:bidi w:val="0"/>
              <w:snapToGrid w:val="0"/>
              <w:ind w:left="425"/>
              <w:jc w:val="center"/>
              <w:outlineLvl w:val="9"/>
              <w:rPr>
                <w:rFonts w:ascii="宋体" w:hAnsi="宋体" w:cs="宋体"/>
                <w:color w:val="auto"/>
                <w:szCs w:val="21"/>
              </w:rPr>
            </w:pPr>
            <w:r>
              <w:rPr>
                <w:rFonts w:hint="eastAsia" w:ascii="宋体" w:hAnsi="宋体" w:cs="宋体"/>
                <w:color w:val="auto"/>
                <w:szCs w:val="21"/>
              </w:rPr>
              <w:t>结论</w:t>
            </w:r>
          </w:p>
        </w:tc>
        <w:tc>
          <w:tcPr>
            <w:tcW w:w="4020" w:type="dxa"/>
          </w:tcPr>
          <w:p>
            <w:pPr>
              <w:pageBreakBefore w:val="0"/>
              <w:kinsoku/>
              <w:overflowPunct/>
              <w:topLinePunct w:val="0"/>
              <w:bidi w:val="0"/>
              <w:snapToGrid w:val="0"/>
              <w:jc w:val="center"/>
              <w:outlineLvl w:val="9"/>
              <w:rPr>
                <w:rFonts w:ascii="宋体" w:hAnsi="宋体" w:cs="宋体"/>
                <w:color w:val="auto"/>
                <w:szCs w:val="21"/>
              </w:rPr>
            </w:pPr>
          </w:p>
        </w:tc>
        <w:tc>
          <w:tcPr>
            <w:tcW w:w="1499" w:type="dxa"/>
            <w:vAlign w:val="center"/>
          </w:tcPr>
          <w:p>
            <w:pPr>
              <w:pageBreakBefore w:val="0"/>
              <w:kinsoku/>
              <w:overflowPunct/>
              <w:topLinePunct w:val="0"/>
              <w:bidi w:val="0"/>
              <w:snapToGrid w:val="0"/>
              <w:ind w:left="425"/>
              <w:jc w:val="center"/>
              <w:outlineLvl w:val="9"/>
              <w:rPr>
                <w:rFonts w:ascii="宋体" w:hAnsi="宋体" w:cs="宋体"/>
                <w:color w:val="auto"/>
                <w:szCs w:val="21"/>
              </w:rPr>
            </w:pPr>
          </w:p>
        </w:tc>
      </w:tr>
    </w:tbl>
    <w:p>
      <w:pPr>
        <w:pageBreakBefore w:val="0"/>
        <w:kinsoku/>
        <w:overflowPunct/>
        <w:topLinePunct w:val="0"/>
        <w:bidi w:val="0"/>
        <w:spacing w:line="0" w:lineRule="atLeast"/>
        <w:ind w:left="425"/>
        <w:outlineLvl w:val="9"/>
        <w:rPr>
          <w:rFonts w:ascii="宋体" w:hAnsi="宋体"/>
          <w:color w:val="auto"/>
          <w:szCs w:val="21"/>
        </w:rPr>
      </w:pPr>
    </w:p>
    <w:p>
      <w:pPr>
        <w:pageBreakBefore w:val="0"/>
        <w:kinsoku/>
        <w:overflowPunct/>
        <w:topLinePunct w:val="0"/>
        <w:bidi w:val="0"/>
        <w:spacing w:line="0" w:lineRule="atLeast"/>
        <w:ind w:left="425"/>
        <w:outlineLvl w:val="9"/>
        <w:rPr>
          <w:color w:val="auto"/>
          <w:szCs w:val="21"/>
        </w:rPr>
      </w:pPr>
      <w:r>
        <w:rPr>
          <w:rFonts w:hint="eastAsia" w:ascii="宋体" w:hAnsi="宋体"/>
          <w:color w:val="auto"/>
          <w:szCs w:val="21"/>
        </w:rPr>
        <w:t>注</w:t>
      </w:r>
      <w:r>
        <w:rPr>
          <w:rFonts w:hint="eastAsia"/>
          <w:color w:val="auto"/>
          <w:szCs w:val="21"/>
        </w:rPr>
        <w:t>：符合要求用“○”表示，不符合用“×”表示。有一项不符合要求，结论为不合格。</w:t>
      </w:r>
    </w:p>
    <w:p>
      <w:pPr>
        <w:pageBreakBefore w:val="0"/>
        <w:tabs>
          <w:tab w:val="left" w:pos="-94"/>
          <w:tab w:val="left" w:pos="428"/>
        </w:tabs>
        <w:kinsoku/>
        <w:overflowPunct/>
        <w:topLinePunct w:val="0"/>
        <w:bidi w:val="0"/>
        <w:adjustRightInd w:val="0"/>
        <w:spacing w:line="360" w:lineRule="auto"/>
        <w:ind w:left="23" w:leftChars="11"/>
        <w:jc w:val="center"/>
        <w:textAlignment w:val="baseline"/>
        <w:outlineLvl w:val="9"/>
        <w:rPr>
          <w:b/>
          <w:color w:val="auto"/>
          <w:sz w:val="28"/>
          <w:szCs w:val="28"/>
        </w:rPr>
      </w:pPr>
      <w:r>
        <w:rPr>
          <w:color w:val="auto"/>
          <w:szCs w:val="21"/>
        </w:rPr>
        <w:br w:type="page"/>
      </w:r>
      <w:bookmarkStart w:id="125" w:name="_Toc45099878"/>
      <w:bookmarkStart w:id="126" w:name="_Toc414446033"/>
      <w:bookmarkStart w:id="127" w:name="_Toc410631197"/>
      <w:r>
        <w:rPr>
          <w:rFonts w:hint="eastAsia"/>
          <w:b/>
          <w:color w:val="auto"/>
          <w:sz w:val="28"/>
          <w:szCs w:val="28"/>
        </w:rPr>
        <w:t xml:space="preserve">附表二 </w:t>
      </w:r>
      <w:r>
        <w:rPr>
          <w:b/>
          <w:color w:val="auto"/>
          <w:sz w:val="28"/>
          <w:szCs w:val="28"/>
        </w:rPr>
        <w:t>符合性审查表</w:t>
      </w:r>
      <w:bookmarkEnd w:id="125"/>
      <w:bookmarkEnd w:id="126"/>
      <w:bookmarkEnd w:id="127"/>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pageBreakBefore w:val="0"/>
              <w:tabs>
                <w:tab w:val="left" w:pos="1260"/>
                <w:tab w:val="left" w:pos="1620"/>
              </w:tabs>
              <w:kinsoku/>
              <w:overflowPunct/>
              <w:topLinePunct w:val="0"/>
              <w:bidi w:val="0"/>
              <w:adjustRightInd w:val="0"/>
              <w:snapToGrid w:val="0"/>
              <w:spacing w:line="360" w:lineRule="auto"/>
              <w:jc w:val="center"/>
              <w:textAlignment w:val="baseline"/>
              <w:outlineLvl w:val="9"/>
              <w:rPr>
                <w:rFonts w:ascii="宋体" w:hAnsi="宋体" w:cs="宋体"/>
                <w:b/>
                <w:caps/>
                <w:color w:val="auto"/>
                <w:szCs w:val="21"/>
              </w:rPr>
            </w:pPr>
            <w:r>
              <w:rPr>
                <w:rFonts w:hint="eastAsia" w:ascii="宋体" w:hAnsi="宋体" w:cs="宋体"/>
                <w:b/>
                <w:caps/>
                <w:color w:val="auto"/>
                <w:szCs w:val="21"/>
              </w:rPr>
              <w:t>序号</w:t>
            </w:r>
          </w:p>
        </w:tc>
        <w:tc>
          <w:tcPr>
            <w:tcW w:w="1674" w:type="dxa"/>
            <w:vAlign w:val="center"/>
          </w:tcPr>
          <w:p>
            <w:pPr>
              <w:pageBreakBefore w:val="0"/>
              <w:tabs>
                <w:tab w:val="left" w:pos="1260"/>
                <w:tab w:val="left" w:pos="1620"/>
              </w:tabs>
              <w:kinsoku/>
              <w:overflowPunct/>
              <w:topLinePunct w:val="0"/>
              <w:bidi w:val="0"/>
              <w:adjustRightInd w:val="0"/>
              <w:snapToGrid w:val="0"/>
              <w:spacing w:line="360" w:lineRule="auto"/>
              <w:jc w:val="center"/>
              <w:textAlignment w:val="baseline"/>
              <w:outlineLvl w:val="9"/>
              <w:rPr>
                <w:rFonts w:ascii="宋体" w:hAnsi="宋体" w:cs="宋体"/>
                <w:b/>
                <w:caps/>
                <w:color w:val="auto"/>
                <w:szCs w:val="21"/>
              </w:rPr>
            </w:pPr>
            <w:r>
              <w:rPr>
                <w:rFonts w:hint="eastAsia" w:ascii="宋体" w:hAnsi="宋体" w:cs="宋体"/>
                <w:b/>
                <w:caps/>
                <w:color w:val="auto"/>
                <w:szCs w:val="21"/>
              </w:rPr>
              <w:t>评审项目</w:t>
            </w:r>
          </w:p>
        </w:tc>
        <w:tc>
          <w:tcPr>
            <w:tcW w:w="5245" w:type="dxa"/>
            <w:vAlign w:val="center"/>
          </w:tcPr>
          <w:p>
            <w:pPr>
              <w:pageBreakBefore w:val="0"/>
              <w:tabs>
                <w:tab w:val="left" w:pos="1260"/>
                <w:tab w:val="left" w:pos="1620"/>
              </w:tabs>
              <w:kinsoku/>
              <w:overflowPunct/>
              <w:topLinePunct w:val="0"/>
              <w:bidi w:val="0"/>
              <w:adjustRightInd w:val="0"/>
              <w:snapToGrid w:val="0"/>
              <w:spacing w:line="360" w:lineRule="auto"/>
              <w:jc w:val="center"/>
              <w:textAlignment w:val="baseline"/>
              <w:outlineLvl w:val="9"/>
              <w:rPr>
                <w:rFonts w:ascii="宋体" w:hAnsi="宋体" w:cs="宋体"/>
                <w:b/>
                <w:caps/>
                <w:color w:val="auto"/>
                <w:szCs w:val="21"/>
              </w:rPr>
            </w:pPr>
            <w:r>
              <w:rPr>
                <w:rFonts w:hint="eastAsia" w:ascii="宋体" w:hAnsi="宋体" w:cs="宋体"/>
                <w:b/>
                <w:caps/>
                <w:color w:val="auto"/>
                <w:szCs w:val="21"/>
              </w:rPr>
              <w:t>评审标准</w:t>
            </w:r>
          </w:p>
        </w:tc>
        <w:tc>
          <w:tcPr>
            <w:tcW w:w="1275" w:type="dxa"/>
            <w:vAlign w:val="center"/>
          </w:tcPr>
          <w:p>
            <w:pPr>
              <w:pageBreakBefore w:val="0"/>
              <w:tabs>
                <w:tab w:val="left" w:pos="1260"/>
                <w:tab w:val="left" w:pos="1620"/>
              </w:tabs>
              <w:kinsoku/>
              <w:overflowPunct/>
              <w:topLinePunct w:val="0"/>
              <w:bidi w:val="0"/>
              <w:adjustRightInd w:val="0"/>
              <w:snapToGrid w:val="0"/>
              <w:spacing w:line="360" w:lineRule="auto"/>
              <w:jc w:val="center"/>
              <w:textAlignment w:val="baseline"/>
              <w:outlineLvl w:val="9"/>
              <w:rPr>
                <w:rFonts w:ascii="宋体" w:hAnsi="宋体" w:cs="宋体"/>
                <w:b/>
                <w:caps/>
                <w:color w:val="auto"/>
                <w:szCs w:val="21"/>
              </w:rPr>
            </w:pPr>
            <w:r>
              <w:rPr>
                <w:rFonts w:hint="eastAsia" w:ascii="宋体" w:hAnsi="宋体" w:cs="宋体"/>
                <w:b/>
                <w:caps/>
                <w:color w:val="auto"/>
                <w:szCs w:val="21"/>
              </w:rPr>
              <w:t>评审结论</w:t>
            </w:r>
          </w:p>
          <w:p>
            <w:pPr>
              <w:pageBreakBefore w:val="0"/>
              <w:tabs>
                <w:tab w:val="left" w:pos="1260"/>
                <w:tab w:val="left" w:pos="1620"/>
              </w:tabs>
              <w:kinsoku/>
              <w:overflowPunct/>
              <w:topLinePunct w:val="0"/>
              <w:bidi w:val="0"/>
              <w:adjustRightInd w:val="0"/>
              <w:snapToGrid w:val="0"/>
              <w:spacing w:line="360" w:lineRule="auto"/>
              <w:jc w:val="center"/>
              <w:textAlignment w:val="baseline"/>
              <w:outlineLvl w:val="9"/>
              <w:rPr>
                <w:rFonts w:ascii="宋体" w:hAnsi="宋体" w:cs="宋体"/>
                <w:b/>
                <w:caps/>
                <w:color w:val="auto"/>
                <w:szCs w:val="21"/>
              </w:rPr>
            </w:pPr>
            <w:r>
              <w:rPr>
                <w:rFonts w:hint="eastAsia" w:ascii="宋体" w:hAnsi="宋体" w:cs="宋体"/>
                <w:b/>
                <w:caps/>
                <w:color w:val="auto"/>
                <w:szCs w:val="21"/>
              </w:rPr>
              <w:t>（</w:t>
            </w:r>
            <w:r>
              <w:rPr>
                <w:rFonts w:hint="eastAsia" w:ascii="宋体" w:hAnsi="宋体" w:cs="宋体"/>
                <w:color w:val="auto"/>
                <w:szCs w:val="21"/>
              </w:rPr>
              <w:t>○</w:t>
            </w:r>
            <w:r>
              <w:rPr>
                <w:rFonts w:hint="eastAsia" w:ascii="宋体" w:hAnsi="宋体" w:cs="宋体"/>
                <w:b/>
                <w:caps/>
                <w:color w:val="auto"/>
                <w:szCs w:val="21"/>
              </w:rPr>
              <w:t>/</w:t>
            </w:r>
            <w:r>
              <w:rPr>
                <w:rFonts w:hint="eastAsia" w:ascii="宋体" w:hAnsi="宋体" w:cs="宋体"/>
                <w:color w:val="auto"/>
                <w:szCs w:val="21"/>
              </w:rPr>
              <w:t>×</w:t>
            </w:r>
            <w:r>
              <w:rPr>
                <w:rFonts w:hint="eastAsia" w:ascii="宋体" w:hAnsi="宋体" w:cs="宋体"/>
                <w:b/>
                <w:caps/>
                <w:color w:val="auto"/>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pageBreakBefore w:val="0"/>
              <w:numPr>
                <w:ilvl w:val="0"/>
                <w:numId w:val="12"/>
              </w:numPr>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c>
          <w:tcPr>
            <w:tcW w:w="1674"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谈判保证金</w:t>
            </w:r>
          </w:p>
        </w:tc>
        <w:tc>
          <w:tcPr>
            <w:tcW w:w="524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按照谈判文件的规定提交谈判保证金（包括形式及金额）；</w:t>
            </w:r>
          </w:p>
        </w:tc>
        <w:tc>
          <w:tcPr>
            <w:tcW w:w="127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pageBreakBefore w:val="0"/>
              <w:numPr>
                <w:ilvl w:val="0"/>
                <w:numId w:val="12"/>
              </w:numPr>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c>
          <w:tcPr>
            <w:tcW w:w="1674"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响应文件签署盖章</w:t>
            </w:r>
          </w:p>
        </w:tc>
        <w:tc>
          <w:tcPr>
            <w:tcW w:w="524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按谈判文件格式要求加盖了供应商公章和（/或）有法定代表人或其授权代表签字或加盖人名章。</w:t>
            </w:r>
          </w:p>
        </w:tc>
        <w:tc>
          <w:tcPr>
            <w:tcW w:w="127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pageBreakBefore w:val="0"/>
              <w:numPr>
                <w:ilvl w:val="0"/>
                <w:numId w:val="12"/>
              </w:numPr>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c>
          <w:tcPr>
            <w:tcW w:w="1674"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报价</w:t>
            </w:r>
          </w:p>
        </w:tc>
        <w:tc>
          <w:tcPr>
            <w:tcW w:w="524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供应商报价是固定价且未超过预算金额（谈判文件有最高限价的，报价未超过最高限价）；</w:t>
            </w:r>
          </w:p>
        </w:tc>
        <w:tc>
          <w:tcPr>
            <w:tcW w:w="127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pageBreakBefore w:val="0"/>
              <w:numPr>
                <w:ilvl w:val="0"/>
                <w:numId w:val="12"/>
              </w:numPr>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c>
          <w:tcPr>
            <w:tcW w:w="1674"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附加条件</w:t>
            </w:r>
          </w:p>
        </w:tc>
        <w:tc>
          <w:tcPr>
            <w:tcW w:w="524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响应文件不含有采购人不能接受的附加条件；</w:t>
            </w:r>
          </w:p>
        </w:tc>
        <w:tc>
          <w:tcPr>
            <w:tcW w:w="127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pageBreakBefore w:val="0"/>
              <w:numPr>
                <w:ilvl w:val="0"/>
                <w:numId w:val="12"/>
              </w:numPr>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c>
          <w:tcPr>
            <w:tcW w:w="1674"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公平竞争</w:t>
            </w:r>
          </w:p>
        </w:tc>
        <w:tc>
          <w:tcPr>
            <w:tcW w:w="524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遵循公平竞争的原则，没有弄虚作假、恶意串通或妨碍其他供应商的竞争行为，损害采购人或者其他供应商的合法权益；弄虚作假、相互串通的情形见附注</w:t>
            </w:r>
          </w:p>
        </w:tc>
        <w:tc>
          <w:tcPr>
            <w:tcW w:w="127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pageBreakBefore w:val="0"/>
              <w:numPr>
                <w:ilvl w:val="0"/>
                <w:numId w:val="12"/>
              </w:numPr>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c>
          <w:tcPr>
            <w:tcW w:w="1674"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其他无效情形</w:t>
            </w:r>
          </w:p>
        </w:tc>
        <w:tc>
          <w:tcPr>
            <w:tcW w:w="524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无法律、法规和谈判文件规定的其他无效情形；</w:t>
            </w:r>
          </w:p>
        </w:tc>
        <w:tc>
          <w:tcPr>
            <w:tcW w:w="127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pageBreakBefore w:val="0"/>
              <w:numPr>
                <w:ilvl w:val="0"/>
                <w:numId w:val="13"/>
              </w:numPr>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c>
          <w:tcPr>
            <w:tcW w:w="1674"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响应文件有效期</w:t>
            </w:r>
          </w:p>
        </w:tc>
        <w:tc>
          <w:tcPr>
            <w:tcW w:w="524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有效期满足谈判文件要求的；</w:t>
            </w:r>
          </w:p>
        </w:tc>
        <w:tc>
          <w:tcPr>
            <w:tcW w:w="127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pageBreakBefore w:val="0"/>
              <w:numPr>
                <w:ilvl w:val="0"/>
                <w:numId w:val="13"/>
              </w:numPr>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c>
          <w:tcPr>
            <w:tcW w:w="1674"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响应文件格式</w:t>
            </w:r>
          </w:p>
        </w:tc>
        <w:tc>
          <w:tcPr>
            <w:tcW w:w="524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响应文件按规定的格式填写，内容完整且关键字迹清晰；</w:t>
            </w:r>
          </w:p>
        </w:tc>
        <w:tc>
          <w:tcPr>
            <w:tcW w:w="127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pageBreakBefore w:val="0"/>
              <w:numPr>
                <w:ilvl w:val="0"/>
                <w:numId w:val="13"/>
              </w:numPr>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c>
          <w:tcPr>
            <w:tcW w:w="1674"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color w:val="auto"/>
                <w:szCs w:val="21"/>
              </w:rPr>
              <w:t>备选方案</w:t>
            </w:r>
          </w:p>
        </w:tc>
        <w:tc>
          <w:tcPr>
            <w:tcW w:w="524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strike/>
                <w:color w:val="auto"/>
                <w:szCs w:val="21"/>
              </w:rPr>
            </w:pPr>
            <w:r>
              <w:rPr>
                <w:rFonts w:hint="eastAsia" w:ascii="宋体" w:hAnsi="宋体" w:cs="宋体"/>
                <w:color w:val="auto"/>
                <w:szCs w:val="21"/>
              </w:rPr>
              <w:t>供应商不得提交两份或者多份内容不同的响应文件，或者在同一份响应文件中对同一谈判项目有两个或者多个报价；</w:t>
            </w:r>
          </w:p>
        </w:tc>
        <w:tc>
          <w:tcPr>
            <w:tcW w:w="127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r>
              <w:rPr>
                <w:rFonts w:hint="eastAsia" w:ascii="宋体" w:hAnsi="宋体" w:cs="宋体"/>
                <w:b/>
                <w:color w:val="auto"/>
                <w:szCs w:val="21"/>
              </w:rPr>
              <w:t>结论（通过或未通过）</w:t>
            </w:r>
          </w:p>
        </w:tc>
        <w:tc>
          <w:tcPr>
            <w:tcW w:w="524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c>
          <w:tcPr>
            <w:tcW w:w="1275" w:type="dxa"/>
            <w:vAlign w:val="center"/>
          </w:tcPr>
          <w:p>
            <w:pPr>
              <w:pageBreakBefore w:val="0"/>
              <w:tabs>
                <w:tab w:val="left" w:pos="1260"/>
                <w:tab w:val="left" w:pos="1620"/>
              </w:tabs>
              <w:kinsoku/>
              <w:overflowPunct/>
              <w:topLinePunct w:val="0"/>
              <w:bidi w:val="0"/>
              <w:adjustRightInd w:val="0"/>
              <w:snapToGrid w:val="0"/>
              <w:spacing w:line="360" w:lineRule="auto"/>
              <w:textAlignment w:val="baseline"/>
              <w:outlineLvl w:val="9"/>
              <w:rPr>
                <w:rFonts w:ascii="宋体" w:hAnsi="宋体" w:cs="宋体"/>
                <w:color w:val="auto"/>
                <w:szCs w:val="21"/>
              </w:rPr>
            </w:pPr>
          </w:p>
        </w:tc>
      </w:tr>
    </w:tbl>
    <w:p>
      <w:pPr>
        <w:pageBreakBefore w:val="0"/>
        <w:tabs>
          <w:tab w:val="left" w:pos="1260"/>
          <w:tab w:val="left" w:pos="1620"/>
        </w:tabs>
        <w:kinsoku/>
        <w:overflowPunct/>
        <w:topLinePunct w:val="0"/>
        <w:bidi w:val="0"/>
        <w:adjustRightInd w:val="0"/>
        <w:spacing w:line="360" w:lineRule="auto"/>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p>
    <w:p>
      <w:pPr>
        <w:pageBreakBefore w:val="0"/>
        <w:tabs>
          <w:tab w:val="left" w:pos="1260"/>
          <w:tab w:val="left" w:pos="1620"/>
        </w:tabs>
        <w:kinsoku/>
        <w:overflowPunct/>
        <w:topLinePunct w:val="0"/>
        <w:bidi w:val="0"/>
        <w:adjustRightInd w:val="0"/>
        <w:spacing w:line="360" w:lineRule="auto"/>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1、符合谈判文件要求用“○”表示，不符合用“×”表示。有一项不符合要求，结论为不合格。</w:t>
      </w:r>
    </w:p>
    <w:p>
      <w:pPr>
        <w:pageBreakBefore w:val="0"/>
        <w:tabs>
          <w:tab w:val="left" w:pos="1260"/>
          <w:tab w:val="left" w:pos="1620"/>
        </w:tabs>
        <w:kinsoku/>
        <w:overflowPunct/>
        <w:topLinePunct w:val="0"/>
        <w:bidi w:val="0"/>
        <w:adjustRightInd w:val="0"/>
        <w:spacing w:line="360" w:lineRule="auto"/>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2、进行符合性审查过程中，谈判小组成员意见不同时，按少数服从多数的原则确定。</w:t>
      </w:r>
    </w:p>
    <w:p>
      <w:pPr>
        <w:pageBreakBefore w:val="0"/>
        <w:tabs>
          <w:tab w:val="left" w:pos="1260"/>
          <w:tab w:val="left" w:pos="1620"/>
        </w:tabs>
        <w:kinsoku/>
        <w:overflowPunct/>
        <w:topLinePunct w:val="0"/>
        <w:bidi w:val="0"/>
        <w:adjustRightInd w:val="0"/>
        <w:spacing w:line="360" w:lineRule="auto"/>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3、有下列情形之一的，视为供应商相互串通：</w:t>
      </w:r>
    </w:p>
    <w:p>
      <w:pPr>
        <w:pageBreakBefore w:val="0"/>
        <w:tabs>
          <w:tab w:val="left" w:pos="1260"/>
          <w:tab w:val="left" w:pos="1620"/>
        </w:tabs>
        <w:kinsoku/>
        <w:overflowPunct/>
        <w:topLinePunct w:val="0"/>
        <w:bidi w:val="0"/>
        <w:adjustRightInd w:val="0"/>
        <w:spacing w:line="360" w:lineRule="auto"/>
        <w:ind w:left="424" w:leftChars="202"/>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（1）不同供应商的响应文件由同一单位或者个人编制；</w:t>
      </w:r>
    </w:p>
    <w:p>
      <w:pPr>
        <w:pageBreakBefore w:val="0"/>
        <w:tabs>
          <w:tab w:val="left" w:pos="1260"/>
          <w:tab w:val="left" w:pos="1620"/>
        </w:tabs>
        <w:kinsoku/>
        <w:overflowPunct/>
        <w:topLinePunct w:val="0"/>
        <w:bidi w:val="0"/>
        <w:adjustRightInd w:val="0"/>
        <w:spacing w:line="360" w:lineRule="auto"/>
        <w:ind w:left="424" w:leftChars="202"/>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（2）不同供应商委托同一单位或者个人办理谈判事宜；</w:t>
      </w:r>
    </w:p>
    <w:p>
      <w:pPr>
        <w:pageBreakBefore w:val="0"/>
        <w:tabs>
          <w:tab w:val="left" w:pos="1260"/>
          <w:tab w:val="left" w:pos="1620"/>
        </w:tabs>
        <w:kinsoku/>
        <w:overflowPunct/>
        <w:topLinePunct w:val="0"/>
        <w:bidi w:val="0"/>
        <w:adjustRightInd w:val="0"/>
        <w:spacing w:line="360" w:lineRule="auto"/>
        <w:ind w:left="424" w:leftChars="202"/>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（3）不同供应商的响应文件载明的项目管理成员或者联系人员为同一人；</w:t>
      </w:r>
    </w:p>
    <w:p>
      <w:pPr>
        <w:pageBreakBefore w:val="0"/>
        <w:tabs>
          <w:tab w:val="left" w:pos="1260"/>
          <w:tab w:val="left" w:pos="1620"/>
        </w:tabs>
        <w:kinsoku/>
        <w:overflowPunct/>
        <w:topLinePunct w:val="0"/>
        <w:bidi w:val="0"/>
        <w:adjustRightInd w:val="0"/>
        <w:spacing w:line="360" w:lineRule="auto"/>
        <w:ind w:left="424" w:leftChars="202"/>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（4）不同供应商的响应文件异常一致或者报价呈规律性差异；</w:t>
      </w:r>
    </w:p>
    <w:p>
      <w:pPr>
        <w:pageBreakBefore w:val="0"/>
        <w:tabs>
          <w:tab w:val="left" w:pos="1260"/>
          <w:tab w:val="left" w:pos="1620"/>
        </w:tabs>
        <w:kinsoku/>
        <w:overflowPunct/>
        <w:topLinePunct w:val="0"/>
        <w:bidi w:val="0"/>
        <w:adjustRightInd w:val="0"/>
        <w:spacing w:line="360" w:lineRule="auto"/>
        <w:ind w:left="424" w:leftChars="202"/>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（5）不同供应商的响应文件相互混装；</w:t>
      </w:r>
    </w:p>
    <w:p>
      <w:pPr>
        <w:pageBreakBefore w:val="0"/>
        <w:tabs>
          <w:tab w:val="left" w:pos="1260"/>
          <w:tab w:val="left" w:pos="1620"/>
        </w:tabs>
        <w:kinsoku/>
        <w:overflowPunct/>
        <w:topLinePunct w:val="0"/>
        <w:bidi w:val="0"/>
        <w:adjustRightInd w:val="0"/>
        <w:spacing w:line="360" w:lineRule="auto"/>
        <w:ind w:left="424" w:leftChars="202"/>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（6）不同供应商的谈判保证金从同一单位或者个人的账户转出。</w:t>
      </w:r>
    </w:p>
    <w:p>
      <w:pPr>
        <w:pageBreakBefore w:val="0"/>
        <w:tabs>
          <w:tab w:val="left" w:pos="1260"/>
          <w:tab w:val="left" w:pos="1620"/>
        </w:tabs>
        <w:kinsoku/>
        <w:overflowPunct/>
        <w:topLinePunct w:val="0"/>
        <w:bidi w:val="0"/>
        <w:adjustRightInd w:val="0"/>
        <w:spacing w:line="360" w:lineRule="auto"/>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4、有下列情形之一的，属于提供虚假材料谋取成交的行为：</w:t>
      </w:r>
    </w:p>
    <w:p>
      <w:pPr>
        <w:pageBreakBefore w:val="0"/>
        <w:tabs>
          <w:tab w:val="left" w:pos="1260"/>
          <w:tab w:val="left" w:pos="1620"/>
        </w:tabs>
        <w:kinsoku/>
        <w:overflowPunct/>
        <w:topLinePunct w:val="0"/>
        <w:bidi w:val="0"/>
        <w:adjustRightInd w:val="0"/>
        <w:spacing w:line="360" w:lineRule="auto"/>
        <w:ind w:left="424" w:leftChars="202"/>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（1）使用伪造、变造的许可证件；</w:t>
      </w:r>
    </w:p>
    <w:p>
      <w:pPr>
        <w:pageBreakBefore w:val="0"/>
        <w:tabs>
          <w:tab w:val="left" w:pos="1260"/>
          <w:tab w:val="left" w:pos="1620"/>
        </w:tabs>
        <w:kinsoku/>
        <w:overflowPunct/>
        <w:topLinePunct w:val="0"/>
        <w:bidi w:val="0"/>
        <w:adjustRightInd w:val="0"/>
        <w:spacing w:line="360" w:lineRule="auto"/>
        <w:ind w:left="424" w:leftChars="202"/>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（2）提供虚假的财务状况或者业绩；</w:t>
      </w:r>
    </w:p>
    <w:p>
      <w:pPr>
        <w:pageBreakBefore w:val="0"/>
        <w:tabs>
          <w:tab w:val="left" w:pos="1260"/>
          <w:tab w:val="left" w:pos="1620"/>
        </w:tabs>
        <w:kinsoku/>
        <w:overflowPunct/>
        <w:topLinePunct w:val="0"/>
        <w:bidi w:val="0"/>
        <w:adjustRightInd w:val="0"/>
        <w:spacing w:line="360" w:lineRule="auto"/>
        <w:ind w:left="424" w:leftChars="202"/>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（3）提供虚假的项目负责人或者主要技术人员简历、劳动关系证明；</w:t>
      </w:r>
    </w:p>
    <w:p>
      <w:pPr>
        <w:pageBreakBefore w:val="0"/>
        <w:tabs>
          <w:tab w:val="left" w:pos="1260"/>
          <w:tab w:val="left" w:pos="1620"/>
        </w:tabs>
        <w:kinsoku/>
        <w:overflowPunct/>
        <w:topLinePunct w:val="0"/>
        <w:bidi w:val="0"/>
        <w:adjustRightInd w:val="0"/>
        <w:spacing w:line="360" w:lineRule="auto"/>
        <w:ind w:left="424" w:leftChars="202"/>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（4）提供虚假的信用状况；</w:t>
      </w:r>
    </w:p>
    <w:p>
      <w:pPr>
        <w:pageBreakBefore w:val="0"/>
        <w:tabs>
          <w:tab w:val="left" w:pos="1260"/>
          <w:tab w:val="left" w:pos="1620"/>
        </w:tabs>
        <w:kinsoku/>
        <w:overflowPunct/>
        <w:topLinePunct w:val="0"/>
        <w:bidi w:val="0"/>
        <w:adjustRightInd w:val="0"/>
        <w:spacing w:line="360" w:lineRule="auto"/>
        <w:ind w:left="424" w:leftChars="202"/>
        <w:jc w:val="left"/>
        <w:textAlignment w:val="baseline"/>
        <w:outlineLvl w:val="9"/>
        <w:rPr>
          <w:rFonts w:asciiTheme="minorEastAsia" w:hAnsiTheme="minorEastAsia" w:eastAsiaTheme="minorEastAsia"/>
          <w:color w:val="auto"/>
          <w:szCs w:val="21"/>
        </w:rPr>
      </w:pPr>
      <w:r>
        <w:rPr>
          <w:rFonts w:hint="eastAsia" w:asciiTheme="minorEastAsia" w:hAnsiTheme="minorEastAsia" w:eastAsiaTheme="minorEastAsia"/>
          <w:color w:val="auto"/>
          <w:szCs w:val="21"/>
        </w:rPr>
        <w:t>（5）其他弄虚作假的行为。</w:t>
      </w:r>
    </w:p>
    <w:p>
      <w:pPr>
        <w:pageBreakBefore w:val="0"/>
        <w:tabs>
          <w:tab w:val="left" w:pos="1260"/>
          <w:tab w:val="left" w:pos="1620"/>
        </w:tabs>
        <w:kinsoku/>
        <w:overflowPunct/>
        <w:topLinePunct w:val="0"/>
        <w:bidi w:val="0"/>
        <w:adjustRightInd w:val="0"/>
        <w:spacing w:line="360" w:lineRule="auto"/>
        <w:jc w:val="left"/>
        <w:textAlignment w:val="baseline"/>
        <w:outlineLvl w:val="9"/>
        <w:rPr>
          <w:color w:val="auto"/>
        </w:rPr>
      </w:pPr>
      <w:r>
        <w:rPr>
          <w:b/>
          <w:color w:val="auto"/>
          <w:szCs w:val="21"/>
        </w:rPr>
        <w:br w:type="page"/>
      </w:r>
    </w:p>
    <w:p>
      <w:pPr>
        <w:pStyle w:val="39"/>
        <w:keepNext w:val="0"/>
        <w:keepLines w:val="0"/>
        <w:pageBreakBefore w:val="0"/>
        <w:widowControl w:val="0"/>
        <w:kinsoku/>
        <w:wordWrap/>
        <w:overflowPunct/>
        <w:topLinePunct w:val="0"/>
        <w:autoSpaceDE/>
        <w:autoSpaceDN/>
        <w:bidi w:val="0"/>
        <w:adjustRightInd/>
        <w:snapToGrid w:val="0"/>
        <w:spacing w:after="156" w:afterLines="50"/>
        <w:jc w:val="center"/>
        <w:textAlignment w:val="auto"/>
        <w:outlineLvl w:val="0"/>
        <w:rPr>
          <w:rFonts w:hAnsi="宋体" w:cs="黑体"/>
          <w:b/>
          <w:bCs/>
          <w:color w:val="auto"/>
          <w:kern w:val="0"/>
          <w:sz w:val="32"/>
          <w:szCs w:val="32"/>
        </w:rPr>
      </w:pPr>
      <w:bookmarkStart w:id="128" w:name="_Toc5422"/>
      <w:r>
        <w:rPr>
          <w:rFonts w:hint="eastAsia" w:hAnsi="宋体" w:cs="黑体"/>
          <w:b/>
          <w:bCs/>
          <w:color w:val="auto"/>
          <w:kern w:val="0"/>
          <w:sz w:val="32"/>
          <w:szCs w:val="32"/>
        </w:rPr>
        <w:t>第四章  合同条款</w:t>
      </w:r>
      <w:bookmarkEnd w:id="128"/>
    </w:p>
    <w:p>
      <w:pPr>
        <w:pStyle w:val="39"/>
        <w:pageBreakBefore w:val="0"/>
        <w:kinsoku/>
        <w:overflowPunct/>
        <w:topLinePunct w:val="0"/>
        <w:bidi w:val="0"/>
        <w:snapToGrid w:val="0"/>
        <w:spacing w:after="156" w:afterLines="50"/>
        <w:jc w:val="center"/>
        <w:outlineLvl w:val="9"/>
        <w:rPr>
          <w:rFonts w:hAnsi="宋体" w:cs="宋体"/>
          <w:b/>
          <w:bCs/>
          <w:color w:val="auto"/>
          <w:sz w:val="30"/>
          <w:szCs w:val="30"/>
        </w:rPr>
      </w:pPr>
      <w:r>
        <w:rPr>
          <w:rFonts w:hint="eastAsia" w:hAnsi="宋体" w:cs="宋体"/>
          <w:b/>
          <w:bCs/>
          <w:color w:val="auto"/>
          <w:sz w:val="30"/>
          <w:szCs w:val="30"/>
        </w:rPr>
        <w:t>（一）合同协议书</w:t>
      </w:r>
    </w:p>
    <w:p>
      <w:pPr>
        <w:pStyle w:val="39"/>
        <w:pageBreakBefore w:val="0"/>
        <w:kinsoku/>
        <w:overflowPunct/>
        <w:topLinePunct w:val="0"/>
        <w:bidi w:val="0"/>
        <w:snapToGrid w:val="0"/>
        <w:spacing w:after="156" w:afterLines="50"/>
        <w:jc w:val="center"/>
        <w:outlineLvl w:val="9"/>
        <w:rPr>
          <w:rFonts w:hAnsi="宋体" w:cs="宋体"/>
          <w:b/>
          <w:bCs/>
          <w:color w:val="auto"/>
          <w:sz w:val="28"/>
          <w:szCs w:val="28"/>
        </w:rPr>
      </w:pPr>
      <w:r>
        <w:rPr>
          <w:rFonts w:hint="eastAsia" w:hAnsi="宋体" w:cs="宋体"/>
          <w:b/>
          <w:bCs/>
          <w:color w:val="auto"/>
          <w:sz w:val="28"/>
          <w:szCs w:val="28"/>
        </w:rPr>
        <w:t>合同协议书</w:t>
      </w:r>
    </w:p>
    <w:p>
      <w:pPr>
        <w:keepNext/>
        <w:keepLines/>
        <w:pageBreakBefore w:val="0"/>
        <w:kinsoku/>
        <w:overflowPunct/>
        <w:topLinePunct w:val="0"/>
        <w:bidi w:val="0"/>
        <w:spacing w:line="360" w:lineRule="auto"/>
        <w:jc w:val="center"/>
        <w:outlineLvl w:val="9"/>
        <w:rPr>
          <w:rFonts w:ascii="仿宋" w:hAnsi="仿宋" w:eastAsia="仿宋" w:cs="仿宋"/>
          <w:b/>
          <w:color w:val="auto"/>
          <w:sz w:val="24"/>
        </w:rPr>
      </w:pPr>
      <w:r>
        <w:rPr>
          <w:rFonts w:hint="eastAsia" w:ascii="仿宋" w:hAnsi="仿宋" w:eastAsia="仿宋" w:cs="仿宋"/>
          <w:color w:val="auto"/>
          <w:sz w:val="24"/>
        </w:rPr>
        <w:t>（仅供参考，成交后经与采购人协商一致可签订专业合同）</w:t>
      </w:r>
    </w:p>
    <w:p>
      <w:pPr>
        <w:pStyle w:val="39"/>
        <w:pageBreakBefore w:val="0"/>
        <w:kinsoku/>
        <w:overflowPunct/>
        <w:topLinePunct w:val="0"/>
        <w:bidi w:val="0"/>
        <w:snapToGrid w:val="0"/>
        <w:spacing w:after="156" w:afterLines="50"/>
        <w:jc w:val="center"/>
        <w:outlineLvl w:val="9"/>
        <w:rPr>
          <w:rFonts w:hAnsi="宋体" w:cs="宋体"/>
          <w:color w:val="auto"/>
          <w:sz w:val="32"/>
          <w:szCs w:val="32"/>
        </w:rPr>
      </w:pPr>
    </w:p>
    <w:p>
      <w:pPr>
        <w:pStyle w:val="39"/>
        <w:pageBreakBefore w:val="0"/>
        <w:kinsoku/>
        <w:overflowPunct/>
        <w:topLinePunct w:val="0"/>
        <w:bidi w:val="0"/>
        <w:snapToGrid w:val="0"/>
        <w:spacing w:after="156" w:afterLines="50"/>
        <w:ind w:left="120" w:hanging="120" w:hangingChars="50"/>
        <w:outlineLvl w:val="9"/>
        <w:rPr>
          <w:rFonts w:hAnsi="宋体" w:cs="宋体"/>
          <w:color w:val="auto"/>
          <w:sz w:val="24"/>
          <w:szCs w:val="24"/>
        </w:rPr>
      </w:pPr>
      <w:r>
        <w:rPr>
          <w:rFonts w:hint="eastAsia" w:hAnsi="宋体" w:cs="宋体"/>
          <w:color w:val="auto"/>
          <w:sz w:val="24"/>
          <w:szCs w:val="24"/>
        </w:rPr>
        <w:t xml:space="preserve">    本合同于      年     月     日由</w:t>
      </w:r>
      <w:r>
        <w:rPr>
          <w:rFonts w:hint="eastAsia" w:hAnsi="宋体" w:cs="宋体"/>
          <w:color w:val="auto"/>
          <w:sz w:val="24"/>
          <w:szCs w:val="24"/>
          <w:u w:val="single"/>
        </w:rPr>
        <w:t xml:space="preserve">  (买方名称)   </w:t>
      </w:r>
      <w:r>
        <w:rPr>
          <w:rFonts w:hint="eastAsia" w:hAnsi="宋体" w:cs="宋体"/>
          <w:color w:val="auto"/>
          <w:sz w:val="24"/>
          <w:szCs w:val="24"/>
        </w:rPr>
        <w:t>(以下简称“买方”)和</w:t>
      </w:r>
      <w:r>
        <w:rPr>
          <w:rFonts w:hint="eastAsia" w:hAnsi="宋体" w:cs="宋体"/>
          <w:color w:val="auto"/>
          <w:sz w:val="24"/>
          <w:szCs w:val="24"/>
          <w:u w:val="single"/>
        </w:rPr>
        <w:t xml:space="preserve"> (卖方名称)     </w:t>
      </w:r>
      <w:r>
        <w:rPr>
          <w:rFonts w:hint="eastAsia" w:hAnsi="宋体" w:cs="宋体"/>
          <w:color w:val="auto"/>
          <w:sz w:val="24"/>
          <w:szCs w:val="24"/>
        </w:rPr>
        <w:t xml:space="preserve">(以下简称“卖方”)按下述条款和条件签署。 </w:t>
      </w:r>
    </w:p>
    <w:p>
      <w:pPr>
        <w:pStyle w:val="39"/>
        <w:pageBreakBefore w:val="0"/>
        <w:kinsoku/>
        <w:overflowPunct/>
        <w:topLinePunct w:val="0"/>
        <w:bidi w:val="0"/>
        <w:snapToGrid w:val="0"/>
        <w:spacing w:after="156" w:afterLines="50"/>
        <w:outlineLvl w:val="9"/>
        <w:rPr>
          <w:rFonts w:hAnsi="宋体" w:cs="宋体"/>
          <w:color w:val="auto"/>
          <w:sz w:val="24"/>
          <w:szCs w:val="24"/>
        </w:rPr>
      </w:pPr>
      <w:r>
        <w:rPr>
          <w:rFonts w:hint="eastAsia" w:hAnsi="宋体" w:cs="宋体"/>
          <w:color w:val="auto"/>
          <w:sz w:val="24"/>
          <w:szCs w:val="24"/>
        </w:rPr>
        <w:t xml:space="preserve">    鉴于买方为获得以下服务，即</w:t>
      </w:r>
      <w:r>
        <w:rPr>
          <w:rFonts w:hint="eastAsia" w:hAnsi="宋体" w:cs="宋体"/>
          <w:color w:val="auto"/>
          <w:sz w:val="24"/>
          <w:szCs w:val="24"/>
          <w:u w:val="single"/>
        </w:rPr>
        <w:t xml:space="preserve"> (服务简介)  </w:t>
      </w:r>
      <w:r>
        <w:rPr>
          <w:rFonts w:hint="eastAsia" w:hAnsi="宋体" w:cs="宋体"/>
          <w:color w:val="auto"/>
          <w:sz w:val="24"/>
          <w:szCs w:val="24"/>
        </w:rPr>
        <w:t xml:space="preserve">，并接受了卖方以总金额 (币种、用文字和数字表示的合同价) (以下简称“合同价”)提供上述服务的保证。 </w:t>
      </w:r>
    </w:p>
    <w:p>
      <w:pPr>
        <w:pStyle w:val="39"/>
        <w:pageBreakBefore w:val="0"/>
        <w:kinsoku/>
        <w:overflowPunct/>
        <w:topLinePunct w:val="0"/>
        <w:bidi w:val="0"/>
        <w:snapToGrid w:val="0"/>
        <w:spacing w:after="156" w:afterLines="50"/>
        <w:ind w:firstLine="476"/>
        <w:outlineLvl w:val="9"/>
        <w:rPr>
          <w:rFonts w:hAnsi="宋体" w:cs="宋体"/>
          <w:color w:val="auto"/>
          <w:sz w:val="24"/>
          <w:szCs w:val="24"/>
        </w:rPr>
      </w:pPr>
      <w:r>
        <w:rPr>
          <w:rFonts w:hint="eastAsia" w:hAnsi="宋体" w:cs="宋体"/>
          <w:color w:val="auto"/>
          <w:sz w:val="24"/>
          <w:szCs w:val="24"/>
        </w:rPr>
        <w:t>本合同在此声明如下：</w:t>
      </w:r>
    </w:p>
    <w:p>
      <w:pPr>
        <w:pStyle w:val="39"/>
        <w:pageBreakBefore w:val="0"/>
        <w:kinsoku/>
        <w:overflowPunct/>
        <w:topLinePunct w:val="0"/>
        <w:bidi w:val="0"/>
        <w:snapToGrid w:val="0"/>
        <w:spacing w:after="156" w:afterLines="50"/>
        <w:outlineLvl w:val="9"/>
        <w:rPr>
          <w:rFonts w:hAnsi="宋体" w:cs="宋体"/>
          <w:color w:val="auto"/>
          <w:sz w:val="24"/>
          <w:szCs w:val="24"/>
        </w:rPr>
      </w:pPr>
      <w:r>
        <w:rPr>
          <w:rFonts w:hint="eastAsia" w:hAnsi="宋体" w:cs="宋体"/>
          <w:color w:val="auto"/>
          <w:sz w:val="24"/>
          <w:szCs w:val="24"/>
        </w:rPr>
        <w:t xml:space="preserve">    1. 本合同中的词语和术语的含义与合同条款中定义的相同。 </w:t>
      </w:r>
    </w:p>
    <w:p>
      <w:pPr>
        <w:pStyle w:val="39"/>
        <w:pageBreakBefore w:val="0"/>
        <w:kinsoku/>
        <w:overflowPunct/>
        <w:topLinePunct w:val="0"/>
        <w:bidi w:val="0"/>
        <w:snapToGrid w:val="0"/>
        <w:spacing w:after="156" w:afterLines="50"/>
        <w:outlineLvl w:val="9"/>
        <w:rPr>
          <w:rFonts w:hAnsi="宋体" w:cs="宋体"/>
          <w:color w:val="auto"/>
          <w:sz w:val="24"/>
          <w:szCs w:val="24"/>
        </w:rPr>
      </w:pPr>
      <w:r>
        <w:rPr>
          <w:rFonts w:hint="eastAsia" w:hAnsi="宋体" w:cs="宋体"/>
          <w:color w:val="auto"/>
          <w:sz w:val="24"/>
          <w:szCs w:val="24"/>
        </w:rPr>
        <w:t xml:space="preserve">    2. 下述文件是本合同的一部分，并与本合同协议书一起阅读和解释： </w:t>
      </w:r>
    </w:p>
    <w:p>
      <w:pPr>
        <w:pStyle w:val="39"/>
        <w:pageBreakBefore w:val="0"/>
        <w:kinsoku/>
        <w:overflowPunct/>
        <w:topLinePunct w:val="0"/>
        <w:bidi w:val="0"/>
        <w:snapToGrid w:val="0"/>
        <w:spacing w:after="156" w:afterLines="50"/>
        <w:outlineLvl w:val="9"/>
        <w:rPr>
          <w:rFonts w:hAnsi="宋体" w:cs="宋体"/>
          <w:color w:val="auto"/>
          <w:sz w:val="24"/>
          <w:szCs w:val="24"/>
        </w:rPr>
      </w:pPr>
      <w:r>
        <w:rPr>
          <w:rFonts w:hint="eastAsia" w:hAnsi="宋体" w:cs="宋体"/>
          <w:color w:val="auto"/>
          <w:sz w:val="24"/>
          <w:szCs w:val="24"/>
        </w:rPr>
        <w:t xml:space="preserve">       1) 合同条款；</w:t>
      </w:r>
    </w:p>
    <w:p>
      <w:pPr>
        <w:pStyle w:val="39"/>
        <w:pageBreakBefore w:val="0"/>
        <w:kinsoku/>
        <w:overflowPunct/>
        <w:topLinePunct w:val="0"/>
        <w:bidi w:val="0"/>
        <w:snapToGrid w:val="0"/>
        <w:spacing w:after="156" w:afterLines="50"/>
        <w:outlineLvl w:val="9"/>
        <w:rPr>
          <w:rFonts w:ascii="MingLiU_HKSCS" w:hAnsi="MingLiU_HKSCS" w:cs="MingLiU_HKSCS"/>
          <w:color w:val="auto"/>
          <w:sz w:val="24"/>
          <w:szCs w:val="24"/>
        </w:rPr>
      </w:pPr>
      <w:r>
        <w:rPr>
          <w:rFonts w:hint="eastAsia" w:hAnsi="宋体" w:cs="宋体"/>
          <w:color w:val="auto"/>
          <w:sz w:val="24"/>
          <w:szCs w:val="24"/>
        </w:rPr>
        <w:t xml:space="preserve">       2) 合同附件，如：</w:t>
      </w:r>
    </w:p>
    <w:p>
      <w:pPr>
        <w:pStyle w:val="39"/>
        <w:pageBreakBefore w:val="0"/>
        <w:kinsoku/>
        <w:overflowPunct/>
        <w:topLinePunct w:val="0"/>
        <w:bidi w:val="0"/>
        <w:snapToGrid w:val="0"/>
        <w:spacing w:after="156" w:afterLines="50"/>
        <w:outlineLvl w:val="9"/>
        <w:rPr>
          <w:rFonts w:ascii="MingLiU_HKSCS" w:hAnsi="MingLiU_HKSCS" w:cs="MingLiU_HKSCS"/>
          <w:color w:val="auto"/>
          <w:sz w:val="24"/>
          <w:szCs w:val="24"/>
        </w:rPr>
      </w:pPr>
      <w:r>
        <w:rPr>
          <w:rFonts w:hint="eastAsia" w:hAnsi="宋体" w:cs="宋体"/>
          <w:color w:val="auto"/>
          <w:sz w:val="24"/>
          <w:szCs w:val="24"/>
        </w:rPr>
        <w:t xml:space="preserve">          附件1—供货范围及分项价格表</w:t>
      </w:r>
    </w:p>
    <w:p>
      <w:pPr>
        <w:pStyle w:val="39"/>
        <w:pageBreakBefore w:val="0"/>
        <w:kinsoku/>
        <w:overflowPunct/>
        <w:topLinePunct w:val="0"/>
        <w:bidi w:val="0"/>
        <w:snapToGrid w:val="0"/>
        <w:spacing w:after="156" w:afterLines="50"/>
        <w:outlineLvl w:val="9"/>
        <w:rPr>
          <w:rFonts w:hAnsi="宋体" w:cs="宋体"/>
          <w:color w:val="auto"/>
          <w:sz w:val="24"/>
          <w:szCs w:val="24"/>
        </w:rPr>
      </w:pPr>
      <w:r>
        <w:rPr>
          <w:rFonts w:hint="eastAsia" w:hAnsi="宋体" w:cs="宋体"/>
          <w:color w:val="auto"/>
          <w:sz w:val="24"/>
          <w:szCs w:val="24"/>
        </w:rPr>
        <w:t xml:space="preserve">          附件2—技术规格 </w:t>
      </w:r>
    </w:p>
    <w:p>
      <w:pPr>
        <w:pStyle w:val="39"/>
        <w:pageBreakBefore w:val="0"/>
        <w:kinsoku/>
        <w:overflowPunct/>
        <w:topLinePunct w:val="0"/>
        <w:bidi w:val="0"/>
        <w:snapToGrid w:val="0"/>
        <w:spacing w:after="156" w:afterLines="50"/>
        <w:outlineLvl w:val="9"/>
        <w:rPr>
          <w:rFonts w:ascii="MingLiU_HKSCS" w:hAnsi="MingLiU_HKSCS" w:cs="MingLiU_HKSCS"/>
          <w:color w:val="auto"/>
          <w:sz w:val="24"/>
          <w:szCs w:val="24"/>
        </w:rPr>
      </w:pPr>
      <w:r>
        <w:rPr>
          <w:rFonts w:hint="eastAsia" w:hAnsi="宋体" w:cs="宋体"/>
          <w:color w:val="auto"/>
          <w:sz w:val="24"/>
          <w:szCs w:val="24"/>
        </w:rPr>
        <w:t xml:space="preserve">          附件3—交货批次及交货时间</w:t>
      </w:r>
    </w:p>
    <w:p>
      <w:pPr>
        <w:pStyle w:val="39"/>
        <w:pageBreakBefore w:val="0"/>
        <w:kinsoku/>
        <w:overflowPunct/>
        <w:topLinePunct w:val="0"/>
        <w:bidi w:val="0"/>
        <w:snapToGrid w:val="0"/>
        <w:spacing w:after="156" w:afterLines="50"/>
        <w:outlineLvl w:val="9"/>
        <w:rPr>
          <w:rFonts w:hAnsi="宋体" w:cs="宋体"/>
          <w:color w:val="auto"/>
          <w:sz w:val="24"/>
          <w:szCs w:val="24"/>
        </w:rPr>
      </w:pPr>
      <w:r>
        <w:rPr>
          <w:rFonts w:hint="eastAsia" w:hAnsi="宋体" w:cs="宋体"/>
          <w:color w:val="auto"/>
          <w:sz w:val="24"/>
          <w:szCs w:val="24"/>
        </w:rPr>
        <w:t xml:space="preserve">          附件4—履约保证金银行保函（格式见附件） </w:t>
      </w:r>
    </w:p>
    <w:p>
      <w:pPr>
        <w:pStyle w:val="39"/>
        <w:pageBreakBefore w:val="0"/>
        <w:kinsoku/>
        <w:overflowPunct/>
        <w:topLinePunct w:val="0"/>
        <w:bidi w:val="0"/>
        <w:snapToGrid w:val="0"/>
        <w:spacing w:after="156" w:afterLines="50"/>
        <w:outlineLvl w:val="9"/>
        <w:rPr>
          <w:rFonts w:hAnsi="宋体" w:cs="宋体"/>
          <w:color w:val="auto"/>
          <w:sz w:val="24"/>
          <w:szCs w:val="24"/>
        </w:rPr>
      </w:pPr>
      <w:r>
        <w:rPr>
          <w:rFonts w:hint="eastAsia" w:hAnsi="宋体" w:cs="宋体"/>
          <w:color w:val="auto"/>
          <w:sz w:val="24"/>
          <w:szCs w:val="24"/>
        </w:rPr>
        <w:t xml:space="preserve">        3) 成交通知书 </w:t>
      </w:r>
    </w:p>
    <w:p>
      <w:pPr>
        <w:pStyle w:val="39"/>
        <w:pageBreakBefore w:val="0"/>
        <w:kinsoku/>
        <w:overflowPunct/>
        <w:topLinePunct w:val="0"/>
        <w:bidi w:val="0"/>
        <w:snapToGrid w:val="0"/>
        <w:spacing w:after="156" w:afterLines="50"/>
        <w:outlineLvl w:val="9"/>
        <w:rPr>
          <w:rFonts w:hAnsi="宋体" w:cs="宋体"/>
          <w:color w:val="auto"/>
          <w:sz w:val="24"/>
          <w:szCs w:val="24"/>
        </w:rPr>
      </w:pPr>
      <w:r>
        <w:rPr>
          <w:rFonts w:hint="eastAsia" w:hAnsi="宋体" w:cs="宋体"/>
          <w:color w:val="auto"/>
          <w:sz w:val="24"/>
          <w:szCs w:val="24"/>
        </w:rPr>
        <w:t xml:space="preserve">    3.卖方在此保证全部按照合同的规定向买方提供服务，并修补缺陷。 </w:t>
      </w:r>
    </w:p>
    <w:p>
      <w:pPr>
        <w:pStyle w:val="39"/>
        <w:pageBreakBefore w:val="0"/>
        <w:kinsoku/>
        <w:overflowPunct/>
        <w:topLinePunct w:val="0"/>
        <w:bidi w:val="0"/>
        <w:snapToGrid w:val="0"/>
        <w:spacing w:after="156" w:afterLines="50"/>
        <w:outlineLvl w:val="9"/>
        <w:rPr>
          <w:rFonts w:hAnsi="宋体" w:cs="宋体"/>
          <w:color w:val="auto"/>
          <w:sz w:val="24"/>
          <w:szCs w:val="24"/>
        </w:rPr>
      </w:pPr>
      <w:r>
        <w:rPr>
          <w:rFonts w:hint="eastAsia" w:hAnsi="宋体" w:cs="宋体"/>
          <w:color w:val="auto"/>
          <w:sz w:val="24"/>
          <w:szCs w:val="24"/>
        </w:rPr>
        <w:t xml:space="preserve">    4.买方在此保证按照合同规定的时间和方式向卖方支付合同价或其他按合同规定应支付的金额。 </w:t>
      </w:r>
    </w:p>
    <w:p>
      <w:pPr>
        <w:pStyle w:val="39"/>
        <w:pageBreakBefore w:val="0"/>
        <w:kinsoku/>
        <w:overflowPunct/>
        <w:topLinePunct w:val="0"/>
        <w:bidi w:val="0"/>
        <w:snapToGrid w:val="0"/>
        <w:spacing w:after="156" w:afterLines="50"/>
        <w:outlineLvl w:val="9"/>
        <w:rPr>
          <w:rFonts w:hAnsi="宋体" w:cs="宋体"/>
          <w:color w:val="auto"/>
          <w:sz w:val="24"/>
          <w:szCs w:val="24"/>
        </w:rPr>
      </w:pPr>
      <w:r>
        <w:rPr>
          <w:rFonts w:hint="eastAsia" w:hAnsi="宋体" w:cs="宋体"/>
          <w:color w:val="auto"/>
          <w:sz w:val="24"/>
          <w:szCs w:val="24"/>
        </w:rPr>
        <w:t xml:space="preserve">    双方在上述日期签署本协议。 </w:t>
      </w:r>
    </w:p>
    <w:p>
      <w:pPr>
        <w:pStyle w:val="39"/>
        <w:pageBreakBefore w:val="0"/>
        <w:kinsoku/>
        <w:overflowPunct/>
        <w:topLinePunct w:val="0"/>
        <w:bidi w:val="0"/>
        <w:snapToGrid w:val="0"/>
        <w:spacing w:after="156" w:afterLines="50"/>
        <w:outlineLvl w:val="9"/>
        <w:rPr>
          <w:rFonts w:hAnsi="宋体" w:cs="宋体"/>
          <w:color w:val="auto"/>
          <w:sz w:val="24"/>
          <w:szCs w:val="24"/>
        </w:rPr>
      </w:pPr>
      <w:r>
        <w:rPr>
          <w:rFonts w:hint="eastAsia" w:hAnsi="宋体" w:cs="宋体"/>
          <w:color w:val="auto"/>
          <w:sz w:val="24"/>
          <w:szCs w:val="24"/>
        </w:rPr>
        <w:t xml:space="preserve"> </w:t>
      </w:r>
    </w:p>
    <w:tbl>
      <w:tblPr>
        <w:tblStyle w:val="73"/>
        <w:tblW w:w="9180" w:type="dxa"/>
        <w:tblInd w:w="0" w:type="dxa"/>
        <w:tblLayout w:type="fixed"/>
        <w:tblCellMar>
          <w:top w:w="0" w:type="dxa"/>
          <w:left w:w="108" w:type="dxa"/>
          <w:bottom w:w="0" w:type="dxa"/>
          <w:right w:w="108" w:type="dxa"/>
        </w:tblCellMar>
      </w:tblPr>
      <w:tblGrid>
        <w:gridCol w:w="1384"/>
        <w:gridCol w:w="3402"/>
        <w:gridCol w:w="1279"/>
        <w:gridCol w:w="3115"/>
      </w:tblGrid>
      <w:tr>
        <w:tc>
          <w:tcPr>
            <w:tcW w:w="1384" w:type="dxa"/>
            <w:vAlign w:val="center"/>
          </w:tcPr>
          <w:p>
            <w:pPr>
              <w:pStyle w:val="39"/>
              <w:pageBreakBefore w:val="0"/>
              <w:kinsoku/>
              <w:overflowPunct/>
              <w:topLinePunct w:val="0"/>
              <w:bidi w:val="0"/>
              <w:snapToGrid w:val="0"/>
              <w:spacing w:after="156" w:afterLines="50"/>
              <w:jc w:val="distribute"/>
              <w:outlineLvl w:val="9"/>
              <w:rPr>
                <w:rFonts w:hAnsi="宋体" w:cs="宋体"/>
                <w:color w:val="auto"/>
                <w:sz w:val="24"/>
                <w:szCs w:val="24"/>
              </w:rPr>
            </w:pPr>
            <w:r>
              <w:rPr>
                <w:rFonts w:hint="eastAsia" w:hAnsi="宋体" w:cs="宋体"/>
                <w:color w:val="auto"/>
                <w:sz w:val="24"/>
                <w:szCs w:val="24"/>
              </w:rPr>
              <w:t>买方：</w:t>
            </w:r>
          </w:p>
        </w:tc>
        <w:tc>
          <w:tcPr>
            <w:tcW w:w="3402" w:type="dxa"/>
            <w:vAlign w:val="center"/>
          </w:tcPr>
          <w:p>
            <w:pPr>
              <w:pStyle w:val="39"/>
              <w:pageBreakBefore w:val="0"/>
              <w:kinsoku/>
              <w:overflowPunct/>
              <w:topLinePunct w:val="0"/>
              <w:bidi w:val="0"/>
              <w:snapToGrid w:val="0"/>
              <w:spacing w:after="156" w:afterLines="50"/>
              <w:jc w:val="center"/>
              <w:outlineLvl w:val="9"/>
              <w:rPr>
                <w:rFonts w:hAnsi="宋体" w:cs="宋体"/>
                <w:color w:val="auto"/>
                <w:sz w:val="24"/>
                <w:szCs w:val="24"/>
              </w:rPr>
            </w:pPr>
          </w:p>
          <w:p>
            <w:pPr>
              <w:pStyle w:val="39"/>
              <w:pageBreakBefore w:val="0"/>
              <w:kinsoku/>
              <w:overflowPunct/>
              <w:topLinePunct w:val="0"/>
              <w:bidi w:val="0"/>
              <w:snapToGrid w:val="0"/>
              <w:spacing w:after="156" w:afterLines="50"/>
              <w:jc w:val="center"/>
              <w:outlineLvl w:val="9"/>
              <w:rPr>
                <w:rFonts w:hAnsi="宋体" w:cs="宋体"/>
                <w:color w:val="auto"/>
                <w:sz w:val="24"/>
                <w:szCs w:val="24"/>
              </w:rPr>
            </w:pPr>
            <w:r>
              <w:rPr>
                <w:rFonts w:hint="eastAsia" w:hAnsi="宋体" w:cs="宋体"/>
                <w:color w:val="auto"/>
                <w:sz w:val="24"/>
                <w:szCs w:val="24"/>
              </w:rPr>
              <w:t xml:space="preserve">           （盖单位章）</w:t>
            </w:r>
          </w:p>
        </w:tc>
        <w:tc>
          <w:tcPr>
            <w:tcW w:w="1279" w:type="dxa"/>
            <w:vAlign w:val="center"/>
          </w:tcPr>
          <w:p>
            <w:pPr>
              <w:pStyle w:val="39"/>
              <w:pageBreakBefore w:val="0"/>
              <w:kinsoku/>
              <w:overflowPunct/>
              <w:topLinePunct w:val="0"/>
              <w:bidi w:val="0"/>
              <w:snapToGrid w:val="0"/>
              <w:spacing w:after="156" w:afterLines="50"/>
              <w:jc w:val="distribute"/>
              <w:outlineLvl w:val="9"/>
              <w:rPr>
                <w:rFonts w:hAnsi="宋体" w:cs="宋体"/>
                <w:color w:val="auto"/>
                <w:sz w:val="24"/>
                <w:szCs w:val="24"/>
              </w:rPr>
            </w:pPr>
            <w:r>
              <w:rPr>
                <w:rFonts w:hint="eastAsia" w:hAnsi="宋体" w:cs="宋体"/>
                <w:color w:val="auto"/>
                <w:sz w:val="24"/>
                <w:szCs w:val="24"/>
              </w:rPr>
              <w:t>卖方:</w:t>
            </w:r>
          </w:p>
        </w:tc>
        <w:tc>
          <w:tcPr>
            <w:tcW w:w="3115" w:type="dxa"/>
            <w:vAlign w:val="center"/>
          </w:tcPr>
          <w:p>
            <w:pPr>
              <w:pStyle w:val="39"/>
              <w:pageBreakBefore w:val="0"/>
              <w:kinsoku/>
              <w:overflowPunct/>
              <w:topLinePunct w:val="0"/>
              <w:bidi w:val="0"/>
              <w:snapToGrid w:val="0"/>
              <w:spacing w:after="156" w:afterLines="50"/>
              <w:jc w:val="distribute"/>
              <w:outlineLvl w:val="9"/>
              <w:rPr>
                <w:rFonts w:hAnsi="宋体" w:cs="宋体"/>
                <w:color w:val="auto"/>
                <w:sz w:val="24"/>
                <w:szCs w:val="24"/>
              </w:rPr>
            </w:pPr>
            <w:r>
              <w:rPr>
                <w:rFonts w:hint="eastAsia" w:hAnsi="宋体" w:cs="宋体"/>
                <w:color w:val="auto"/>
                <w:sz w:val="24"/>
                <w:szCs w:val="24"/>
              </w:rPr>
              <w:t xml:space="preserve">            </w:t>
            </w:r>
          </w:p>
          <w:p>
            <w:pPr>
              <w:pStyle w:val="39"/>
              <w:pageBreakBefore w:val="0"/>
              <w:kinsoku/>
              <w:overflowPunct/>
              <w:topLinePunct w:val="0"/>
              <w:bidi w:val="0"/>
              <w:snapToGrid w:val="0"/>
              <w:spacing w:after="156" w:afterLines="50"/>
              <w:jc w:val="distribute"/>
              <w:outlineLvl w:val="9"/>
              <w:rPr>
                <w:rFonts w:hAnsi="宋体" w:cs="宋体"/>
                <w:color w:val="auto"/>
                <w:sz w:val="24"/>
                <w:szCs w:val="24"/>
              </w:rPr>
            </w:pPr>
            <w:r>
              <w:rPr>
                <w:rFonts w:hint="eastAsia" w:hAnsi="宋体" w:cs="宋体"/>
                <w:color w:val="auto"/>
                <w:sz w:val="24"/>
                <w:szCs w:val="24"/>
              </w:rPr>
              <w:t xml:space="preserve">          （盖单位章）</w:t>
            </w:r>
          </w:p>
        </w:tc>
      </w:tr>
      <w:tr>
        <w:tblPrEx>
          <w:tblCellMar>
            <w:top w:w="0" w:type="dxa"/>
            <w:left w:w="108" w:type="dxa"/>
            <w:bottom w:w="0" w:type="dxa"/>
            <w:right w:w="108" w:type="dxa"/>
          </w:tblCellMar>
        </w:tblPrEx>
        <w:tc>
          <w:tcPr>
            <w:tcW w:w="1384" w:type="dxa"/>
            <w:vAlign w:val="center"/>
          </w:tcPr>
          <w:p>
            <w:pPr>
              <w:pStyle w:val="39"/>
              <w:pageBreakBefore w:val="0"/>
              <w:kinsoku/>
              <w:overflowPunct/>
              <w:topLinePunct w:val="0"/>
              <w:bidi w:val="0"/>
              <w:snapToGrid w:val="0"/>
              <w:spacing w:after="156" w:afterLines="50"/>
              <w:jc w:val="distribute"/>
              <w:outlineLvl w:val="9"/>
              <w:rPr>
                <w:rFonts w:hAnsi="宋体" w:cs="宋体"/>
                <w:color w:val="auto"/>
                <w:sz w:val="24"/>
                <w:szCs w:val="24"/>
              </w:rPr>
            </w:pPr>
            <w:r>
              <w:rPr>
                <w:rFonts w:hint="eastAsia" w:hAnsi="宋体" w:cs="宋体"/>
                <w:color w:val="auto"/>
                <w:sz w:val="24"/>
                <w:szCs w:val="24"/>
              </w:rPr>
              <w:t>法定代表人或其委托人:</w:t>
            </w:r>
          </w:p>
        </w:tc>
        <w:tc>
          <w:tcPr>
            <w:tcW w:w="3402" w:type="dxa"/>
            <w:vAlign w:val="center"/>
          </w:tcPr>
          <w:p>
            <w:pPr>
              <w:pStyle w:val="39"/>
              <w:pageBreakBefore w:val="0"/>
              <w:kinsoku/>
              <w:overflowPunct/>
              <w:topLinePunct w:val="0"/>
              <w:bidi w:val="0"/>
              <w:snapToGrid w:val="0"/>
              <w:spacing w:after="156" w:afterLines="50"/>
              <w:jc w:val="center"/>
              <w:outlineLvl w:val="9"/>
              <w:rPr>
                <w:rFonts w:hAnsi="宋体" w:cs="宋体"/>
                <w:color w:val="auto"/>
                <w:sz w:val="24"/>
                <w:szCs w:val="24"/>
              </w:rPr>
            </w:pPr>
          </w:p>
          <w:p>
            <w:pPr>
              <w:pStyle w:val="39"/>
              <w:pageBreakBefore w:val="0"/>
              <w:kinsoku/>
              <w:overflowPunct/>
              <w:topLinePunct w:val="0"/>
              <w:bidi w:val="0"/>
              <w:snapToGrid w:val="0"/>
              <w:spacing w:after="156" w:afterLines="50"/>
              <w:jc w:val="center"/>
              <w:outlineLvl w:val="9"/>
              <w:rPr>
                <w:rFonts w:hAnsi="宋体" w:cs="宋体"/>
                <w:color w:val="auto"/>
                <w:sz w:val="24"/>
                <w:szCs w:val="24"/>
              </w:rPr>
            </w:pPr>
            <w:r>
              <w:rPr>
                <w:rFonts w:hint="eastAsia" w:hAnsi="宋体" w:cs="宋体"/>
                <w:color w:val="auto"/>
                <w:sz w:val="24"/>
                <w:szCs w:val="24"/>
              </w:rPr>
              <w:t xml:space="preserve">                 （签字）</w:t>
            </w:r>
          </w:p>
        </w:tc>
        <w:tc>
          <w:tcPr>
            <w:tcW w:w="1279" w:type="dxa"/>
            <w:vAlign w:val="center"/>
          </w:tcPr>
          <w:p>
            <w:pPr>
              <w:pStyle w:val="39"/>
              <w:pageBreakBefore w:val="0"/>
              <w:kinsoku/>
              <w:overflowPunct/>
              <w:topLinePunct w:val="0"/>
              <w:bidi w:val="0"/>
              <w:snapToGrid w:val="0"/>
              <w:spacing w:after="156" w:afterLines="50"/>
              <w:jc w:val="distribute"/>
              <w:outlineLvl w:val="9"/>
              <w:rPr>
                <w:rFonts w:hAnsi="宋体" w:cs="宋体"/>
                <w:color w:val="auto"/>
                <w:sz w:val="24"/>
                <w:szCs w:val="24"/>
              </w:rPr>
            </w:pPr>
            <w:r>
              <w:rPr>
                <w:rFonts w:hint="eastAsia" w:hAnsi="宋体" w:cs="宋体"/>
                <w:color w:val="auto"/>
                <w:sz w:val="24"/>
                <w:szCs w:val="24"/>
              </w:rPr>
              <w:t>法定代表人或其委托人:</w:t>
            </w:r>
          </w:p>
        </w:tc>
        <w:tc>
          <w:tcPr>
            <w:tcW w:w="3115" w:type="dxa"/>
            <w:vAlign w:val="center"/>
          </w:tcPr>
          <w:p>
            <w:pPr>
              <w:pStyle w:val="39"/>
              <w:pageBreakBefore w:val="0"/>
              <w:kinsoku/>
              <w:overflowPunct/>
              <w:topLinePunct w:val="0"/>
              <w:bidi w:val="0"/>
              <w:snapToGrid w:val="0"/>
              <w:spacing w:after="156" w:afterLines="50"/>
              <w:jc w:val="center"/>
              <w:outlineLvl w:val="9"/>
              <w:rPr>
                <w:rFonts w:hAnsi="宋体" w:cs="宋体"/>
                <w:color w:val="auto"/>
                <w:sz w:val="24"/>
                <w:szCs w:val="24"/>
              </w:rPr>
            </w:pPr>
          </w:p>
          <w:p>
            <w:pPr>
              <w:pStyle w:val="39"/>
              <w:pageBreakBefore w:val="0"/>
              <w:kinsoku/>
              <w:overflowPunct/>
              <w:topLinePunct w:val="0"/>
              <w:bidi w:val="0"/>
              <w:snapToGrid w:val="0"/>
              <w:spacing w:after="156" w:afterLines="50"/>
              <w:jc w:val="center"/>
              <w:outlineLvl w:val="9"/>
              <w:rPr>
                <w:rFonts w:hAnsi="宋体" w:cs="宋体"/>
                <w:color w:val="auto"/>
                <w:sz w:val="24"/>
                <w:szCs w:val="24"/>
              </w:rPr>
            </w:pPr>
            <w:r>
              <w:rPr>
                <w:rFonts w:hint="eastAsia" w:hAnsi="宋体" w:cs="宋体"/>
                <w:color w:val="auto"/>
                <w:sz w:val="24"/>
                <w:szCs w:val="24"/>
              </w:rPr>
              <w:t xml:space="preserve">            （签字）</w:t>
            </w:r>
          </w:p>
        </w:tc>
      </w:tr>
    </w:tbl>
    <w:p>
      <w:pPr>
        <w:pStyle w:val="39"/>
        <w:pageBreakBefore w:val="0"/>
        <w:kinsoku/>
        <w:overflowPunct/>
        <w:topLinePunct w:val="0"/>
        <w:bidi w:val="0"/>
        <w:snapToGrid w:val="0"/>
        <w:spacing w:after="156" w:afterLines="50"/>
        <w:jc w:val="left"/>
        <w:outlineLvl w:val="9"/>
        <w:rPr>
          <w:rFonts w:hAnsi="宋体" w:cs="宋体"/>
          <w:color w:val="auto"/>
          <w:sz w:val="24"/>
          <w:szCs w:val="24"/>
        </w:rPr>
      </w:pPr>
    </w:p>
    <w:p>
      <w:pPr>
        <w:pStyle w:val="39"/>
        <w:pageBreakBefore w:val="0"/>
        <w:kinsoku/>
        <w:overflowPunct/>
        <w:topLinePunct w:val="0"/>
        <w:bidi w:val="0"/>
        <w:snapToGrid w:val="0"/>
        <w:spacing w:after="156" w:afterLines="50"/>
        <w:jc w:val="center"/>
        <w:outlineLvl w:val="9"/>
        <w:rPr>
          <w:rFonts w:hAnsi="宋体" w:cs="宋体"/>
          <w:b/>
          <w:bCs/>
          <w:color w:val="auto"/>
          <w:sz w:val="30"/>
          <w:szCs w:val="30"/>
        </w:rPr>
      </w:pPr>
      <w:r>
        <w:rPr>
          <w:rFonts w:hAnsi="宋体" w:cs="宋体"/>
          <w:color w:val="auto"/>
          <w:sz w:val="24"/>
          <w:szCs w:val="24"/>
        </w:rPr>
        <w:br w:type="page"/>
      </w:r>
      <w:r>
        <w:rPr>
          <w:rFonts w:hint="eastAsia" w:hAnsi="宋体" w:cs="宋体"/>
          <w:b/>
          <w:bCs/>
          <w:color w:val="auto"/>
          <w:sz w:val="30"/>
          <w:szCs w:val="30"/>
        </w:rPr>
        <w:t>（二）合同条款</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29" w:name="_Toc45099884"/>
      <w:r>
        <w:rPr>
          <w:rFonts w:hint="eastAsia" w:ascii="黑体" w:hAnsi="宋体" w:eastAsia="黑体" w:cs="黑体"/>
          <w:color w:val="auto"/>
          <w:kern w:val="0"/>
          <w:sz w:val="24"/>
        </w:rPr>
        <w:t>定义</w:t>
      </w:r>
      <w:bookmarkEnd w:id="129"/>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本合同下列术语应解释为：</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rPr>
        <w:tab/>
      </w:r>
      <w:r>
        <w:rPr>
          <w:rFonts w:hint="eastAsia" w:hAnsi="宋体" w:cs="宋体"/>
          <w:color w:val="auto"/>
          <w:sz w:val="24"/>
          <w:szCs w:val="24"/>
        </w:rPr>
        <w:t>“合同”系指买卖双方签署的、合同格式中载明的买卖双方所达成的协议，包括所有的附件、附录和上述文件所提到的构成合同的所有文件。</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2)</w:t>
      </w:r>
      <w:r>
        <w:rPr>
          <w:rFonts w:hint="eastAsia" w:hAnsi="宋体" w:cs="宋体"/>
          <w:color w:val="auto"/>
          <w:sz w:val="24"/>
          <w:szCs w:val="24"/>
        </w:rPr>
        <w:tab/>
      </w:r>
      <w:r>
        <w:rPr>
          <w:rFonts w:hint="eastAsia" w:hAnsi="宋体" w:cs="宋体"/>
          <w:color w:val="auto"/>
          <w:sz w:val="24"/>
          <w:szCs w:val="24"/>
        </w:rPr>
        <w:t>“合同价”系指根据本合同规定卖方在正确地完全履行合同义务后买方应支付给卖方的价款。</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3)</w:t>
      </w:r>
      <w:r>
        <w:rPr>
          <w:rFonts w:hint="eastAsia" w:hAnsi="宋体" w:cs="宋体"/>
          <w:color w:val="auto"/>
          <w:sz w:val="24"/>
          <w:szCs w:val="24"/>
        </w:rPr>
        <w:tab/>
      </w:r>
      <w:r>
        <w:rPr>
          <w:rFonts w:hint="eastAsia" w:hAnsi="宋体" w:cs="宋体"/>
          <w:color w:val="auto"/>
          <w:sz w:val="24"/>
          <w:szCs w:val="24"/>
        </w:rPr>
        <w:t>“货物”系指卖方根据本合同规定须向买方提供的一切设备、机械和/或其它材料。</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4)</w:t>
      </w:r>
      <w:r>
        <w:rPr>
          <w:rFonts w:hint="eastAsia" w:hAnsi="宋体" w:cs="宋体"/>
          <w:color w:val="auto"/>
          <w:sz w:val="24"/>
          <w:szCs w:val="24"/>
        </w:rPr>
        <w:tab/>
      </w:r>
      <w:r>
        <w:rPr>
          <w:rFonts w:hint="eastAsia" w:hAnsi="宋体" w:cs="宋体"/>
          <w:color w:val="auto"/>
          <w:sz w:val="24"/>
          <w:szCs w:val="24"/>
        </w:rPr>
        <w:t>“伴随服务”系指根据本合同规定卖方承担与供货有关的辅助服务，如运输、保险、安装、调试、提供技术援助、培训和合同中规定卖方应承担的其它义务。</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5)</w:t>
      </w:r>
      <w:r>
        <w:rPr>
          <w:rFonts w:hint="eastAsia" w:hAnsi="宋体" w:cs="宋体"/>
          <w:color w:val="auto"/>
          <w:sz w:val="24"/>
          <w:szCs w:val="24"/>
        </w:rPr>
        <w:tab/>
      </w:r>
      <w:r>
        <w:rPr>
          <w:rFonts w:hint="eastAsia" w:hAnsi="宋体" w:cs="宋体"/>
          <w:color w:val="auto"/>
          <w:sz w:val="24"/>
          <w:szCs w:val="24"/>
        </w:rPr>
        <w:t>“买方”系指购买货物和服务的单位。</w:t>
      </w:r>
      <w:r>
        <w:rPr>
          <w:rFonts w:hint="eastAsia" w:hAnsi="宋体" w:cs="宋体"/>
          <w:color w:val="auto"/>
          <w:sz w:val="24"/>
          <w:szCs w:val="24"/>
          <w:u w:val="single"/>
        </w:rPr>
        <w:t xml:space="preserve"> </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6)</w:t>
      </w:r>
      <w:r>
        <w:rPr>
          <w:rFonts w:hint="eastAsia" w:hAnsi="宋体" w:cs="宋体"/>
          <w:color w:val="auto"/>
          <w:sz w:val="24"/>
          <w:szCs w:val="24"/>
        </w:rPr>
        <w:tab/>
      </w:r>
      <w:r>
        <w:rPr>
          <w:rFonts w:hint="eastAsia" w:hAnsi="宋体" w:cs="宋体"/>
          <w:color w:val="auto"/>
          <w:sz w:val="24"/>
          <w:szCs w:val="24"/>
        </w:rPr>
        <w:t>“卖方”系指提供本合同项下货物和服务的公司或其它实体。</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7）</w:t>
      </w:r>
      <w:r>
        <w:rPr>
          <w:rFonts w:hint="eastAsia" w:hAnsi="宋体" w:cs="宋体"/>
          <w:color w:val="auto"/>
          <w:sz w:val="24"/>
          <w:szCs w:val="24"/>
        </w:rPr>
        <w:tab/>
      </w:r>
      <w:r>
        <w:rPr>
          <w:rFonts w:hint="eastAsia" w:hAnsi="宋体" w:cs="宋体"/>
          <w:color w:val="auto"/>
          <w:sz w:val="24"/>
          <w:szCs w:val="24"/>
        </w:rPr>
        <w:t>“合同条款”包含合同协议书和合同条款，当合同条款与合同协议书不一致时，以合同协议书为准。</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8)</w:t>
      </w:r>
      <w:r>
        <w:rPr>
          <w:rFonts w:hint="eastAsia" w:hAnsi="宋体" w:cs="宋体"/>
          <w:color w:val="auto"/>
          <w:sz w:val="24"/>
          <w:szCs w:val="24"/>
        </w:rPr>
        <w:tab/>
      </w:r>
      <w:r>
        <w:rPr>
          <w:rFonts w:hint="eastAsia" w:hAnsi="宋体" w:cs="宋体"/>
          <w:color w:val="auto"/>
          <w:sz w:val="24"/>
          <w:szCs w:val="24"/>
        </w:rPr>
        <w:t>“项目现场”系指本合同项下货物安装、运行的现场。</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9)</w:t>
      </w:r>
      <w:r>
        <w:rPr>
          <w:rFonts w:hint="eastAsia" w:hAnsi="宋体" w:cs="宋体"/>
          <w:color w:val="auto"/>
          <w:sz w:val="24"/>
          <w:szCs w:val="24"/>
        </w:rPr>
        <w:tab/>
      </w:r>
      <w:r>
        <w:rPr>
          <w:rFonts w:hint="eastAsia" w:hAnsi="宋体" w:cs="宋体"/>
          <w:color w:val="auto"/>
          <w:sz w:val="24"/>
          <w:szCs w:val="24"/>
        </w:rPr>
        <w:t>“日”指日历日。</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30" w:name="_Toc45099885"/>
      <w:bookmarkStart w:id="131" w:name="_Toc285462117"/>
      <w:bookmarkStart w:id="132" w:name="_Toc333062187"/>
      <w:r>
        <w:rPr>
          <w:rFonts w:hint="eastAsia" w:ascii="黑体" w:hAnsi="宋体" w:eastAsia="黑体" w:cs="黑体"/>
          <w:color w:val="auto"/>
          <w:kern w:val="0"/>
          <w:sz w:val="24"/>
        </w:rPr>
        <w:t>合同标的</w:t>
      </w:r>
      <w:bookmarkEnd w:id="130"/>
      <w:bookmarkEnd w:id="131"/>
      <w:bookmarkEnd w:id="132"/>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卖方提供</w:t>
      </w:r>
      <w:r>
        <w:rPr>
          <w:rFonts w:hint="eastAsia" w:ascii="宋体" w:hAnsi="宋体" w:cs="黑体"/>
          <w:color w:val="auto"/>
          <w:kern w:val="0"/>
          <w:sz w:val="24"/>
          <w:u w:val="single"/>
        </w:rPr>
        <w:t xml:space="preserve"> 印刷服务、广告制作服务 </w:t>
      </w:r>
      <w:r>
        <w:rPr>
          <w:rFonts w:hint="eastAsia" w:ascii="宋体" w:hAnsi="宋体" w:cs="黑体"/>
          <w:color w:val="auto"/>
          <w:kern w:val="0"/>
          <w:sz w:val="24"/>
        </w:rPr>
        <w:t>及其备品备件、易损易耗件、专用工具、试验装置和相关服务。范围如下：</w:t>
      </w:r>
    </w:p>
    <w:p>
      <w:pPr>
        <w:pageBreakBefore w:val="0"/>
        <w:numPr>
          <w:ilvl w:val="2"/>
          <w:numId w:val="15"/>
        </w:numPr>
        <w:tabs>
          <w:tab w:val="left" w:pos="1701"/>
          <w:tab w:val="clear" w:pos="1134"/>
        </w:tabs>
        <w:kinsoku/>
        <w:overflowPunct/>
        <w:topLinePunct w:val="0"/>
        <w:autoSpaceDE w:val="0"/>
        <w:autoSpaceDN w:val="0"/>
        <w:bidi w:val="0"/>
        <w:adjustRightInd w:val="0"/>
        <w:spacing w:after="156" w:afterLines="50"/>
        <w:ind w:left="1700" w:leftChars="540" w:hanging="566" w:hangingChars="236"/>
        <w:outlineLvl w:val="9"/>
        <w:rPr>
          <w:rFonts w:ascii="宋体" w:hAnsi="宋体" w:cs="黑体"/>
          <w:i/>
          <w:color w:val="auto"/>
          <w:kern w:val="0"/>
          <w:sz w:val="24"/>
        </w:rPr>
      </w:pPr>
      <w:r>
        <w:rPr>
          <w:rFonts w:hint="eastAsia" w:ascii="宋体" w:hAnsi="宋体" w:cs="黑体"/>
          <w:i/>
          <w:color w:val="auto"/>
          <w:kern w:val="0"/>
          <w:sz w:val="24"/>
        </w:rPr>
        <w:t>卖方的所有供货及服务必须使交付的货物完全满足合同附件</w:t>
      </w:r>
      <w:r>
        <w:rPr>
          <w:rFonts w:hint="eastAsia" w:ascii="宋体" w:hAnsi="宋体" w:cs="黑体"/>
          <w:i/>
          <w:iCs/>
          <w:color w:val="auto"/>
          <w:kern w:val="0"/>
          <w:sz w:val="24"/>
        </w:rPr>
        <w:t>（按对应附件序号填写）</w:t>
      </w:r>
      <w:r>
        <w:rPr>
          <w:rFonts w:hint="eastAsia" w:ascii="宋体" w:hAnsi="宋体" w:cs="黑体"/>
          <w:i/>
          <w:color w:val="auto"/>
          <w:kern w:val="0"/>
          <w:sz w:val="24"/>
        </w:rPr>
        <w:t>“技术规格与要求”的要求；</w:t>
      </w:r>
    </w:p>
    <w:p>
      <w:pPr>
        <w:pageBreakBefore w:val="0"/>
        <w:numPr>
          <w:ilvl w:val="2"/>
          <w:numId w:val="15"/>
        </w:numPr>
        <w:tabs>
          <w:tab w:val="left" w:pos="1701"/>
          <w:tab w:val="clear" w:pos="1134"/>
        </w:tabs>
        <w:kinsoku/>
        <w:overflowPunct/>
        <w:topLinePunct w:val="0"/>
        <w:autoSpaceDE w:val="0"/>
        <w:autoSpaceDN w:val="0"/>
        <w:bidi w:val="0"/>
        <w:adjustRightInd w:val="0"/>
        <w:spacing w:after="156" w:afterLines="50"/>
        <w:ind w:left="1700" w:leftChars="540" w:hanging="566" w:hangingChars="236"/>
        <w:outlineLvl w:val="9"/>
        <w:rPr>
          <w:rFonts w:ascii="宋体" w:hAnsi="宋体" w:cs="黑体"/>
          <w:i/>
          <w:color w:val="auto"/>
          <w:kern w:val="0"/>
          <w:sz w:val="24"/>
        </w:rPr>
      </w:pPr>
      <w:r>
        <w:rPr>
          <w:rFonts w:hint="eastAsia" w:ascii="宋体" w:hAnsi="宋体" w:cs="黑体"/>
          <w:i/>
          <w:color w:val="auto"/>
          <w:kern w:val="0"/>
          <w:sz w:val="24"/>
        </w:rPr>
        <w:t>……</w:t>
      </w:r>
    </w:p>
    <w:p>
      <w:pPr>
        <w:pageBreakBefore w:val="0"/>
        <w:numPr>
          <w:ilvl w:val="2"/>
          <w:numId w:val="15"/>
        </w:numPr>
        <w:tabs>
          <w:tab w:val="left" w:pos="1701"/>
          <w:tab w:val="clear" w:pos="1134"/>
        </w:tabs>
        <w:kinsoku/>
        <w:overflowPunct/>
        <w:topLinePunct w:val="0"/>
        <w:autoSpaceDE w:val="0"/>
        <w:autoSpaceDN w:val="0"/>
        <w:bidi w:val="0"/>
        <w:adjustRightInd w:val="0"/>
        <w:spacing w:after="156" w:afterLines="50"/>
        <w:ind w:left="1700" w:leftChars="540" w:hanging="566" w:hangingChars="236"/>
        <w:outlineLvl w:val="9"/>
        <w:rPr>
          <w:rFonts w:ascii="宋体" w:hAnsi="宋体" w:cs="黑体"/>
          <w:i/>
          <w:color w:val="auto"/>
          <w:kern w:val="0"/>
          <w:sz w:val="24"/>
        </w:rPr>
      </w:pPr>
      <w:r>
        <w:rPr>
          <w:rFonts w:hint="eastAsia" w:ascii="宋体" w:hAnsi="宋体" w:cs="黑体"/>
          <w:i/>
          <w:color w:val="auto"/>
          <w:kern w:val="0"/>
          <w:sz w:val="24"/>
        </w:rPr>
        <w:t>……</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卖方应承担依照合同规定而履行其合同义务所产生的全部费用。</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33" w:name="_Toc45099886"/>
      <w:r>
        <w:rPr>
          <w:rFonts w:hint="eastAsia" w:ascii="黑体" w:hAnsi="宋体" w:eastAsia="黑体" w:cs="黑体"/>
          <w:color w:val="auto"/>
          <w:kern w:val="0"/>
          <w:sz w:val="24"/>
        </w:rPr>
        <w:t>适用性</w:t>
      </w:r>
      <w:bookmarkEnd w:id="133"/>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本合同条款适用于没有被本合同其他部分的条款所取代的范围。</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34" w:name="_Toc45099887"/>
      <w:r>
        <w:rPr>
          <w:rFonts w:hint="eastAsia" w:ascii="黑体" w:hAnsi="宋体" w:eastAsia="黑体" w:cs="黑体"/>
          <w:color w:val="auto"/>
          <w:kern w:val="0"/>
          <w:sz w:val="24"/>
        </w:rPr>
        <w:t>标准</w:t>
      </w:r>
      <w:bookmarkEnd w:id="134"/>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本合同下交付的货物应符合技术规格所述的标准。如果没有提及适用标准，则应符合中华人民共和国标准。这些标准必须是有关机构发布的最新有效版本的标准。</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除非技术规格中另有规定，计量单位均采用中华人民共和国法定计量单位。</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35" w:name="_Toc45099888"/>
      <w:r>
        <w:rPr>
          <w:rFonts w:hint="eastAsia" w:ascii="黑体" w:hAnsi="宋体" w:eastAsia="黑体" w:cs="黑体"/>
          <w:color w:val="auto"/>
          <w:kern w:val="0"/>
          <w:sz w:val="24"/>
        </w:rPr>
        <w:t>合同文件和资料的使用</w:t>
      </w:r>
      <w:bookmarkEnd w:id="135"/>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bookmarkStart w:id="136" w:name="_Ref426364224"/>
      <w:r>
        <w:rPr>
          <w:rFonts w:hint="eastAsia" w:ascii="宋体" w:hAnsi="宋体" w:cs="黑体"/>
          <w:color w:val="auto"/>
          <w:kern w:val="0"/>
          <w:sz w:val="24"/>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136"/>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没有买方事先书面同意，除了履行本合同之外，卖方不应使用合同条款第</w:t>
      </w:r>
      <w:r>
        <w:rPr>
          <w:color w:val="auto"/>
        </w:rPr>
        <w:fldChar w:fldCharType="begin"/>
      </w:r>
      <w:r>
        <w:rPr>
          <w:color w:val="auto"/>
        </w:rPr>
        <w:instrText xml:space="preserve"> REF _Ref426364224 \r \h  \* MERGEFORMAT </w:instrText>
      </w:r>
      <w:r>
        <w:rPr>
          <w:color w:val="auto"/>
        </w:rPr>
        <w:fldChar w:fldCharType="separate"/>
      </w:r>
      <w:r>
        <w:rPr>
          <w:rFonts w:ascii="宋体" w:hAnsi="宋体" w:cs="黑体"/>
          <w:color w:val="auto"/>
          <w:kern w:val="0"/>
          <w:sz w:val="24"/>
        </w:rPr>
        <w:t>5.1</w:t>
      </w:r>
      <w:r>
        <w:rPr>
          <w:rFonts w:ascii="宋体" w:hAnsi="宋体" w:cs="黑体"/>
          <w:color w:val="auto"/>
          <w:kern w:val="0"/>
          <w:sz w:val="24"/>
        </w:rPr>
        <w:fldChar w:fldCharType="end"/>
      </w:r>
      <w:r>
        <w:rPr>
          <w:rFonts w:hint="eastAsia" w:ascii="宋体" w:hAnsi="宋体" w:cs="黑体"/>
          <w:color w:val="auto"/>
          <w:kern w:val="0"/>
          <w:sz w:val="24"/>
        </w:rPr>
        <w:t>款所列举的任何文件和资料。</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除了合同本身以外，合同条款第</w:t>
      </w:r>
      <w:r>
        <w:rPr>
          <w:color w:val="auto"/>
        </w:rPr>
        <w:fldChar w:fldCharType="begin"/>
      </w:r>
      <w:r>
        <w:rPr>
          <w:color w:val="auto"/>
        </w:rPr>
        <w:instrText xml:space="preserve"> REF _Ref426364224 \r \h  \* MERGEFORMAT </w:instrText>
      </w:r>
      <w:r>
        <w:rPr>
          <w:color w:val="auto"/>
        </w:rPr>
        <w:fldChar w:fldCharType="separate"/>
      </w:r>
      <w:r>
        <w:rPr>
          <w:rFonts w:ascii="宋体" w:hAnsi="宋体" w:cs="黑体"/>
          <w:color w:val="auto"/>
          <w:kern w:val="0"/>
          <w:sz w:val="24"/>
        </w:rPr>
        <w:t>5.1</w:t>
      </w:r>
      <w:r>
        <w:rPr>
          <w:rFonts w:ascii="宋体" w:hAnsi="宋体" w:cs="黑体"/>
          <w:color w:val="auto"/>
          <w:kern w:val="0"/>
          <w:sz w:val="24"/>
        </w:rPr>
        <w:fldChar w:fldCharType="end"/>
      </w:r>
      <w:r>
        <w:rPr>
          <w:rFonts w:hint="eastAsia" w:ascii="宋体" w:hAnsi="宋体" w:cs="黑体"/>
          <w:color w:val="auto"/>
          <w:kern w:val="0"/>
          <w:sz w:val="24"/>
        </w:rPr>
        <w:t>款所列举的任何文件是买方的财产。如果买方有要求，卖方在完成合同后应将这些文件及全部复制件还给买方。</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37" w:name="_Toc45099889"/>
      <w:r>
        <w:rPr>
          <w:rFonts w:hint="eastAsia" w:ascii="黑体" w:hAnsi="宋体" w:eastAsia="黑体" w:cs="黑体"/>
          <w:color w:val="auto"/>
          <w:kern w:val="0"/>
          <w:sz w:val="24"/>
        </w:rPr>
        <w:t>设计及设计联络（适用大型或成套设备）</w:t>
      </w:r>
      <w:bookmarkEnd w:id="137"/>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双方应按照附件</w:t>
      </w:r>
      <w:r>
        <w:rPr>
          <w:rFonts w:hint="eastAsia" w:ascii="宋体" w:hAnsi="宋体" w:cs="黑体"/>
          <w:i/>
          <w:iCs/>
          <w:color w:val="auto"/>
          <w:kern w:val="0"/>
          <w:sz w:val="24"/>
        </w:rPr>
        <w:t>（按对应附件序号填写）</w:t>
      </w:r>
      <w:r>
        <w:rPr>
          <w:rFonts w:hint="eastAsia" w:ascii="宋体" w:hAnsi="宋体" w:cs="黑体"/>
          <w:color w:val="auto"/>
          <w:kern w:val="0"/>
          <w:sz w:val="24"/>
        </w:rPr>
        <w:t>的规定进行设计联络。</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地召开，根据设计工作的实际情况需要可随时增开协调会。</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双方各自承担的设计工作的范围、技术资料的提交详见附件</w:t>
      </w:r>
      <w:r>
        <w:rPr>
          <w:rFonts w:hint="eastAsia" w:ascii="宋体" w:hAnsi="宋体" w:cs="黑体"/>
          <w:i/>
          <w:iCs/>
          <w:color w:val="auto"/>
          <w:kern w:val="0"/>
          <w:sz w:val="24"/>
        </w:rPr>
        <w:t>（按对应附件序号填写）</w:t>
      </w:r>
      <w:r>
        <w:rPr>
          <w:rFonts w:hint="eastAsia" w:ascii="宋体" w:hAnsi="宋体" w:cs="黑体"/>
          <w:color w:val="auto"/>
          <w:kern w:val="0"/>
          <w:sz w:val="24"/>
        </w:rPr>
        <w:t>的规定。买方提交的技术资料应作为卖方进行设计工作的基础。设计联络会的内容、日程安排、地点、和参加人数详见附件</w:t>
      </w:r>
      <w:r>
        <w:rPr>
          <w:rFonts w:hint="eastAsia" w:ascii="宋体" w:hAnsi="宋体" w:cs="黑体"/>
          <w:i/>
          <w:iCs/>
          <w:color w:val="auto"/>
          <w:kern w:val="0"/>
          <w:sz w:val="24"/>
        </w:rPr>
        <w:t>（按对应附件序号填写）</w:t>
      </w:r>
      <w:r>
        <w:rPr>
          <w:rFonts w:hint="eastAsia" w:ascii="宋体" w:hAnsi="宋体" w:cs="黑体"/>
          <w:color w:val="auto"/>
          <w:kern w:val="0"/>
          <w:sz w:val="24"/>
        </w:rPr>
        <w:t>的规定。</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在一方人员启程前</w:t>
      </w:r>
      <w:r>
        <w:rPr>
          <w:rFonts w:hint="eastAsia" w:ascii="宋体" w:hAnsi="宋体" w:cs="黑体"/>
          <w:i/>
          <w:color w:val="auto"/>
          <w:kern w:val="0"/>
          <w:sz w:val="24"/>
          <w:u w:val="single"/>
        </w:rPr>
        <w:t xml:space="preserve"> （7） </w:t>
      </w:r>
      <w:r>
        <w:rPr>
          <w:rFonts w:hint="eastAsia" w:ascii="宋体" w:hAnsi="宋体" w:cs="黑体"/>
          <w:color w:val="auto"/>
          <w:kern w:val="0"/>
          <w:sz w:val="24"/>
        </w:rPr>
        <w:t>日，应书面告知另一方参会人员名单和预计启程日期。</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每次联络会应签署会议纪要。该会议纪要是合同的不可分割的组成部分，对双方具有约束力。</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在当次联络会上应决定下一次联络会的议题、参加人数及确切日期。</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会议在买方所在地举行时，准备、组织和安排联络会议的所有费用由买方负担。但买方不承担卖方人员的往返机票、食宿费、交通费。</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会议在卖方所在地举行时，准备、组织和安排联络会议的所有费用由卖方负担。卖方应免费向买方人员提供当地交通。</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买方参加会议人员的往返机票及食宿等费用包含在合同总价内。</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为使买方人员更好地理解有关合同设备设计和运行的各种技术文件，卖方将免费为买方人员安排参观工厂。</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除设计联络会外，各方提出的合同设备的所有设计修改或改变，应进行讨论，并经对方同意。从（一方）收到对方任何需批准的资料或图纸</w:t>
      </w:r>
      <w:r>
        <w:rPr>
          <w:rFonts w:hint="eastAsia" w:ascii="宋体" w:hAnsi="宋体" w:cs="黑体"/>
          <w:i/>
          <w:color w:val="auto"/>
          <w:kern w:val="0"/>
          <w:sz w:val="24"/>
          <w:u w:val="single"/>
        </w:rPr>
        <w:t xml:space="preserve"> （21） </w:t>
      </w:r>
      <w:r>
        <w:rPr>
          <w:rFonts w:hint="eastAsia" w:ascii="宋体" w:hAnsi="宋体" w:cs="黑体"/>
          <w:color w:val="auto"/>
          <w:kern w:val="0"/>
          <w:sz w:val="24"/>
        </w:rPr>
        <w:t>日内，应以书面提出批准或意见给对方。除非在设计联络会上双方同意缩短时间。</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卖方应在每次设计联络会前</w:t>
      </w:r>
      <w:r>
        <w:rPr>
          <w:rFonts w:hint="eastAsia" w:ascii="宋体" w:hAnsi="宋体" w:cs="黑体"/>
          <w:i/>
          <w:color w:val="auto"/>
          <w:kern w:val="0"/>
          <w:sz w:val="24"/>
          <w:u w:val="single"/>
        </w:rPr>
        <w:t xml:space="preserve"> （14） </w:t>
      </w:r>
      <w:r>
        <w:rPr>
          <w:rFonts w:hint="eastAsia" w:ascii="宋体" w:hAnsi="宋体" w:cs="黑体"/>
          <w:color w:val="auto"/>
          <w:kern w:val="0"/>
          <w:sz w:val="24"/>
        </w:rPr>
        <w:t>日向买方提供关于设计的技术资料和图纸，以便买方在会上讨论和确认这些技术资料和图纸。</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在合同有效期内，卖方应在</w:t>
      </w:r>
      <w:r>
        <w:rPr>
          <w:rFonts w:hint="eastAsia" w:ascii="宋体" w:hAnsi="宋体" w:cs="黑体"/>
          <w:i/>
          <w:color w:val="auto"/>
          <w:kern w:val="0"/>
          <w:sz w:val="24"/>
          <w:u w:val="single"/>
        </w:rPr>
        <w:t xml:space="preserve"> （28） </w:t>
      </w:r>
      <w:r>
        <w:rPr>
          <w:rFonts w:hint="eastAsia" w:ascii="宋体" w:hAnsi="宋体" w:cs="黑体"/>
          <w:color w:val="auto"/>
          <w:kern w:val="0"/>
          <w:sz w:val="24"/>
        </w:rPr>
        <w:t>日内及时回答买方提出的合同范围内有关设计和技术方面的问题，并向买方免费提供有关技术文件。</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38" w:name="_Toc45099890"/>
      <w:r>
        <w:rPr>
          <w:rFonts w:hint="eastAsia" w:ascii="黑体" w:hAnsi="宋体" w:eastAsia="黑体" w:cs="黑体"/>
          <w:color w:val="auto"/>
          <w:kern w:val="0"/>
          <w:sz w:val="24"/>
        </w:rPr>
        <w:t>知识产权</w:t>
      </w:r>
      <w:bookmarkEnd w:id="138"/>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卖方应保证，买方在使用该货物或货物的任何一部分时，免受第三方提出的侵犯其专利权、商标权、著作权或其它知识产权的起诉。</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39" w:name="_Toc45099891"/>
      <w:r>
        <w:rPr>
          <w:rFonts w:hint="eastAsia" w:ascii="黑体" w:hAnsi="宋体" w:eastAsia="黑体" w:cs="黑体"/>
          <w:color w:val="auto"/>
          <w:kern w:val="0"/>
          <w:sz w:val="24"/>
        </w:rPr>
        <w:t>履约保证金</w:t>
      </w:r>
      <w:bookmarkEnd w:id="139"/>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本项目不收取履约保证金。。</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履约保证金用于补偿买方因卖方不能完成其合同义务而蒙受的损失。</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履约保证金采用下述方式第</w:t>
      </w:r>
      <w:r>
        <w:rPr>
          <w:rFonts w:hint="eastAsia" w:ascii="宋体" w:hAnsi="宋体" w:cs="黑体"/>
          <w:color w:val="auto"/>
          <w:kern w:val="0"/>
          <w:sz w:val="24"/>
          <w:u w:val="single"/>
        </w:rPr>
        <w:t xml:space="preserve"> </w:t>
      </w:r>
      <w:r>
        <w:rPr>
          <w:rFonts w:hint="eastAsia" w:ascii="宋体" w:hAnsi="宋体" w:cs="黑体"/>
          <w:i/>
          <w:color w:val="auto"/>
          <w:kern w:val="0"/>
          <w:sz w:val="24"/>
          <w:u w:val="single"/>
        </w:rPr>
        <w:t>（1）/（2）/（3）/（4）</w:t>
      </w:r>
      <w:r>
        <w:rPr>
          <w:rFonts w:hint="eastAsia" w:ascii="宋体" w:hAnsi="宋体" w:cs="黑体"/>
          <w:color w:val="auto"/>
          <w:kern w:val="0"/>
          <w:sz w:val="24"/>
          <w:u w:val="single"/>
        </w:rPr>
        <w:t xml:space="preserve"> </w:t>
      </w:r>
      <w:r>
        <w:rPr>
          <w:rFonts w:hint="eastAsia" w:ascii="宋体" w:hAnsi="宋体" w:cs="黑体"/>
          <w:color w:val="auto"/>
          <w:kern w:val="0"/>
          <w:sz w:val="24"/>
        </w:rPr>
        <w:t>方式提交：</w:t>
      </w:r>
    </w:p>
    <w:p>
      <w:pPr>
        <w:pStyle w:val="39"/>
        <w:pageBreakBefore w:val="0"/>
        <w:kinsoku/>
        <w:overflowPunct/>
        <w:topLinePunct w:val="0"/>
        <w:bidi w:val="0"/>
        <w:snapToGrid w:val="0"/>
        <w:spacing w:after="156" w:afterLines="50"/>
        <w:ind w:left="1983" w:leftChars="540" w:hanging="849" w:hangingChars="354"/>
        <w:outlineLvl w:val="9"/>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rPr>
        <w:tab/>
      </w:r>
      <w:r>
        <w:rPr>
          <w:rFonts w:hint="eastAsia" w:hAnsi="宋体" w:cs="宋体"/>
          <w:color w:val="auto"/>
          <w:sz w:val="24"/>
          <w:szCs w:val="24"/>
        </w:rPr>
        <w:t>银行保函</w:t>
      </w:r>
    </w:p>
    <w:p>
      <w:pPr>
        <w:pStyle w:val="39"/>
        <w:pageBreakBefore w:val="0"/>
        <w:kinsoku/>
        <w:overflowPunct/>
        <w:topLinePunct w:val="0"/>
        <w:bidi w:val="0"/>
        <w:snapToGrid w:val="0"/>
        <w:spacing w:after="156" w:afterLines="50"/>
        <w:ind w:left="1984" w:leftChars="945" w:firstLine="1"/>
        <w:outlineLvl w:val="9"/>
        <w:rPr>
          <w:rFonts w:hAnsi="宋体" w:cs="宋体"/>
          <w:color w:val="auto"/>
          <w:sz w:val="24"/>
          <w:szCs w:val="24"/>
        </w:rPr>
      </w:pPr>
      <w:r>
        <w:rPr>
          <w:rFonts w:hint="eastAsia" w:hAnsi="宋体" w:cs="宋体"/>
          <w:color w:val="auto"/>
          <w:sz w:val="24"/>
          <w:szCs w:val="24"/>
        </w:rPr>
        <w:t>由买方可接受的在中华人民共和国注册和营业的银行出具，其格式采用谈判文件提供的格式或其他买方可接受的格式。</w:t>
      </w:r>
    </w:p>
    <w:p>
      <w:pPr>
        <w:pStyle w:val="39"/>
        <w:pageBreakBefore w:val="0"/>
        <w:kinsoku/>
        <w:overflowPunct/>
        <w:topLinePunct w:val="0"/>
        <w:bidi w:val="0"/>
        <w:snapToGrid w:val="0"/>
        <w:spacing w:after="156" w:afterLines="50"/>
        <w:ind w:left="1983" w:leftChars="540" w:hanging="849" w:hangingChars="354"/>
        <w:outlineLvl w:val="9"/>
        <w:rPr>
          <w:rFonts w:hAnsi="宋体" w:cs="宋体"/>
          <w:color w:val="auto"/>
          <w:sz w:val="24"/>
          <w:szCs w:val="24"/>
        </w:rPr>
      </w:pPr>
      <w:r>
        <w:rPr>
          <w:rFonts w:hint="eastAsia" w:hAnsi="宋体" w:cs="宋体"/>
          <w:color w:val="auto"/>
          <w:sz w:val="24"/>
          <w:szCs w:val="24"/>
        </w:rPr>
        <w:t>（2)</w:t>
      </w:r>
      <w:r>
        <w:rPr>
          <w:rFonts w:hint="eastAsia" w:hAnsi="宋体" w:cs="宋体"/>
          <w:color w:val="auto"/>
          <w:sz w:val="24"/>
          <w:szCs w:val="24"/>
        </w:rPr>
        <w:tab/>
      </w:r>
      <w:r>
        <w:rPr>
          <w:rFonts w:hint="eastAsia" w:hAnsi="宋体" w:cs="宋体"/>
          <w:color w:val="auto"/>
          <w:sz w:val="24"/>
          <w:szCs w:val="24"/>
        </w:rPr>
        <w:t>担保机构保函</w:t>
      </w:r>
    </w:p>
    <w:p>
      <w:pPr>
        <w:pStyle w:val="39"/>
        <w:pageBreakBefore w:val="0"/>
        <w:kinsoku/>
        <w:overflowPunct/>
        <w:topLinePunct w:val="0"/>
        <w:bidi w:val="0"/>
        <w:snapToGrid w:val="0"/>
        <w:spacing w:after="156" w:afterLines="50"/>
        <w:ind w:left="1983" w:leftChars="540" w:hanging="849" w:hangingChars="354"/>
        <w:outlineLvl w:val="9"/>
        <w:rPr>
          <w:rFonts w:hAnsi="宋体" w:cs="宋体"/>
          <w:color w:val="auto"/>
          <w:sz w:val="24"/>
          <w:szCs w:val="24"/>
        </w:rPr>
      </w:pPr>
      <w:r>
        <w:rPr>
          <w:rFonts w:hint="eastAsia" w:hAnsi="宋体" w:cs="宋体"/>
          <w:color w:val="auto"/>
          <w:sz w:val="24"/>
          <w:szCs w:val="24"/>
        </w:rPr>
        <w:t>（3）</w:t>
      </w:r>
      <w:r>
        <w:rPr>
          <w:rFonts w:hint="eastAsia" w:hAnsi="宋体" w:cs="宋体"/>
          <w:color w:val="auto"/>
          <w:sz w:val="24"/>
          <w:szCs w:val="24"/>
        </w:rPr>
        <w:tab/>
      </w:r>
      <w:r>
        <w:rPr>
          <w:rFonts w:hint="eastAsia" w:hAnsi="宋体" w:cs="宋体"/>
          <w:color w:val="auto"/>
          <w:sz w:val="24"/>
          <w:szCs w:val="24"/>
        </w:rPr>
        <w:t>支票</w:t>
      </w:r>
    </w:p>
    <w:p>
      <w:pPr>
        <w:pStyle w:val="39"/>
        <w:pageBreakBefore w:val="0"/>
        <w:kinsoku/>
        <w:overflowPunct/>
        <w:topLinePunct w:val="0"/>
        <w:bidi w:val="0"/>
        <w:snapToGrid w:val="0"/>
        <w:spacing w:after="156" w:afterLines="50"/>
        <w:ind w:left="1983" w:leftChars="540" w:hanging="849" w:hangingChars="354"/>
        <w:outlineLvl w:val="9"/>
        <w:rPr>
          <w:rFonts w:hAnsi="宋体" w:cs="宋体"/>
          <w:color w:val="auto"/>
          <w:sz w:val="24"/>
          <w:szCs w:val="24"/>
        </w:rPr>
      </w:pPr>
      <w:r>
        <w:rPr>
          <w:rFonts w:hint="eastAsia" w:hAnsi="宋体" w:cs="宋体"/>
          <w:color w:val="auto"/>
          <w:sz w:val="24"/>
          <w:szCs w:val="24"/>
        </w:rPr>
        <w:t>（4）</w:t>
      </w:r>
      <w:r>
        <w:rPr>
          <w:rFonts w:hint="eastAsia" w:hAnsi="宋体" w:cs="宋体"/>
          <w:color w:val="auto"/>
          <w:sz w:val="24"/>
          <w:szCs w:val="24"/>
        </w:rPr>
        <w:tab/>
      </w:r>
      <w:r>
        <w:rPr>
          <w:rFonts w:hint="eastAsia" w:hAnsi="宋体" w:cs="宋体"/>
          <w:color w:val="auto"/>
          <w:sz w:val="24"/>
          <w:szCs w:val="24"/>
        </w:rPr>
        <w:t>汇票</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在卖方完成其合同义务包括任何保证义务后</w:t>
      </w:r>
      <w:r>
        <w:rPr>
          <w:rFonts w:hint="eastAsia" w:ascii="宋体" w:hAnsi="宋体" w:cs="黑体"/>
          <w:i/>
          <w:color w:val="auto"/>
          <w:kern w:val="0"/>
          <w:sz w:val="24"/>
          <w:u w:val="single"/>
        </w:rPr>
        <w:t xml:space="preserve"> 30 </w:t>
      </w:r>
      <w:r>
        <w:rPr>
          <w:rFonts w:hint="eastAsia" w:ascii="宋体" w:hAnsi="宋体" w:cs="黑体"/>
          <w:color w:val="auto"/>
          <w:kern w:val="0"/>
          <w:sz w:val="24"/>
        </w:rPr>
        <w:t>日内，买方将把履约保证金退还卖方。</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40" w:name="_Ref426364299"/>
      <w:bookmarkStart w:id="141" w:name="_Toc45099892"/>
      <w:r>
        <w:rPr>
          <w:rFonts w:hint="eastAsia" w:ascii="黑体" w:hAnsi="宋体" w:eastAsia="黑体" w:cs="黑体"/>
          <w:color w:val="auto"/>
          <w:kern w:val="0"/>
          <w:sz w:val="24"/>
        </w:rPr>
        <w:t>检验和测试</w:t>
      </w:r>
      <w:bookmarkEnd w:id="140"/>
      <w:bookmarkEnd w:id="141"/>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检验和测试可以在卖方或其分包人的驻地、交货地点和/或货物的最终目的地进行。如果在卖方或其分包人的驻地进行，检测人员应能得到全部合理的设施和协助，买方不应为此承担费用。</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如果任何被检验或测试的货物不能满足规格的要求，买方可以拒绝接受该货物，卖方应更换被拒绝的货物，或者免费进行必要的修改以满足规格的要求。</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买方在货物到达项目现场后对货物进行检验、测试及必要时拒绝接受货物的权力将不会因为货物在启运前通过了买方或其代表的检验、测试和认可而受到限制或放弃。</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如果在合同条款第</w:t>
      </w:r>
      <w:r>
        <w:rPr>
          <w:color w:val="auto"/>
        </w:rPr>
        <w:fldChar w:fldCharType="begin"/>
      </w:r>
      <w:r>
        <w:rPr>
          <w:color w:val="auto"/>
        </w:rPr>
        <w:instrText xml:space="preserve"> REF _Ref426364278 \r \h  \* MERGEFORMAT </w:instrText>
      </w:r>
      <w:r>
        <w:rPr>
          <w:color w:val="auto"/>
        </w:rPr>
        <w:fldChar w:fldCharType="separate"/>
      </w:r>
      <w:r>
        <w:rPr>
          <w:rFonts w:ascii="宋体" w:hAnsi="宋体" w:cs="黑体"/>
          <w:color w:val="auto"/>
          <w:kern w:val="0"/>
          <w:sz w:val="24"/>
        </w:rPr>
        <w:t>17</w:t>
      </w:r>
      <w:r>
        <w:rPr>
          <w:rFonts w:ascii="宋体" w:hAnsi="宋体" w:cs="黑体"/>
          <w:color w:val="auto"/>
          <w:kern w:val="0"/>
          <w:sz w:val="24"/>
        </w:rPr>
        <w:fldChar w:fldCharType="end"/>
      </w:r>
      <w:r>
        <w:rPr>
          <w:rFonts w:hint="eastAsia" w:ascii="宋体" w:hAnsi="宋体" w:cs="黑体"/>
          <w:color w:val="auto"/>
          <w:kern w:val="0"/>
          <w:sz w:val="24"/>
        </w:rPr>
        <w:t>条[保证]规定的保证期内，根据检验结果，发现货物的质量或规格与合同要求不符，或货物被证实有缺陷，包括潜在的缺陷或使用不合适的材料，买方应及时向卖方提出索赔。</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合同条款第</w:t>
      </w:r>
      <w:r>
        <w:rPr>
          <w:color w:val="auto"/>
        </w:rPr>
        <w:fldChar w:fldCharType="begin"/>
      </w:r>
      <w:r>
        <w:rPr>
          <w:color w:val="auto"/>
        </w:rPr>
        <w:instrText xml:space="preserve"> REF _Ref426364299 \r \h  \* MERGEFORMAT </w:instrText>
      </w:r>
      <w:r>
        <w:rPr>
          <w:color w:val="auto"/>
        </w:rPr>
        <w:fldChar w:fldCharType="separate"/>
      </w:r>
      <w:r>
        <w:rPr>
          <w:rFonts w:ascii="宋体" w:hAnsi="宋体" w:cs="黑体"/>
          <w:color w:val="auto"/>
          <w:kern w:val="0"/>
          <w:sz w:val="24"/>
        </w:rPr>
        <w:t>9</w:t>
      </w:r>
      <w:r>
        <w:rPr>
          <w:rFonts w:ascii="宋体" w:hAnsi="宋体" w:cs="黑体"/>
          <w:color w:val="auto"/>
          <w:kern w:val="0"/>
          <w:sz w:val="24"/>
        </w:rPr>
        <w:fldChar w:fldCharType="end"/>
      </w:r>
      <w:r>
        <w:rPr>
          <w:rFonts w:hint="eastAsia" w:ascii="宋体" w:hAnsi="宋体" w:cs="黑体"/>
          <w:color w:val="auto"/>
          <w:kern w:val="0"/>
          <w:sz w:val="24"/>
        </w:rPr>
        <w:t>条[检验和测试]的规定不能免除卖方在本合同项下的保证义务或其他义务。</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42" w:name="_Ref426364328"/>
      <w:bookmarkStart w:id="143" w:name="_Toc45099893"/>
      <w:r>
        <w:rPr>
          <w:rFonts w:hint="eastAsia" w:ascii="黑体" w:hAnsi="宋体" w:eastAsia="黑体" w:cs="黑体"/>
          <w:color w:val="auto"/>
          <w:kern w:val="0"/>
          <w:sz w:val="24"/>
        </w:rPr>
        <w:t>包装</w:t>
      </w:r>
      <w:bookmarkEnd w:id="142"/>
      <w:bookmarkEnd w:id="143"/>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44" w:name="_Toc45099894"/>
      <w:bookmarkStart w:id="145" w:name="_Ref426364336"/>
      <w:r>
        <w:rPr>
          <w:rFonts w:hint="eastAsia" w:ascii="黑体" w:hAnsi="宋体" w:eastAsia="黑体" w:cs="黑体"/>
          <w:color w:val="auto"/>
          <w:kern w:val="0"/>
          <w:sz w:val="24"/>
        </w:rPr>
        <w:t>装运标记</w:t>
      </w:r>
      <w:bookmarkEnd w:id="144"/>
      <w:bookmarkEnd w:id="145"/>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卖方应在每一包装箱相邻的四面用不可擦除的油漆和明显的做出以下标记：</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rPr>
        <w:tab/>
      </w:r>
      <w:r>
        <w:rPr>
          <w:rFonts w:hint="eastAsia" w:hAnsi="宋体" w:cs="宋体"/>
          <w:color w:val="auto"/>
          <w:sz w:val="24"/>
          <w:szCs w:val="24"/>
        </w:rPr>
        <w:t>收货人</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2)</w:t>
      </w:r>
      <w:r>
        <w:rPr>
          <w:rFonts w:hint="eastAsia" w:hAnsi="宋体" w:cs="宋体"/>
          <w:color w:val="auto"/>
          <w:sz w:val="24"/>
          <w:szCs w:val="24"/>
        </w:rPr>
        <w:tab/>
      </w:r>
      <w:r>
        <w:rPr>
          <w:rFonts w:hint="eastAsia" w:hAnsi="宋体" w:cs="宋体"/>
          <w:color w:val="auto"/>
          <w:sz w:val="24"/>
          <w:szCs w:val="24"/>
        </w:rPr>
        <w:t>合同号</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3)</w:t>
      </w:r>
      <w:r>
        <w:rPr>
          <w:rFonts w:hint="eastAsia" w:hAnsi="宋体" w:cs="宋体"/>
          <w:color w:val="auto"/>
          <w:sz w:val="24"/>
          <w:szCs w:val="24"/>
        </w:rPr>
        <w:tab/>
      </w:r>
      <w:r>
        <w:rPr>
          <w:rFonts w:hint="eastAsia" w:hAnsi="宋体" w:cs="宋体"/>
          <w:color w:val="auto"/>
          <w:sz w:val="24"/>
          <w:szCs w:val="24"/>
        </w:rPr>
        <w:t>货物名称</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4)</w:t>
      </w:r>
      <w:r>
        <w:rPr>
          <w:rFonts w:hint="eastAsia" w:hAnsi="宋体" w:cs="宋体"/>
          <w:color w:val="auto"/>
          <w:sz w:val="24"/>
          <w:szCs w:val="24"/>
        </w:rPr>
        <w:tab/>
      </w:r>
      <w:r>
        <w:rPr>
          <w:rFonts w:hint="eastAsia" w:hAnsi="宋体" w:cs="宋体"/>
          <w:color w:val="auto"/>
          <w:sz w:val="24"/>
          <w:szCs w:val="24"/>
        </w:rPr>
        <w:t>毛重/净重(用kg表示)</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对裸装（无需包装或无法包装）的合同设备，上述内容应用至少两个金属标牌标明并牢固地固定在其相应位置上。应提供足够的支承架和包装垫木。</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单件包装箱（或裸装的合同设备）的重量在2吨或2吨以上，卖方应在适当位置标注“重心”和“起吊点”,以便装卸和搬运。根据货物的特点和运输的不同要求，卖方应在包装箱上清楚地标注“小心轻放”、“此端朝上，请勿倒置”、“保持干燥”等字样和其他适当标记。</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46" w:name="_Toc45099895"/>
      <w:r>
        <w:rPr>
          <w:rFonts w:hint="eastAsia" w:ascii="黑体" w:hAnsi="宋体" w:eastAsia="黑体" w:cs="黑体"/>
          <w:color w:val="auto"/>
          <w:kern w:val="0"/>
          <w:sz w:val="24"/>
        </w:rPr>
        <w:t>交货和单据</w:t>
      </w:r>
      <w:bookmarkEnd w:id="146"/>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卖方应按照“货物需求一览表”规定的条件交货。卖方应提供的装运细节和/或其他单据见合同条款第</w:t>
      </w:r>
      <w:r>
        <w:rPr>
          <w:color w:val="auto"/>
        </w:rPr>
        <w:fldChar w:fldCharType="begin"/>
      </w:r>
      <w:r>
        <w:rPr>
          <w:color w:val="auto"/>
        </w:rPr>
        <w:instrText xml:space="preserve"> REF _Ref426364328 \r \h  \* MERGEFORMAT </w:instrText>
      </w:r>
      <w:r>
        <w:rPr>
          <w:color w:val="auto"/>
        </w:rPr>
        <w:fldChar w:fldCharType="separate"/>
      </w:r>
      <w:r>
        <w:rPr>
          <w:rFonts w:ascii="宋体" w:hAnsi="宋体" w:cs="黑体"/>
          <w:color w:val="auto"/>
          <w:kern w:val="0"/>
          <w:sz w:val="24"/>
        </w:rPr>
        <w:t>10</w:t>
      </w:r>
      <w:r>
        <w:rPr>
          <w:rFonts w:ascii="宋体" w:hAnsi="宋体" w:cs="黑体"/>
          <w:color w:val="auto"/>
          <w:kern w:val="0"/>
          <w:sz w:val="24"/>
        </w:rPr>
        <w:fldChar w:fldCharType="end"/>
      </w:r>
      <w:r>
        <w:rPr>
          <w:rFonts w:hint="eastAsia" w:ascii="宋体" w:hAnsi="宋体" w:cs="黑体"/>
          <w:color w:val="auto"/>
          <w:kern w:val="0"/>
          <w:sz w:val="24"/>
        </w:rPr>
        <w:t>条[包装]、第</w:t>
      </w:r>
      <w:r>
        <w:rPr>
          <w:color w:val="auto"/>
        </w:rPr>
        <w:fldChar w:fldCharType="begin"/>
      </w:r>
      <w:r>
        <w:rPr>
          <w:color w:val="auto"/>
        </w:rPr>
        <w:instrText xml:space="preserve"> REF _Ref426364336 \r \h  \* MERGEFORMAT </w:instrText>
      </w:r>
      <w:r>
        <w:rPr>
          <w:color w:val="auto"/>
        </w:rPr>
        <w:fldChar w:fldCharType="separate"/>
      </w:r>
      <w:r>
        <w:rPr>
          <w:rFonts w:ascii="宋体" w:hAnsi="宋体" w:cs="黑体"/>
          <w:color w:val="auto"/>
          <w:kern w:val="0"/>
          <w:sz w:val="24"/>
        </w:rPr>
        <w:t>11</w:t>
      </w:r>
      <w:r>
        <w:rPr>
          <w:rFonts w:ascii="宋体" w:hAnsi="宋体" w:cs="黑体"/>
          <w:color w:val="auto"/>
          <w:kern w:val="0"/>
          <w:sz w:val="24"/>
        </w:rPr>
        <w:fldChar w:fldCharType="end"/>
      </w:r>
      <w:r>
        <w:rPr>
          <w:rFonts w:hint="eastAsia" w:ascii="宋体" w:hAnsi="宋体" w:cs="黑体"/>
          <w:color w:val="auto"/>
          <w:kern w:val="0"/>
          <w:sz w:val="24"/>
        </w:rPr>
        <w:t>条[装运标记]规定。</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卖方应在货物装完启运后以传真形式将全部装运细节，包括合同号、货物说明、数量、运输工具名称、预计到货日期等通知买方。</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47" w:name="_Toc45099896"/>
      <w:r>
        <w:rPr>
          <w:rFonts w:hint="eastAsia" w:ascii="黑体" w:hAnsi="宋体" w:eastAsia="黑体" w:cs="黑体"/>
          <w:color w:val="auto"/>
          <w:kern w:val="0"/>
          <w:sz w:val="24"/>
        </w:rPr>
        <w:t>保险</w:t>
      </w:r>
      <w:bookmarkEnd w:id="147"/>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应对本合同下提供的货物，按本条款规定的方式，用一种可以自由兑换的货币对其在制造、购置、运输、存放及交货过程中的丢失或损坏进行全面保险。</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卖方应按设备金额的110%投保的货物运输保险，并以买方为受益人。</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48" w:name="_Toc45099897"/>
      <w:r>
        <w:rPr>
          <w:rFonts w:hint="eastAsia" w:ascii="黑体" w:hAnsi="宋体" w:eastAsia="黑体" w:cs="黑体"/>
          <w:color w:val="auto"/>
          <w:kern w:val="0"/>
          <w:sz w:val="24"/>
        </w:rPr>
        <w:t>运输</w:t>
      </w:r>
      <w:bookmarkEnd w:id="148"/>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卖方应负责办理、支付将货物运至合同中指定的其他目的地的一切运输事项，相关费用应包括在合同价中。</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49" w:name="_Toc45099898"/>
      <w:r>
        <w:rPr>
          <w:rFonts w:hint="eastAsia" w:ascii="黑体" w:hAnsi="宋体" w:eastAsia="黑体" w:cs="黑体"/>
          <w:color w:val="auto"/>
          <w:kern w:val="0"/>
          <w:sz w:val="24"/>
        </w:rPr>
        <w:t>伴随服务</w:t>
      </w:r>
      <w:bookmarkEnd w:id="149"/>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卖方可能被要求提供下列服务中的任一或所有服务，包括技术规格中规定的附加服务(如果有的话)：</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rPr>
        <w:tab/>
      </w:r>
      <w:r>
        <w:rPr>
          <w:rFonts w:hint="eastAsia" w:hAnsi="宋体" w:cs="宋体"/>
          <w:color w:val="auto"/>
          <w:sz w:val="24"/>
          <w:szCs w:val="24"/>
        </w:rPr>
        <w:t>实施或监督所供货物的现场组装和/或试运行；</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2)</w:t>
      </w:r>
      <w:r>
        <w:rPr>
          <w:rFonts w:hint="eastAsia" w:hAnsi="宋体" w:cs="宋体"/>
          <w:color w:val="auto"/>
          <w:sz w:val="24"/>
          <w:szCs w:val="24"/>
        </w:rPr>
        <w:tab/>
      </w:r>
      <w:r>
        <w:rPr>
          <w:rFonts w:hint="eastAsia" w:hAnsi="宋体" w:cs="宋体"/>
          <w:color w:val="auto"/>
          <w:sz w:val="24"/>
          <w:szCs w:val="24"/>
        </w:rPr>
        <w:t>提供货物组装和/或维修所需的工具；</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3)</w:t>
      </w:r>
      <w:r>
        <w:rPr>
          <w:rFonts w:hint="eastAsia" w:hAnsi="宋体" w:cs="宋体"/>
          <w:color w:val="auto"/>
          <w:sz w:val="24"/>
          <w:szCs w:val="24"/>
        </w:rPr>
        <w:tab/>
      </w:r>
      <w:r>
        <w:rPr>
          <w:rFonts w:hint="eastAsia" w:hAnsi="宋体" w:cs="宋体"/>
          <w:color w:val="auto"/>
          <w:sz w:val="24"/>
          <w:szCs w:val="24"/>
        </w:rPr>
        <w:t>为所供货物的每一适当的单台设备提供详细的操作和维护手册；</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4)</w:t>
      </w:r>
      <w:r>
        <w:rPr>
          <w:rFonts w:hint="eastAsia" w:hAnsi="宋体" w:cs="宋体"/>
          <w:color w:val="auto"/>
          <w:sz w:val="24"/>
          <w:szCs w:val="24"/>
        </w:rPr>
        <w:tab/>
      </w:r>
      <w:r>
        <w:rPr>
          <w:rFonts w:hint="eastAsia" w:hAnsi="宋体" w:cs="宋体"/>
          <w:color w:val="auto"/>
          <w:sz w:val="24"/>
          <w:szCs w:val="24"/>
        </w:rPr>
        <w:t>在双方商定的一定期限内对所供货物实施运行或监督或维护或修理，但前提条件是该服务并不能免除卖方在合同保证期内所承担的义务；</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5)</w:t>
      </w:r>
      <w:r>
        <w:rPr>
          <w:rFonts w:hint="eastAsia" w:hAnsi="宋体" w:cs="宋体"/>
          <w:color w:val="auto"/>
          <w:sz w:val="24"/>
          <w:szCs w:val="24"/>
        </w:rPr>
        <w:tab/>
      </w:r>
      <w:r>
        <w:rPr>
          <w:rFonts w:hint="eastAsia" w:hAnsi="宋体" w:cs="宋体"/>
          <w:color w:val="auto"/>
          <w:sz w:val="24"/>
          <w:szCs w:val="24"/>
        </w:rPr>
        <w:t>在卖方厂家和/或在项目现场就所供货物的组装、试运行、运行、维护和/或修理对买方人员进行培训。</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如果卖方提供的伴随服务的费用未含在货物的合同价中，双方应事先就其达成协议，但其费用单价不应超过卖方向其他人提供类似服务所收取的现行单价。</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卖方应提供合同条款/技术规格中规定的所有服务。为履行要求的伴随服务的报价或双方商定的费用应包括在合同价中。</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50" w:name="_Toc45099899"/>
      <w:r>
        <w:rPr>
          <w:rFonts w:hint="eastAsia" w:ascii="黑体" w:hAnsi="宋体" w:eastAsia="黑体" w:cs="黑体"/>
          <w:color w:val="auto"/>
          <w:kern w:val="0"/>
          <w:sz w:val="24"/>
        </w:rPr>
        <w:t>备件</w:t>
      </w:r>
      <w:bookmarkEnd w:id="150"/>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正如合同条款所规定，卖方可能被要求提供下列与备件有关的材料、通知和资料：</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rPr>
        <w:tab/>
      </w:r>
      <w:r>
        <w:rPr>
          <w:rFonts w:hint="eastAsia" w:hAnsi="宋体" w:cs="宋体"/>
          <w:color w:val="auto"/>
          <w:sz w:val="24"/>
          <w:szCs w:val="24"/>
        </w:rPr>
        <w:t>买方从卖方选购备件的资料，但前提条件是该选择并不能免除卖方在合同保证期内所承担的义务；</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2)</w:t>
      </w:r>
      <w:r>
        <w:rPr>
          <w:rFonts w:hint="eastAsia" w:hAnsi="宋体" w:cs="宋体"/>
          <w:color w:val="auto"/>
          <w:sz w:val="24"/>
          <w:szCs w:val="24"/>
        </w:rPr>
        <w:tab/>
      </w:r>
      <w:r>
        <w:rPr>
          <w:rFonts w:hint="eastAsia" w:hAnsi="宋体" w:cs="宋体"/>
          <w:color w:val="auto"/>
          <w:sz w:val="24"/>
          <w:szCs w:val="24"/>
        </w:rPr>
        <w:t>在备件停止生产的情况下，卖方应事先将要停止生产的计划通知买方使买方有足够的时间采购所需的备件；</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3)</w:t>
      </w:r>
      <w:r>
        <w:rPr>
          <w:rFonts w:hint="eastAsia" w:hAnsi="宋体" w:cs="宋体"/>
          <w:color w:val="auto"/>
          <w:sz w:val="24"/>
          <w:szCs w:val="24"/>
        </w:rPr>
        <w:tab/>
      </w:r>
      <w:r>
        <w:rPr>
          <w:rFonts w:hint="eastAsia" w:hAnsi="宋体" w:cs="宋体"/>
          <w:color w:val="auto"/>
          <w:sz w:val="24"/>
          <w:szCs w:val="24"/>
        </w:rPr>
        <w:t>在备件停止生产后，如果买方要求，卖方应免费向买方提供备件的蓝图、图纸和规格。</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卖方应按照合同条款/技术规格中的规定提供所需的备件。</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51" w:name="_Toc45099900"/>
      <w:bookmarkStart w:id="152" w:name="_Ref426364278"/>
      <w:r>
        <w:rPr>
          <w:rFonts w:hint="eastAsia" w:ascii="黑体" w:hAnsi="宋体" w:eastAsia="黑体" w:cs="黑体"/>
          <w:color w:val="auto"/>
          <w:kern w:val="0"/>
          <w:sz w:val="24"/>
        </w:rPr>
        <w:t>保证</w:t>
      </w:r>
      <w:bookmarkEnd w:id="151"/>
      <w:bookmarkEnd w:id="152"/>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现行条件下正常使用可能产生的。</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本保证应在合同货物最终验收后的</w:t>
      </w:r>
      <w:r>
        <w:rPr>
          <w:rFonts w:hint="eastAsia" w:ascii="宋体" w:hAnsi="宋体" w:cs="黑体"/>
          <w:i/>
          <w:color w:val="auto"/>
          <w:kern w:val="0"/>
          <w:sz w:val="24"/>
          <w:u w:val="single"/>
        </w:rPr>
        <w:t>（36）</w:t>
      </w:r>
      <w:r>
        <w:rPr>
          <w:rFonts w:hint="eastAsia" w:ascii="宋体" w:hAnsi="宋体" w:cs="黑体"/>
          <w:color w:val="auto"/>
          <w:kern w:val="0"/>
          <w:sz w:val="24"/>
        </w:rPr>
        <w:t>个月内保持有效，或在最后一批合同货物到达交货地点后的</w:t>
      </w:r>
      <w:r>
        <w:rPr>
          <w:rFonts w:hint="eastAsia" w:ascii="宋体" w:hAnsi="宋体" w:cs="黑体"/>
          <w:i/>
          <w:color w:val="auto"/>
          <w:kern w:val="0"/>
          <w:sz w:val="24"/>
          <w:u w:val="single"/>
        </w:rPr>
        <w:t>（36）</w:t>
      </w:r>
      <w:r>
        <w:rPr>
          <w:rFonts w:hint="eastAsia" w:ascii="宋体" w:hAnsi="宋体" w:cs="黑体"/>
          <w:color w:val="auto"/>
          <w:kern w:val="0"/>
          <w:sz w:val="24"/>
        </w:rPr>
        <w:t>个月内保持有效，以先发生的为准。</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买方应尽快以书面形式通知卖方保证期内所发现的缺陷。</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卖方收到通知后应在</w:t>
      </w:r>
      <w:r>
        <w:rPr>
          <w:rFonts w:hint="eastAsia" w:ascii="宋体" w:hAnsi="宋体" w:cs="黑体"/>
          <w:i/>
          <w:color w:val="auto"/>
          <w:kern w:val="0"/>
          <w:sz w:val="24"/>
          <w:u w:val="single"/>
        </w:rPr>
        <w:t>（12）</w:t>
      </w:r>
      <w:r>
        <w:rPr>
          <w:rFonts w:hint="eastAsia" w:ascii="宋体" w:hAnsi="宋体" w:cs="黑体"/>
          <w:color w:val="auto"/>
          <w:kern w:val="0"/>
          <w:sz w:val="24"/>
        </w:rPr>
        <w:t>小时内以合理的速度免费维修或更换有缺陷的货物或部件。</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如果卖方收到通知后在合同规定的时间内没有以合理的速度弥补缺陷，买方可采取必要的补救措施，但其风险和费用将由卖方承担，买方根据合同规定对卖方行使的其他权力不受影响。</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53" w:name="_Toc45099901"/>
      <w:bookmarkStart w:id="154" w:name="_Ref426373961"/>
      <w:r>
        <w:rPr>
          <w:rFonts w:hint="eastAsia" w:ascii="黑体" w:hAnsi="宋体" w:eastAsia="黑体" w:cs="黑体"/>
          <w:color w:val="auto"/>
          <w:kern w:val="0"/>
          <w:sz w:val="24"/>
        </w:rPr>
        <w:t>索赔</w:t>
      </w:r>
      <w:bookmarkEnd w:id="153"/>
      <w:bookmarkEnd w:id="154"/>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如果卖方对偏差负有责任，并且买方在合同条款第</w:t>
      </w:r>
      <w:r>
        <w:rPr>
          <w:color w:val="auto"/>
        </w:rPr>
        <w:fldChar w:fldCharType="begin"/>
      </w:r>
      <w:r>
        <w:rPr>
          <w:color w:val="auto"/>
        </w:rPr>
        <w:instrText xml:space="preserve"> REF _Ref426364278 \r \h  \* MERGEFORMAT </w:instrText>
      </w:r>
      <w:r>
        <w:rPr>
          <w:color w:val="auto"/>
        </w:rPr>
        <w:fldChar w:fldCharType="separate"/>
      </w:r>
      <w:r>
        <w:rPr>
          <w:rFonts w:ascii="宋体" w:hAnsi="宋体" w:cs="黑体"/>
          <w:color w:val="auto"/>
          <w:kern w:val="0"/>
          <w:sz w:val="24"/>
        </w:rPr>
        <w:t>17</w:t>
      </w:r>
      <w:r>
        <w:rPr>
          <w:rFonts w:ascii="宋体" w:hAnsi="宋体" w:cs="黑体"/>
          <w:color w:val="auto"/>
          <w:kern w:val="0"/>
          <w:sz w:val="24"/>
        </w:rPr>
        <w:fldChar w:fldCharType="end"/>
      </w:r>
      <w:r>
        <w:rPr>
          <w:rFonts w:hint="eastAsia" w:ascii="宋体" w:hAnsi="宋体" w:cs="黑体"/>
          <w:color w:val="auto"/>
          <w:kern w:val="0"/>
          <w:sz w:val="24"/>
        </w:rPr>
        <w:t>条[保证]或合同的其他条款规定的检验、安装、调试、验收和质量保证期内提出了索赔，卖方应按照买方同意的下列一种或几种方式结合起来解决索赔事宜：</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rPr>
        <w:tab/>
      </w:r>
      <w:r>
        <w:rPr>
          <w:rFonts w:hint="eastAsia" w:hAnsi="宋体" w:cs="宋体"/>
          <w:color w:val="auto"/>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2)</w:t>
      </w:r>
      <w:r>
        <w:rPr>
          <w:rFonts w:hint="eastAsia" w:hAnsi="宋体" w:cs="宋体"/>
          <w:color w:val="auto"/>
          <w:sz w:val="24"/>
          <w:szCs w:val="24"/>
        </w:rPr>
        <w:tab/>
      </w:r>
      <w:r>
        <w:rPr>
          <w:rFonts w:hint="eastAsia" w:hAnsi="宋体" w:cs="宋体"/>
          <w:color w:val="auto"/>
          <w:sz w:val="24"/>
          <w:szCs w:val="24"/>
        </w:rPr>
        <w:t>根据货物的偏差情况、损坏程度以及买方所遭受损失的金额，经买卖双方商定降低货物的价格。</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3)</w:t>
      </w:r>
      <w:r>
        <w:rPr>
          <w:rFonts w:hint="eastAsia" w:hAnsi="宋体" w:cs="宋体"/>
          <w:color w:val="auto"/>
          <w:sz w:val="24"/>
          <w:szCs w:val="24"/>
        </w:rPr>
        <w:tab/>
      </w:r>
      <w:r>
        <w:rPr>
          <w:rFonts w:hint="eastAsia" w:hAnsi="宋体" w:cs="宋体"/>
          <w:color w:val="auto"/>
          <w:sz w:val="24"/>
          <w:szCs w:val="24"/>
        </w:rPr>
        <w:t>用符合合同规定的规格、质量和性能要求的新零件、部件和/或设备来更换有缺陷的部分和/或修补缺陷部分，卖方应承担一切费用和风险并负担买方蒙受的全部直接损失费用。同时，卖方应按合同条款第</w:t>
      </w:r>
      <w:r>
        <w:rPr>
          <w:color w:val="auto"/>
        </w:rPr>
        <w:fldChar w:fldCharType="begin"/>
      </w:r>
      <w:r>
        <w:rPr>
          <w:color w:val="auto"/>
        </w:rPr>
        <w:instrText xml:space="preserve"> REF _Ref426364278 \r \h  \* MERGEFORMAT </w:instrText>
      </w:r>
      <w:r>
        <w:rPr>
          <w:color w:val="auto"/>
        </w:rPr>
        <w:fldChar w:fldCharType="separate"/>
      </w:r>
      <w:r>
        <w:rPr>
          <w:rFonts w:hAnsi="宋体" w:cs="黑体"/>
          <w:color w:val="auto"/>
          <w:kern w:val="0"/>
          <w:sz w:val="24"/>
        </w:rPr>
        <w:t>17</w:t>
      </w:r>
      <w:r>
        <w:rPr>
          <w:rFonts w:hAnsi="宋体" w:cs="黑体"/>
          <w:color w:val="auto"/>
          <w:kern w:val="0"/>
          <w:sz w:val="24"/>
        </w:rPr>
        <w:fldChar w:fldCharType="end"/>
      </w:r>
      <w:r>
        <w:rPr>
          <w:rFonts w:hint="eastAsia" w:hAnsi="宋体" w:cs="宋体"/>
          <w:color w:val="auto"/>
          <w:sz w:val="24"/>
          <w:szCs w:val="24"/>
        </w:rPr>
        <w:t>条</w:t>
      </w:r>
      <w:r>
        <w:rPr>
          <w:rFonts w:hint="eastAsia" w:hAnsi="宋体" w:cs="黑体"/>
          <w:color w:val="auto"/>
          <w:kern w:val="0"/>
          <w:sz w:val="24"/>
        </w:rPr>
        <w:t>[保证]</w:t>
      </w:r>
      <w:r>
        <w:rPr>
          <w:rFonts w:hint="eastAsia" w:hAnsi="宋体" w:cs="宋体"/>
          <w:color w:val="auto"/>
          <w:sz w:val="24"/>
          <w:szCs w:val="24"/>
        </w:rPr>
        <w:t>规定，相应延长所更换货物的质量保证期。</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55" w:name="_Toc45099902"/>
      <w:r>
        <w:rPr>
          <w:rFonts w:hint="eastAsia" w:ascii="黑体" w:hAnsi="宋体" w:eastAsia="黑体" w:cs="黑体"/>
          <w:color w:val="auto"/>
          <w:kern w:val="0"/>
          <w:sz w:val="24"/>
        </w:rPr>
        <w:t>付款</w:t>
      </w:r>
      <w:bookmarkEnd w:id="155"/>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本合同项下的付款方法和条件：</w:t>
      </w:r>
    </w:p>
    <w:p>
      <w:pPr>
        <w:pageBreakBefore w:val="0"/>
        <w:kinsoku/>
        <w:overflowPunct/>
        <w:topLinePunct w:val="0"/>
        <w:autoSpaceDE w:val="0"/>
        <w:autoSpaceDN w:val="0"/>
        <w:bidi w:val="0"/>
        <w:adjustRightInd w:val="0"/>
        <w:spacing w:after="156" w:afterLines="50"/>
        <w:ind w:left="1134" w:leftChars="540"/>
        <w:outlineLvl w:val="9"/>
        <w:rPr>
          <w:rFonts w:ascii="宋体" w:hAnsi="宋体" w:cs="黑体"/>
          <w:color w:val="auto"/>
          <w:kern w:val="0"/>
          <w:sz w:val="24"/>
        </w:rPr>
      </w:pPr>
      <w:r>
        <w:rPr>
          <w:rFonts w:hint="eastAsia" w:ascii="宋体" w:hAnsi="宋体" w:cs="黑体"/>
          <w:color w:val="auto"/>
          <w:kern w:val="0"/>
          <w:sz w:val="24"/>
        </w:rPr>
        <w:t>甲方货物验收合格后一次性向乙方支付合同金额的100%，乙方需向甲方支付合同金额的5%作为质保函（银行保函)，质保期质保至</w:t>
      </w:r>
      <w:r>
        <w:rPr>
          <w:rFonts w:hint="eastAsia" w:ascii="宋体" w:hAnsi="宋体" w:cs="黑体"/>
          <w:color w:val="auto"/>
          <w:kern w:val="0"/>
          <w:sz w:val="24"/>
          <w:lang w:val="en-US" w:eastAsia="zh-CN"/>
        </w:rPr>
        <w:t xml:space="preserve">     </w:t>
      </w:r>
      <w:r>
        <w:rPr>
          <w:rFonts w:hint="eastAsia" w:ascii="宋体" w:hAnsi="宋体" w:cs="黑体"/>
          <w:color w:val="auto"/>
          <w:kern w:val="0"/>
          <w:sz w:val="24"/>
        </w:rPr>
        <w:t>年</w:t>
      </w:r>
      <w:r>
        <w:rPr>
          <w:rFonts w:hint="eastAsia" w:ascii="宋体" w:hAnsi="宋体" w:cs="黑体"/>
          <w:color w:val="auto"/>
          <w:kern w:val="0"/>
          <w:sz w:val="24"/>
          <w:lang w:val="en-US" w:eastAsia="zh-CN"/>
        </w:rPr>
        <w:t xml:space="preserve">  </w:t>
      </w:r>
      <w:r>
        <w:rPr>
          <w:rFonts w:hint="eastAsia" w:ascii="宋体" w:hAnsi="宋体" w:cs="黑体"/>
          <w:color w:val="auto"/>
          <w:kern w:val="0"/>
          <w:sz w:val="24"/>
        </w:rPr>
        <w:t>月4日，质保期满后退回银行保函。</w:t>
      </w:r>
    </w:p>
    <w:p>
      <w:pPr>
        <w:pageBreakBefore w:val="0"/>
        <w:kinsoku/>
        <w:overflowPunct/>
        <w:topLinePunct w:val="0"/>
        <w:autoSpaceDE w:val="0"/>
        <w:autoSpaceDN w:val="0"/>
        <w:bidi w:val="0"/>
        <w:adjustRightInd w:val="0"/>
        <w:spacing w:after="156" w:afterLines="50"/>
        <w:ind w:left="1134" w:leftChars="540"/>
        <w:outlineLvl w:val="9"/>
        <w:rPr>
          <w:rFonts w:ascii="宋体" w:hAnsi="宋体" w:cs="黑体"/>
          <w:color w:val="auto"/>
          <w:kern w:val="0"/>
          <w:sz w:val="24"/>
        </w:rPr>
      </w:pPr>
      <w:r>
        <w:rPr>
          <w:rFonts w:hint="eastAsia" w:ascii="宋体" w:hAnsi="宋体" w:cs="黑体"/>
          <w:color w:val="auto"/>
          <w:kern w:val="0"/>
          <w:sz w:val="24"/>
        </w:rPr>
        <w:t>……</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56" w:name="_Toc45099903"/>
      <w:r>
        <w:rPr>
          <w:rFonts w:hint="eastAsia" w:ascii="黑体" w:hAnsi="宋体" w:eastAsia="黑体" w:cs="黑体"/>
          <w:color w:val="auto"/>
          <w:kern w:val="0"/>
          <w:sz w:val="24"/>
        </w:rPr>
        <w:t>价格</w:t>
      </w:r>
      <w:bookmarkEnd w:id="156"/>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卖方在本合同项下提交货物的价格和履行伴随服务收取的费用在合同协议书中给出。</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57" w:name="_Toc45099904"/>
      <w:bookmarkStart w:id="158" w:name="_Ref426364593"/>
      <w:r>
        <w:rPr>
          <w:rFonts w:hint="eastAsia" w:ascii="黑体" w:hAnsi="宋体" w:eastAsia="黑体" w:cs="黑体"/>
          <w:color w:val="auto"/>
          <w:kern w:val="0"/>
          <w:sz w:val="24"/>
        </w:rPr>
        <w:t>变更指令</w:t>
      </w:r>
      <w:bookmarkEnd w:id="157"/>
      <w:bookmarkEnd w:id="158"/>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根据合同条款第</w:t>
      </w:r>
      <w:r>
        <w:rPr>
          <w:color w:val="auto"/>
        </w:rPr>
        <w:fldChar w:fldCharType="begin"/>
      </w:r>
      <w:r>
        <w:rPr>
          <w:color w:val="auto"/>
        </w:rPr>
        <w:instrText xml:space="preserve"> REF _Ref426364569 \r \h  \* MERGEFORMAT </w:instrText>
      </w:r>
      <w:r>
        <w:rPr>
          <w:color w:val="auto"/>
        </w:rPr>
        <w:fldChar w:fldCharType="separate"/>
      </w:r>
      <w:r>
        <w:rPr>
          <w:rFonts w:ascii="宋体" w:hAnsi="宋体" w:cs="黑体"/>
          <w:color w:val="auto"/>
          <w:kern w:val="0"/>
          <w:sz w:val="24"/>
        </w:rPr>
        <w:t>34</w:t>
      </w:r>
      <w:r>
        <w:rPr>
          <w:rFonts w:ascii="宋体" w:hAnsi="宋体" w:cs="黑体"/>
          <w:color w:val="auto"/>
          <w:kern w:val="0"/>
          <w:sz w:val="24"/>
        </w:rPr>
        <w:fldChar w:fldCharType="end"/>
      </w:r>
      <w:r>
        <w:rPr>
          <w:rFonts w:hint="eastAsia" w:ascii="宋体" w:hAnsi="宋体" w:cs="黑体"/>
          <w:color w:val="auto"/>
          <w:kern w:val="0"/>
          <w:sz w:val="24"/>
        </w:rPr>
        <w:t>条[通知]的规定，买方可以在任何时候书面向卖方发出指令，在本合同的一般范围内变更下述一项或几项：</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rPr>
        <w:tab/>
      </w:r>
      <w:r>
        <w:rPr>
          <w:rFonts w:hint="eastAsia" w:hAnsi="宋体" w:cs="宋体"/>
          <w:color w:val="auto"/>
          <w:sz w:val="24"/>
          <w:szCs w:val="24"/>
        </w:rPr>
        <w:t>本合同项下提供的货物是专为买方制造时，变更图纸、设计或规格；</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2)</w:t>
      </w:r>
      <w:r>
        <w:rPr>
          <w:rFonts w:hint="eastAsia" w:hAnsi="宋体" w:cs="宋体"/>
          <w:color w:val="auto"/>
          <w:sz w:val="24"/>
          <w:szCs w:val="24"/>
        </w:rPr>
        <w:tab/>
      </w:r>
      <w:r>
        <w:rPr>
          <w:rFonts w:hint="eastAsia" w:hAnsi="宋体" w:cs="宋体"/>
          <w:color w:val="auto"/>
          <w:sz w:val="24"/>
          <w:szCs w:val="24"/>
        </w:rPr>
        <w:t>运输或包装的方法；</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3)</w:t>
      </w:r>
      <w:r>
        <w:rPr>
          <w:rFonts w:hint="eastAsia" w:hAnsi="宋体" w:cs="宋体"/>
          <w:color w:val="auto"/>
          <w:sz w:val="24"/>
          <w:szCs w:val="24"/>
        </w:rPr>
        <w:tab/>
      </w:r>
      <w:r>
        <w:rPr>
          <w:rFonts w:hint="eastAsia" w:hAnsi="宋体" w:cs="宋体"/>
          <w:color w:val="auto"/>
          <w:sz w:val="24"/>
          <w:szCs w:val="24"/>
        </w:rPr>
        <w:t>交货地点：甲方指定地点</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4)</w:t>
      </w:r>
      <w:r>
        <w:rPr>
          <w:rFonts w:hint="eastAsia" w:hAnsi="宋体" w:cs="宋体"/>
          <w:color w:val="auto"/>
          <w:sz w:val="24"/>
          <w:szCs w:val="24"/>
        </w:rPr>
        <w:tab/>
      </w:r>
      <w:r>
        <w:rPr>
          <w:rFonts w:hint="eastAsia" w:hAnsi="宋体" w:cs="宋体"/>
          <w:color w:val="auto"/>
          <w:sz w:val="24"/>
          <w:szCs w:val="24"/>
        </w:rPr>
        <w:t>卖方提供的伴随服务。</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5）  合同总期限：180天</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如果上述变更使卖方履行合同义务的费用或时间增加或减少，将对合同价或交货时间或两者进行公平的调整，同时相应修改合同。卖方根据本条进行调整的要求必须在收到买方的变更指令后</w:t>
      </w:r>
      <w:r>
        <w:rPr>
          <w:rFonts w:hint="eastAsia" w:ascii="宋体" w:hAnsi="宋体" w:cs="黑体"/>
          <w:i/>
          <w:color w:val="auto"/>
          <w:kern w:val="0"/>
          <w:sz w:val="24"/>
          <w:u w:val="single"/>
        </w:rPr>
        <w:t xml:space="preserve"> 28 </w:t>
      </w:r>
      <w:r>
        <w:rPr>
          <w:rFonts w:hint="eastAsia" w:ascii="宋体" w:hAnsi="宋体" w:cs="黑体"/>
          <w:color w:val="auto"/>
          <w:kern w:val="0"/>
          <w:sz w:val="24"/>
        </w:rPr>
        <w:t>日内提出。</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59" w:name="_Toc45099905"/>
      <w:r>
        <w:rPr>
          <w:rFonts w:hint="eastAsia" w:ascii="黑体" w:hAnsi="宋体" w:eastAsia="黑体" w:cs="黑体"/>
          <w:color w:val="auto"/>
          <w:kern w:val="0"/>
          <w:sz w:val="24"/>
        </w:rPr>
        <w:t>合同的修改</w:t>
      </w:r>
      <w:bookmarkEnd w:id="159"/>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除了合同条款第</w:t>
      </w:r>
      <w:r>
        <w:rPr>
          <w:color w:val="auto"/>
        </w:rPr>
        <w:fldChar w:fldCharType="begin"/>
      </w:r>
      <w:r>
        <w:rPr>
          <w:color w:val="auto"/>
        </w:rPr>
        <w:instrText xml:space="preserve"> REF _Ref426364593 \r \h  \* MERGEFORMAT </w:instrText>
      </w:r>
      <w:r>
        <w:rPr>
          <w:color w:val="auto"/>
        </w:rPr>
        <w:fldChar w:fldCharType="separate"/>
      </w:r>
      <w:r>
        <w:rPr>
          <w:rFonts w:ascii="宋体" w:hAnsi="宋体" w:cs="黑体"/>
          <w:color w:val="auto"/>
          <w:kern w:val="0"/>
          <w:sz w:val="24"/>
        </w:rPr>
        <w:t>21</w:t>
      </w:r>
      <w:r>
        <w:rPr>
          <w:rFonts w:ascii="宋体" w:hAnsi="宋体" w:cs="黑体"/>
          <w:color w:val="auto"/>
          <w:kern w:val="0"/>
          <w:sz w:val="24"/>
        </w:rPr>
        <w:fldChar w:fldCharType="end"/>
      </w:r>
      <w:r>
        <w:rPr>
          <w:rFonts w:hint="eastAsia" w:ascii="宋体" w:hAnsi="宋体" w:cs="黑体"/>
          <w:color w:val="auto"/>
          <w:kern w:val="0"/>
          <w:sz w:val="24"/>
        </w:rPr>
        <w:t>条[变更指令]的情况外，不应对合同条款进行任何变更或修改，除非双方同意并签订书面的合同修改书。</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60" w:name="_Toc45099906"/>
      <w:r>
        <w:rPr>
          <w:rFonts w:hint="eastAsia" w:ascii="黑体" w:hAnsi="宋体" w:eastAsia="黑体" w:cs="黑体"/>
          <w:color w:val="auto"/>
          <w:kern w:val="0"/>
          <w:sz w:val="24"/>
        </w:rPr>
        <w:t>转让</w:t>
      </w:r>
      <w:bookmarkEnd w:id="160"/>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除买方事先书面同意外，卖方不得部分转让或全部转让其应履行的合同义务。</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61" w:name="_Toc45099907"/>
      <w:r>
        <w:rPr>
          <w:rFonts w:hint="eastAsia" w:ascii="黑体" w:hAnsi="宋体" w:eastAsia="黑体" w:cs="黑体"/>
          <w:color w:val="auto"/>
          <w:kern w:val="0"/>
          <w:sz w:val="24"/>
        </w:rPr>
        <w:t>分包</w:t>
      </w:r>
      <w:bookmarkEnd w:id="161"/>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卖方应书面通知买方其在本合同中所分包的全部分包合同，但此分包通知并不能解除卖方履行本合同的责任和义务。</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62" w:name="_Ref426364917"/>
      <w:bookmarkStart w:id="163" w:name="_Toc45099908"/>
      <w:r>
        <w:rPr>
          <w:rFonts w:hint="eastAsia" w:ascii="黑体" w:hAnsi="宋体" w:eastAsia="黑体" w:cs="黑体"/>
          <w:color w:val="auto"/>
          <w:kern w:val="0"/>
          <w:sz w:val="24"/>
        </w:rPr>
        <w:t>卖方履约延误</w:t>
      </w:r>
      <w:bookmarkEnd w:id="162"/>
      <w:bookmarkEnd w:id="163"/>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卖方应按照“货物需求一览表”中买方规定的时间表交货和提供伴随服务。</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bookmarkStart w:id="164" w:name="_Ref426364874"/>
      <w:r>
        <w:rPr>
          <w:rFonts w:hint="eastAsia" w:ascii="宋体" w:hAnsi="宋体" w:cs="黑体"/>
          <w:color w:val="auto"/>
          <w:kern w:val="0"/>
          <w:sz w:val="24"/>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bookmarkEnd w:id="164"/>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除了合同条款第</w:t>
      </w:r>
      <w:r>
        <w:rPr>
          <w:color w:val="auto"/>
        </w:rPr>
        <w:fldChar w:fldCharType="begin"/>
      </w:r>
      <w:r>
        <w:rPr>
          <w:color w:val="auto"/>
        </w:rPr>
        <w:instrText xml:space="preserve"> REF _Ref426364863 \r \h  \* MERGEFORMAT </w:instrText>
      </w:r>
      <w:r>
        <w:rPr>
          <w:color w:val="auto"/>
        </w:rPr>
        <w:fldChar w:fldCharType="separate"/>
      </w:r>
      <w:r>
        <w:rPr>
          <w:rFonts w:ascii="宋体" w:hAnsi="宋体" w:cs="黑体"/>
          <w:color w:val="auto"/>
          <w:kern w:val="0"/>
          <w:sz w:val="24"/>
        </w:rPr>
        <w:t>28</w:t>
      </w:r>
      <w:r>
        <w:rPr>
          <w:rFonts w:ascii="宋体" w:hAnsi="宋体" w:cs="黑体"/>
          <w:color w:val="auto"/>
          <w:kern w:val="0"/>
          <w:sz w:val="24"/>
        </w:rPr>
        <w:fldChar w:fldCharType="end"/>
      </w:r>
      <w:r>
        <w:rPr>
          <w:rFonts w:hint="eastAsia" w:ascii="宋体" w:hAnsi="宋体" w:cs="黑体"/>
          <w:color w:val="auto"/>
          <w:kern w:val="0"/>
          <w:sz w:val="24"/>
        </w:rPr>
        <w:t>条[不可抗力]的情况外，除非拖延是根据合同条款第</w:t>
      </w:r>
      <w:r>
        <w:rPr>
          <w:color w:val="auto"/>
        </w:rPr>
        <w:fldChar w:fldCharType="begin"/>
      </w:r>
      <w:r>
        <w:rPr>
          <w:color w:val="auto"/>
        </w:rPr>
        <w:instrText xml:space="preserve"> REF _Ref426364874 \r \h  \* MERGEFORMAT </w:instrText>
      </w:r>
      <w:r>
        <w:rPr>
          <w:color w:val="auto"/>
        </w:rPr>
        <w:fldChar w:fldCharType="separate"/>
      </w:r>
      <w:r>
        <w:rPr>
          <w:rFonts w:ascii="宋体" w:hAnsi="宋体" w:cs="黑体"/>
          <w:color w:val="auto"/>
          <w:kern w:val="0"/>
          <w:sz w:val="24"/>
        </w:rPr>
        <w:t>25.2</w:t>
      </w:r>
      <w:r>
        <w:rPr>
          <w:rFonts w:ascii="宋体" w:hAnsi="宋体" w:cs="黑体"/>
          <w:color w:val="auto"/>
          <w:kern w:val="0"/>
          <w:sz w:val="24"/>
        </w:rPr>
        <w:fldChar w:fldCharType="end"/>
      </w:r>
      <w:r>
        <w:rPr>
          <w:rFonts w:hint="eastAsia" w:ascii="宋体" w:hAnsi="宋体" w:cs="黑体"/>
          <w:color w:val="auto"/>
          <w:kern w:val="0"/>
          <w:sz w:val="24"/>
        </w:rPr>
        <w:t>款的规定取得同意而不收取误期赔偿费之外，卖方延误交货，将按合同条款第</w:t>
      </w:r>
      <w:r>
        <w:rPr>
          <w:color w:val="auto"/>
        </w:rPr>
        <w:fldChar w:fldCharType="begin"/>
      </w:r>
      <w:r>
        <w:rPr>
          <w:color w:val="auto"/>
        </w:rPr>
        <w:instrText xml:space="preserve"> REF _Ref426364883 \r \h  \* MERGEFORMAT </w:instrText>
      </w:r>
      <w:r>
        <w:rPr>
          <w:color w:val="auto"/>
        </w:rPr>
        <w:fldChar w:fldCharType="separate"/>
      </w:r>
      <w:r>
        <w:rPr>
          <w:rFonts w:ascii="宋体" w:hAnsi="宋体" w:cs="黑体"/>
          <w:color w:val="auto"/>
          <w:kern w:val="0"/>
          <w:sz w:val="24"/>
        </w:rPr>
        <w:t>26</w:t>
      </w:r>
      <w:r>
        <w:rPr>
          <w:rFonts w:ascii="宋体" w:hAnsi="宋体" w:cs="黑体"/>
          <w:color w:val="auto"/>
          <w:kern w:val="0"/>
          <w:sz w:val="24"/>
        </w:rPr>
        <w:fldChar w:fldCharType="end"/>
      </w:r>
      <w:r>
        <w:rPr>
          <w:rFonts w:hint="eastAsia" w:ascii="宋体" w:hAnsi="宋体" w:cs="黑体"/>
          <w:color w:val="auto"/>
          <w:kern w:val="0"/>
          <w:sz w:val="24"/>
        </w:rPr>
        <w:t>条[误期赔偿费]的规定被收取误期赔偿费。</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65" w:name="_Toc45099909"/>
      <w:bookmarkStart w:id="166" w:name="_Ref426364883"/>
      <w:r>
        <w:rPr>
          <w:rFonts w:hint="eastAsia" w:ascii="黑体" w:hAnsi="宋体" w:eastAsia="黑体" w:cs="黑体"/>
          <w:color w:val="auto"/>
          <w:kern w:val="0"/>
          <w:sz w:val="24"/>
        </w:rPr>
        <w:t>误期赔偿费</w:t>
      </w:r>
      <w:bookmarkEnd w:id="165"/>
      <w:bookmarkEnd w:id="166"/>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除合同条款第</w:t>
      </w:r>
      <w:r>
        <w:rPr>
          <w:color w:val="auto"/>
        </w:rPr>
        <w:fldChar w:fldCharType="begin"/>
      </w:r>
      <w:r>
        <w:rPr>
          <w:color w:val="auto"/>
        </w:rPr>
        <w:instrText xml:space="preserve"> REF _Ref426364863 \r \h  \* MERGEFORMAT </w:instrText>
      </w:r>
      <w:r>
        <w:rPr>
          <w:color w:val="auto"/>
        </w:rPr>
        <w:fldChar w:fldCharType="separate"/>
      </w:r>
      <w:r>
        <w:rPr>
          <w:rFonts w:ascii="宋体" w:hAnsi="宋体" w:cs="黑体"/>
          <w:color w:val="auto"/>
          <w:kern w:val="0"/>
          <w:sz w:val="24"/>
        </w:rPr>
        <w:t>28</w:t>
      </w:r>
      <w:r>
        <w:rPr>
          <w:rFonts w:ascii="宋体" w:hAnsi="宋体" w:cs="黑体"/>
          <w:color w:val="auto"/>
          <w:kern w:val="0"/>
          <w:sz w:val="24"/>
        </w:rPr>
        <w:fldChar w:fldCharType="end"/>
      </w:r>
      <w:r>
        <w:rPr>
          <w:rFonts w:hint="eastAsia" w:ascii="宋体" w:hAnsi="宋体" w:cs="黑体"/>
          <w:color w:val="auto"/>
          <w:kern w:val="0"/>
          <w:sz w:val="24"/>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hint="eastAsia" w:ascii="宋体" w:hAnsi="宋体" w:cs="黑体"/>
          <w:color w:val="auto"/>
          <w:kern w:val="0"/>
          <w:sz w:val="24"/>
          <w:u w:val="single"/>
        </w:rPr>
        <w:t xml:space="preserve"> </w:t>
      </w:r>
      <w:r>
        <w:rPr>
          <w:rFonts w:hint="eastAsia" w:ascii="宋体" w:hAnsi="宋体" w:cs="黑体"/>
          <w:i/>
          <w:color w:val="auto"/>
          <w:kern w:val="0"/>
          <w:sz w:val="24"/>
          <w:u w:val="single"/>
        </w:rPr>
        <w:t>（0.5）</w:t>
      </w:r>
      <w:r>
        <w:rPr>
          <w:rFonts w:hint="eastAsia" w:ascii="宋体" w:hAnsi="宋体" w:cs="黑体"/>
          <w:color w:val="auto"/>
          <w:kern w:val="0"/>
          <w:sz w:val="24"/>
          <w:u w:val="single"/>
        </w:rPr>
        <w:t xml:space="preserve"> </w:t>
      </w:r>
      <w:r>
        <w:rPr>
          <w:rFonts w:hint="eastAsia" w:ascii="宋体" w:hAnsi="宋体" w:cs="黑体"/>
          <w:color w:val="auto"/>
          <w:kern w:val="0"/>
          <w:sz w:val="24"/>
        </w:rPr>
        <w:t>%计收，直至交货或提供服务为止。误期赔偿费的最高限额为合同价格的</w:t>
      </w:r>
      <w:r>
        <w:rPr>
          <w:rFonts w:hint="eastAsia" w:ascii="宋体" w:hAnsi="宋体" w:cs="黑体"/>
          <w:i/>
          <w:color w:val="auto"/>
          <w:kern w:val="0"/>
          <w:sz w:val="24"/>
          <w:u w:val="single"/>
        </w:rPr>
        <w:t xml:space="preserve"> （5） </w:t>
      </w:r>
      <w:r>
        <w:rPr>
          <w:rFonts w:hint="eastAsia" w:ascii="宋体" w:hAnsi="宋体" w:cs="黑体"/>
          <w:color w:val="auto"/>
          <w:kern w:val="0"/>
          <w:sz w:val="24"/>
        </w:rPr>
        <w:t>%。一旦达到误期赔偿费的最高限额，买方可考虑根据合同条款第</w:t>
      </w:r>
      <w:r>
        <w:rPr>
          <w:color w:val="auto"/>
        </w:rPr>
        <w:fldChar w:fldCharType="begin"/>
      </w:r>
      <w:r>
        <w:rPr>
          <w:color w:val="auto"/>
        </w:rPr>
        <w:instrText xml:space="preserve"> REF _Ref426364907 \r \h  \* MERGEFORMAT </w:instrText>
      </w:r>
      <w:r>
        <w:rPr>
          <w:color w:val="auto"/>
        </w:rPr>
        <w:fldChar w:fldCharType="separate"/>
      </w:r>
      <w:r>
        <w:rPr>
          <w:rFonts w:ascii="宋体" w:hAnsi="宋体" w:cs="黑体"/>
          <w:color w:val="auto"/>
          <w:kern w:val="0"/>
          <w:sz w:val="24"/>
        </w:rPr>
        <w:t>27</w:t>
      </w:r>
      <w:r>
        <w:rPr>
          <w:rFonts w:ascii="宋体" w:hAnsi="宋体" w:cs="黑体"/>
          <w:color w:val="auto"/>
          <w:kern w:val="0"/>
          <w:sz w:val="24"/>
        </w:rPr>
        <w:fldChar w:fldCharType="end"/>
      </w:r>
      <w:r>
        <w:rPr>
          <w:rFonts w:hint="eastAsia" w:ascii="宋体" w:hAnsi="宋体" w:cs="黑体"/>
          <w:color w:val="auto"/>
          <w:kern w:val="0"/>
          <w:sz w:val="24"/>
        </w:rPr>
        <w:t>条[违约终止合同]的规定终止合同。</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67" w:name="_Toc45099910"/>
      <w:bookmarkStart w:id="168" w:name="_Ref426364907"/>
      <w:r>
        <w:rPr>
          <w:rFonts w:hint="eastAsia" w:ascii="黑体" w:hAnsi="宋体" w:eastAsia="黑体" w:cs="黑体"/>
          <w:color w:val="auto"/>
          <w:kern w:val="0"/>
          <w:sz w:val="24"/>
        </w:rPr>
        <w:t>违约终止合同</w:t>
      </w:r>
      <w:bookmarkEnd w:id="167"/>
      <w:bookmarkEnd w:id="168"/>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bookmarkStart w:id="169" w:name="_Ref426364930"/>
      <w:r>
        <w:rPr>
          <w:rFonts w:hint="eastAsia" w:ascii="宋体" w:hAnsi="宋体" w:cs="黑体"/>
          <w:color w:val="auto"/>
          <w:kern w:val="0"/>
          <w:sz w:val="24"/>
        </w:rPr>
        <w:t>卖方有下列情形之一时，买方可向卖方发出书面违约通知书，提出终止部分或全部合同：</w:t>
      </w:r>
      <w:bookmarkEnd w:id="169"/>
    </w:p>
    <w:p>
      <w:pPr>
        <w:pStyle w:val="39"/>
        <w:pageBreakBefore w:val="0"/>
        <w:numPr>
          <w:ilvl w:val="2"/>
          <w:numId w:val="16"/>
        </w:numPr>
        <w:tabs>
          <w:tab w:val="left" w:pos="1701"/>
        </w:tabs>
        <w:kinsoku/>
        <w:overflowPunct/>
        <w:topLinePunct w:val="0"/>
        <w:bidi w:val="0"/>
        <w:snapToGrid w:val="0"/>
        <w:spacing w:after="156" w:afterLines="50"/>
        <w:ind w:left="1701" w:hanging="567"/>
        <w:outlineLvl w:val="9"/>
        <w:rPr>
          <w:rFonts w:hAnsi="宋体" w:cs="宋体"/>
          <w:color w:val="auto"/>
          <w:sz w:val="24"/>
          <w:szCs w:val="24"/>
        </w:rPr>
      </w:pPr>
      <w:r>
        <w:rPr>
          <w:rFonts w:hint="eastAsia" w:hAnsi="宋体" w:cs="宋体"/>
          <w:color w:val="auto"/>
          <w:sz w:val="24"/>
          <w:szCs w:val="24"/>
        </w:rPr>
        <w:t>如果卖方未能在合同规定的期限内或买方根据合同条款第</w:t>
      </w:r>
      <w:r>
        <w:rPr>
          <w:color w:val="auto"/>
        </w:rPr>
        <w:fldChar w:fldCharType="begin"/>
      </w:r>
      <w:r>
        <w:rPr>
          <w:color w:val="auto"/>
        </w:rPr>
        <w:instrText xml:space="preserve"> REF _Ref426364917 \r \h  \* MERGEFORMAT </w:instrText>
      </w:r>
      <w:r>
        <w:rPr>
          <w:color w:val="auto"/>
        </w:rPr>
        <w:fldChar w:fldCharType="separate"/>
      </w:r>
      <w:r>
        <w:rPr>
          <w:rFonts w:hAnsi="宋体" w:cs="宋体"/>
          <w:color w:val="auto"/>
          <w:sz w:val="24"/>
          <w:szCs w:val="24"/>
        </w:rPr>
        <w:t>25</w:t>
      </w:r>
      <w:r>
        <w:rPr>
          <w:rFonts w:hAnsi="宋体" w:cs="宋体"/>
          <w:color w:val="auto"/>
          <w:sz w:val="24"/>
          <w:szCs w:val="24"/>
        </w:rPr>
        <w:fldChar w:fldCharType="end"/>
      </w:r>
      <w:r>
        <w:rPr>
          <w:rFonts w:hint="eastAsia" w:hAnsi="宋体" w:cs="宋体"/>
          <w:color w:val="auto"/>
          <w:sz w:val="24"/>
          <w:szCs w:val="24"/>
        </w:rPr>
        <w:t>条</w:t>
      </w:r>
      <w:r>
        <w:rPr>
          <w:rFonts w:hint="eastAsia" w:hAnsi="宋体" w:cs="黑体"/>
          <w:color w:val="auto"/>
          <w:kern w:val="0"/>
          <w:sz w:val="24"/>
        </w:rPr>
        <w:t>[卖方履约延误]</w:t>
      </w:r>
      <w:r>
        <w:rPr>
          <w:rFonts w:hint="eastAsia" w:hAnsi="宋体" w:cs="宋体"/>
          <w:color w:val="auto"/>
          <w:sz w:val="24"/>
          <w:szCs w:val="24"/>
        </w:rPr>
        <w:t>的规定同意延长的期限内提供部分或全部货物；</w:t>
      </w:r>
    </w:p>
    <w:p>
      <w:pPr>
        <w:pStyle w:val="39"/>
        <w:pageBreakBefore w:val="0"/>
        <w:numPr>
          <w:ilvl w:val="2"/>
          <w:numId w:val="16"/>
        </w:numPr>
        <w:tabs>
          <w:tab w:val="left" w:pos="1701"/>
        </w:tabs>
        <w:kinsoku/>
        <w:overflowPunct/>
        <w:topLinePunct w:val="0"/>
        <w:bidi w:val="0"/>
        <w:snapToGrid w:val="0"/>
        <w:spacing w:after="156" w:afterLines="50"/>
        <w:ind w:left="1701" w:hanging="567"/>
        <w:outlineLvl w:val="9"/>
        <w:rPr>
          <w:rFonts w:hAnsi="宋体" w:cs="宋体"/>
          <w:color w:val="auto"/>
          <w:sz w:val="24"/>
          <w:szCs w:val="24"/>
        </w:rPr>
      </w:pPr>
      <w:r>
        <w:rPr>
          <w:rFonts w:hint="eastAsia" w:hAnsi="宋体" w:cs="宋体"/>
          <w:color w:val="auto"/>
          <w:sz w:val="24"/>
          <w:szCs w:val="24"/>
        </w:rPr>
        <w:t>没有买方的书面同意转让合同或将项目的全部或部分分包出去；</w:t>
      </w:r>
    </w:p>
    <w:p>
      <w:pPr>
        <w:pStyle w:val="39"/>
        <w:pageBreakBefore w:val="0"/>
        <w:numPr>
          <w:ilvl w:val="2"/>
          <w:numId w:val="16"/>
        </w:numPr>
        <w:tabs>
          <w:tab w:val="left" w:pos="1701"/>
        </w:tabs>
        <w:kinsoku/>
        <w:overflowPunct/>
        <w:topLinePunct w:val="0"/>
        <w:bidi w:val="0"/>
        <w:snapToGrid w:val="0"/>
        <w:spacing w:after="156" w:afterLines="50"/>
        <w:ind w:left="1701" w:hanging="567"/>
        <w:outlineLvl w:val="9"/>
        <w:rPr>
          <w:rFonts w:hAnsi="宋体" w:cs="宋体"/>
          <w:color w:val="auto"/>
          <w:sz w:val="24"/>
          <w:szCs w:val="24"/>
        </w:rPr>
      </w:pPr>
      <w:r>
        <w:rPr>
          <w:rFonts w:hint="eastAsia" w:hAnsi="宋体" w:cs="宋体"/>
          <w:color w:val="auto"/>
          <w:sz w:val="24"/>
          <w:szCs w:val="24"/>
        </w:rPr>
        <w:t>由于卖方违约而导致卖方支付违约金达到合同条款</w:t>
      </w:r>
      <w:r>
        <w:rPr>
          <w:color w:val="auto"/>
        </w:rPr>
        <w:fldChar w:fldCharType="begin"/>
      </w:r>
      <w:r>
        <w:rPr>
          <w:color w:val="auto"/>
        </w:rPr>
        <w:instrText xml:space="preserve"> REF _Ref426373961 \r \h  \* MERGEFORMAT </w:instrText>
      </w:r>
      <w:r>
        <w:rPr>
          <w:color w:val="auto"/>
        </w:rPr>
        <w:fldChar w:fldCharType="separate"/>
      </w:r>
      <w:r>
        <w:rPr>
          <w:rFonts w:hAnsi="宋体" w:cs="宋体"/>
          <w:color w:val="auto"/>
          <w:sz w:val="24"/>
          <w:szCs w:val="24"/>
        </w:rPr>
        <w:t>18</w:t>
      </w:r>
      <w:r>
        <w:rPr>
          <w:rFonts w:hAnsi="宋体" w:cs="宋体"/>
          <w:color w:val="auto"/>
          <w:sz w:val="24"/>
          <w:szCs w:val="24"/>
        </w:rPr>
        <w:fldChar w:fldCharType="end"/>
      </w:r>
      <w:r>
        <w:rPr>
          <w:rFonts w:hint="eastAsia" w:hAnsi="宋体" w:cs="宋体"/>
          <w:color w:val="auto"/>
          <w:sz w:val="24"/>
          <w:szCs w:val="24"/>
        </w:rPr>
        <w:t>条[索赔]规定的限额。</w:t>
      </w:r>
    </w:p>
    <w:p>
      <w:pPr>
        <w:pStyle w:val="39"/>
        <w:pageBreakBefore w:val="0"/>
        <w:numPr>
          <w:ilvl w:val="2"/>
          <w:numId w:val="16"/>
        </w:numPr>
        <w:tabs>
          <w:tab w:val="left" w:pos="1701"/>
        </w:tabs>
        <w:kinsoku/>
        <w:overflowPunct/>
        <w:topLinePunct w:val="0"/>
        <w:bidi w:val="0"/>
        <w:snapToGrid w:val="0"/>
        <w:spacing w:after="156" w:afterLines="50"/>
        <w:ind w:left="1701" w:hanging="567"/>
        <w:outlineLvl w:val="9"/>
        <w:rPr>
          <w:rFonts w:hAnsi="宋体" w:cs="宋体"/>
          <w:color w:val="auto"/>
          <w:sz w:val="24"/>
          <w:szCs w:val="24"/>
        </w:rPr>
      </w:pPr>
      <w:r>
        <w:rPr>
          <w:rFonts w:hint="eastAsia" w:hAnsi="宋体" w:cs="宋体"/>
          <w:color w:val="auto"/>
          <w:sz w:val="24"/>
          <w:szCs w:val="24"/>
        </w:rPr>
        <w:t>如果卖方未能履行合同规定的其它任何义务。</w:t>
      </w:r>
    </w:p>
    <w:p>
      <w:pPr>
        <w:pStyle w:val="39"/>
        <w:pageBreakBefore w:val="0"/>
        <w:numPr>
          <w:ilvl w:val="2"/>
          <w:numId w:val="16"/>
        </w:numPr>
        <w:tabs>
          <w:tab w:val="left" w:pos="1701"/>
        </w:tabs>
        <w:kinsoku/>
        <w:overflowPunct/>
        <w:topLinePunct w:val="0"/>
        <w:bidi w:val="0"/>
        <w:snapToGrid w:val="0"/>
        <w:spacing w:after="156" w:afterLines="50"/>
        <w:ind w:left="1701" w:hanging="567"/>
        <w:outlineLvl w:val="9"/>
        <w:rPr>
          <w:rFonts w:hAnsi="宋体" w:cs="宋体"/>
          <w:color w:val="auto"/>
          <w:sz w:val="24"/>
          <w:szCs w:val="24"/>
        </w:rPr>
      </w:pPr>
      <w:r>
        <w:rPr>
          <w:rFonts w:hint="eastAsia" w:hAnsi="宋体" w:cs="宋体"/>
          <w:color w:val="auto"/>
          <w:sz w:val="24"/>
          <w:szCs w:val="24"/>
        </w:rPr>
        <w:t>如果买方认为卖方在本合同的竞争和实施过程中有腐败和欺诈行为。为此目的，定义下述条件：</w:t>
      </w:r>
    </w:p>
    <w:p>
      <w:pPr>
        <w:pStyle w:val="39"/>
        <w:pageBreakBefore w:val="0"/>
        <w:kinsoku/>
        <w:overflowPunct/>
        <w:topLinePunct w:val="0"/>
        <w:bidi w:val="0"/>
        <w:snapToGrid w:val="0"/>
        <w:spacing w:after="156" w:afterLines="50"/>
        <w:ind w:left="2267" w:leftChars="810" w:hanging="566" w:hangingChars="236"/>
        <w:outlineLvl w:val="9"/>
        <w:rPr>
          <w:rFonts w:hAnsi="宋体" w:cs="宋体"/>
          <w:color w:val="auto"/>
          <w:sz w:val="24"/>
          <w:szCs w:val="24"/>
        </w:rPr>
      </w:pPr>
      <w:r>
        <w:rPr>
          <w:rFonts w:hint="eastAsia" w:hAnsi="宋体" w:cs="宋体"/>
          <w:color w:val="auto"/>
          <w:sz w:val="24"/>
          <w:szCs w:val="24"/>
        </w:rPr>
        <w:t>a)</w:t>
      </w:r>
      <w:r>
        <w:rPr>
          <w:rFonts w:hint="eastAsia" w:hAnsi="宋体" w:cs="宋体"/>
          <w:color w:val="auto"/>
          <w:sz w:val="24"/>
          <w:szCs w:val="24"/>
        </w:rPr>
        <w:tab/>
      </w:r>
      <w:r>
        <w:rPr>
          <w:rFonts w:hint="eastAsia" w:hAnsi="宋体" w:cs="宋体"/>
          <w:color w:val="auto"/>
          <w:sz w:val="24"/>
          <w:szCs w:val="24"/>
        </w:rPr>
        <w:t>“腐败行为”是指提供、给予、接受或索取任何有价值的物品来影响买方在采购过程或合同实施过程中的行为。</w:t>
      </w:r>
    </w:p>
    <w:p>
      <w:pPr>
        <w:pStyle w:val="39"/>
        <w:pageBreakBefore w:val="0"/>
        <w:kinsoku/>
        <w:overflowPunct/>
        <w:topLinePunct w:val="0"/>
        <w:bidi w:val="0"/>
        <w:snapToGrid w:val="0"/>
        <w:spacing w:after="156" w:afterLines="50"/>
        <w:ind w:left="2267" w:leftChars="810" w:hanging="566" w:hangingChars="236"/>
        <w:outlineLvl w:val="9"/>
        <w:rPr>
          <w:rFonts w:hAnsi="宋体" w:cs="宋体"/>
          <w:color w:val="auto"/>
          <w:sz w:val="24"/>
          <w:szCs w:val="24"/>
        </w:rPr>
      </w:pPr>
      <w:r>
        <w:rPr>
          <w:rFonts w:hint="eastAsia" w:hAnsi="宋体" w:cs="宋体"/>
          <w:color w:val="auto"/>
          <w:sz w:val="24"/>
          <w:szCs w:val="24"/>
        </w:rPr>
        <w:t>b)</w:t>
      </w:r>
      <w:r>
        <w:rPr>
          <w:rFonts w:hint="eastAsia" w:hAnsi="宋体" w:cs="宋体"/>
          <w:color w:val="auto"/>
          <w:sz w:val="24"/>
          <w:szCs w:val="24"/>
        </w:rPr>
        <w:tab/>
      </w:r>
      <w:r>
        <w:rPr>
          <w:rFonts w:hint="eastAsia" w:hAnsi="宋体" w:cs="宋体"/>
          <w:color w:val="auto"/>
          <w:sz w:val="24"/>
          <w:szCs w:val="24"/>
        </w:rPr>
        <w:t>“欺诈行为”是指为了影响采购过程或合同实施过程而谎报或隐瞒事实，损害买方利益的行为。</w:t>
      </w:r>
    </w:p>
    <w:p>
      <w:pPr>
        <w:pStyle w:val="39"/>
        <w:pageBreakBefore w:val="0"/>
        <w:kinsoku/>
        <w:overflowPunct/>
        <w:topLinePunct w:val="0"/>
        <w:bidi w:val="0"/>
        <w:snapToGrid w:val="0"/>
        <w:spacing w:after="156" w:afterLines="50"/>
        <w:ind w:left="1132" w:leftChars="539"/>
        <w:outlineLvl w:val="9"/>
        <w:rPr>
          <w:rFonts w:hAnsi="宋体" w:cs="宋体"/>
          <w:color w:val="auto"/>
          <w:sz w:val="24"/>
          <w:szCs w:val="24"/>
        </w:rPr>
      </w:pPr>
      <w:r>
        <w:rPr>
          <w:rFonts w:hint="eastAsia" w:hAnsi="宋体" w:cs="宋体"/>
          <w:color w:val="auto"/>
          <w:sz w:val="24"/>
          <w:szCs w:val="24"/>
        </w:rPr>
        <w:t>买方可在向卖方发出终止通知</w:t>
      </w:r>
      <w:r>
        <w:rPr>
          <w:rFonts w:hint="eastAsia" w:hAnsi="宋体" w:cs="宋体"/>
          <w:i/>
          <w:color w:val="auto"/>
          <w:sz w:val="24"/>
          <w:szCs w:val="24"/>
          <w:u w:val="single"/>
        </w:rPr>
        <w:t xml:space="preserve"> （28） </w:t>
      </w:r>
      <w:r>
        <w:rPr>
          <w:rFonts w:hint="eastAsia" w:hAnsi="宋体" w:cs="宋体"/>
          <w:color w:val="auto"/>
          <w:sz w:val="24"/>
          <w:szCs w:val="24"/>
        </w:rPr>
        <w:t>日后选择终止部分或全部合同。但是，卖方应继续执行合同中未终止的部分。</w:t>
      </w:r>
    </w:p>
    <w:p>
      <w:pPr>
        <w:pStyle w:val="39"/>
        <w:pageBreakBefore w:val="0"/>
        <w:kinsoku/>
        <w:overflowPunct/>
        <w:topLinePunct w:val="0"/>
        <w:bidi w:val="0"/>
        <w:snapToGrid w:val="0"/>
        <w:spacing w:after="156" w:afterLines="50"/>
        <w:ind w:left="1132" w:leftChars="539"/>
        <w:outlineLvl w:val="9"/>
        <w:rPr>
          <w:rFonts w:hAnsi="宋体" w:cs="宋体"/>
          <w:color w:val="auto"/>
          <w:sz w:val="24"/>
          <w:szCs w:val="24"/>
        </w:rPr>
      </w:pPr>
      <w:r>
        <w:rPr>
          <w:rFonts w:hint="eastAsia" w:hAnsi="宋体" w:cs="宋体"/>
          <w:color w:val="auto"/>
          <w:sz w:val="24"/>
          <w:szCs w:val="24"/>
        </w:rPr>
        <w:t>合同全部或部分终止后，买方可自己或委托第三方完成被终止部分内容，卖方须向买方补偿因此造成的全部直接费用。</w:t>
      </w:r>
    </w:p>
    <w:p>
      <w:pPr>
        <w:pStyle w:val="39"/>
        <w:pageBreakBefore w:val="0"/>
        <w:kinsoku/>
        <w:overflowPunct/>
        <w:topLinePunct w:val="0"/>
        <w:bidi w:val="0"/>
        <w:snapToGrid w:val="0"/>
        <w:spacing w:after="156" w:afterLines="50"/>
        <w:ind w:left="1132" w:leftChars="539"/>
        <w:outlineLvl w:val="9"/>
        <w:rPr>
          <w:rFonts w:hAnsi="宋体" w:cs="宋体"/>
          <w:color w:val="auto"/>
          <w:sz w:val="24"/>
          <w:szCs w:val="24"/>
        </w:rPr>
      </w:pPr>
      <w:r>
        <w:rPr>
          <w:rFonts w:hint="eastAsia" w:hAnsi="宋体" w:cs="宋体"/>
          <w:color w:val="auto"/>
          <w:sz w:val="24"/>
          <w:szCs w:val="24"/>
        </w:rPr>
        <w:t>合同终止后，并不能免除合同当事人根据合同规定应当承担的支付违约金的义务。</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如果买方根据上述第</w:t>
      </w:r>
      <w:r>
        <w:rPr>
          <w:color w:val="auto"/>
        </w:rPr>
        <w:fldChar w:fldCharType="begin"/>
      </w:r>
      <w:r>
        <w:rPr>
          <w:color w:val="auto"/>
        </w:rPr>
        <w:instrText xml:space="preserve"> REF _Ref426364930 \r \h  \* MERGEFORMAT </w:instrText>
      </w:r>
      <w:r>
        <w:rPr>
          <w:color w:val="auto"/>
        </w:rPr>
        <w:fldChar w:fldCharType="separate"/>
      </w:r>
      <w:r>
        <w:rPr>
          <w:rFonts w:ascii="宋体" w:hAnsi="宋体" w:cs="黑体"/>
          <w:color w:val="auto"/>
          <w:kern w:val="0"/>
          <w:sz w:val="24"/>
        </w:rPr>
        <w:t>27.1</w:t>
      </w:r>
      <w:r>
        <w:rPr>
          <w:rFonts w:ascii="宋体" w:hAnsi="宋体" w:cs="黑体"/>
          <w:color w:val="auto"/>
          <w:kern w:val="0"/>
          <w:sz w:val="24"/>
        </w:rPr>
        <w:fldChar w:fldCharType="end"/>
      </w:r>
      <w:r>
        <w:rPr>
          <w:rFonts w:hint="eastAsia" w:ascii="宋体" w:hAnsi="宋体" w:cs="黑体"/>
          <w:color w:val="auto"/>
          <w:kern w:val="0"/>
          <w:sz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70" w:name="_Ref426364863"/>
      <w:bookmarkStart w:id="171" w:name="_Toc45099911"/>
      <w:r>
        <w:rPr>
          <w:rFonts w:hint="eastAsia" w:ascii="黑体" w:hAnsi="宋体" w:eastAsia="黑体" w:cs="黑体"/>
          <w:color w:val="auto"/>
          <w:kern w:val="0"/>
          <w:sz w:val="24"/>
        </w:rPr>
        <w:t>不可抗力</w:t>
      </w:r>
      <w:bookmarkEnd w:id="170"/>
      <w:bookmarkEnd w:id="171"/>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受阻一方应在不可抗力事件发生后尽快用电报、传真或电传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72" w:name="_Toc45099912"/>
      <w:r>
        <w:rPr>
          <w:rFonts w:hint="eastAsia" w:ascii="黑体" w:hAnsi="宋体" w:eastAsia="黑体" w:cs="黑体"/>
          <w:color w:val="auto"/>
          <w:kern w:val="0"/>
          <w:sz w:val="24"/>
        </w:rPr>
        <w:t>因破产而终止合同</w:t>
      </w:r>
      <w:bookmarkEnd w:id="172"/>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73" w:name="_Toc45099913"/>
      <w:r>
        <w:rPr>
          <w:rFonts w:hint="eastAsia" w:ascii="黑体" w:hAnsi="宋体" w:eastAsia="黑体" w:cs="黑体"/>
          <w:color w:val="auto"/>
          <w:kern w:val="0"/>
          <w:sz w:val="24"/>
        </w:rPr>
        <w:t>因买方的便利而终止合同</w:t>
      </w:r>
      <w:bookmarkEnd w:id="173"/>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买方可在任何时候出于自身的便利向卖方发出书面通知全部或部分终止合同，终止通知应明确该终止合同是出于买方的便利，并明确合同终止的程度，以及终止的生效日期。</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对卖方在收到终止通知后28日内已完成并准备装运的货物，买方应按原合同价格和条款予以接收，对于剩余的货物，买方可：</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rPr>
        <w:tab/>
      </w:r>
      <w:r>
        <w:rPr>
          <w:rFonts w:hint="eastAsia" w:hAnsi="宋体" w:cs="宋体"/>
          <w:color w:val="auto"/>
          <w:sz w:val="24"/>
          <w:szCs w:val="24"/>
        </w:rPr>
        <w:t>仅对部分货物按照原来的合同价格和条款予以接受；或</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2)</w:t>
      </w:r>
      <w:r>
        <w:rPr>
          <w:rFonts w:hint="eastAsia" w:hAnsi="宋体" w:cs="宋体"/>
          <w:color w:val="auto"/>
          <w:sz w:val="24"/>
          <w:szCs w:val="24"/>
        </w:rPr>
        <w:tab/>
      </w:r>
      <w:r>
        <w:rPr>
          <w:rFonts w:hint="eastAsia" w:hAnsi="宋体" w:cs="宋体"/>
          <w:color w:val="auto"/>
          <w:sz w:val="24"/>
          <w:szCs w:val="24"/>
        </w:rPr>
        <w:t>取消对剩余货物的采购，并按双方商定的金额向卖方支付部分完成的货物和服务以及卖方以前已采购的材料和部件的费用。</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74" w:name="_Toc45099914"/>
      <w:r>
        <w:rPr>
          <w:rFonts w:hint="eastAsia" w:ascii="黑体" w:hAnsi="宋体" w:eastAsia="黑体" w:cs="黑体"/>
          <w:color w:val="auto"/>
          <w:kern w:val="0"/>
          <w:sz w:val="24"/>
        </w:rPr>
        <w:t>争议的解决</w:t>
      </w:r>
      <w:bookmarkEnd w:id="174"/>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合同实施或与合同有关的一切争议应通过双方协商解决。如果协商开始后56日还不能解决，争议可约定下列第</w:t>
      </w:r>
      <w:r>
        <w:rPr>
          <w:rFonts w:hint="eastAsia" w:ascii="宋体" w:hAnsi="宋体" w:cs="黑体"/>
          <w:i/>
          <w:color w:val="auto"/>
          <w:kern w:val="0"/>
          <w:sz w:val="24"/>
          <w:u w:val="single"/>
        </w:rPr>
        <w:t xml:space="preserve"> （1</w:t>
      </w:r>
      <w:r>
        <w:rPr>
          <w:rFonts w:ascii="宋体" w:hAnsi="宋体" w:cs="黑体"/>
          <w:i/>
          <w:color w:val="auto"/>
          <w:kern w:val="0"/>
          <w:sz w:val="24"/>
          <w:u w:val="single"/>
        </w:rPr>
        <w:t>）</w:t>
      </w:r>
      <w:r>
        <w:rPr>
          <w:rFonts w:hint="eastAsia" w:ascii="宋体" w:hAnsi="宋体" w:cs="黑体"/>
          <w:i/>
          <w:color w:val="auto"/>
          <w:kern w:val="0"/>
          <w:sz w:val="24"/>
          <w:u w:val="single"/>
        </w:rPr>
        <w:t xml:space="preserve">/(2) </w:t>
      </w:r>
      <w:r>
        <w:rPr>
          <w:rFonts w:hint="eastAsia" w:ascii="宋体" w:hAnsi="宋体" w:cs="黑体"/>
          <w:color w:val="auto"/>
          <w:kern w:val="0"/>
          <w:sz w:val="24"/>
        </w:rPr>
        <w:t>方式解决：</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（1）向</w:t>
      </w:r>
      <w:r>
        <w:rPr>
          <w:rFonts w:hint="eastAsia" w:hAnsi="宋体" w:cs="宋体"/>
          <w:color w:val="auto"/>
          <w:sz w:val="24"/>
          <w:szCs w:val="24"/>
          <w:u w:val="single"/>
        </w:rPr>
        <w:t xml:space="preserve">        </w:t>
      </w:r>
      <w:r>
        <w:rPr>
          <w:rFonts w:hint="eastAsia" w:hAnsi="宋体" w:cs="宋体"/>
          <w:color w:val="auto"/>
          <w:sz w:val="24"/>
          <w:szCs w:val="24"/>
        </w:rPr>
        <w:t>仲裁委员会申请仲裁。</w:t>
      </w:r>
    </w:p>
    <w:p>
      <w:pPr>
        <w:pStyle w:val="39"/>
        <w:pageBreakBefore w:val="0"/>
        <w:kinsoku/>
        <w:overflowPunct/>
        <w:topLinePunct w:val="0"/>
        <w:bidi w:val="0"/>
        <w:snapToGrid w:val="0"/>
        <w:spacing w:after="156" w:afterLines="50"/>
        <w:ind w:left="1700" w:leftChars="540" w:hanging="566" w:hangingChars="236"/>
        <w:outlineLvl w:val="9"/>
        <w:rPr>
          <w:rFonts w:hAnsi="宋体" w:cs="宋体"/>
          <w:color w:val="auto"/>
          <w:sz w:val="24"/>
          <w:szCs w:val="24"/>
        </w:rPr>
      </w:pPr>
      <w:r>
        <w:rPr>
          <w:rFonts w:hint="eastAsia" w:hAnsi="宋体" w:cs="宋体"/>
          <w:color w:val="auto"/>
          <w:sz w:val="24"/>
          <w:szCs w:val="24"/>
        </w:rPr>
        <w:t>（2）向甲方所在地的人民法院提起诉讼。</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仲裁费除仲裁机关另有裁决外均应由败诉方负担。</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在仲裁、诉讼期间，除正在进行仲裁、诉讼部分外，本合同其它部分应继续执行。</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75" w:name="_Toc45099915"/>
      <w:r>
        <w:rPr>
          <w:rFonts w:hint="eastAsia" w:ascii="黑体" w:hAnsi="宋体" w:eastAsia="黑体" w:cs="黑体"/>
          <w:color w:val="auto"/>
          <w:kern w:val="0"/>
          <w:sz w:val="24"/>
        </w:rPr>
        <w:t>合同语言</w:t>
      </w:r>
      <w:bookmarkEnd w:id="175"/>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除非双方另有约定，本合同语言为中文。</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76" w:name="_Toc45099916"/>
      <w:r>
        <w:rPr>
          <w:rFonts w:hint="eastAsia" w:ascii="黑体" w:hAnsi="宋体" w:eastAsia="黑体" w:cs="黑体"/>
          <w:color w:val="auto"/>
          <w:kern w:val="0"/>
          <w:sz w:val="24"/>
        </w:rPr>
        <w:t>适用法律</w:t>
      </w:r>
      <w:bookmarkEnd w:id="176"/>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本合同应按照中华人民共和国的法律进行解释。</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77" w:name="_Ref426364569"/>
      <w:bookmarkStart w:id="178" w:name="_Toc45099917"/>
      <w:r>
        <w:rPr>
          <w:rFonts w:hint="eastAsia" w:ascii="黑体" w:hAnsi="宋体" w:eastAsia="黑体" w:cs="黑体"/>
          <w:color w:val="auto"/>
          <w:kern w:val="0"/>
          <w:sz w:val="24"/>
        </w:rPr>
        <w:t>通知</w:t>
      </w:r>
      <w:bookmarkEnd w:id="177"/>
      <w:bookmarkEnd w:id="178"/>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本合同一方给对方的通知应采用书面形式送达至第36.3款列明的地址。</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通知以送到日期或通知书的生效日期为生效日期，两者中以晚的一个日期为准。</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79" w:name="_Toc45099918"/>
      <w:r>
        <w:rPr>
          <w:rFonts w:hint="eastAsia" w:ascii="黑体" w:hAnsi="宋体" w:eastAsia="黑体" w:cs="黑体"/>
          <w:color w:val="auto"/>
          <w:kern w:val="0"/>
          <w:sz w:val="24"/>
        </w:rPr>
        <w:t>税费</w:t>
      </w:r>
      <w:bookmarkEnd w:id="179"/>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政府根据现行税法对买方征收的与本合同有关的一切税费均应由买方负担。</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政府根据现行税法对卖方征收的与本合同有关的一切税费均应由卖方负担。</w:t>
      </w:r>
    </w:p>
    <w:p>
      <w:pPr>
        <w:pageBreakBefore w:val="0"/>
        <w:numPr>
          <w:ilvl w:val="0"/>
          <w:numId w:val="14"/>
        </w:numPr>
        <w:kinsoku/>
        <w:overflowPunct/>
        <w:topLinePunct w:val="0"/>
        <w:autoSpaceDE w:val="0"/>
        <w:autoSpaceDN w:val="0"/>
        <w:bidi w:val="0"/>
        <w:adjustRightInd w:val="0"/>
        <w:spacing w:after="156" w:afterLines="50"/>
        <w:outlineLvl w:val="9"/>
        <w:rPr>
          <w:rFonts w:ascii="黑体" w:hAnsi="宋体" w:eastAsia="黑体" w:cs="黑体"/>
          <w:color w:val="auto"/>
          <w:kern w:val="0"/>
          <w:sz w:val="24"/>
        </w:rPr>
      </w:pPr>
      <w:bookmarkStart w:id="180" w:name="_Toc45099919"/>
      <w:r>
        <w:rPr>
          <w:rFonts w:hint="eastAsia" w:ascii="黑体" w:hAnsi="宋体" w:eastAsia="黑体" w:cs="黑体"/>
          <w:color w:val="auto"/>
          <w:kern w:val="0"/>
          <w:sz w:val="24"/>
        </w:rPr>
        <w:t>合同生效及其他</w:t>
      </w:r>
      <w:bookmarkEnd w:id="180"/>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本合同应在双方签字和买方收到卖方提交的合格的履约保证后生效。</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合同份数：买方正本 1 份，副本  份；卖方正本 1 份，副本  份。</w:t>
      </w:r>
    </w:p>
    <w:p>
      <w:pPr>
        <w:pageBreakBefore w:val="0"/>
        <w:numPr>
          <w:ilvl w:val="1"/>
          <w:numId w:val="14"/>
        </w:numPr>
        <w:kinsoku/>
        <w:overflowPunct/>
        <w:topLinePunct w:val="0"/>
        <w:autoSpaceDE w:val="0"/>
        <w:autoSpaceDN w:val="0"/>
        <w:bidi w:val="0"/>
        <w:adjustRightInd w:val="0"/>
        <w:spacing w:after="156" w:afterLines="50"/>
        <w:outlineLvl w:val="9"/>
        <w:rPr>
          <w:rFonts w:ascii="宋体" w:hAnsi="宋体" w:cs="黑体"/>
          <w:color w:val="auto"/>
          <w:kern w:val="0"/>
          <w:sz w:val="24"/>
        </w:rPr>
      </w:pPr>
      <w:r>
        <w:rPr>
          <w:rFonts w:hint="eastAsia" w:ascii="宋体" w:hAnsi="宋体" w:cs="黑体"/>
          <w:color w:val="auto"/>
          <w:kern w:val="0"/>
          <w:sz w:val="24"/>
        </w:rPr>
        <w:t>双方当事人之间的一切联络往来应以书面形式按以下地址进行：</w:t>
      </w:r>
    </w:p>
    <w:p>
      <w:pPr>
        <w:pageBreakBefore w:val="0"/>
        <w:kinsoku/>
        <w:overflowPunct/>
        <w:topLinePunct w:val="0"/>
        <w:autoSpaceDE w:val="0"/>
        <w:autoSpaceDN w:val="0"/>
        <w:bidi w:val="0"/>
        <w:adjustRightInd w:val="0"/>
        <w:spacing w:after="156" w:afterLines="50"/>
        <w:ind w:left="1134" w:leftChars="540"/>
        <w:outlineLvl w:val="9"/>
        <w:rPr>
          <w:rFonts w:ascii="宋体" w:hAnsi="宋体" w:cs="黑体"/>
          <w:color w:val="auto"/>
          <w:kern w:val="0"/>
          <w:sz w:val="24"/>
        </w:rPr>
      </w:pPr>
      <w:r>
        <w:rPr>
          <w:rFonts w:hint="eastAsia" w:ascii="宋体" w:hAnsi="宋体" w:cs="黑体"/>
          <w:color w:val="auto"/>
          <w:kern w:val="0"/>
          <w:sz w:val="24"/>
        </w:rPr>
        <w:t>买    方：</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地    址： ____________________________________</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邮    编： ____________________________________</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传    真： ____________________________________</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电    话： ____________________________________</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电子邮件： ____________________________________</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联 系 人： ____________________________________</w:t>
      </w:r>
    </w:p>
    <w:p>
      <w:pPr>
        <w:pageBreakBefore w:val="0"/>
        <w:kinsoku/>
        <w:overflowPunct/>
        <w:topLinePunct w:val="0"/>
        <w:autoSpaceDE w:val="0"/>
        <w:autoSpaceDN w:val="0"/>
        <w:bidi w:val="0"/>
        <w:adjustRightInd w:val="0"/>
        <w:spacing w:after="156" w:afterLines="50"/>
        <w:ind w:left="1134" w:leftChars="540"/>
        <w:outlineLvl w:val="9"/>
        <w:rPr>
          <w:rFonts w:ascii="宋体" w:hAnsi="宋体" w:cs="黑体"/>
          <w:color w:val="auto"/>
          <w:kern w:val="0"/>
          <w:sz w:val="24"/>
        </w:rPr>
      </w:pPr>
    </w:p>
    <w:p>
      <w:pPr>
        <w:pageBreakBefore w:val="0"/>
        <w:kinsoku/>
        <w:overflowPunct/>
        <w:topLinePunct w:val="0"/>
        <w:bidi w:val="0"/>
        <w:outlineLvl w:val="9"/>
        <w:rPr>
          <w:rFonts w:ascii="宋体" w:hAnsi="宋体" w:cs="黑体"/>
          <w:color w:val="auto"/>
          <w:kern w:val="0"/>
          <w:sz w:val="24"/>
        </w:rPr>
      </w:pPr>
      <w:r>
        <w:rPr>
          <w:rFonts w:hint="eastAsia" w:ascii="宋体" w:hAnsi="宋体" w:cs="黑体"/>
          <w:color w:val="auto"/>
          <w:kern w:val="0"/>
          <w:sz w:val="24"/>
        </w:rPr>
        <w:br w:type="page"/>
      </w:r>
    </w:p>
    <w:p>
      <w:pPr>
        <w:pageBreakBefore w:val="0"/>
        <w:kinsoku/>
        <w:overflowPunct/>
        <w:topLinePunct w:val="0"/>
        <w:autoSpaceDE w:val="0"/>
        <w:autoSpaceDN w:val="0"/>
        <w:bidi w:val="0"/>
        <w:adjustRightInd w:val="0"/>
        <w:spacing w:after="156" w:afterLines="50"/>
        <w:ind w:left="1134" w:leftChars="540"/>
        <w:outlineLvl w:val="9"/>
        <w:rPr>
          <w:rFonts w:ascii="宋体" w:hAnsi="宋体" w:cs="黑体"/>
          <w:color w:val="auto"/>
          <w:kern w:val="0"/>
          <w:sz w:val="24"/>
        </w:rPr>
      </w:pPr>
      <w:r>
        <w:rPr>
          <w:rFonts w:hint="eastAsia" w:ascii="宋体" w:hAnsi="宋体" w:cs="黑体"/>
          <w:color w:val="auto"/>
          <w:kern w:val="0"/>
          <w:sz w:val="24"/>
        </w:rPr>
        <w:t>卖    方：</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地    址： ____________________________________</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邮    编： ____________________________________</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传    真： ____________________________________</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电    话： ____________________________________</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电子邮件： ____________________________________</w:t>
      </w:r>
    </w:p>
    <w:p>
      <w:pPr>
        <w:pageBreakBefore w:val="0"/>
        <w:kinsoku/>
        <w:overflowPunct/>
        <w:topLinePunct w:val="0"/>
        <w:autoSpaceDE w:val="0"/>
        <w:autoSpaceDN w:val="0"/>
        <w:bidi w:val="0"/>
        <w:adjustRightInd w:val="0"/>
        <w:spacing w:after="156" w:afterLines="50"/>
        <w:ind w:left="2268" w:leftChars="1080"/>
        <w:outlineLvl w:val="9"/>
        <w:rPr>
          <w:rFonts w:ascii="宋体" w:hAnsi="宋体" w:cs="黑体"/>
          <w:color w:val="auto"/>
          <w:kern w:val="0"/>
          <w:sz w:val="24"/>
        </w:rPr>
      </w:pPr>
      <w:r>
        <w:rPr>
          <w:rFonts w:hint="eastAsia" w:ascii="宋体" w:hAnsi="宋体" w:cs="黑体"/>
          <w:color w:val="auto"/>
          <w:kern w:val="0"/>
          <w:sz w:val="24"/>
        </w:rPr>
        <w:t>联 系 人： ____________________________________</w:t>
      </w:r>
    </w:p>
    <w:p>
      <w:pPr>
        <w:pStyle w:val="39"/>
        <w:pageBreakBefore w:val="0"/>
        <w:kinsoku/>
        <w:overflowPunct/>
        <w:topLinePunct w:val="0"/>
        <w:bidi w:val="0"/>
        <w:snapToGrid w:val="0"/>
        <w:spacing w:after="156" w:afterLines="50"/>
        <w:jc w:val="center"/>
        <w:outlineLvl w:val="9"/>
        <w:rPr>
          <w:rFonts w:hAnsi="宋体" w:cs="宋体"/>
          <w:b/>
          <w:bCs/>
          <w:color w:val="auto"/>
          <w:sz w:val="30"/>
          <w:szCs w:val="30"/>
        </w:rPr>
      </w:pPr>
      <w:r>
        <w:rPr>
          <w:rFonts w:hAnsi="宋体" w:cs="宋体"/>
          <w:color w:val="auto"/>
          <w:sz w:val="24"/>
          <w:szCs w:val="24"/>
        </w:rPr>
        <w:br w:type="page"/>
      </w:r>
      <w:r>
        <w:rPr>
          <w:rFonts w:hint="eastAsia" w:hAnsi="宋体" w:cs="宋体"/>
          <w:b/>
          <w:bCs/>
          <w:color w:val="auto"/>
          <w:sz w:val="30"/>
          <w:szCs w:val="30"/>
        </w:rPr>
        <w:t>（三）合同附件格式</w:t>
      </w:r>
    </w:p>
    <w:p>
      <w:pPr>
        <w:pageBreakBefore w:val="0"/>
        <w:kinsoku/>
        <w:overflowPunct/>
        <w:topLinePunct w:val="0"/>
        <w:bidi w:val="0"/>
        <w:spacing w:line="360" w:lineRule="auto"/>
        <w:jc w:val="center"/>
        <w:outlineLvl w:val="9"/>
        <w:rPr>
          <w:rFonts w:ascii="仿宋_GB2312" w:hAnsi="仿宋_GB2312" w:eastAsia="仿宋_GB2312" w:cs="宋体"/>
          <w:color w:val="auto"/>
          <w:kern w:val="0"/>
        </w:rPr>
      </w:pPr>
      <w:bookmarkStart w:id="181" w:name="_Toc45099921"/>
      <w:r>
        <w:rPr>
          <w:rFonts w:hint="eastAsia" w:ascii="仿宋_GB2312" w:hAnsi="仿宋_GB2312" w:eastAsia="仿宋_GB2312" w:cs="宋体"/>
          <w:color w:val="auto"/>
          <w:kern w:val="0"/>
        </w:rPr>
        <w:t>履约保证金保函（格式）</w:t>
      </w:r>
      <w:bookmarkEnd w:id="181"/>
    </w:p>
    <w:p>
      <w:pPr>
        <w:pageBreakBefore w:val="0"/>
        <w:kinsoku/>
        <w:overflowPunct/>
        <w:topLinePunct w:val="0"/>
        <w:bidi w:val="0"/>
        <w:spacing w:line="360" w:lineRule="auto"/>
        <w:outlineLvl w:val="9"/>
        <w:rPr>
          <w:rFonts w:ascii="仿宋_GB2312" w:hAnsi="仿宋_GB2312" w:eastAsia="仿宋_GB2312" w:cs="宋体"/>
          <w:b/>
          <w:color w:val="auto"/>
          <w:kern w:val="0"/>
        </w:rPr>
      </w:pPr>
      <w:r>
        <w:rPr>
          <w:rFonts w:hint="eastAsia" w:ascii="仿宋_GB2312" w:hAnsi="仿宋_GB2312" w:eastAsia="仿宋_GB2312" w:cs="宋体"/>
          <w:color w:val="auto"/>
          <w:kern w:val="0"/>
        </w:rPr>
        <w:t>编号：</w:t>
      </w:r>
      <w:r>
        <w:rPr>
          <w:rFonts w:hint="eastAsia" w:ascii="仿宋_GB2312" w:hAnsi="仿宋_GB2312" w:eastAsia="仿宋_GB2312" w:cs="宋体"/>
          <w:color w:val="auto"/>
          <w:kern w:val="0"/>
          <w:u w:val="single"/>
        </w:rPr>
        <w:t xml:space="preserve">              </w:t>
      </w:r>
    </w:p>
    <w:p>
      <w:pPr>
        <w:pageBreakBefore w:val="0"/>
        <w:kinsoku/>
        <w:overflowPunct/>
        <w:topLinePunct w:val="0"/>
        <w:bidi w:val="0"/>
        <w:spacing w:before="156" w:beforeLines="50" w:line="360" w:lineRule="auto"/>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8"/>
          <w:szCs w:val="28"/>
        </w:rPr>
        <w:t xml:space="preserve"> </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 xml:space="preserve">（采购人）： </w:t>
      </w:r>
    </w:p>
    <w:p>
      <w:pPr>
        <w:pageBreakBefore w:val="0"/>
        <w:kinsoku/>
        <w:overflowPunct/>
        <w:topLinePunct w:val="0"/>
        <w:bidi w:val="0"/>
        <w:spacing w:before="156" w:beforeLines="50"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鉴于你方与</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（以下简称供应商）于</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年</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月</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日签定编号为</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的《</w:t>
      </w:r>
      <w:r>
        <w:rPr>
          <w:rFonts w:hint="eastAsia" w:ascii="仿宋_GB2312" w:hAnsi="仿宋_GB2312" w:eastAsia="仿宋_GB2312" w:cs="宋体"/>
          <w:color w:val="auto"/>
          <w:kern w:val="0"/>
          <w:sz w:val="24"/>
          <w:szCs w:val="28"/>
          <w:u w:val="single"/>
        </w:rPr>
        <w:t xml:space="preserve">      政府采购</w:t>
      </w:r>
      <w:r>
        <w:rPr>
          <w:rFonts w:hint="eastAsia" w:ascii="仿宋_GB2312" w:hAnsi="仿宋_GB2312" w:eastAsia="仿宋_GB2312" w:cs="宋体"/>
          <w:color w:val="auto"/>
          <w:kern w:val="0"/>
          <w:sz w:val="24"/>
          <w:szCs w:val="28"/>
        </w:rPr>
        <w:t>合同》（以下简称主合同），且依据该合同的约定，供应商应在</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年</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月</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日前向你方交纳履约保证金，且可以履约保证金函的形式交纳履约保证金。应供应商的申请，我方以保证的方式向你方提供如下履约保证金担保：</w:t>
      </w:r>
    </w:p>
    <w:p>
      <w:pPr>
        <w:pageBreakBefore w:val="0"/>
        <w:kinsoku/>
        <w:overflowPunct/>
        <w:topLinePunct w:val="0"/>
        <w:bidi w:val="0"/>
        <w:spacing w:line="360" w:lineRule="auto"/>
        <w:ind w:firstLine="482" w:firstLineChars="200"/>
        <w:outlineLvl w:val="9"/>
        <w:rPr>
          <w:rFonts w:ascii="仿宋_GB2312" w:hAnsi="仿宋_GB2312" w:eastAsia="仿宋_GB2312" w:cs="宋体"/>
          <w:b/>
          <w:color w:val="auto"/>
          <w:kern w:val="0"/>
          <w:sz w:val="24"/>
          <w:szCs w:val="28"/>
        </w:rPr>
      </w:pPr>
      <w:r>
        <w:rPr>
          <w:rFonts w:hint="eastAsia" w:ascii="仿宋_GB2312" w:hAnsi="仿宋_GB2312" w:eastAsia="仿宋_GB2312" w:cs="宋体"/>
          <w:b/>
          <w:color w:val="auto"/>
          <w:kern w:val="0"/>
          <w:sz w:val="24"/>
          <w:szCs w:val="28"/>
        </w:rPr>
        <w:t>一、保证责任的情形及保证金额</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（一）在供应商出现下列情形之一时，我方承担保证责任：</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1．将成交项目转让给他人，或者在响应文件中未说明，且未经采购人同意，将成交项目分包给他人的；</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 xml:space="preserve">2．主合同约定的应当缴纳履约保证金的情形: </w:t>
      </w:r>
    </w:p>
    <w:p>
      <w:pPr>
        <w:pageBreakBefore w:val="0"/>
        <w:kinsoku/>
        <w:overflowPunct/>
        <w:topLinePunct w:val="0"/>
        <w:bidi w:val="0"/>
        <w:spacing w:line="360" w:lineRule="auto"/>
        <w:ind w:firstLine="480" w:firstLineChars="200"/>
        <w:outlineLvl w:val="9"/>
        <w:rPr>
          <w:rFonts w:ascii="仿宋_GB2312" w:hAnsi="仿宋_GB2312" w:eastAsia="仿宋_GB2312" w:cs="宋体"/>
          <w:b/>
          <w:color w:val="auto"/>
          <w:kern w:val="0"/>
          <w:sz w:val="24"/>
          <w:szCs w:val="28"/>
        </w:rPr>
      </w:pPr>
      <w:r>
        <w:rPr>
          <w:rFonts w:hint="eastAsia" w:ascii="仿宋_GB2312" w:hAnsi="仿宋_GB2312" w:eastAsia="仿宋_GB2312" w:cs="宋体"/>
          <w:color w:val="auto"/>
          <w:kern w:val="0"/>
          <w:sz w:val="24"/>
          <w:szCs w:val="28"/>
        </w:rPr>
        <w:t xml:space="preserve">（1）未按主合同约定的质量、数量和期限供应货物/提供服务/完成工程的； </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u w:val="single"/>
        </w:rPr>
      </w:pPr>
      <w:r>
        <w:rPr>
          <w:rFonts w:hint="eastAsia" w:ascii="仿宋_GB2312" w:hAnsi="仿宋_GB2312" w:eastAsia="仿宋_GB2312" w:cs="宋体"/>
          <w:color w:val="auto"/>
          <w:kern w:val="0"/>
          <w:sz w:val="24"/>
          <w:szCs w:val="28"/>
        </w:rPr>
        <w:t>（2）</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（二）我方的保证范围是主合同约定的合同价款总额的</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%数额为</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元（大写</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），币种为</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。（即主合同履约保证金金额）</w:t>
      </w:r>
    </w:p>
    <w:p>
      <w:pPr>
        <w:pageBreakBefore w:val="0"/>
        <w:kinsoku/>
        <w:overflowPunct/>
        <w:topLinePunct w:val="0"/>
        <w:bidi w:val="0"/>
        <w:spacing w:line="360" w:lineRule="auto"/>
        <w:ind w:firstLine="482" w:firstLineChars="200"/>
        <w:outlineLvl w:val="9"/>
        <w:rPr>
          <w:rFonts w:ascii="仿宋_GB2312" w:hAnsi="仿宋_GB2312" w:eastAsia="仿宋_GB2312" w:cs="宋体"/>
          <w:b/>
          <w:color w:val="auto"/>
          <w:kern w:val="0"/>
          <w:sz w:val="24"/>
          <w:szCs w:val="28"/>
        </w:rPr>
      </w:pPr>
      <w:r>
        <w:rPr>
          <w:rFonts w:hint="eastAsia" w:ascii="仿宋_GB2312" w:hAnsi="仿宋_GB2312" w:eastAsia="仿宋_GB2312" w:cs="宋体"/>
          <w:b/>
          <w:color w:val="auto"/>
          <w:kern w:val="0"/>
          <w:sz w:val="24"/>
          <w:szCs w:val="28"/>
        </w:rPr>
        <w:t xml:space="preserve">二、保证的方式及保证期间 </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 xml:space="preserve">我方保证的方式为：连带责任保证。 </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我方保证的期间为：自本合同生效之日起至供应商按照主合同约定的供货/完工期限届满后</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日内。</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 xml:space="preserve">如果供应商未按主合同约定向贵方供应货物/提供服务/完成工程的，由我方在保证金额内向你方支付上述款项。 </w:t>
      </w:r>
    </w:p>
    <w:p>
      <w:pPr>
        <w:pageBreakBefore w:val="0"/>
        <w:kinsoku/>
        <w:overflowPunct/>
        <w:topLinePunct w:val="0"/>
        <w:bidi w:val="0"/>
        <w:spacing w:line="360" w:lineRule="auto"/>
        <w:ind w:firstLine="482" w:firstLineChars="200"/>
        <w:outlineLvl w:val="9"/>
        <w:rPr>
          <w:rFonts w:ascii="仿宋_GB2312" w:hAnsi="仿宋_GB2312" w:eastAsia="仿宋_GB2312" w:cs="宋体"/>
          <w:b/>
          <w:color w:val="auto"/>
          <w:kern w:val="0"/>
          <w:sz w:val="24"/>
          <w:szCs w:val="28"/>
        </w:rPr>
      </w:pPr>
      <w:r>
        <w:rPr>
          <w:rFonts w:hint="eastAsia" w:ascii="仿宋_GB2312" w:hAnsi="仿宋_GB2312" w:eastAsia="仿宋_GB2312" w:cs="宋体"/>
          <w:b/>
          <w:color w:val="auto"/>
          <w:kern w:val="0"/>
          <w:sz w:val="24"/>
          <w:szCs w:val="28"/>
        </w:rPr>
        <w:t>三、承担保证责任的程序</w:t>
      </w:r>
    </w:p>
    <w:p>
      <w:pPr>
        <w:pageBreakBefore w:val="0"/>
        <w:kinsoku/>
        <w:overflowPunct/>
        <w:topLinePunct w:val="0"/>
        <w:bidi w:val="0"/>
        <w:spacing w:line="360" w:lineRule="auto"/>
        <w:ind w:firstLine="480" w:firstLineChars="200"/>
        <w:outlineLvl w:val="9"/>
        <w:rPr>
          <w:rFonts w:ascii="仿宋_GB2312" w:hAnsi="仿宋_GB2312" w:eastAsia="仿宋_GB2312" w:cs="宋体"/>
          <w:b/>
          <w:color w:val="auto"/>
          <w:kern w:val="0"/>
          <w:sz w:val="24"/>
          <w:szCs w:val="28"/>
        </w:rPr>
      </w:pPr>
      <w:r>
        <w:rPr>
          <w:rFonts w:hint="eastAsia" w:ascii="仿宋_GB2312" w:hAnsi="仿宋_GB2312" w:eastAsia="仿宋_GB2312" w:cs="宋体"/>
          <w:color w:val="auto"/>
          <w:kern w:val="0"/>
          <w:sz w:val="24"/>
          <w:szCs w:val="28"/>
        </w:rPr>
        <w:t xml:space="preserve">1．你方要求我方承担保证责任的，应在本保函保证期间内向我方发出书面索赔通知。索赔通知应写明要求索赔的金额，支付款项应到达的帐号。并附有证明供应商违约事实的证明材料。 </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如果你方与供应商因货物质量问题产生争议，你方还需同时提供</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部门出具的质量检测报告，或经诉讼（仲裁）程序裁决后的裁决书、调解书，本保证人即按照检测结果或裁决书、调解书决定是否承担保证责任。</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2．我方收到你方的书面索赔通知及相应证明材料，在</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工作日内进行核定后按照本保函的承诺承担保证责任。</w:t>
      </w:r>
    </w:p>
    <w:p>
      <w:pPr>
        <w:pageBreakBefore w:val="0"/>
        <w:kinsoku/>
        <w:overflowPunct/>
        <w:topLinePunct w:val="0"/>
        <w:bidi w:val="0"/>
        <w:spacing w:line="360" w:lineRule="auto"/>
        <w:ind w:firstLine="482" w:firstLineChars="200"/>
        <w:outlineLvl w:val="9"/>
        <w:rPr>
          <w:rFonts w:ascii="仿宋_GB2312" w:hAnsi="仿宋_GB2312" w:eastAsia="仿宋_GB2312" w:cs="宋体"/>
          <w:b/>
          <w:color w:val="auto"/>
          <w:kern w:val="0"/>
          <w:sz w:val="24"/>
          <w:szCs w:val="28"/>
        </w:rPr>
      </w:pPr>
      <w:r>
        <w:rPr>
          <w:rFonts w:hint="eastAsia" w:ascii="仿宋_GB2312" w:hAnsi="仿宋_GB2312" w:eastAsia="仿宋_GB2312" w:cs="宋体"/>
          <w:b/>
          <w:color w:val="auto"/>
          <w:kern w:val="0"/>
          <w:sz w:val="24"/>
          <w:szCs w:val="28"/>
        </w:rPr>
        <w:t>四、保证责任的终止</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2．我方按照本保函向你方履行了保证责任后，自我方向你方支付款项（支付款项从我方账户划出）之日起，保证责任即终止。</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3．按照法律法规的规定或出现应终止我方保证责任的其它情形的，我方在本保函项下的保证责任亦终止。</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pageBreakBefore w:val="0"/>
        <w:kinsoku/>
        <w:overflowPunct/>
        <w:topLinePunct w:val="0"/>
        <w:bidi w:val="0"/>
        <w:spacing w:line="360" w:lineRule="auto"/>
        <w:ind w:firstLine="482" w:firstLineChars="200"/>
        <w:outlineLvl w:val="9"/>
        <w:rPr>
          <w:rFonts w:ascii="仿宋_GB2312" w:hAnsi="仿宋_GB2312" w:eastAsia="仿宋_GB2312" w:cs="宋体"/>
          <w:b/>
          <w:color w:val="auto"/>
          <w:kern w:val="0"/>
          <w:sz w:val="24"/>
          <w:szCs w:val="28"/>
        </w:rPr>
      </w:pPr>
      <w:r>
        <w:rPr>
          <w:rFonts w:hint="eastAsia" w:ascii="仿宋_GB2312" w:hAnsi="仿宋_GB2312" w:eastAsia="仿宋_GB2312" w:cs="宋体"/>
          <w:b/>
          <w:color w:val="auto"/>
          <w:kern w:val="0"/>
          <w:sz w:val="24"/>
          <w:szCs w:val="28"/>
        </w:rPr>
        <w:t>五、免责条款</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1．因你方违反主合同约定致使供应商不能履行义务的，我方不承担保证责任。</w:t>
      </w:r>
    </w:p>
    <w:p>
      <w:pPr>
        <w:pageBreakBefore w:val="0"/>
        <w:kinsoku/>
        <w:overflowPunct/>
        <w:topLinePunct w:val="0"/>
        <w:bidi w:val="0"/>
        <w:spacing w:line="360" w:lineRule="auto"/>
        <w:ind w:firstLine="480" w:firstLineChars="200"/>
        <w:outlineLvl w:val="9"/>
        <w:rPr>
          <w:rFonts w:ascii="仿宋_GB2312" w:hAnsi="仿宋_GB2312" w:eastAsia="仿宋_GB2312" w:cs="宋体"/>
          <w:b/>
          <w:color w:val="auto"/>
          <w:kern w:val="0"/>
          <w:sz w:val="24"/>
          <w:szCs w:val="28"/>
        </w:rPr>
      </w:pPr>
      <w:r>
        <w:rPr>
          <w:rFonts w:hint="eastAsia" w:ascii="仿宋_GB2312" w:hAnsi="仿宋_GB2312" w:eastAsia="仿宋_GB2312" w:cs="宋体"/>
          <w:color w:val="auto"/>
          <w:kern w:val="0"/>
          <w:sz w:val="24"/>
          <w:szCs w:val="28"/>
        </w:rPr>
        <w:t>2．依照法律法规的规定或你方与供应商的另行约定，全部或者部分免除供应商应缴纳的保证金义务的，我方亦免除相应的保证责任。</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3．因不可抗力造成供应商不能履行供货义务的，我方不承担保证责任。</w:t>
      </w:r>
    </w:p>
    <w:p>
      <w:pPr>
        <w:pageBreakBefore w:val="0"/>
        <w:kinsoku/>
        <w:overflowPunct/>
        <w:topLinePunct w:val="0"/>
        <w:bidi w:val="0"/>
        <w:spacing w:line="360" w:lineRule="auto"/>
        <w:ind w:firstLine="482" w:firstLineChars="200"/>
        <w:outlineLvl w:val="9"/>
        <w:rPr>
          <w:rFonts w:ascii="仿宋_GB2312" w:hAnsi="仿宋_GB2312" w:eastAsia="仿宋_GB2312" w:cs="宋体"/>
          <w:b/>
          <w:color w:val="auto"/>
          <w:kern w:val="0"/>
          <w:sz w:val="24"/>
          <w:szCs w:val="28"/>
        </w:rPr>
      </w:pPr>
      <w:r>
        <w:rPr>
          <w:rFonts w:hint="eastAsia" w:ascii="仿宋_GB2312" w:hAnsi="仿宋_GB2312" w:eastAsia="仿宋_GB2312" w:cs="宋体"/>
          <w:b/>
          <w:color w:val="auto"/>
          <w:kern w:val="0"/>
          <w:sz w:val="24"/>
          <w:szCs w:val="28"/>
        </w:rPr>
        <w:t>六、争议的解决</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因本保函发生的纠纷，由你我双方协商解决，协商不成的，通过诉讼程序解决，诉讼管辖地法院为</w:t>
      </w:r>
      <w:r>
        <w:rPr>
          <w:rFonts w:hint="eastAsia" w:ascii="仿宋_GB2312" w:hAnsi="仿宋_GB2312" w:eastAsia="仿宋_GB2312" w:cs="宋体"/>
          <w:color w:val="auto"/>
          <w:kern w:val="0"/>
          <w:sz w:val="24"/>
          <w:szCs w:val="28"/>
          <w:u w:val="single"/>
        </w:rPr>
        <w:t xml:space="preserve">          </w:t>
      </w:r>
      <w:r>
        <w:rPr>
          <w:rFonts w:hint="eastAsia" w:ascii="仿宋_GB2312" w:hAnsi="仿宋_GB2312" w:eastAsia="仿宋_GB2312" w:cs="宋体"/>
          <w:color w:val="auto"/>
          <w:kern w:val="0"/>
          <w:sz w:val="24"/>
          <w:szCs w:val="28"/>
        </w:rPr>
        <w:t>法院。</w:t>
      </w:r>
    </w:p>
    <w:p>
      <w:pPr>
        <w:pageBreakBefore w:val="0"/>
        <w:kinsoku/>
        <w:overflowPunct/>
        <w:topLinePunct w:val="0"/>
        <w:bidi w:val="0"/>
        <w:spacing w:line="360" w:lineRule="auto"/>
        <w:ind w:firstLine="482" w:firstLineChars="200"/>
        <w:outlineLvl w:val="9"/>
        <w:rPr>
          <w:rFonts w:ascii="仿宋_GB2312" w:hAnsi="仿宋_GB2312" w:eastAsia="仿宋_GB2312" w:cs="宋体"/>
          <w:b/>
          <w:color w:val="auto"/>
          <w:kern w:val="0"/>
          <w:sz w:val="24"/>
          <w:szCs w:val="28"/>
        </w:rPr>
      </w:pPr>
      <w:r>
        <w:rPr>
          <w:rFonts w:hint="eastAsia" w:ascii="仿宋_GB2312" w:hAnsi="仿宋_GB2312" w:eastAsia="仿宋_GB2312" w:cs="宋体"/>
          <w:b/>
          <w:color w:val="auto"/>
          <w:kern w:val="0"/>
          <w:sz w:val="24"/>
          <w:szCs w:val="28"/>
        </w:rPr>
        <w:t xml:space="preserve">七、保函的生效 </w:t>
      </w:r>
    </w:p>
    <w:p>
      <w:pPr>
        <w:pageBreakBefore w:val="0"/>
        <w:kinsoku/>
        <w:overflowPunct/>
        <w:topLinePunct w:val="0"/>
        <w:bidi w:val="0"/>
        <w:spacing w:line="360" w:lineRule="auto"/>
        <w:ind w:firstLine="480" w:firstLineChars="200"/>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 xml:space="preserve">本保函自我方加盖公章之日起生效。 </w:t>
      </w:r>
    </w:p>
    <w:p>
      <w:pPr>
        <w:pageBreakBefore w:val="0"/>
        <w:kinsoku/>
        <w:overflowPunct/>
        <w:topLinePunct w:val="0"/>
        <w:bidi w:val="0"/>
        <w:spacing w:line="360" w:lineRule="auto"/>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 xml:space="preserve">                                   保证人：（公章）                     </w:t>
      </w:r>
    </w:p>
    <w:p>
      <w:pPr>
        <w:pageBreakBefore w:val="0"/>
        <w:kinsoku/>
        <w:overflowPunct/>
        <w:topLinePunct w:val="0"/>
        <w:bidi w:val="0"/>
        <w:spacing w:line="360" w:lineRule="auto"/>
        <w:outlineLvl w:val="9"/>
        <w:rPr>
          <w:rFonts w:ascii="仿宋_GB2312" w:hAnsi="仿宋_GB2312" w:eastAsia="仿宋_GB2312" w:cs="宋体"/>
          <w:color w:val="auto"/>
          <w:kern w:val="0"/>
          <w:sz w:val="24"/>
          <w:szCs w:val="28"/>
        </w:rPr>
      </w:pPr>
      <w:r>
        <w:rPr>
          <w:rFonts w:hint="eastAsia" w:ascii="仿宋_GB2312" w:hAnsi="仿宋_GB2312" w:eastAsia="仿宋_GB2312" w:cs="宋体"/>
          <w:color w:val="auto"/>
          <w:kern w:val="0"/>
          <w:sz w:val="24"/>
          <w:szCs w:val="28"/>
        </w:rPr>
        <w:t xml:space="preserve">                                    年   月   日</w:t>
      </w:r>
    </w:p>
    <w:p>
      <w:pPr>
        <w:pageBreakBefore w:val="0"/>
        <w:kinsoku/>
        <w:overflowPunct/>
        <w:topLinePunct w:val="0"/>
        <w:bidi w:val="0"/>
        <w:spacing w:line="360" w:lineRule="auto"/>
        <w:outlineLvl w:val="9"/>
        <w:rPr>
          <w:rFonts w:ascii="仿宋_GB2312" w:hAnsi="仿宋_GB2312" w:eastAsia="仿宋_GB2312" w:cs="宋体"/>
          <w:color w:val="auto"/>
          <w:kern w:val="0"/>
          <w:sz w:val="24"/>
          <w:szCs w:val="28"/>
        </w:rPr>
      </w:pPr>
    </w:p>
    <w:p>
      <w:pPr>
        <w:pageBreakBefore w:val="0"/>
        <w:kinsoku/>
        <w:overflowPunct/>
        <w:topLinePunct w:val="0"/>
        <w:bidi w:val="0"/>
        <w:spacing w:line="360" w:lineRule="auto"/>
        <w:outlineLvl w:val="9"/>
        <w:rPr>
          <w:rFonts w:ascii="仿宋_GB2312" w:hAnsi="仿宋_GB2312" w:eastAsia="仿宋_GB2312" w:cs="宋体"/>
          <w:color w:val="auto"/>
          <w:kern w:val="0"/>
          <w:sz w:val="24"/>
          <w:szCs w:val="28"/>
        </w:rPr>
        <w:sectPr>
          <w:footerReference r:id="rId5" w:type="default"/>
          <w:pgSz w:w="11906" w:h="16838"/>
          <w:pgMar w:top="1418" w:right="1134" w:bottom="1134" w:left="1418" w:header="851" w:footer="992" w:gutter="0"/>
          <w:pgNumType w:start="1"/>
          <w:cols w:space="720" w:num="1"/>
          <w:docGrid w:type="lines" w:linePitch="312" w:charSpace="0"/>
        </w:sectPr>
      </w:pPr>
      <w:r>
        <w:rPr>
          <w:rFonts w:hint="eastAsia" w:hAnsi="宋体" w:cs="宋体"/>
          <w:color w:val="auto"/>
          <w:sz w:val="15"/>
          <w:szCs w:val="15"/>
        </w:rPr>
        <w:t>注：对本合同是招标人提供的基本格式，具体内容由采购人和成交供应商在遵守中华人民共和国相关法律法规、本谈判文件具体要求及成交供应商承诺的原则上协商签订。</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ascii="仿宋" w:hAnsi="仿宋" w:eastAsia="仿宋" w:cs="仿宋"/>
          <w:b/>
          <w:bCs/>
          <w:color w:val="auto"/>
          <w:sz w:val="28"/>
          <w:szCs w:val="28"/>
        </w:rPr>
      </w:pPr>
      <w:bookmarkStart w:id="182" w:name="_Toc25239"/>
      <w:r>
        <w:rPr>
          <w:rFonts w:hint="eastAsia"/>
          <w:b/>
          <w:bCs/>
          <w:color w:val="auto"/>
          <w:sz w:val="32"/>
          <w:szCs w:val="32"/>
          <w:lang w:val="en-US" w:eastAsia="zh-CN"/>
        </w:rPr>
        <w:t xml:space="preserve">第五章 </w:t>
      </w:r>
      <w:r>
        <w:rPr>
          <w:rFonts w:hint="eastAsia"/>
          <w:b/>
          <w:bCs/>
          <w:color w:val="auto"/>
          <w:sz w:val="32"/>
          <w:szCs w:val="32"/>
        </w:rPr>
        <w:t>采购需求</w:t>
      </w:r>
      <w:bookmarkEnd w:id="182"/>
    </w:p>
    <w:p>
      <w:pPr>
        <w:pStyle w:val="30"/>
        <w:pageBreakBefore w:val="0"/>
        <w:kinsoku/>
        <w:overflowPunct/>
        <w:topLinePunct w:val="0"/>
        <w:bidi w:val="0"/>
        <w:jc w:val="left"/>
        <w:outlineLvl w:val="9"/>
        <w:rPr>
          <w:rFonts w:asciiTheme="minorEastAsia" w:hAnsiTheme="minorEastAsia" w:eastAsiaTheme="minorEastAsia" w:cstheme="minorEastAsia"/>
          <w:b w:val="0"/>
          <w:color w:val="auto"/>
          <w:sz w:val="28"/>
          <w:szCs w:val="28"/>
        </w:rPr>
      </w:pPr>
      <w:r>
        <w:rPr>
          <w:rFonts w:hint="eastAsia" w:asciiTheme="minorEastAsia" w:hAnsiTheme="minorEastAsia" w:eastAsiaTheme="minorEastAsia" w:cstheme="minorEastAsia"/>
          <w:b w:val="0"/>
          <w:color w:val="auto"/>
          <w:sz w:val="28"/>
          <w:szCs w:val="28"/>
        </w:rPr>
        <w:t>1、项目说明</w:t>
      </w:r>
    </w:p>
    <w:p>
      <w:pPr>
        <w:pStyle w:val="30"/>
        <w:pageBreakBefore w:val="0"/>
        <w:kinsoku/>
        <w:overflowPunct/>
        <w:topLinePunct w:val="0"/>
        <w:bidi w:val="0"/>
        <w:jc w:val="left"/>
        <w:outlineLvl w:val="9"/>
        <w:rPr>
          <w:rFonts w:hint="eastAsia" w:asciiTheme="minorEastAsia" w:hAnsiTheme="minorEastAsia" w:eastAsiaTheme="minorEastAsia" w:cstheme="minorEastAsia"/>
          <w:b w:val="0"/>
          <w:color w:val="auto"/>
          <w:sz w:val="28"/>
          <w:szCs w:val="28"/>
          <w:lang w:val="en-US" w:eastAsia="zh-CN"/>
        </w:rPr>
      </w:pPr>
      <w:r>
        <w:rPr>
          <w:rFonts w:hint="eastAsia" w:asciiTheme="minorEastAsia" w:hAnsiTheme="minorEastAsia" w:eastAsiaTheme="minorEastAsia" w:cstheme="minorEastAsia"/>
          <w:b w:val="0"/>
          <w:color w:val="auto"/>
          <w:sz w:val="28"/>
          <w:szCs w:val="28"/>
        </w:rPr>
        <w:t>本标包</w:t>
      </w:r>
      <w:r>
        <w:rPr>
          <w:rFonts w:hint="eastAsia" w:asciiTheme="minorEastAsia" w:hAnsiTheme="minorEastAsia" w:eastAsiaTheme="minorEastAsia" w:cstheme="minorEastAsia"/>
          <w:b w:val="0"/>
          <w:color w:val="auto"/>
          <w:sz w:val="28"/>
          <w:szCs w:val="28"/>
          <w:lang w:val="en-US" w:eastAsia="zh-CN"/>
        </w:rPr>
        <w:t>项目</w:t>
      </w:r>
      <w:r>
        <w:rPr>
          <w:rFonts w:hint="eastAsia" w:asciiTheme="minorEastAsia" w:hAnsiTheme="minorEastAsia" w:eastAsiaTheme="minorEastAsia" w:cstheme="minorEastAsia"/>
          <w:b w:val="0"/>
          <w:color w:val="auto"/>
          <w:sz w:val="28"/>
          <w:szCs w:val="28"/>
        </w:rPr>
        <w:t>内容为</w:t>
      </w:r>
      <w:r>
        <w:rPr>
          <w:rFonts w:hint="eastAsia" w:asciiTheme="minorEastAsia" w:hAnsiTheme="minorEastAsia" w:eastAsiaTheme="minorEastAsia" w:cstheme="minorEastAsia"/>
          <w:b w:val="0"/>
          <w:color w:val="auto"/>
          <w:sz w:val="28"/>
          <w:szCs w:val="28"/>
          <w:lang w:val="en-US" w:eastAsia="zh-CN"/>
        </w:rPr>
        <w:t>城关公安分局购买执法办案管理中心装备项目</w:t>
      </w:r>
      <w:r>
        <w:rPr>
          <w:rFonts w:hint="eastAsia" w:asciiTheme="minorEastAsia" w:hAnsiTheme="minorEastAsia" w:eastAsiaTheme="minorEastAsia" w:cstheme="minorEastAsia"/>
          <w:b w:val="0"/>
          <w:color w:val="auto"/>
          <w:sz w:val="28"/>
          <w:szCs w:val="28"/>
        </w:rPr>
        <w:t>，项目</w:t>
      </w:r>
      <w:r>
        <w:rPr>
          <w:rFonts w:hint="eastAsia" w:asciiTheme="minorEastAsia" w:hAnsiTheme="minorEastAsia" w:eastAsiaTheme="minorEastAsia" w:cstheme="minorEastAsia"/>
          <w:b w:val="0"/>
          <w:color w:val="auto"/>
          <w:sz w:val="28"/>
          <w:szCs w:val="28"/>
          <w:lang w:val="en-US" w:eastAsia="zh-CN"/>
        </w:rPr>
        <w:t>内容</w:t>
      </w:r>
      <w:r>
        <w:rPr>
          <w:rFonts w:hint="eastAsia" w:asciiTheme="minorEastAsia" w:hAnsiTheme="minorEastAsia" w:eastAsiaTheme="minorEastAsia" w:cstheme="minorEastAsia"/>
          <w:b w:val="0"/>
          <w:color w:val="auto"/>
          <w:sz w:val="28"/>
          <w:szCs w:val="28"/>
        </w:rPr>
        <w:t>涉及</w:t>
      </w:r>
      <w:r>
        <w:rPr>
          <w:rFonts w:hint="eastAsia" w:asciiTheme="minorEastAsia" w:hAnsiTheme="minorEastAsia" w:eastAsiaTheme="minorEastAsia" w:cstheme="minorEastAsia"/>
          <w:b w:val="0"/>
          <w:color w:val="auto"/>
          <w:sz w:val="28"/>
          <w:szCs w:val="28"/>
          <w:lang w:val="en-US" w:eastAsia="zh-CN"/>
        </w:rPr>
        <w:t>下列清单。</w:t>
      </w:r>
    </w:p>
    <w:p>
      <w:pPr>
        <w:jc w:val="center"/>
        <w:rPr>
          <w:rFonts w:hint="default"/>
          <w:lang w:val="en-US" w:eastAsia="zh-CN"/>
        </w:rPr>
      </w:pPr>
      <w:r>
        <w:rPr>
          <w:rFonts w:hint="eastAsia" w:asciiTheme="minorEastAsia" w:hAnsiTheme="minorEastAsia" w:eastAsiaTheme="minorEastAsia" w:cstheme="minorEastAsia"/>
          <w:b/>
          <w:bCs/>
          <w:color w:val="auto"/>
          <w:sz w:val="28"/>
          <w:szCs w:val="28"/>
          <w:lang w:val="en-US" w:eastAsia="zh-CN"/>
        </w:rPr>
        <w:t>采 购 清 单</w:t>
      </w:r>
    </w:p>
    <w:tbl>
      <w:tblPr>
        <w:tblStyle w:val="74"/>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649"/>
        <w:gridCol w:w="796"/>
        <w:gridCol w:w="946"/>
        <w:gridCol w:w="981"/>
        <w:gridCol w:w="911"/>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jc w:val="center"/>
              <w:rPr>
                <w:rFonts w:hint="eastAsia" w:eastAsia="宋体"/>
                <w:b/>
                <w:bCs/>
                <w:vertAlign w:val="baseline"/>
                <w:lang w:val="en-US" w:eastAsia="zh-CN"/>
              </w:rPr>
            </w:pPr>
            <w:r>
              <w:rPr>
                <w:rFonts w:hint="eastAsia"/>
                <w:b/>
                <w:bCs/>
                <w:vertAlign w:val="baseline"/>
                <w:lang w:val="en-US" w:eastAsia="zh-CN"/>
              </w:rPr>
              <w:t>序号</w:t>
            </w:r>
          </w:p>
        </w:tc>
        <w:tc>
          <w:tcPr>
            <w:tcW w:w="2649" w:type="dxa"/>
          </w:tcPr>
          <w:p>
            <w:pPr>
              <w:jc w:val="center"/>
              <w:rPr>
                <w:rFonts w:hint="default" w:eastAsia="宋体"/>
                <w:b/>
                <w:bCs/>
                <w:vertAlign w:val="baseline"/>
                <w:lang w:val="en-US" w:eastAsia="zh-CN"/>
              </w:rPr>
            </w:pPr>
            <w:r>
              <w:rPr>
                <w:rFonts w:hint="eastAsia"/>
                <w:b/>
                <w:bCs/>
                <w:vertAlign w:val="baseline"/>
                <w:lang w:val="en-US" w:eastAsia="zh-CN"/>
              </w:rPr>
              <w:t>项目名称</w:t>
            </w:r>
          </w:p>
        </w:tc>
        <w:tc>
          <w:tcPr>
            <w:tcW w:w="796" w:type="dxa"/>
          </w:tcPr>
          <w:p>
            <w:pPr>
              <w:jc w:val="center"/>
              <w:rPr>
                <w:rFonts w:hint="eastAsia" w:eastAsia="宋体"/>
                <w:b/>
                <w:bCs/>
                <w:vertAlign w:val="baseline"/>
                <w:lang w:val="en-US" w:eastAsia="zh-CN"/>
              </w:rPr>
            </w:pPr>
            <w:r>
              <w:rPr>
                <w:rFonts w:hint="eastAsia"/>
                <w:b/>
                <w:bCs/>
                <w:vertAlign w:val="baseline"/>
                <w:lang w:val="en-US" w:eastAsia="zh-CN"/>
              </w:rPr>
              <w:t>单位</w:t>
            </w:r>
          </w:p>
        </w:tc>
        <w:tc>
          <w:tcPr>
            <w:tcW w:w="946" w:type="dxa"/>
          </w:tcPr>
          <w:p>
            <w:pPr>
              <w:jc w:val="center"/>
              <w:rPr>
                <w:rFonts w:hint="eastAsia" w:eastAsia="宋体"/>
                <w:b/>
                <w:bCs/>
                <w:vertAlign w:val="baseline"/>
                <w:lang w:val="en-US" w:eastAsia="zh-CN"/>
              </w:rPr>
            </w:pPr>
            <w:r>
              <w:rPr>
                <w:rFonts w:hint="eastAsia"/>
                <w:b/>
                <w:bCs/>
                <w:vertAlign w:val="baseline"/>
                <w:lang w:val="en-US" w:eastAsia="zh-CN"/>
              </w:rPr>
              <w:t>数量</w:t>
            </w:r>
          </w:p>
        </w:tc>
        <w:tc>
          <w:tcPr>
            <w:tcW w:w="981" w:type="dxa"/>
          </w:tcPr>
          <w:p>
            <w:pPr>
              <w:jc w:val="center"/>
              <w:rPr>
                <w:rFonts w:hint="eastAsia" w:eastAsia="宋体"/>
                <w:b/>
                <w:bCs/>
                <w:vertAlign w:val="baseline"/>
                <w:lang w:val="en-US" w:eastAsia="zh-CN"/>
              </w:rPr>
            </w:pPr>
            <w:r>
              <w:rPr>
                <w:rFonts w:hint="eastAsia"/>
                <w:b/>
                <w:bCs/>
                <w:vertAlign w:val="baseline"/>
                <w:lang w:val="en-US" w:eastAsia="zh-CN"/>
              </w:rPr>
              <w:t>单价</w:t>
            </w:r>
          </w:p>
        </w:tc>
        <w:tc>
          <w:tcPr>
            <w:tcW w:w="911" w:type="dxa"/>
          </w:tcPr>
          <w:p>
            <w:pPr>
              <w:jc w:val="center"/>
              <w:rPr>
                <w:rFonts w:hint="default" w:eastAsia="宋体"/>
                <w:b/>
                <w:bCs/>
                <w:vertAlign w:val="baseline"/>
                <w:lang w:val="en-US" w:eastAsia="zh-CN"/>
              </w:rPr>
            </w:pPr>
            <w:r>
              <w:rPr>
                <w:rFonts w:hint="eastAsia"/>
                <w:b/>
                <w:bCs/>
                <w:vertAlign w:val="baseline"/>
                <w:lang w:val="en-US" w:eastAsia="zh-CN"/>
              </w:rPr>
              <w:t>合价</w:t>
            </w:r>
          </w:p>
        </w:tc>
        <w:tc>
          <w:tcPr>
            <w:tcW w:w="7267" w:type="dxa"/>
          </w:tcPr>
          <w:p>
            <w:pPr>
              <w:jc w:val="center"/>
              <w:rPr>
                <w:rFonts w:hint="eastAsia" w:eastAsia="宋体"/>
                <w:b/>
                <w:bCs/>
                <w:vertAlign w:val="baseline"/>
                <w:lang w:val="en-US" w:eastAsia="zh-CN"/>
              </w:rPr>
            </w:pPr>
            <w:r>
              <w:rPr>
                <w:rFonts w:hint="eastAsia"/>
                <w:b/>
                <w:bCs/>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1" w:hRule="atLeast"/>
        </w:trPr>
        <w:tc>
          <w:tcPr>
            <w:tcW w:w="732" w:type="dxa"/>
            <w:vAlign w:val="center"/>
          </w:tcPr>
          <w:p>
            <w:pPr>
              <w:jc w:val="center"/>
              <w:rPr>
                <w:rFonts w:hint="default" w:eastAsia="宋体"/>
                <w:vertAlign w:val="baseline"/>
                <w:lang w:val="en-US" w:eastAsia="zh-CN"/>
              </w:rPr>
            </w:pPr>
            <w:r>
              <w:rPr>
                <w:rFonts w:hint="eastAsia"/>
                <w:vertAlign w:val="baseline"/>
                <w:lang w:val="en-US" w:eastAsia="zh-CN"/>
              </w:rPr>
              <w:t>1</w:t>
            </w:r>
          </w:p>
        </w:tc>
        <w:tc>
          <w:tcPr>
            <w:tcW w:w="2649" w:type="dxa"/>
            <w:vAlign w:val="center"/>
          </w:tcPr>
          <w:p>
            <w:pPr>
              <w:jc w:val="center"/>
              <w:rPr>
                <w:rFonts w:hint="default"/>
                <w:vertAlign w:val="baseline"/>
                <w:lang w:val="en-US"/>
              </w:rPr>
            </w:pPr>
            <w:r>
              <w:rPr>
                <w:rFonts w:hint="eastAsia" w:ascii="方正书宋_GBK" w:hAnsi="方正书宋_GBK" w:eastAsia="方正书宋_GBK" w:cs="方正书宋_GBK"/>
                <w:spacing w:val="-4"/>
                <w:szCs w:val="24"/>
              </w:rPr>
              <w:t>电子签名、指纹捺印设备</w:t>
            </w:r>
          </w:p>
        </w:tc>
        <w:tc>
          <w:tcPr>
            <w:tcW w:w="796" w:type="dxa"/>
            <w:vAlign w:val="center"/>
          </w:tcPr>
          <w:p>
            <w:pPr>
              <w:jc w:val="center"/>
              <w:rPr>
                <w:rFonts w:hint="eastAsia" w:eastAsia="宋体"/>
                <w:vertAlign w:val="baseline"/>
                <w:lang w:val="en-US" w:eastAsia="zh-CN"/>
              </w:rPr>
            </w:pPr>
            <w:r>
              <w:rPr>
                <w:rFonts w:hint="eastAsia"/>
                <w:vertAlign w:val="baseline"/>
                <w:lang w:val="en-US" w:eastAsia="zh-CN"/>
              </w:rPr>
              <w:t>台</w:t>
            </w:r>
          </w:p>
        </w:tc>
        <w:tc>
          <w:tcPr>
            <w:tcW w:w="946" w:type="dxa"/>
            <w:vAlign w:val="center"/>
          </w:tcPr>
          <w:p>
            <w:pPr>
              <w:jc w:val="center"/>
              <w:rPr>
                <w:rFonts w:hint="default" w:eastAsia="宋体"/>
                <w:vertAlign w:val="baseline"/>
                <w:lang w:val="en-US" w:eastAsia="zh-CN"/>
              </w:rPr>
            </w:pPr>
            <w:r>
              <w:rPr>
                <w:rFonts w:hint="eastAsia"/>
                <w:vertAlign w:val="baseline"/>
                <w:lang w:val="en-US" w:eastAsia="zh-CN"/>
              </w:rPr>
              <w:t>4</w:t>
            </w:r>
          </w:p>
        </w:tc>
        <w:tc>
          <w:tcPr>
            <w:tcW w:w="981" w:type="dxa"/>
          </w:tcPr>
          <w:p>
            <w:pPr>
              <w:rPr>
                <w:vertAlign w:val="baseline"/>
              </w:rPr>
            </w:pPr>
          </w:p>
        </w:tc>
        <w:tc>
          <w:tcPr>
            <w:tcW w:w="911" w:type="dxa"/>
          </w:tcPr>
          <w:p>
            <w:pPr>
              <w:rPr>
                <w:vertAlign w:val="baseline"/>
              </w:rPr>
            </w:pPr>
          </w:p>
        </w:tc>
        <w:tc>
          <w:tcPr>
            <w:tcW w:w="7267" w:type="dxa"/>
          </w:tcPr>
          <w:p>
            <w:pPr>
              <w:spacing w:line="240" w:lineRule="auto"/>
              <w:rPr>
                <w:rFonts w:hint="eastAsia" w:ascii="宋体" w:hAnsi="宋体" w:eastAsia="宋体" w:cs="宋体"/>
                <w:sz w:val="18"/>
                <w:szCs w:val="18"/>
              </w:rPr>
            </w:pPr>
            <w:r>
              <w:rPr>
                <w:rFonts w:hint="eastAsia" w:ascii="宋体" w:hAnsi="宋体" w:eastAsia="宋体" w:cs="宋体"/>
                <w:sz w:val="18"/>
                <w:szCs w:val="18"/>
              </w:rPr>
              <w:t>1.硬件配置：CPU: 四核ARMCortex-A17 1.8GHz（高配）。</w:t>
            </w:r>
          </w:p>
          <w:p>
            <w:pPr>
              <w:spacing w:line="240" w:lineRule="auto"/>
              <w:rPr>
                <w:rFonts w:hint="eastAsia" w:ascii="宋体" w:hAnsi="宋体" w:eastAsia="宋体" w:cs="宋体"/>
                <w:sz w:val="18"/>
                <w:szCs w:val="18"/>
              </w:rPr>
            </w:pPr>
            <w:r>
              <w:rPr>
                <w:rFonts w:hint="eastAsia" w:ascii="宋体" w:hAnsi="宋体" w:eastAsia="宋体" w:cs="宋体"/>
                <w:sz w:val="18"/>
                <w:szCs w:val="18"/>
              </w:rPr>
              <w:t>2.内存：2GB DDR3。</w:t>
            </w:r>
          </w:p>
          <w:p>
            <w:pPr>
              <w:spacing w:line="240" w:lineRule="auto"/>
              <w:rPr>
                <w:rFonts w:hint="eastAsia" w:ascii="宋体" w:hAnsi="宋体" w:eastAsia="宋体" w:cs="宋体"/>
                <w:sz w:val="18"/>
                <w:szCs w:val="18"/>
              </w:rPr>
            </w:pPr>
            <w:r>
              <w:rPr>
                <w:rFonts w:hint="eastAsia" w:ascii="宋体" w:hAnsi="宋体" w:eastAsia="宋体" w:cs="宋体"/>
                <w:sz w:val="18"/>
                <w:szCs w:val="18"/>
              </w:rPr>
              <w:t>3.Flash：16GB （可扩展至32G）。</w:t>
            </w:r>
          </w:p>
          <w:p>
            <w:pPr>
              <w:spacing w:line="240" w:lineRule="auto"/>
              <w:rPr>
                <w:rFonts w:hint="eastAsia" w:ascii="宋体" w:hAnsi="宋体" w:eastAsia="宋体" w:cs="宋体"/>
                <w:sz w:val="18"/>
                <w:szCs w:val="18"/>
              </w:rPr>
            </w:pPr>
            <w:r>
              <w:rPr>
                <w:rFonts w:hint="eastAsia" w:ascii="宋体" w:hAnsi="宋体" w:eastAsia="宋体" w:cs="宋体"/>
                <w:sz w:val="18"/>
                <w:szCs w:val="18"/>
              </w:rPr>
              <w:t>4.操作系统：操作系统：安卓7.1。</w:t>
            </w:r>
          </w:p>
          <w:p>
            <w:pPr>
              <w:spacing w:line="240" w:lineRule="auto"/>
              <w:rPr>
                <w:rFonts w:hint="eastAsia" w:ascii="宋体" w:hAnsi="宋体" w:eastAsia="宋体" w:cs="宋体"/>
                <w:sz w:val="18"/>
                <w:szCs w:val="18"/>
              </w:rPr>
            </w:pPr>
            <w:r>
              <w:rPr>
                <w:rFonts w:hint="eastAsia" w:ascii="宋体" w:hAnsi="宋体" w:eastAsia="宋体" w:cs="宋体"/>
                <w:sz w:val="18"/>
                <w:szCs w:val="18"/>
              </w:rPr>
              <w:t>5.电容触摸屏：点数：多点触控。</w:t>
            </w:r>
          </w:p>
          <w:p>
            <w:pPr>
              <w:spacing w:line="240" w:lineRule="auto"/>
              <w:rPr>
                <w:rFonts w:hint="eastAsia" w:ascii="宋体" w:hAnsi="宋体" w:eastAsia="宋体" w:cs="宋体"/>
                <w:sz w:val="18"/>
                <w:szCs w:val="18"/>
              </w:rPr>
            </w:pPr>
            <w:r>
              <w:rPr>
                <w:rFonts w:hint="eastAsia" w:ascii="宋体" w:hAnsi="宋体" w:eastAsia="宋体" w:cs="宋体"/>
                <w:sz w:val="18"/>
                <w:szCs w:val="18"/>
              </w:rPr>
              <w:t>6.屏基材：G+G。</w:t>
            </w:r>
          </w:p>
          <w:p>
            <w:pPr>
              <w:spacing w:line="240" w:lineRule="auto"/>
              <w:rPr>
                <w:rFonts w:hint="eastAsia" w:ascii="宋体" w:hAnsi="宋体" w:eastAsia="宋体" w:cs="宋体"/>
                <w:sz w:val="18"/>
                <w:szCs w:val="18"/>
              </w:rPr>
            </w:pPr>
            <w:r>
              <w:rPr>
                <w:rFonts w:hint="eastAsia" w:ascii="宋体" w:hAnsi="宋体" w:eastAsia="宋体" w:cs="宋体"/>
                <w:sz w:val="18"/>
                <w:szCs w:val="18"/>
              </w:rPr>
              <w:t>7.透过率：＞85%。</w:t>
            </w:r>
          </w:p>
          <w:p>
            <w:pPr>
              <w:spacing w:line="240" w:lineRule="auto"/>
              <w:rPr>
                <w:rFonts w:hint="eastAsia" w:ascii="宋体" w:hAnsi="宋体" w:eastAsia="宋体" w:cs="宋体"/>
                <w:sz w:val="18"/>
                <w:szCs w:val="18"/>
              </w:rPr>
            </w:pPr>
            <w:r>
              <w:rPr>
                <w:rFonts w:hint="eastAsia" w:ascii="宋体" w:hAnsi="宋体" w:eastAsia="宋体" w:cs="宋体"/>
                <w:sz w:val="18"/>
                <w:szCs w:val="18"/>
              </w:rPr>
              <w:t>8.表面硬度：6H。</w:t>
            </w:r>
          </w:p>
          <w:p>
            <w:pPr>
              <w:spacing w:line="240" w:lineRule="auto"/>
              <w:rPr>
                <w:rFonts w:hint="eastAsia" w:ascii="宋体" w:hAnsi="宋体" w:eastAsia="宋体" w:cs="宋体"/>
                <w:sz w:val="18"/>
                <w:szCs w:val="18"/>
              </w:rPr>
            </w:pPr>
            <w:r>
              <w:rPr>
                <w:rFonts w:hint="eastAsia" w:ascii="宋体" w:hAnsi="宋体" w:eastAsia="宋体" w:cs="宋体"/>
                <w:sz w:val="18"/>
                <w:szCs w:val="18"/>
              </w:rPr>
              <w:t>9.点击寿命：单点≥100万次。</w:t>
            </w:r>
          </w:p>
          <w:p>
            <w:pPr>
              <w:spacing w:line="240" w:lineRule="auto"/>
              <w:rPr>
                <w:rFonts w:hint="eastAsia" w:ascii="宋体" w:hAnsi="宋体" w:eastAsia="宋体" w:cs="宋体"/>
                <w:sz w:val="18"/>
                <w:szCs w:val="18"/>
              </w:rPr>
            </w:pPr>
            <w:r>
              <w:rPr>
                <w:rFonts w:hint="eastAsia" w:ascii="宋体" w:hAnsi="宋体" w:eastAsia="宋体" w:cs="宋体"/>
                <w:sz w:val="18"/>
                <w:szCs w:val="18"/>
              </w:rPr>
              <w:t>10.液晶显示屏：屏幕尺寸：10.1 inch  16:10。</w:t>
            </w:r>
          </w:p>
          <w:p>
            <w:pPr>
              <w:spacing w:line="240" w:lineRule="auto"/>
              <w:rPr>
                <w:rFonts w:hint="eastAsia" w:ascii="宋体" w:hAnsi="宋体" w:eastAsia="宋体" w:cs="宋体"/>
                <w:sz w:val="18"/>
                <w:szCs w:val="18"/>
              </w:rPr>
            </w:pPr>
            <w:r>
              <w:rPr>
                <w:rFonts w:hint="eastAsia" w:ascii="宋体" w:hAnsi="宋体" w:eastAsia="宋体" w:cs="宋体"/>
                <w:sz w:val="18"/>
                <w:szCs w:val="18"/>
              </w:rPr>
              <w:t>11.颜色质量：24位真彩位。</w:t>
            </w:r>
          </w:p>
          <w:p>
            <w:pPr>
              <w:spacing w:line="240" w:lineRule="auto"/>
              <w:rPr>
                <w:rFonts w:hint="eastAsia" w:ascii="宋体" w:hAnsi="宋体" w:eastAsia="宋体" w:cs="宋体"/>
                <w:sz w:val="18"/>
                <w:szCs w:val="18"/>
              </w:rPr>
            </w:pPr>
            <w:r>
              <w:rPr>
                <w:rFonts w:hint="eastAsia" w:ascii="宋体" w:hAnsi="宋体" w:eastAsia="宋体" w:cs="宋体"/>
                <w:sz w:val="18"/>
                <w:szCs w:val="18"/>
              </w:rPr>
              <w:t>12.分辨率：1280×800。</w:t>
            </w:r>
          </w:p>
          <w:p>
            <w:pPr>
              <w:spacing w:line="240" w:lineRule="auto"/>
              <w:rPr>
                <w:rFonts w:hint="eastAsia" w:ascii="宋体" w:hAnsi="宋体" w:eastAsia="宋体" w:cs="宋体"/>
                <w:bCs/>
                <w:sz w:val="18"/>
                <w:szCs w:val="18"/>
              </w:rPr>
            </w:pPr>
            <w:r>
              <w:rPr>
                <w:rFonts w:hint="eastAsia" w:ascii="宋体" w:hAnsi="宋体" w:eastAsia="宋体" w:cs="宋体"/>
                <w:sz w:val="18"/>
                <w:szCs w:val="18"/>
              </w:rPr>
              <w:t>13.亮度：400cd/m²</w:t>
            </w:r>
            <w:r>
              <w:rPr>
                <w:rFonts w:hint="eastAsia" w:ascii="宋体" w:hAnsi="宋体" w:eastAsia="宋体" w:cs="宋体"/>
                <w:bCs/>
                <w:sz w:val="18"/>
                <w:szCs w:val="18"/>
              </w:rPr>
              <w:t>。</w:t>
            </w:r>
          </w:p>
          <w:p>
            <w:pPr>
              <w:spacing w:line="240" w:lineRule="auto"/>
              <w:rPr>
                <w:rFonts w:hint="eastAsia" w:ascii="宋体" w:hAnsi="宋体" w:eastAsia="宋体" w:cs="宋体"/>
                <w:bCs/>
                <w:sz w:val="18"/>
                <w:szCs w:val="18"/>
              </w:rPr>
            </w:pPr>
            <w:r>
              <w:rPr>
                <w:rFonts w:hint="eastAsia" w:ascii="宋体" w:hAnsi="宋体" w:eastAsia="宋体" w:cs="宋体"/>
                <w:bCs/>
                <w:sz w:val="18"/>
                <w:szCs w:val="18"/>
              </w:rPr>
              <w:t>14.对比度：800：1。</w:t>
            </w:r>
          </w:p>
          <w:p>
            <w:pPr>
              <w:spacing w:line="240" w:lineRule="auto"/>
              <w:rPr>
                <w:rFonts w:hint="eastAsia" w:ascii="宋体" w:hAnsi="宋体" w:eastAsia="宋体" w:cs="宋体"/>
                <w:bCs/>
                <w:sz w:val="18"/>
                <w:szCs w:val="18"/>
              </w:rPr>
            </w:pPr>
            <w:r>
              <w:rPr>
                <w:rFonts w:hint="eastAsia" w:ascii="宋体" w:hAnsi="宋体" w:eastAsia="宋体" w:cs="宋体"/>
                <w:bCs/>
                <w:sz w:val="18"/>
                <w:szCs w:val="18"/>
              </w:rPr>
              <w:t>15.A级屏，无亮点、坏点。</w:t>
            </w:r>
          </w:p>
          <w:p>
            <w:pPr>
              <w:spacing w:line="240" w:lineRule="auto"/>
              <w:rPr>
                <w:rFonts w:hint="eastAsia" w:ascii="宋体" w:hAnsi="宋体" w:eastAsia="宋体" w:cs="宋体"/>
                <w:bCs/>
                <w:sz w:val="18"/>
                <w:szCs w:val="18"/>
              </w:rPr>
            </w:pPr>
            <w:r>
              <w:rPr>
                <w:rFonts w:hint="eastAsia" w:ascii="宋体" w:hAnsi="宋体" w:eastAsia="宋体" w:cs="宋体"/>
                <w:bCs/>
                <w:sz w:val="18"/>
                <w:szCs w:val="18"/>
              </w:rPr>
              <w:t>16.通讯接口：配置1个USB2.0高速端口：支持USB HID工作模式，免驱动，USB HID传输速率达到800KB/s。</w:t>
            </w:r>
          </w:p>
          <w:p>
            <w:pPr>
              <w:spacing w:line="240" w:lineRule="auto"/>
              <w:rPr>
                <w:rFonts w:hint="eastAsia" w:ascii="宋体" w:hAnsi="宋体" w:eastAsia="宋体" w:cs="宋体"/>
                <w:bCs/>
                <w:sz w:val="18"/>
                <w:szCs w:val="18"/>
              </w:rPr>
            </w:pPr>
            <w:r>
              <w:rPr>
                <w:rFonts w:hint="eastAsia" w:ascii="宋体" w:hAnsi="宋体" w:eastAsia="宋体" w:cs="宋体"/>
                <w:bCs/>
                <w:sz w:val="18"/>
                <w:szCs w:val="18"/>
              </w:rPr>
              <w:t>17.配置1个USB母口：用于读取U盘数据。</w:t>
            </w:r>
          </w:p>
          <w:p>
            <w:pPr>
              <w:spacing w:line="240" w:lineRule="auto"/>
              <w:rPr>
                <w:rFonts w:hint="eastAsia" w:ascii="宋体" w:hAnsi="宋体" w:eastAsia="宋体" w:cs="宋体"/>
                <w:bCs/>
                <w:sz w:val="18"/>
                <w:szCs w:val="18"/>
              </w:rPr>
            </w:pPr>
            <w:r>
              <w:rPr>
                <w:rFonts w:hint="eastAsia" w:ascii="宋体" w:hAnsi="宋体" w:eastAsia="宋体" w:cs="宋体"/>
                <w:bCs/>
                <w:sz w:val="18"/>
                <w:szCs w:val="18"/>
              </w:rPr>
              <w:t>18.通讯线缆：电线缆30CM-300CM。</w:t>
            </w:r>
          </w:p>
          <w:p>
            <w:pPr>
              <w:spacing w:line="240" w:lineRule="auto"/>
              <w:rPr>
                <w:rFonts w:hint="eastAsia" w:ascii="宋体" w:hAnsi="宋体" w:eastAsia="宋体" w:cs="宋体"/>
                <w:bCs/>
                <w:sz w:val="18"/>
                <w:szCs w:val="18"/>
              </w:rPr>
            </w:pPr>
            <w:r>
              <w:rPr>
                <w:rFonts w:hint="eastAsia" w:ascii="宋体" w:hAnsi="宋体" w:eastAsia="宋体" w:cs="宋体"/>
                <w:bCs/>
                <w:sz w:val="18"/>
                <w:szCs w:val="18"/>
                <w:lang w:val="en-US" w:eastAsia="zh-CN"/>
              </w:rPr>
              <w:t>19</w:t>
            </w:r>
            <w:r>
              <w:rPr>
                <w:rFonts w:hint="eastAsia" w:ascii="宋体" w:hAnsi="宋体" w:eastAsia="宋体" w:cs="宋体"/>
                <w:bCs/>
                <w:sz w:val="18"/>
                <w:szCs w:val="18"/>
              </w:rPr>
              <w:t>.功能模块：摄像头模块：宽动态双镜头，铝合金材质，摄像头形态可选、补光、红外感应，前后左右可旋转；便于在明暗反差过大的场合，同一时间快慢两次曝光，合成后看清亮暗光线下的目标物，宽动态技术是补光应用的升级。</w:t>
            </w:r>
          </w:p>
          <w:p>
            <w:pPr>
              <w:spacing w:line="240" w:lineRule="auto"/>
              <w:rPr>
                <w:rFonts w:hint="eastAsia" w:ascii="宋体" w:hAnsi="宋体" w:eastAsia="宋体" w:cs="宋体"/>
                <w:bCs/>
                <w:sz w:val="18"/>
                <w:szCs w:val="18"/>
              </w:rPr>
            </w:pPr>
            <w:r>
              <w:rPr>
                <w:rFonts w:hint="eastAsia" w:ascii="宋体" w:hAnsi="宋体" w:eastAsia="宋体" w:cs="宋体"/>
                <w:bCs/>
                <w:sz w:val="18"/>
                <w:szCs w:val="18"/>
              </w:rPr>
              <w:t>2</w:t>
            </w:r>
            <w:r>
              <w:rPr>
                <w:rFonts w:hint="eastAsia" w:ascii="宋体" w:hAnsi="宋体" w:eastAsia="宋体" w:cs="宋体"/>
                <w:bCs/>
                <w:sz w:val="18"/>
                <w:szCs w:val="18"/>
                <w:lang w:val="en-US" w:eastAsia="zh-CN"/>
              </w:rPr>
              <w:t>0</w:t>
            </w:r>
            <w:r>
              <w:rPr>
                <w:rFonts w:hint="eastAsia" w:ascii="宋体" w:hAnsi="宋体" w:eastAsia="宋体" w:cs="宋体"/>
                <w:bCs/>
                <w:sz w:val="18"/>
                <w:szCs w:val="18"/>
              </w:rPr>
              <w:t>.二代证模块：，频率：13.56MHz，表面磁场强度：（Hmax）7.5A/m（rms），高5CM处磁场强度：（Hmin）1.5A/m（rms），比特率：106KBIT/S（FC/128），调制系数：8％～14％，调制方式：ASK调制，编码方式：NRZ-L，指纹模块：电容式指纹传感器+高速DSP处理器接触/非接触IC卡读写模块：支持符合PBOC3.0标准。</w:t>
            </w:r>
          </w:p>
          <w:p>
            <w:pPr>
              <w:spacing w:line="240" w:lineRule="auto"/>
              <w:rPr>
                <w:rFonts w:hint="eastAsia" w:ascii="宋体" w:hAnsi="宋体" w:eastAsia="宋体" w:cs="宋体"/>
                <w:bCs/>
                <w:sz w:val="18"/>
                <w:szCs w:val="18"/>
              </w:rPr>
            </w:pPr>
            <w:r>
              <w:rPr>
                <w:rFonts w:hint="eastAsia" w:ascii="宋体" w:hAnsi="宋体" w:eastAsia="宋体" w:cs="宋体"/>
                <w:bCs/>
                <w:sz w:val="18"/>
                <w:szCs w:val="18"/>
              </w:rPr>
              <w:t>2</w:t>
            </w:r>
            <w:r>
              <w:rPr>
                <w:rFonts w:hint="eastAsia" w:ascii="宋体" w:hAnsi="宋体" w:eastAsia="宋体" w:cs="宋体"/>
                <w:bCs/>
                <w:sz w:val="18"/>
                <w:szCs w:val="18"/>
                <w:lang w:val="en-US" w:eastAsia="zh-CN"/>
              </w:rPr>
              <w:t>1</w:t>
            </w:r>
            <w:r>
              <w:rPr>
                <w:rFonts w:hint="eastAsia" w:ascii="宋体" w:hAnsi="宋体" w:eastAsia="宋体" w:cs="宋体"/>
                <w:bCs/>
                <w:sz w:val="18"/>
                <w:szCs w:val="18"/>
              </w:rPr>
              <w:t>.电磁手写模块：</w:t>
            </w:r>
            <w:r>
              <w:rPr>
                <w:rFonts w:hint="eastAsia" w:ascii="宋体" w:hAnsi="宋体" w:eastAsia="宋体" w:cs="宋体"/>
                <w:bCs/>
                <w:sz w:val="18"/>
                <w:szCs w:val="18"/>
              </w:rPr>
              <w:br w:type="textWrapping"/>
            </w:r>
            <w:r>
              <w:rPr>
                <w:rFonts w:hint="eastAsia" w:ascii="宋体" w:hAnsi="宋体" w:eastAsia="宋体" w:cs="宋体"/>
                <w:bCs/>
                <w:sz w:val="18"/>
                <w:szCs w:val="18"/>
              </w:rPr>
              <w:t>分辨率：4000LPI</w:t>
            </w:r>
            <w:r>
              <w:rPr>
                <w:rFonts w:hint="eastAsia" w:ascii="宋体" w:hAnsi="宋体" w:eastAsia="宋体" w:cs="宋体"/>
                <w:bCs/>
                <w:sz w:val="18"/>
                <w:szCs w:val="18"/>
              </w:rPr>
              <w:br w:type="textWrapping"/>
            </w:r>
            <w:r>
              <w:rPr>
                <w:rFonts w:hint="eastAsia" w:ascii="宋体" w:hAnsi="宋体" w:eastAsia="宋体" w:cs="宋体"/>
                <w:bCs/>
                <w:sz w:val="18"/>
                <w:szCs w:val="18"/>
              </w:rPr>
              <w:t>笔压等级：2046（含）以上</w:t>
            </w:r>
            <w:r>
              <w:rPr>
                <w:rFonts w:hint="eastAsia" w:ascii="宋体" w:hAnsi="宋体" w:eastAsia="宋体" w:cs="宋体"/>
                <w:bCs/>
                <w:sz w:val="18"/>
                <w:szCs w:val="18"/>
              </w:rPr>
              <w:br w:type="textWrapping"/>
            </w:r>
            <w:r>
              <w:rPr>
                <w:rFonts w:hint="eastAsia" w:ascii="宋体" w:hAnsi="宋体" w:eastAsia="宋体" w:cs="宋体"/>
                <w:bCs/>
                <w:sz w:val="18"/>
                <w:szCs w:val="18"/>
              </w:rPr>
              <w:t>笔读写速度：≥200PPS</w:t>
            </w:r>
            <w:r>
              <w:rPr>
                <w:rFonts w:hint="eastAsia" w:ascii="宋体" w:hAnsi="宋体" w:eastAsia="宋体" w:cs="宋体"/>
                <w:bCs/>
                <w:sz w:val="18"/>
                <w:szCs w:val="18"/>
              </w:rPr>
              <w:br w:type="textWrapping"/>
            </w:r>
            <w:r>
              <w:rPr>
                <w:rFonts w:hint="eastAsia" w:ascii="宋体" w:hAnsi="宋体" w:eastAsia="宋体" w:cs="宋体"/>
                <w:bCs/>
                <w:sz w:val="18"/>
                <w:szCs w:val="18"/>
              </w:rPr>
              <w:t>精确度：±0.5mm（中间区域）；±2mm（距边缘5mm范围）</w:t>
            </w:r>
            <w:r>
              <w:rPr>
                <w:rFonts w:hint="eastAsia" w:ascii="宋体" w:hAnsi="宋体" w:eastAsia="宋体" w:cs="宋体"/>
                <w:bCs/>
                <w:sz w:val="18"/>
                <w:szCs w:val="18"/>
              </w:rPr>
              <w:br w:type="textWrapping"/>
            </w:r>
            <w:r>
              <w:rPr>
                <w:rFonts w:hint="eastAsia" w:ascii="宋体" w:hAnsi="宋体" w:eastAsia="宋体" w:cs="宋体"/>
                <w:bCs/>
                <w:sz w:val="18"/>
                <w:szCs w:val="18"/>
              </w:rPr>
              <w:t>笔倾斜角度：±45 （垂直屏幕/板表面）</w:t>
            </w:r>
            <w:r>
              <w:rPr>
                <w:rFonts w:hint="eastAsia" w:ascii="宋体" w:hAnsi="宋体" w:eastAsia="宋体" w:cs="宋体"/>
                <w:bCs/>
                <w:sz w:val="18"/>
                <w:szCs w:val="18"/>
              </w:rPr>
              <w:br w:type="textWrapping"/>
            </w:r>
            <w:r>
              <w:rPr>
                <w:rFonts w:hint="eastAsia" w:ascii="宋体" w:hAnsi="宋体" w:eastAsia="宋体" w:cs="宋体"/>
                <w:bCs/>
                <w:sz w:val="18"/>
                <w:szCs w:val="18"/>
              </w:rPr>
              <w:t>感应高度：10mm （距离玻璃/板表面）</w:t>
            </w:r>
            <w:r>
              <w:rPr>
                <w:rFonts w:hint="eastAsia" w:ascii="宋体" w:hAnsi="宋体" w:eastAsia="宋体" w:cs="宋体"/>
                <w:bCs/>
                <w:sz w:val="18"/>
                <w:szCs w:val="18"/>
              </w:rPr>
              <w:br w:type="textWrapping"/>
            </w:r>
            <w:r>
              <w:rPr>
                <w:rFonts w:hint="eastAsia" w:ascii="宋体" w:hAnsi="宋体" w:eastAsia="宋体" w:cs="宋体"/>
                <w:bCs/>
                <w:sz w:val="18"/>
                <w:szCs w:val="18"/>
              </w:rPr>
              <w:t>无故障点击寿命：单点≥100万次</w:t>
            </w:r>
            <w:r>
              <w:rPr>
                <w:rFonts w:hint="eastAsia" w:ascii="宋体" w:hAnsi="宋体" w:eastAsia="宋体" w:cs="宋体"/>
                <w:bCs/>
                <w:sz w:val="18"/>
                <w:szCs w:val="18"/>
              </w:rPr>
              <w:br w:type="textWrapping"/>
            </w:r>
            <w:r>
              <w:rPr>
                <w:rFonts w:hint="eastAsia" w:ascii="宋体" w:hAnsi="宋体" w:eastAsia="宋体" w:cs="宋体"/>
                <w:bCs/>
                <w:sz w:val="18"/>
                <w:szCs w:val="18"/>
              </w:rPr>
              <w:t>电磁签名笔：电磁压感感应笔（无源），笔尖可更换；专用的笔架可放置签名笔</w:t>
            </w:r>
            <w:r>
              <w:rPr>
                <w:rFonts w:hint="eastAsia" w:ascii="宋体" w:hAnsi="宋体" w:eastAsia="宋体" w:cs="宋体"/>
                <w:bCs/>
                <w:sz w:val="18"/>
                <w:szCs w:val="18"/>
              </w:rPr>
              <w:br w:type="textWrapping"/>
            </w:r>
            <w:r>
              <w:rPr>
                <w:rFonts w:hint="eastAsia" w:ascii="宋体" w:hAnsi="宋体" w:eastAsia="宋体" w:cs="宋体"/>
                <w:bCs/>
                <w:sz w:val="18"/>
                <w:szCs w:val="18"/>
              </w:rPr>
              <w:t>支持32GB外设存储。</w:t>
            </w:r>
          </w:p>
          <w:p>
            <w:pPr>
              <w:spacing w:line="240" w:lineRule="auto"/>
              <w:rPr>
                <w:rFonts w:hint="eastAsia" w:ascii="宋体" w:hAnsi="宋体" w:eastAsia="宋体" w:cs="宋体"/>
                <w:bCs/>
                <w:sz w:val="18"/>
                <w:szCs w:val="18"/>
              </w:rPr>
            </w:pPr>
            <w:r>
              <w:rPr>
                <w:rFonts w:hint="eastAsia" w:ascii="宋体" w:hAnsi="宋体" w:eastAsia="宋体" w:cs="宋体"/>
                <w:bCs/>
                <w:sz w:val="18"/>
                <w:szCs w:val="18"/>
              </w:rPr>
              <w:t>电源供电：12VDC/2A，外接电源独立供电，配置电源开关可控制设备开关机。</w:t>
            </w:r>
          </w:p>
          <w:p>
            <w:pPr>
              <w:spacing w:line="240" w:lineRule="auto"/>
              <w:rPr>
                <w:rFonts w:hint="eastAsia" w:ascii="宋体" w:hAnsi="宋体" w:eastAsia="宋体" w:cs="宋体"/>
                <w:bCs/>
                <w:sz w:val="18"/>
                <w:szCs w:val="18"/>
              </w:rPr>
            </w:pPr>
            <w:r>
              <w:rPr>
                <w:rFonts w:hint="eastAsia" w:ascii="宋体" w:hAnsi="宋体" w:eastAsia="宋体" w:cs="宋体"/>
                <w:bCs/>
                <w:sz w:val="18"/>
                <w:szCs w:val="18"/>
              </w:rPr>
              <w:t>尺寸和重量：342.5×189.7×33.5（长×宽×高：mm）；0.95KG。</w:t>
            </w:r>
          </w:p>
          <w:p>
            <w:pPr>
              <w:spacing w:line="240" w:lineRule="auto"/>
              <w:rPr>
                <w:rFonts w:hint="eastAsia" w:ascii="宋体" w:hAnsi="宋体" w:eastAsia="宋体" w:cs="宋体"/>
                <w:bCs/>
                <w:sz w:val="18"/>
                <w:szCs w:val="18"/>
              </w:rPr>
            </w:pPr>
            <w:r>
              <w:rPr>
                <w:rFonts w:hint="eastAsia" w:ascii="宋体" w:hAnsi="宋体" w:eastAsia="宋体" w:cs="宋体"/>
                <w:bCs/>
                <w:sz w:val="18"/>
                <w:szCs w:val="18"/>
              </w:rPr>
              <w:t>平均无故障时间：≥10000小时。</w:t>
            </w:r>
          </w:p>
          <w:p>
            <w:pPr>
              <w:spacing w:line="240" w:lineRule="auto"/>
            </w:pPr>
            <w:r>
              <w:rPr>
                <w:rFonts w:hint="eastAsia" w:ascii="宋体" w:hAnsi="宋体" w:eastAsia="宋体" w:cs="宋体"/>
                <w:bCs/>
                <w:sz w:val="18"/>
                <w:szCs w:val="18"/>
              </w:rPr>
              <w:t>工作环境：温度：-10℃～50℃；湿度：10%～90%RH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1" w:hRule="atLeast"/>
        </w:trPr>
        <w:tc>
          <w:tcPr>
            <w:tcW w:w="732" w:type="dxa"/>
            <w:vAlign w:val="center"/>
          </w:tcPr>
          <w:p>
            <w:pPr>
              <w:jc w:val="center"/>
              <w:rPr>
                <w:rFonts w:hint="default"/>
                <w:vertAlign w:val="baseline"/>
                <w:lang w:val="en-US" w:eastAsia="zh-CN"/>
              </w:rPr>
            </w:pPr>
            <w:r>
              <w:rPr>
                <w:rFonts w:hint="eastAsia"/>
                <w:vertAlign w:val="baseline"/>
                <w:lang w:val="en-US" w:eastAsia="zh-CN"/>
              </w:rPr>
              <w:t>2</w:t>
            </w:r>
          </w:p>
        </w:tc>
        <w:tc>
          <w:tcPr>
            <w:tcW w:w="2649" w:type="dxa"/>
            <w:vAlign w:val="center"/>
          </w:tcPr>
          <w:p>
            <w:pPr>
              <w:jc w:val="center"/>
              <w:rPr>
                <w:rFonts w:hint="eastAsia" w:ascii="方正书宋_GBK" w:hAnsi="方正书宋_GBK" w:eastAsia="方正书宋_GBK" w:cs="方正书宋_GBK"/>
                <w:spacing w:val="-4"/>
                <w:szCs w:val="24"/>
              </w:rPr>
            </w:pPr>
            <w:r>
              <w:rPr>
                <w:rFonts w:hint="eastAsia" w:ascii="方正书宋_GBK" w:hAnsi="方正书宋_GBK" w:eastAsia="方正书宋_GBK" w:cs="方正书宋_GBK"/>
                <w:spacing w:val="-4"/>
                <w:szCs w:val="24"/>
              </w:rPr>
              <w:t>智能一体化讯问设备</w:t>
            </w:r>
          </w:p>
        </w:tc>
        <w:tc>
          <w:tcPr>
            <w:tcW w:w="796" w:type="dxa"/>
            <w:vAlign w:val="center"/>
          </w:tcPr>
          <w:p>
            <w:pPr>
              <w:jc w:val="center"/>
              <w:rPr>
                <w:rFonts w:hint="default"/>
                <w:vertAlign w:val="baseline"/>
                <w:lang w:val="en-US" w:eastAsia="zh-CN"/>
              </w:rPr>
            </w:pPr>
            <w:r>
              <w:rPr>
                <w:rFonts w:hint="eastAsia"/>
                <w:vertAlign w:val="baseline"/>
                <w:lang w:val="en-US" w:eastAsia="zh-CN"/>
              </w:rPr>
              <w:t>台</w:t>
            </w:r>
          </w:p>
        </w:tc>
        <w:tc>
          <w:tcPr>
            <w:tcW w:w="946" w:type="dxa"/>
            <w:vAlign w:val="center"/>
          </w:tcPr>
          <w:p>
            <w:pPr>
              <w:jc w:val="center"/>
              <w:rPr>
                <w:rFonts w:hint="default"/>
                <w:vertAlign w:val="baseline"/>
                <w:lang w:val="en-US" w:eastAsia="zh-CN"/>
              </w:rPr>
            </w:pPr>
            <w:r>
              <w:rPr>
                <w:rFonts w:hint="eastAsia"/>
                <w:vertAlign w:val="baseline"/>
                <w:lang w:val="en-US" w:eastAsia="zh-CN"/>
              </w:rPr>
              <w:t>3</w:t>
            </w:r>
          </w:p>
        </w:tc>
        <w:tc>
          <w:tcPr>
            <w:tcW w:w="981" w:type="dxa"/>
          </w:tcPr>
          <w:p>
            <w:pPr>
              <w:rPr>
                <w:vertAlign w:val="baseline"/>
              </w:rPr>
            </w:pPr>
          </w:p>
        </w:tc>
        <w:tc>
          <w:tcPr>
            <w:tcW w:w="911" w:type="dxa"/>
          </w:tcPr>
          <w:p>
            <w:pPr>
              <w:rPr>
                <w:vertAlign w:val="baseline"/>
              </w:rPr>
            </w:pPr>
          </w:p>
        </w:tc>
        <w:tc>
          <w:tcPr>
            <w:tcW w:w="7267" w:type="dxa"/>
          </w:tcPr>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含基于AI的嵌入式智能一体化审讯桌</w:t>
            </w:r>
            <w:r>
              <w:rPr>
                <w:rFonts w:hint="eastAsia" w:asciiTheme="minorEastAsia" w:hAnsiTheme="minorEastAsia" w:eastAsiaTheme="minorEastAsia" w:cstheme="minorEastAsia"/>
                <w:b/>
                <w:bCs/>
                <w:sz w:val="18"/>
                <w:szCs w:val="18"/>
              </w:rPr>
              <w:br w:type="textWrapping"/>
            </w:r>
            <w:r>
              <w:rPr>
                <w:rFonts w:hint="eastAsia" w:asciiTheme="minorEastAsia" w:hAnsiTheme="minorEastAsia" w:eastAsiaTheme="minorEastAsia" w:cstheme="minorEastAsia"/>
                <w:sz w:val="18"/>
                <w:szCs w:val="18"/>
              </w:rPr>
              <w:t>1.智能审讯一体桌集成审讯台、可变焦摄像机、电子签名捺印板、智能高拍仪、音箱、插排、交换机、报警按钮、显示功能、打印功能为一体，并预留审讯主机放置位置；</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2.审讯台无尖锐棱角；</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示证单元：支持分辨率≧1920*1080，屏幕尺寸≧43寸；实物展台清晰度不低于1200线，支持10倍光学变焦，支持8倍数字放大；4.笔录制作及打印单元：黑白(A4，就绪模式)：不高于8.3秒；黑白(A4，睡眠模式)：不高于18秒 ；</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5.打印负荷不低于10,000页；</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6.分辨率不低于600x600dpi；</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7.内置不少于2个音箱、不少于于一个8口百兆交换机、至少1个手动报警按钮，至少一个强光照射按钮和一个电源按钮；</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8.提供不少于2个电源插座；</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9.配合平台软件支持朗读权利义务告知书、电子笔录录入、笔录校对与打印、协同办案等，支持语音和文字交互；</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10.配合平台软件支持待审讯人员列表，支持自动关联在办案自助服务终端分配的人员列表。根据时间自动排序；</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11.笔录制作，笔录文书制作包括笔录新建、修改、删除、保存、查阅、检索，人案基本信息填写、笔录问答填写、笔录问答模板引用等。</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12.笔录朗读，智能笔录可以根据语音模块提供笔录文本语音朗读和播放功能，提供多途径的笔录展现途径；</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13.支持审讯视频预览；</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14.支持副屏显示；</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辨认，系统支持按照年龄、性别、民族、肤色、特征等条件过滤筛选，随机生成单组或多组辨认照片，支持对差异较大的陪衬照片进行手动更换，最后导出规范的辨认照片包含被辨认人的照片列表、被辨认人的身份情况说明，同时支持导出word进行编辑（需硬件支持）；</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16.笔录模板导入，笔录模板管理是智能笔录的重要功能，预设问答内容有助于帮助基层民警掌握问话要点；</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17.光盘刻录，刻录速度：CD最大支持40X,DVD-R,DVD+R，最大12X（需硬件支持）;</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18.签名按捺，笔录被问话人对笔录文书的确认签字使用电子签名、按捺；</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19.审讯历史记录调阅；</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20.笔录时间戳，根据笔录文件问答内容，跳转到对应的录像视频；</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21.重点录像标记，审讯过程中对重点录像进行标记；22.涉案财物远程示证，审讯过程中支持涉案财物的远程示证；</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23.审讯指挥、远程桌面同步、消息共享、对讲指挥；24.支持嫌疑人特写拍摄及审讯室声音采集；</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25.支持电子签名捺印 ，彩色签字屏尺寸≧10.1寸；26.支持双向语音对讲，支持蓝牙耳机对讲，支持开机自动连接，支持单耳、双耳使用 ；</w:t>
            </w:r>
          </w:p>
          <w:p>
            <w:pPr>
              <w:spacing w:line="240" w:lineRule="auto"/>
              <w:rPr>
                <w:rFonts w:hint="eastAsia" w:ascii="宋体" w:hAnsi="宋体" w:eastAsia="宋体" w:cs="宋体"/>
                <w:bCs/>
                <w:sz w:val="18"/>
                <w:szCs w:val="18"/>
              </w:rPr>
            </w:pPr>
            <w:r>
              <w:rPr>
                <w:rFonts w:hint="eastAsia" w:asciiTheme="minorEastAsia" w:hAnsiTheme="minorEastAsia" w:eastAsiaTheme="minorEastAsia" w:cstheme="minorEastAsia"/>
                <w:sz w:val="18"/>
                <w:szCs w:val="18"/>
              </w:rPr>
              <w:t>27.不低于I5九代处理器，不低于8G内存，不低于1TB硬盘，支持VGA+HDMI视频输出，提供DVD光驱，Windows10系统。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32" w:type="dxa"/>
            <w:vAlign w:val="center"/>
          </w:tcPr>
          <w:p>
            <w:pPr>
              <w:jc w:val="center"/>
              <w:rPr>
                <w:rFonts w:hint="default"/>
                <w:vertAlign w:val="baseline"/>
                <w:lang w:val="en-US" w:eastAsia="zh-CN"/>
              </w:rPr>
            </w:pPr>
            <w:r>
              <w:rPr>
                <w:rFonts w:hint="eastAsia"/>
                <w:vertAlign w:val="baseline"/>
                <w:lang w:val="en-US" w:eastAsia="zh-CN"/>
              </w:rPr>
              <w:t>3</w:t>
            </w:r>
          </w:p>
        </w:tc>
        <w:tc>
          <w:tcPr>
            <w:tcW w:w="2649" w:type="dxa"/>
            <w:vAlign w:val="center"/>
          </w:tcPr>
          <w:p>
            <w:pPr>
              <w:jc w:val="center"/>
              <w:rPr>
                <w:rFonts w:hint="eastAsia" w:ascii="方正书宋_GBK" w:hAnsi="方正书宋_GBK" w:eastAsia="方正书宋_GBK" w:cs="方正书宋_GBK"/>
                <w:spacing w:val="-4"/>
                <w:szCs w:val="24"/>
              </w:rPr>
            </w:pPr>
            <w:r>
              <w:rPr>
                <w:rFonts w:hint="eastAsia" w:ascii="方正书宋_GBK" w:hAnsi="方正书宋_GBK" w:eastAsia="方正书宋_GBK" w:cs="方正书宋_GBK"/>
                <w:spacing w:val="-4"/>
                <w:szCs w:val="24"/>
                <w:lang w:val="en-US" w:eastAsia="zh-CN"/>
              </w:rPr>
              <w:t>现场痕迹物证勘查组合装备</w:t>
            </w:r>
          </w:p>
        </w:tc>
        <w:tc>
          <w:tcPr>
            <w:tcW w:w="796" w:type="dxa"/>
            <w:vAlign w:val="center"/>
          </w:tcPr>
          <w:p>
            <w:pPr>
              <w:jc w:val="center"/>
              <w:rPr>
                <w:rFonts w:hint="default"/>
                <w:vertAlign w:val="baseline"/>
                <w:lang w:val="en-US" w:eastAsia="zh-CN"/>
              </w:rPr>
            </w:pPr>
            <w:r>
              <w:rPr>
                <w:rFonts w:hint="eastAsia"/>
                <w:vertAlign w:val="baseline"/>
                <w:lang w:val="en-US" w:eastAsia="zh-CN"/>
              </w:rPr>
              <w:t>台</w:t>
            </w:r>
          </w:p>
        </w:tc>
        <w:tc>
          <w:tcPr>
            <w:tcW w:w="946" w:type="dxa"/>
            <w:vAlign w:val="center"/>
          </w:tcPr>
          <w:p>
            <w:pPr>
              <w:jc w:val="center"/>
              <w:rPr>
                <w:rFonts w:hint="default"/>
                <w:vertAlign w:val="baseline"/>
                <w:lang w:val="en-US" w:eastAsia="zh-CN"/>
              </w:rPr>
            </w:pPr>
            <w:r>
              <w:rPr>
                <w:rFonts w:hint="eastAsia"/>
                <w:vertAlign w:val="baseline"/>
                <w:lang w:val="en-US" w:eastAsia="zh-CN"/>
              </w:rPr>
              <w:t>1</w:t>
            </w:r>
          </w:p>
        </w:tc>
        <w:tc>
          <w:tcPr>
            <w:tcW w:w="981" w:type="dxa"/>
          </w:tcPr>
          <w:p>
            <w:pPr>
              <w:rPr>
                <w:vertAlign w:val="baseline"/>
              </w:rPr>
            </w:pPr>
          </w:p>
        </w:tc>
        <w:tc>
          <w:tcPr>
            <w:tcW w:w="911" w:type="dxa"/>
          </w:tcPr>
          <w:p>
            <w:pPr>
              <w:rPr>
                <w:vertAlign w:val="baseline"/>
              </w:rPr>
            </w:pPr>
          </w:p>
        </w:tc>
        <w:tc>
          <w:tcPr>
            <w:tcW w:w="7267" w:type="dxa"/>
          </w:tcPr>
          <w:p>
            <w:pPr>
              <w:widowControl/>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1.便携式LED生物检材发现仪</w:t>
            </w:r>
          </w:p>
          <w:p>
            <w:pPr>
              <w:widowControl/>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2.便携式宽幅足迹搜索光源</w:t>
            </w:r>
          </w:p>
          <w:p>
            <w:pPr>
              <w:widowControl/>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lang w:val="en-US" w:eastAsia="zh-CN"/>
              </w:rPr>
              <w:t>.便携式LED现场勘查搜索灯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32" w:type="dxa"/>
            <w:vAlign w:val="center"/>
          </w:tcPr>
          <w:p>
            <w:pPr>
              <w:jc w:val="center"/>
              <w:rPr>
                <w:rFonts w:hint="default"/>
                <w:vertAlign w:val="baseline"/>
                <w:lang w:val="en-US" w:eastAsia="zh-CN"/>
              </w:rPr>
            </w:pPr>
            <w:r>
              <w:rPr>
                <w:rFonts w:hint="eastAsia"/>
                <w:vertAlign w:val="baseline"/>
                <w:lang w:val="en-US" w:eastAsia="zh-CN"/>
              </w:rPr>
              <w:t>4</w:t>
            </w:r>
          </w:p>
        </w:tc>
        <w:tc>
          <w:tcPr>
            <w:tcW w:w="2649" w:type="dxa"/>
            <w:vAlign w:val="center"/>
          </w:tcPr>
          <w:p>
            <w:pPr>
              <w:jc w:val="center"/>
              <w:rPr>
                <w:rFonts w:hint="eastAsia" w:ascii="方正书宋_GBK" w:hAnsi="方正书宋_GBK" w:eastAsia="方正书宋_GBK" w:cs="方正书宋_GBK"/>
                <w:spacing w:val="-4"/>
                <w:szCs w:val="24"/>
                <w:lang w:val="en-US" w:eastAsia="zh-CN"/>
              </w:rPr>
            </w:pPr>
            <w:r>
              <w:rPr>
                <w:rFonts w:hint="eastAsia" w:ascii="方正书宋_GBK" w:hAnsi="方正书宋_GBK" w:eastAsia="方正书宋_GBK" w:cs="方正书宋_GBK"/>
                <w:spacing w:val="-4"/>
                <w:szCs w:val="24"/>
              </w:rPr>
              <w:t>卫星终端</w:t>
            </w:r>
          </w:p>
        </w:tc>
        <w:tc>
          <w:tcPr>
            <w:tcW w:w="796" w:type="dxa"/>
            <w:vAlign w:val="center"/>
          </w:tcPr>
          <w:p>
            <w:pPr>
              <w:jc w:val="center"/>
              <w:rPr>
                <w:rFonts w:hint="default"/>
                <w:vertAlign w:val="baseline"/>
                <w:lang w:val="en-US" w:eastAsia="zh-CN"/>
              </w:rPr>
            </w:pPr>
            <w:r>
              <w:rPr>
                <w:rFonts w:hint="eastAsia"/>
                <w:vertAlign w:val="baseline"/>
                <w:lang w:val="en-US" w:eastAsia="zh-CN"/>
              </w:rPr>
              <w:t>台</w:t>
            </w:r>
          </w:p>
        </w:tc>
        <w:tc>
          <w:tcPr>
            <w:tcW w:w="946" w:type="dxa"/>
            <w:vAlign w:val="center"/>
          </w:tcPr>
          <w:p>
            <w:pPr>
              <w:jc w:val="center"/>
              <w:rPr>
                <w:rFonts w:hint="default"/>
                <w:vertAlign w:val="baseline"/>
                <w:lang w:val="en-US" w:eastAsia="zh-CN"/>
              </w:rPr>
            </w:pPr>
            <w:r>
              <w:rPr>
                <w:rFonts w:hint="eastAsia"/>
                <w:vertAlign w:val="baseline"/>
                <w:lang w:val="en-US" w:eastAsia="zh-CN"/>
              </w:rPr>
              <w:t>1</w:t>
            </w:r>
          </w:p>
        </w:tc>
        <w:tc>
          <w:tcPr>
            <w:tcW w:w="981" w:type="dxa"/>
          </w:tcPr>
          <w:p>
            <w:pPr>
              <w:rPr>
                <w:vertAlign w:val="baseline"/>
              </w:rPr>
            </w:pPr>
          </w:p>
        </w:tc>
        <w:tc>
          <w:tcPr>
            <w:tcW w:w="911" w:type="dxa"/>
          </w:tcPr>
          <w:p>
            <w:pPr>
              <w:rPr>
                <w:vertAlign w:val="baseline"/>
              </w:rPr>
            </w:pPr>
          </w:p>
        </w:tc>
        <w:tc>
          <w:tcPr>
            <w:tcW w:w="7267" w:type="dxa"/>
          </w:tcPr>
          <w:p>
            <w:pPr>
              <w:widowControl/>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1、支持4W数字对讲</w:t>
            </w:r>
          </w:p>
          <w:p>
            <w:pPr>
              <w:widowControl/>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2、卫星电话 对讲天线二合一</w:t>
            </w:r>
          </w:p>
          <w:p>
            <w:pPr>
              <w:widowControl/>
              <w:textAlignment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3、使用高效的Nucleus 操作系统</w:t>
            </w:r>
          </w:p>
          <w:p>
            <w:pPr>
              <w:widowControl/>
              <w:textAlignment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4、可接外置天通卫星电话天线</w:t>
            </w:r>
          </w:p>
        </w:tc>
      </w:tr>
    </w:tbl>
    <w:p>
      <w:pPr>
        <w:pStyle w:val="29"/>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ascii="仿宋" w:hAnsi="仿宋" w:eastAsia="仿宋" w:cs="仿宋"/>
          <w:b/>
          <w:bCs/>
          <w:color w:val="auto"/>
          <w:sz w:val="24"/>
          <w:szCs w:val="24"/>
        </w:rPr>
      </w:pPr>
      <w:r>
        <w:rPr>
          <w:rFonts w:hint="eastAsia" w:ascii="仿宋" w:hAnsi="仿宋" w:eastAsia="仿宋" w:cs="仿宋"/>
          <w:b/>
          <w:bCs/>
          <w:color w:val="auto"/>
          <w:sz w:val="24"/>
          <w:szCs w:val="24"/>
        </w:rPr>
        <w:t>备注：</w:t>
      </w:r>
    </w:p>
    <w:p>
      <w:pPr>
        <w:pStyle w:val="29"/>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ascii="仿宋" w:hAnsi="仿宋" w:eastAsia="仿宋" w:cs="仿宋"/>
          <w:b/>
          <w:bCs/>
          <w:color w:val="auto"/>
          <w:sz w:val="24"/>
          <w:szCs w:val="24"/>
        </w:rPr>
      </w:pPr>
      <w:r>
        <w:rPr>
          <w:rFonts w:hint="eastAsia" w:ascii="仿宋" w:hAnsi="仿宋" w:eastAsia="仿宋" w:cs="仿宋"/>
          <w:b/>
          <w:bCs/>
          <w:color w:val="auto"/>
          <w:sz w:val="24"/>
          <w:szCs w:val="24"/>
        </w:rPr>
        <w:t>交付时间：按照采购人实际需求。</w:t>
      </w:r>
    </w:p>
    <w:p>
      <w:pPr>
        <w:pStyle w:val="29"/>
        <w:keepNext w:val="0"/>
        <w:keepLines w:val="0"/>
        <w:pageBreakBefore w:val="0"/>
        <w:widowControl w:val="0"/>
        <w:kinsoku/>
        <w:wordWrap/>
        <w:overflowPunct/>
        <w:topLinePunct w:val="0"/>
        <w:autoSpaceDE/>
        <w:autoSpaceDN/>
        <w:bidi w:val="0"/>
        <w:adjustRightInd/>
        <w:spacing w:line="360" w:lineRule="auto"/>
        <w:jc w:val="left"/>
        <w:textAlignment w:val="auto"/>
        <w:outlineLvl w:val="9"/>
        <w:rPr>
          <w:rFonts w:ascii="仿宋" w:hAnsi="仿宋" w:eastAsia="仿宋" w:cs="仿宋"/>
          <w:b/>
          <w:bCs/>
          <w:color w:val="auto"/>
          <w:sz w:val="24"/>
          <w:szCs w:val="24"/>
        </w:rPr>
      </w:pPr>
      <w:r>
        <w:rPr>
          <w:rFonts w:hint="eastAsia" w:ascii="仿宋" w:hAnsi="仿宋" w:eastAsia="仿宋" w:cs="仿宋"/>
          <w:b/>
          <w:bCs/>
          <w:color w:val="auto"/>
          <w:sz w:val="24"/>
          <w:szCs w:val="24"/>
        </w:rPr>
        <w:t>交付地点：采购人指定地点。</w:t>
      </w:r>
    </w:p>
    <w:p>
      <w:pPr>
        <w:keepNext w:val="0"/>
        <w:keepLines w:val="0"/>
        <w:pageBreakBefore w:val="0"/>
        <w:widowControl w:val="0"/>
        <w:kinsoku/>
        <w:wordWrap/>
        <w:overflowPunct/>
        <w:topLinePunct w:val="0"/>
        <w:autoSpaceDE/>
        <w:autoSpaceDN/>
        <w:bidi w:val="0"/>
        <w:adjustRightInd/>
        <w:snapToGrid w:val="0"/>
        <w:spacing w:after="161" w:afterLines="50" w:line="360" w:lineRule="auto"/>
        <w:jc w:val="left"/>
        <w:textAlignment w:val="auto"/>
        <w:outlineLvl w:val="9"/>
        <w:rPr>
          <w:rFonts w:ascii="仿宋" w:hAnsi="仿宋" w:eastAsia="仿宋" w:cs="仿宋"/>
          <w:b/>
          <w:bCs/>
          <w:color w:val="auto"/>
          <w:sz w:val="28"/>
          <w:szCs w:val="28"/>
        </w:rPr>
      </w:pPr>
      <w:r>
        <w:rPr>
          <w:rFonts w:hint="eastAsia" w:ascii="仿宋" w:hAnsi="仿宋" w:eastAsia="仿宋" w:cs="仿宋"/>
          <w:b/>
          <w:bCs/>
          <w:color w:val="auto"/>
          <w:sz w:val="24"/>
          <w:szCs w:val="24"/>
        </w:rPr>
        <w:t>报价：包括税金、人工、售后服务等完成项目所需的全部费用。</w:t>
      </w:r>
    </w:p>
    <w:p>
      <w:pPr>
        <w:pageBreakBefore w:val="0"/>
        <w:kinsoku/>
        <w:overflowPunct/>
        <w:topLinePunct w:val="0"/>
        <w:bidi w:val="0"/>
        <w:outlineLvl w:val="9"/>
        <w:rPr>
          <w:rFonts w:ascii="仿宋" w:hAnsi="仿宋" w:eastAsia="仿宋"/>
          <w:b/>
          <w:bCs/>
          <w:color w:val="auto"/>
          <w:sz w:val="28"/>
          <w:szCs w:val="28"/>
          <w:highlight w:val="yellow"/>
        </w:rPr>
        <w:sectPr>
          <w:pgSz w:w="16838" w:h="11906" w:orient="landscape"/>
          <w:pgMar w:top="1417" w:right="1418" w:bottom="1134" w:left="1134" w:header="851" w:footer="992" w:gutter="0"/>
          <w:cols w:space="0" w:num="1"/>
          <w:docGrid w:type="lines" w:linePitch="322" w:charSpace="0"/>
        </w:sectPr>
      </w:pPr>
    </w:p>
    <w:p>
      <w:pPr>
        <w:keepNext w:val="0"/>
        <w:keepLines w:val="0"/>
        <w:pageBreakBefore w:val="0"/>
        <w:widowControl w:val="0"/>
        <w:kinsoku/>
        <w:wordWrap/>
        <w:overflowPunct/>
        <w:topLinePunct w:val="0"/>
        <w:autoSpaceDE/>
        <w:autoSpaceDN/>
        <w:bidi w:val="0"/>
        <w:adjustRightInd/>
        <w:snapToGrid w:val="0"/>
        <w:spacing w:after="156" w:afterLines="50"/>
        <w:jc w:val="center"/>
        <w:textAlignment w:val="auto"/>
        <w:outlineLvl w:val="0"/>
        <w:rPr>
          <w:b/>
          <w:bCs/>
          <w:color w:val="auto"/>
          <w:sz w:val="32"/>
          <w:szCs w:val="32"/>
        </w:rPr>
      </w:pPr>
      <w:bookmarkStart w:id="183" w:name="_Toc14299"/>
      <w:r>
        <w:rPr>
          <w:rFonts w:hint="eastAsia"/>
          <w:b/>
          <w:bCs/>
          <w:color w:val="auto"/>
          <w:sz w:val="32"/>
          <w:szCs w:val="32"/>
        </w:rPr>
        <w:t>第六章  响应文件格式</w:t>
      </w:r>
      <w:bookmarkEnd w:id="183"/>
    </w:p>
    <w:p>
      <w:pPr>
        <w:pageBreakBefore w:val="0"/>
        <w:kinsoku/>
        <w:overflowPunct/>
        <w:topLinePunct w:val="0"/>
        <w:bidi w:val="0"/>
        <w:snapToGrid w:val="0"/>
        <w:spacing w:after="156" w:afterLines="50"/>
        <w:outlineLvl w:val="9"/>
        <w:rPr>
          <w:color w:val="auto"/>
        </w:rPr>
      </w:pPr>
    </w:p>
    <w:p>
      <w:pPr>
        <w:pageBreakBefore w:val="0"/>
        <w:kinsoku/>
        <w:overflowPunct/>
        <w:topLinePunct w:val="0"/>
        <w:bidi w:val="0"/>
        <w:spacing w:line="360" w:lineRule="auto"/>
        <w:jc w:val="center"/>
        <w:outlineLvl w:val="9"/>
        <w:rPr>
          <w:b/>
          <w:color w:val="auto"/>
          <w:sz w:val="30"/>
          <w:szCs w:val="30"/>
        </w:rPr>
      </w:pPr>
      <w:r>
        <w:rPr>
          <w:color w:val="auto"/>
        </w:rPr>
        <w:br w:type="page"/>
      </w:r>
      <w:bookmarkStart w:id="184" w:name="_Toc23024"/>
      <w:bookmarkStart w:id="185" w:name="_Toc298458725"/>
      <w:bookmarkStart w:id="186" w:name="_Toc332094984"/>
      <w:bookmarkStart w:id="187" w:name="_Toc414445763"/>
      <w:bookmarkStart w:id="188" w:name="_Toc298745568"/>
      <w:bookmarkStart w:id="189" w:name="_Toc410631171"/>
      <w:bookmarkStart w:id="190" w:name="_Toc327276295"/>
      <w:bookmarkStart w:id="191" w:name="_Toc350418253"/>
      <w:bookmarkStart w:id="192" w:name="_Toc298434671"/>
      <w:bookmarkStart w:id="193" w:name="_Toc298745650"/>
      <w:bookmarkStart w:id="194" w:name="_Toc2190"/>
      <w:bookmarkStart w:id="195" w:name="_Toc298434528"/>
      <w:bookmarkStart w:id="196" w:name="_Toc416103813"/>
      <w:r>
        <w:rPr>
          <w:b/>
          <w:color w:val="auto"/>
          <w:sz w:val="30"/>
          <w:szCs w:val="30"/>
        </w:rPr>
        <w:t>评</w:t>
      </w:r>
      <w:r>
        <w:rPr>
          <w:rFonts w:hint="eastAsia"/>
          <w:b/>
          <w:color w:val="auto"/>
          <w:sz w:val="30"/>
          <w:szCs w:val="30"/>
        </w:rPr>
        <w:t>审</w:t>
      </w:r>
      <w:r>
        <w:rPr>
          <w:b/>
          <w:color w:val="auto"/>
          <w:sz w:val="30"/>
          <w:szCs w:val="30"/>
        </w:rPr>
        <w:t>索引</w:t>
      </w:r>
      <w:bookmarkEnd w:id="184"/>
      <w:bookmarkEnd w:id="185"/>
      <w:bookmarkEnd w:id="186"/>
      <w:bookmarkEnd w:id="187"/>
      <w:bookmarkEnd w:id="188"/>
      <w:bookmarkEnd w:id="189"/>
      <w:bookmarkEnd w:id="190"/>
      <w:bookmarkEnd w:id="191"/>
      <w:bookmarkEnd w:id="192"/>
      <w:bookmarkEnd w:id="193"/>
      <w:bookmarkEnd w:id="194"/>
      <w:bookmarkEnd w:id="195"/>
      <w:bookmarkEnd w:id="196"/>
    </w:p>
    <w:tbl>
      <w:tblPr>
        <w:tblStyle w:val="7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序号</w:t>
            </w:r>
          </w:p>
        </w:tc>
        <w:tc>
          <w:tcPr>
            <w:tcW w:w="1722"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评审办法条款号</w:t>
            </w:r>
          </w:p>
        </w:tc>
        <w:tc>
          <w:tcPr>
            <w:tcW w:w="4536"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评标办法要求</w:t>
            </w:r>
          </w:p>
        </w:tc>
        <w:tc>
          <w:tcPr>
            <w:tcW w:w="1843"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响应文件对应内容的册及页码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一</w:t>
            </w:r>
          </w:p>
        </w:tc>
        <w:tc>
          <w:tcPr>
            <w:tcW w:w="1722"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资格审查</w:t>
            </w:r>
          </w:p>
        </w:tc>
        <w:tc>
          <w:tcPr>
            <w:tcW w:w="4536" w:type="dxa"/>
            <w:vAlign w:val="center"/>
          </w:tcPr>
          <w:p>
            <w:pPr>
              <w:pageBreakBefore w:val="0"/>
              <w:kinsoku/>
              <w:overflowPunct/>
              <w:topLinePunct w:val="0"/>
              <w:bidi w:val="0"/>
              <w:snapToGrid w:val="0"/>
              <w:jc w:val="center"/>
              <w:outlineLvl w:val="9"/>
              <w:rPr>
                <w:rFonts w:ascii="宋体"/>
                <w:color w:val="auto"/>
                <w:szCs w:val="21"/>
              </w:rPr>
            </w:pPr>
          </w:p>
        </w:tc>
        <w:tc>
          <w:tcPr>
            <w:tcW w:w="1843" w:type="dxa"/>
            <w:vAlign w:val="center"/>
          </w:tcPr>
          <w:p>
            <w:pPr>
              <w:pageBreakBefore w:val="0"/>
              <w:kinsoku/>
              <w:overflowPunct/>
              <w:topLinePunct w:val="0"/>
              <w:bidi w:val="0"/>
              <w:snapToGrid w:val="0"/>
              <w:ind w:firstLine="480"/>
              <w:jc w:val="center"/>
              <w:outlineLvl w:val="9"/>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1</w:t>
            </w:r>
          </w:p>
        </w:tc>
        <w:tc>
          <w:tcPr>
            <w:tcW w:w="1722" w:type="dxa"/>
            <w:vAlign w:val="center"/>
          </w:tcPr>
          <w:p>
            <w:pPr>
              <w:pageBreakBefore w:val="0"/>
              <w:kinsoku/>
              <w:overflowPunct/>
              <w:topLinePunct w:val="0"/>
              <w:bidi w:val="0"/>
              <w:snapToGrid w:val="0"/>
              <w:jc w:val="center"/>
              <w:outlineLvl w:val="9"/>
              <w:rPr>
                <w:rFonts w:ascii="宋体"/>
                <w:color w:val="auto"/>
                <w:szCs w:val="21"/>
              </w:rPr>
            </w:pPr>
          </w:p>
        </w:tc>
        <w:tc>
          <w:tcPr>
            <w:tcW w:w="4536" w:type="dxa"/>
            <w:vAlign w:val="center"/>
          </w:tcPr>
          <w:p>
            <w:pPr>
              <w:pageBreakBefore w:val="0"/>
              <w:kinsoku/>
              <w:overflowPunct/>
              <w:topLinePunct w:val="0"/>
              <w:bidi w:val="0"/>
              <w:snapToGrid w:val="0"/>
              <w:jc w:val="center"/>
              <w:outlineLvl w:val="9"/>
              <w:rPr>
                <w:rFonts w:ascii="宋体"/>
                <w:color w:val="auto"/>
                <w:szCs w:val="21"/>
              </w:rPr>
            </w:pPr>
          </w:p>
        </w:tc>
        <w:tc>
          <w:tcPr>
            <w:tcW w:w="1843" w:type="dxa"/>
            <w:vAlign w:val="center"/>
          </w:tcPr>
          <w:p>
            <w:pPr>
              <w:pageBreakBefore w:val="0"/>
              <w:kinsoku/>
              <w:overflowPunct/>
              <w:topLinePunct w:val="0"/>
              <w:bidi w:val="0"/>
              <w:snapToGrid w:val="0"/>
              <w:ind w:firstLine="480"/>
              <w:jc w:val="center"/>
              <w:outlineLvl w:val="9"/>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2</w:t>
            </w:r>
          </w:p>
        </w:tc>
        <w:tc>
          <w:tcPr>
            <w:tcW w:w="1722" w:type="dxa"/>
            <w:vAlign w:val="center"/>
          </w:tcPr>
          <w:p>
            <w:pPr>
              <w:pageBreakBefore w:val="0"/>
              <w:kinsoku/>
              <w:overflowPunct/>
              <w:topLinePunct w:val="0"/>
              <w:bidi w:val="0"/>
              <w:snapToGrid w:val="0"/>
              <w:jc w:val="center"/>
              <w:outlineLvl w:val="9"/>
              <w:rPr>
                <w:rFonts w:ascii="宋体"/>
                <w:color w:val="auto"/>
                <w:szCs w:val="21"/>
              </w:rPr>
            </w:pPr>
          </w:p>
        </w:tc>
        <w:tc>
          <w:tcPr>
            <w:tcW w:w="4536" w:type="dxa"/>
            <w:vAlign w:val="center"/>
          </w:tcPr>
          <w:p>
            <w:pPr>
              <w:pageBreakBefore w:val="0"/>
              <w:kinsoku/>
              <w:overflowPunct/>
              <w:topLinePunct w:val="0"/>
              <w:bidi w:val="0"/>
              <w:snapToGrid w:val="0"/>
              <w:jc w:val="center"/>
              <w:outlineLvl w:val="9"/>
              <w:rPr>
                <w:rFonts w:ascii="宋体"/>
                <w:color w:val="auto"/>
                <w:szCs w:val="21"/>
              </w:rPr>
            </w:pPr>
          </w:p>
        </w:tc>
        <w:tc>
          <w:tcPr>
            <w:tcW w:w="1843" w:type="dxa"/>
            <w:vAlign w:val="center"/>
          </w:tcPr>
          <w:p>
            <w:pPr>
              <w:pageBreakBefore w:val="0"/>
              <w:kinsoku/>
              <w:overflowPunct/>
              <w:topLinePunct w:val="0"/>
              <w:bidi w:val="0"/>
              <w:snapToGrid w:val="0"/>
              <w:ind w:firstLine="480"/>
              <w:jc w:val="center"/>
              <w:outlineLvl w:val="9"/>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w:t>
            </w:r>
          </w:p>
        </w:tc>
        <w:tc>
          <w:tcPr>
            <w:tcW w:w="1722" w:type="dxa"/>
            <w:vAlign w:val="center"/>
          </w:tcPr>
          <w:p>
            <w:pPr>
              <w:pageBreakBefore w:val="0"/>
              <w:kinsoku/>
              <w:overflowPunct/>
              <w:topLinePunct w:val="0"/>
              <w:bidi w:val="0"/>
              <w:snapToGrid w:val="0"/>
              <w:jc w:val="center"/>
              <w:outlineLvl w:val="9"/>
              <w:rPr>
                <w:rFonts w:ascii="宋体"/>
                <w:color w:val="auto"/>
                <w:szCs w:val="21"/>
              </w:rPr>
            </w:pPr>
          </w:p>
        </w:tc>
        <w:tc>
          <w:tcPr>
            <w:tcW w:w="4536" w:type="dxa"/>
            <w:vAlign w:val="center"/>
          </w:tcPr>
          <w:p>
            <w:pPr>
              <w:pageBreakBefore w:val="0"/>
              <w:kinsoku/>
              <w:overflowPunct/>
              <w:topLinePunct w:val="0"/>
              <w:bidi w:val="0"/>
              <w:snapToGrid w:val="0"/>
              <w:jc w:val="center"/>
              <w:outlineLvl w:val="9"/>
              <w:rPr>
                <w:rFonts w:ascii="宋体"/>
                <w:color w:val="auto"/>
                <w:szCs w:val="21"/>
              </w:rPr>
            </w:pPr>
          </w:p>
        </w:tc>
        <w:tc>
          <w:tcPr>
            <w:tcW w:w="1843" w:type="dxa"/>
            <w:vAlign w:val="center"/>
          </w:tcPr>
          <w:p>
            <w:pPr>
              <w:pageBreakBefore w:val="0"/>
              <w:kinsoku/>
              <w:overflowPunct/>
              <w:topLinePunct w:val="0"/>
              <w:bidi w:val="0"/>
              <w:snapToGrid w:val="0"/>
              <w:ind w:firstLine="480"/>
              <w:jc w:val="center"/>
              <w:outlineLvl w:val="9"/>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二</w:t>
            </w:r>
          </w:p>
        </w:tc>
        <w:tc>
          <w:tcPr>
            <w:tcW w:w="1722"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符合性审查</w:t>
            </w:r>
          </w:p>
        </w:tc>
        <w:tc>
          <w:tcPr>
            <w:tcW w:w="4536" w:type="dxa"/>
            <w:vAlign w:val="center"/>
          </w:tcPr>
          <w:p>
            <w:pPr>
              <w:pageBreakBefore w:val="0"/>
              <w:kinsoku/>
              <w:overflowPunct/>
              <w:topLinePunct w:val="0"/>
              <w:bidi w:val="0"/>
              <w:snapToGrid w:val="0"/>
              <w:jc w:val="center"/>
              <w:outlineLvl w:val="9"/>
              <w:rPr>
                <w:rFonts w:ascii="宋体"/>
                <w:color w:val="auto"/>
                <w:szCs w:val="21"/>
              </w:rPr>
            </w:pPr>
          </w:p>
        </w:tc>
        <w:tc>
          <w:tcPr>
            <w:tcW w:w="1843" w:type="dxa"/>
            <w:vAlign w:val="center"/>
          </w:tcPr>
          <w:p>
            <w:pPr>
              <w:pageBreakBefore w:val="0"/>
              <w:kinsoku/>
              <w:overflowPunct/>
              <w:topLinePunct w:val="0"/>
              <w:bidi w:val="0"/>
              <w:snapToGrid w:val="0"/>
              <w:ind w:firstLine="480"/>
              <w:jc w:val="center"/>
              <w:outlineLvl w:val="9"/>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1</w:t>
            </w:r>
          </w:p>
        </w:tc>
        <w:tc>
          <w:tcPr>
            <w:tcW w:w="1722" w:type="dxa"/>
            <w:vAlign w:val="center"/>
          </w:tcPr>
          <w:p>
            <w:pPr>
              <w:pageBreakBefore w:val="0"/>
              <w:kinsoku/>
              <w:overflowPunct/>
              <w:topLinePunct w:val="0"/>
              <w:bidi w:val="0"/>
              <w:snapToGrid w:val="0"/>
              <w:jc w:val="center"/>
              <w:outlineLvl w:val="9"/>
              <w:rPr>
                <w:rFonts w:ascii="宋体"/>
                <w:color w:val="auto"/>
                <w:szCs w:val="21"/>
              </w:rPr>
            </w:pPr>
          </w:p>
        </w:tc>
        <w:tc>
          <w:tcPr>
            <w:tcW w:w="4536" w:type="dxa"/>
            <w:vAlign w:val="center"/>
          </w:tcPr>
          <w:p>
            <w:pPr>
              <w:pageBreakBefore w:val="0"/>
              <w:kinsoku/>
              <w:overflowPunct/>
              <w:topLinePunct w:val="0"/>
              <w:bidi w:val="0"/>
              <w:snapToGrid w:val="0"/>
              <w:jc w:val="center"/>
              <w:outlineLvl w:val="9"/>
              <w:rPr>
                <w:rFonts w:ascii="宋体"/>
                <w:color w:val="auto"/>
                <w:szCs w:val="21"/>
              </w:rPr>
            </w:pPr>
          </w:p>
        </w:tc>
        <w:tc>
          <w:tcPr>
            <w:tcW w:w="1843" w:type="dxa"/>
            <w:vAlign w:val="center"/>
          </w:tcPr>
          <w:p>
            <w:pPr>
              <w:pageBreakBefore w:val="0"/>
              <w:kinsoku/>
              <w:overflowPunct/>
              <w:topLinePunct w:val="0"/>
              <w:bidi w:val="0"/>
              <w:snapToGrid w:val="0"/>
              <w:ind w:firstLine="480"/>
              <w:jc w:val="center"/>
              <w:outlineLvl w:val="9"/>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2</w:t>
            </w:r>
          </w:p>
        </w:tc>
        <w:tc>
          <w:tcPr>
            <w:tcW w:w="1722" w:type="dxa"/>
            <w:vAlign w:val="center"/>
          </w:tcPr>
          <w:p>
            <w:pPr>
              <w:pageBreakBefore w:val="0"/>
              <w:kinsoku/>
              <w:overflowPunct/>
              <w:topLinePunct w:val="0"/>
              <w:bidi w:val="0"/>
              <w:snapToGrid w:val="0"/>
              <w:jc w:val="center"/>
              <w:outlineLvl w:val="9"/>
              <w:rPr>
                <w:rFonts w:ascii="宋体"/>
                <w:color w:val="auto"/>
                <w:szCs w:val="21"/>
              </w:rPr>
            </w:pPr>
          </w:p>
        </w:tc>
        <w:tc>
          <w:tcPr>
            <w:tcW w:w="4536" w:type="dxa"/>
            <w:vAlign w:val="center"/>
          </w:tcPr>
          <w:p>
            <w:pPr>
              <w:pageBreakBefore w:val="0"/>
              <w:kinsoku/>
              <w:overflowPunct/>
              <w:topLinePunct w:val="0"/>
              <w:bidi w:val="0"/>
              <w:snapToGrid w:val="0"/>
              <w:jc w:val="center"/>
              <w:outlineLvl w:val="9"/>
              <w:rPr>
                <w:rFonts w:ascii="宋体"/>
                <w:color w:val="auto"/>
                <w:szCs w:val="21"/>
              </w:rPr>
            </w:pPr>
          </w:p>
        </w:tc>
        <w:tc>
          <w:tcPr>
            <w:tcW w:w="1843" w:type="dxa"/>
            <w:vAlign w:val="center"/>
          </w:tcPr>
          <w:p>
            <w:pPr>
              <w:pageBreakBefore w:val="0"/>
              <w:kinsoku/>
              <w:overflowPunct/>
              <w:topLinePunct w:val="0"/>
              <w:bidi w:val="0"/>
              <w:snapToGrid w:val="0"/>
              <w:ind w:firstLine="480"/>
              <w:jc w:val="center"/>
              <w:outlineLvl w:val="9"/>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pageBreakBefore w:val="0"/>
              <w:kinsoku/>
              <w:overflowPunct/>
              <w:topLinePunct w:val="0"/>
              <w:bidi w:val="0"/>
              <w:snapToGrid w:val="0"/>
              <w:jc w:val="center"/>
              <w:outlineLvl w:val="9"/>
              <w:rPr>
                <w:rFonts w:ascii="宋体"/>
                <w:color w:val="auto"/>
                <w:szCs w:val="21"/>
              </w:rPr>
            </w:pPr>
            <w:r>
              <w:rPr>
                <w:rFonts w:hint="eastAsia" w:ascii="宋体"/>
                <w:color w:val="auto"/>
                <w:szCs w:val="21"/>
              </w:rPr>
              <w:t>...</w:t>
            </w:r>
          </w:p>
        </w:tc>
        <w:tc>
          <w:tcPr>
            <w:tcW w:w="1722" w:type="dxa"/>
            <w:vAlign w:val="center"/>
          </w:tcPr>
          <w:p>
            <w:pPr>
              <w:pageBreakBefore w:val="0"/>
              <w:kinsoku/>
              <w:overflowPunct/>
              <w:topLinePunct w:val="0"/>
              <w:bidi w:val="0"/>
              <w:snapToGrid w:val="0"/>
              <w:jc w:val="center"/>
              <w:outlineLvl w:val="9"/>
              <w:rPr>
                <w:rFonts w:ascii="宋体"/>
                <w:color w:val="auto"/>
                <w:szCs w:val="21"/>
              </w:rPr>
            </w:pPr>
          </w:p>
        </w:tc>
        <w:tc>
          <w:tcPr>
            <w:tcW w:w="4536" w:type="dxa"/>
            <w:vAlign w:val="center"/>
          </w:tcPr>
          <w:p>
            <w:pPr>
              <w:pageBreakBefore w:val="0"/>
              <w:kinsoku/>
              <w:overflowPunct/>
              <w:topLinePunct w:val="0"/>
              <w:bidi w:val="0"/>
              <w:snapToGrid w:val="0"/>
              <w:jc w:val="center"/>
              <w:outlineLvl w:val="9"/>
              <w:rPr>
                <w:rFonts w:ascii="宋体"/>
                <w:color w:val="auto"/>
                <w:szCs w:val="21"/>
              </w:rPr>
            </w:pPr>
          </w:p>
        </w:tc>
        <w:tc>
          <w:tcPr>
            <w:tcW w:w="1843" w:type="dxa"/>
            <w:vAlign w:val="center"/>
          </w:tcPr>
          <w:p>
            <w:pPr>
              <w:pageBreakBefore w:val="0"/>
              <w:kinsoku/>
              <w:overflowPunct/>
              <w:topLinePunct w:val="0"/>
              <w:bidi w:val="0"/>
              <w:snapToGrid w:val="0"/>
              <w:ind w:firstLine="480"/>
              <w:jc w:val="center"/>
              <w:outlineLvl w:val="9"/>
              <w:rPr>
                <w:rFonts w:ascii="宋体"/>
                <w:color w:val="auto"/>
                <w:szCs w:val="21"/>
              </w:rPr>
            </w:pPr>
          </w:p>
        </w:tc>
      </w:tr>
    </w:tbl>
    <w:p>
      <w:pPr>
        <w:pageBreakBefore w:val="0"/>
        <w:kinsoku/>
        <w:overflowPunct/>
        <w:topLinePunct w:val="0"/>
        <w:bidi w:val="0"/>
        <w:spacing w:line="360" w:lineRule="auto"/>
        <w:ind w:firstLine="480"/>
        <w:jc w:val="left"/>
        <w:outlineLvl w:val="9"/>
        <w:rPr>
          <w:rFonts w:ascii="宋体"/>
          <w:color w:val="auto"/>
          <w:szCs w:val="21"/>
        </w:rPr>
      </w:pPr>
    </w:p>
    <w:p>
      <w:pPr>
        <w:pageBreakBefore w:val="0"/>
        <w:kinsoku/>
        <w:overflowPunct/>
        <w:topLinePunct w:val="0"/>
        <w:bidi w:val="0"/>
        <w:outlineLvl w:val="9"/>
        <w:rPr>
          <w:rFonts w:ascii="宋体"/>
          <w:color w:val="auto"/>
          <w:szCs w:val="21"/>
        </w:rPr>
      </w:pPr>
      <w:r>
        <w:rPr>
          <w:rFonts w:hint="eastAsia" w:ascii="宋体"/>
          <w:color w:val="auto"/>
          <w:szCs w:val="21"/>
        </w:rPr>
        <w:t>注：该评标索引表格放在响应文件目录后，正文的第一页。</w:t>
      </w:r>
    </w:p>
    <w:p>
      <w:pPr>
        <w:pageBreakBefore w:val="0"/>
        <w:kinsoku/>
        <w:overflowPunct/>
        <w:topLinePunct w:val="0"/>
        <w:bidi w:val="0"/>
        <w:outlineLvl w:val="9"/>
        <w:rPr>
          <w:rFonts w:ascii="宋体"/>
          <w:color w:val="auto"/>
          <w:szCs w:val="21"/>
        </w:rPr>
      </w:pPr>
    </w:p>
    <w:p>
      <w:pPr>
        <w:pageBreakBefore w:val="0"/>
        <w:widowControl/>
        <w:kinsoku/>
        <w:overflowPunct/>
        <w:topLinePunct w:val="0"/>
        <w:bidi w:val="0"/>
        <w:jc w:val="left"/>
        <w:outlineLvl w:val="9"/>
        <w:rPr>
          <w:rFonts w:ascii="宋体"/>
          <w:color w:val="auto"/>
          <w:szCs w:val="21"/>
        </w:rPr>
      </w:pPr>
      <w:r>
        <w:rPr>
          <w:rFonts w:ascii="宋体"/>
          <w:color w:val="auto"/>
          <w:szCs w:val="21"/>
        </w:rPr>
        <w:br w:type="page"/>
      </w: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bookmarkStart w:id="197" w:name="_A1_投标书"/>
      <w:bookmarkEnd w:id="197"/>
      <w:bookmarkStart w:id="198" w:name="_Toc162669084"/>
      <w:bookmarkStart w:id="199" w:name="_Toc128455956"/>
      <w:bookmarkStart w:id="200" w:name="_Toc192127127"/>
      <w:bookmarkStart w:id="201" w:name="_Toc181038076"/>
      <w:bookmarkStart w:id="202" w:name="_Toc179091096"/>
      <w:bookmarkStart w:id="203" w:name="_Toc176663528"/>
      <w:bookmarkStart w:id="204" w:name="_Toc192127128"/>
      <w:r>
        <w:rPr>
          <w:b/>
          <w:color w:val="auto"/>
          <w:sz w:val="24"/>
        </w:rPr>
        <w:t>报价函</w:t>
      </w:r>
      <w:r>
        <w:rPr>
          <w:b/>
          <w:i/>
          <w:color w:val="auto"/>
          <w:sz w:val="24"/>
        </w:rPr>
        <w:t>及</w:t>
      </w:r>
      <w:r>
        <w:rPr>
          <w:b/>
          <w:color w:val="auto"/>
          <w:sz w:val="24"/>
        </w:rPr>
        <w:t>报价函附录</w:t>
      </w:r>
    </w:p>
    <w:bookmarkEnd w:id="198"/>
    <w:bookmarkEnd w:id="199"/>
    <w:bookmarkEnd w:id="200"/>
    <w:bookmarkEnd w:id="201"/>
    <w:bookmarkEnd w:id="202"/>
    <w:bookmarkEnd w:id="203"/>
    <w:p>
      <w:pPr>
        <w:pageBreakBefore w:val="0"/>
        <w:kinsoku/>
        <w:overflowPunct/>
        <w:topLinePunct w:val="0"/>
        <w:autoSpaceDE w:val="0"/>
        <w:autoSpaceDN w:val="0"/>
        <w:bidi w:val="0"/>
        <w:adjustRightInd w:val="0"/>
        <w:jc w:val="center"/>
        <w:outlineLvl w:val="9"/>
        <w:rPr>
          <w:rFonts w:ascii="宋体" w:hAnsi="宋体" w:cs="黑体"/>
          <w:color w:val="auto"/>
          <w:kern w:val="0"/>
          <w:sz w:val="24"/>
        </w:rPr>
      </w:pPr>
    </w:p>
    <w:p>
      <w:pPr>
        <w:pageBreakBefore w:val="0"/>
        <w:kinsoku/>
        <w:overflowPunct/>
        <w:topLinePunct w:val="0"/>
        <w:autoSpaceDE w:val="0"/>
        <w:autoSpaceDN w:val="0"/>
        <w:bidi w:val="0"/>
        <w:adjustRightInd w:val="0"/>
        <w:jc w:val="center"/>
        <w:outlineLvl w:val="9"/>
        <w:rPr>
          <w:rFonts w:ascii="宋体" w:hAnsi="宋体" w:cs="黑体"/>
          <w:color w:val="auto"/>
          <w:kern w:val="0"/>
          <w:sz w:val="24"/>
        </w:rPr>
      </w:pPr>
      <w:r>
        <w:rPr>
          <w:rFonts w:hint="eastAsia" w:ascii="宋体" w:hAnsi="宋体" w:cs="黑体"/>
          <w:color w:val="auto"/>
          <w:kern w:val="0"/>
          <w:sz w:val="24"/>
        </w:rPr>
        <w:t>报价函</w:t>
      </w:r>
    </w:p>
    <w:p>
      <w:pPr>
        <w:pageBreakBefore w:val="0"/>
        <w:kinsoku/>
        <w:overflowPunct/>
        <w:topLinePunct w:val="0"/>
        <w:autoSpaceDE w:val="0"/>
        <w:autoSpaceDN w:val="0"/>
        <w:bidi w:val="0"/>
        <w:adjustRightInd w:val="0"/>
        <w:jc w:val="center"/>
        <w:outlineLvl w:val="9"/>
        <w:rPr>
          <w:rFonts w:ascii="宋体" w:hAnsi="宋体" w:cs="黑体"/>
          <w:color w:val="auto"/>
          <w:kern w:val="0"/>
          <w:sz w:val="24"/>
        </w:rPr>
      </w:pPr>
    </w:p>
    <w:p>
      <w:pPr>
        <w:pageBreakBefore w:val="0"/>
        <w:kinsoku/>
        <w:overflowPunct/>
        <w:topLinePunct w:val="0"/>
        <w:autoSpaceDE w:val="0"/>
        <w:autoSpaceDN w:val="0"/>
        <w:bidi w:val="0"/>
        <w:adjustRightInd w:val="0"/>
        <w:jc w:val="center"/>
        <w:outlineLvl w:val="9"/>
        <w:rPr>
          <w:rFonts w:ascii="宋体" w:hAnsi="宋体" w:cs="黑体"/>
          <w:color w:val="auto"/>
          <w:kern w:val="0"/>
          <w:sz w:val="24"/>
        </w:rPr>
      </w:pPr>
    </w:p>
    <w:p>
      <w:pPr>
        <w:pageBreakBefore w:val="0"/>
        <w:kinsoku/>
        <w:overflowPunct/>
        <w:topLinePunct w:val="0"/>
        <w:autoSpaceDE w:val="0"/>
        <w:autoSpaceDN w:val="0"/>
        <w:bidi w:val="0"/>
        <w:adjustRightInd w:val="0"/>
        <w:snapToGrid w:val="0"/>
        <w:spacing w:line="360" w:lineRule="auto"/>
        <w:jc w:val="left"/>
        <w:outlineLvl w:val="9"/>
        <w:rPr>
          <w:rFonts w:ascii="宋体" w:hAnsi="宋体" w:cs="仿宋_GB2312"/>
          <w:color w:val="auto"/>
          <w:kern w:val="0"/>
          <w:sz w:val="24"/>
        </w:rPr>
      </w:pPr>
      <w:r>
        <w:rPr>
          <w:rFonts w:hint="eastAsia" w:ascii="宋体" w:hAnsi="宋体" w:cs="仿宋_GB2312"/>
          <w:color w:val="auto"/>
          <w:kern w:val="0"/>
          <w:sz w:val="24"/>
          <w:u w:val="single"/>
        </w:rPr>
        <w:t xml:space="preserve">                </w:t>
      </w:r>
      <w:r>
        <w:rPr>
          <w:rFonts w:hint="eastAsia" w:ascii="宋体" w:hAnsi="宋体" w:cs="仿宋_GB2312"/>
          <w:color w:val="auto"/>
          <w:kern w:val="0"/>
          <w:sz w:val="24"/>
        </w:rPr>
        <w:t>（采购人名称）：</w:t>
      </w:r>
    </w:p>
    <w:p>
      <w:pPr>
        <w:pageBreakBefore w:val="0"/>
        <w:kinsoku/>
        <w:overflowPunct/>
        <w:topLinePunct w:val="0"/>
        <w:autoSpaceDE w:val="0"/>
        <w:autoSpaceDN w:val="0"/>
        <w:bidi w:val="0"/>
        <w:adjustRightInd w:val="0"/>
        <w:snapToGrid w:val="0"/>
        <w:spacing w:line="360" w:lineRule="auto"/>
        <w:ind w:firstLine="480" w:firstLineChars="200"/>
        <w:jc w:val="left"/>
        <w:outlineLvl w:val="9"/>
        <w:rPr>
          <w:rFonts w:ascii="宋体" w:hAnsi="宋体" w:cs="仿宋_GB2312"/>
          <w:color w:val="auto"/>
          <w:kern w:val="0"/>
          <w:sz w:val="24"/>
        </w:rPr>
      </w:pPr>
      <w:r>
        <w:rPr>
          <w:rFonts w:hint="eastAsia" w:ascii="宋体" w:hAnsi="宋体" w:cs="TimesNewRomanPSMT"/>
          <w:color w:val="auto"/>
          <w:kern w:val="0"/>
          <w:sz w:val="24"/>
        </w:rPr>
        <w:t>1.</w:t>
      </w:r>
      <w:r>
        <w:rPr>
          <w:rFonts w:hint="eastAsia" w:ascii="宋体" w:hAnsi="宋体" w:cs="仿宋_GB2312"/>
          <w:color w:val="auto"/>
          <w:kern w:val="0"/>
          <w:sz w:val="24"/>
        </w:rPr>
        <w:t>我方已仔细研究了</w:t>
      </w:r>
      <w:r>
        <w:rPr>
          <w:rFonts w:hint="eastAsia" w:ascii="宋体" w:hAnsi="宋体" w:cs="仿宋_GB2312"/>
          <w:color w:val="auto"/>
          <w:kern w:val="0"/>
          <w:sz w:val="24"/>
          <w:u w:val="single"/>
        </w:rPr>
        <w:t xml:space="preserve">  （项目名称）   </w:t>
      </w:r>
      <w:r>
        <w:rPr>
          <w:rFonts w:hint="eastAsia" w:ascii="宋体" w:hAnsi="宋体" w:cs="仿宋_GB2312"/>
          <w:color w:val="auto"/>
          <w:kern w:val="0"/>
          <w:sz w:val="24"/>
        </w:rPr>
        <w:t>谈判文件（包括修改、澄清文件）的全部内容，且对谈判文件无任何异议，并愿意以“报价函附录”所填写的响应总价、交货期（/服务期）及交货地点（/服务地点）</w:t>
      </w:r>
      <w:r>
        <w:rPr>
          <w:rFonts w:hint="eastAsia" w:ascii="宋体" w:hAnsi="宋体" w:cs="TimesNewRomanPSMT"/>
          <w:color w:val="auto"/>
          <w:kern w:val="0"/>
          <w:sz w:val="24"/>
        </w:rPr>
        <w:t>，向你方</w:t>
      </w:r>
      <w:r>
        <w:rPr>
          <w:rFonts w:hint="eastAsia" w:ascii="宋体" w:hAnsi="宋体"/>
          <w:color w:val="auto"/>
          <w:sz w:val="24"/>
        </w:rPr>
        <w:t>提供谈判文件要求的货物和（/或）服务</w:t>
      </w:r>
      <w:r>
        <w:rPr>
          <w:rFonts w:hint="eastAsia" w:ascii="宋体" w:hAnsi="宋体" w:cs="仿宋_GB2312"/>
          <w:color w:val="auto"/>
          <w:kern w:val="0"/>
          <w:sz w:val="24"/>
        </w:rPr>
        <w:t>。</w:t>
      </w:r>
    </w:p>
    <w:p>
      <w:pPr>
        <w:pageBreakBefore w:val="0"/>
        <w:kinsoku/>
        <w:overflowPunct/>
        <w:topLinePunct w:val="0"/>
        <w:autoSpaceDE w:val="0"/>
        <w:autoSpaceDN w:val="0"/>
        <w:bidi w:val="0"/>
        <w:adjustRightInd w:val="0"/>
        <w:snapToGrid w:val="0"/>
        <w:spacing w:line="360" w:lineRule="auto"/>
        <w:ind w:firstLine="480" w:firstLineChars="200"/>
        <w:jc w:val="left"/>
        <w:outlineLvl w:val="9"/>
        <w:rPr>
          <w:rFonts w:ascii="宋体" w:hAnsi="宋体" w:cs="TimesNewRomanPSMT"/>
          <w:color w:val="auto"/>
          <w:kern w:val="0"/>
          <w:sz w:val="24"/>
        </w:rPr>
      </w:pPr>
      <w:r>
        <w:rPr>
          <w:rFonts w:hint="eastAsia" w:ascii="宋体" w:hAnsi="宋体" w:cs="TimesNewRomanPSMT"/>
          <w:color w:val="auto"/>
          <w:kern w:val="0"/>
          <w:sz w:val="24"/>
        </w:rPr>
        <w:t>2.我方承诺在响应文件有效期内不修改或撤销投标文件。否则，你方可不退还我方的谈判保证金。</w:t>
      </w:r>
    </w:p>
    <w:p>
      <w:pPr>
        <w:pageBreakBefore w:val="0"/>
        <w:kinsoku/>
        <w:overflowPunct/>
        <w:topLinePunct w:val="0"/>
        <w:autoSpaceDE w:val="0"/>
        <w:autoSpaceDN w:val="0"/>
        <w:bidi w:val="0"/>
        <w:adjustRightInd w:val="0"/>
        <w:snapToGrid w:val="0"/>
        <w:spacing w:line="360" w:lineRule="auto"/>
        <w:ind w:firstLine="480" w:firstLineChars="200"/>
        <w:jc w:val="left"/>
        <w:outlineLvl w:val="9"/>
        <w:rPr>
          <w:rFonts w:ascii="宋体" w:hAnsi="宋体" w:cs="TimesNewRomanPSMT"/>
          <w:color w:val="auto"/>
          <w:kern w:val="0"/>
          <w:sz w:val="24"/>
        </w:rPr>
      </w:pPr>
      <w:r>
        <w:rPr>
          <w:rFonts w:hint="eastAsia" w:ascii="宋体" w:hAnsi="宋体" w:cs="TimesNewRomanPSMT"/>
          <w:color w:val="auto"/>
          <w:kern w:val="0"/>
          <w:sz w:val="24"/>
        </w:rPr>
        <w:t>3.随同本报价函提交谈判保证金一份，金额见“</w:t>
      </w:r>
      <w:r>
        <w:rPr>
          <w:rFonts w:hint="eastAsia" w:ascii="宋体" w:hAnsi="宋体" w:cs="仿宋_GB2312"/>
          <w:color w:val="auto"/>
          <w:kern w:val="0"/>
          <w:sz w:val="24"/>
        </w:rPr>
        <w:t>报价函附录”</w:t>
      </w:r>
      <w:r>
        <w:rPr>
          <w:rFonts w:hint="eastAsia" w:ascii="宋体" w:hAnsi="宋体" w:cs="TimesNewRomanPSMT"/>
          <w:color w:val="auto"/>
          <w:kern w:val="0"/>
          <w:sz w:val="24"/>
        </w:rPr>
        <w:t>。</w:t>
      </w:r>
    </w:p>
    <w:p>
      <w:pPr>
        <w:pageBreakBefore w:val="0"/>
        <w:kinsoku/>
        <w:overflowPunct/>
        <w:topLinePunct w:val="0"/>
        <w:autoSpaceDE w:val="0"/>
        <w:autoSpaceDN w:val="0"/>
        <w:bidi w:val="0"/>
        <w:adjustRightInd w:val="0"/>
        <w:snapToGrid w:val="0"/>
        <w:spacing w:line="360" w:lineRule="auto"/>
        <w:ind w:firstLine="480" w:firstLineChars="200"/>
        <w:jc w:val="left"/>
        <w:outlineLvl w:val="9"/>
        <w:rPr>
          <w:rFonts w:ascii="宋体" w:hAnsi="宋体" w:cs="TimesNewRomanPSMT"/>
          <w:color w:val="auto"/>
          <w:kern w:val="0"/>
          <w:sz w:val="24"/>
        </w:rPr>
      </w:pPr>
      <w:r>
        <w:rPr>
          <w:rFonts w:hint="eastAsia" w:ascii="宋体" w:hAnsi="宋体" w:cs="TimesNewRomanPSMT"/>
          <w:color w:val="auto"/>
          <w:kern w:val="0"/>
          <w:sz w:val="24"/>
        </w:rPr>
        <w:t>4.本响应文件有效期为自递交响应文件截止之日起</w:t>
      </w:r>
      <w:r>
        <w:rPr>
          <w:rFonts w:hint="eastAsia" w:ascii="宋体" w:hAnsi="宋体" w:cs="TimesNewRomanPSMT"/>
          <w:color w:val="auto"/>
          <w:kern w:val="0"/>
          <w:sz w:val="24"/>
          <w:u w:val="single"/>
        </w:rPr>
        <w:t xml:space="preserve">    </w:t>
      </w:r>
      <w:r>
        <w:rPr>
          <w:rFonts w:hint="eastAsia" w:ascii="宋体" w:hAnsi="宋体" w:cs="TimesNewRomanPSMT"/>
          <w:color w:val="auto"/>
          <w:kern w:val="0"/>
          <w:sz w:val="24"/>
        </w:rPr>
        <w:t>个日历日。</w:t>
      </w:r>
    </w:p>
    <w:p>
      <w:pPr>
        <w:pageBreakBefore w:val="0"/>
        <w:kinsoku/>
        <w:overflowPunct/>
        <w:topLinePunct w:val="0"/>
        <w:autoSpaceDE w:val="0"/>
        <w:autoSpaceDN w:val="0"/>
        <w:bidi w:val="0"/>
        <w:adjustRightInd w:val="0"/>
        <w:snapToGrid w:val="0"/>
        <w:spacing w:line="360" w:lineRule="auto"/>
        <w:ind w:firstLine="480" w:firstLineChars="200"/>
        <w:jc w:val="left"/>
        <w:outlineLvl w:val="9"/>
        <w:rPr>
          <w:rFonts w:ascii="宋体" w:hAnsi="宋体" w:cs="TimesNewRomanPSMT"/>
          <w:color w:val="auto"/>
          <w:kern w:val="0"/>
          <w:sz w:val="24"/>
        </w:rPr>
      </w:pPr>
      <w:r>
        <w:rPr>
          <w:rFonts w:hint="eastAsia" w:ascii="宋体" w:hAnsi="宋体" w:cs="TimesNewRomanPSMT"/>
          <w:color w:val="auto"/>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pPr>
        <w:pageBreakBefore w:val="0"/>
        <w:kinsoku/>
        <w:overflowPunct/>
        <w:topLinePunct w:val="0"/>
        <w:autoSpaceDE w:val="0"/>
        <w:autoSpaceDN w:val="0"/>
        <w:bidi w:val="0"/>
        <w:adjustRightInd w:val="0"/>
        <w:snapToGrid w:val="0"/>
        <w:spacing w:line="360" w:lineRule="auto"/>
        <w:ind w:firstLine="480" w:firstLineChars="200"/>
        <w:jc w:val="left"/>
        <w:outlineLvl w:val="9"/>
        <w:rPr>
          <w:rFonts w:ascii="宋体" w:hAnsi="宋体" w:cs="TimesNewRomanPSMT"/>
          <w:color w:val="auto"/>
          <w:kern w:val="0"/>
          <w:sz w:val="24"/>
        </w:rPr>
      </w:pPr>
      <w:r>
        <w:rPr>
          <w:rFonts w:hint="eastAsia" w:ascii="宋体" w:hAnsi="宋体" w:cs="TimesNewRomanPSMT"/>
          <w:color w:val="auto"/>
          <w:kern w:val="0"/>
          <w:sz w:val="24"/>
        </w:rPr>
        <w:t>6．如我方成交：</w:t>
      </w:r>
    </w:p>
    <w:p>
      <w:pPr>
        <w:pageBreakBefore w:val="0"/>
        <w:kinsoku/>
        <w:overflowPunct/>
        <w:topLinePunct w:val="0"/>
        <w:autoSpaceDE w:val="0"/>
        <w:autoSpaceDN w:val="0"/>
        <w:bidi w:val="0"/>
        <w:adjustRightInd w:val="0"/>
        <w:snapToGrid w:val="0"/>
        <w:spacing w:line="360" w:lineRule="auto"/>
        <w:ind w:left="359" w:leftChars="171"/>
        <w:jc w:val="left"/>
        <w:outlineLvl w:val="9"/>
        <w:rPr>
          <w:rFonts w:ascii="宋体" w:hAnsi="宋体" w:cs="仿宋_GB2312"/>
          <w:color w:val="auto"/>
          <w:kern w:val="0"/>
          <w:sz w:val="24"/>
        </w:rPr>
      </w:pPr>
      <w:r>
        <w:rPr>
          <w:rFonts w:hint="eastAsia" w:ascii="宋体" w:hAnsi="宋体" w:cs="仿宋_GB2312"/>
          <w:color w:val="auto"/>
          <w:kern w:val="0"/>
          <w:sz w:val="24"/>
        </w:rPr>
        <w:t>（</w:t>
      </w:r>
      <w:r>
        <w:rPr>
          <w:rFonts w:ascii="宋体" w:hAnsi="宋体" w:cs="TimesNewRomanPSMT"/>
          <w:color w:val="auto"/>
          <w:kern w:val="0"/>
          <w:sz w:val="24"/>
        </w:rPr>
        <w:t>1</w:t>
      </w:r>
      <w:r>
        <w:rPr>
          <w:rFonts w:hint="eastAsia" w:ascii="宋体" w:hAnsi="宋体" w:cs="仿宋_GB2312"/>
          <w:color w:val="auto"/>
          <w:kern w:val="0"/>
          <w:sz w:val="24"/>
        </w:rPr>
        <w:t>）我方承诺在收到成交通知书后，在成交通知书规定的期限内与你方签订合同。</w:t>
      </w:r>
    </w:p>
    <w:p>
      <w:pPr>
        <w:pageBreakBefore w:val="0"/>
        <w:kinsoku/>
        <w:overflowPunct/>
        <w:topLinePunct w:val="0"/>
        <w:autoSpaceDE w:val="0"/>
        <w:autoSpaceDN w:val="0"/>
        <w:bidi w:val="0"/>
        <w:adjustRightInd w:val="0"/>
        <w:snapToGrid w:val="0"/>
        <w:spacing w:line="360" w:lineRule="auto"/>
        <w:ind w:left="359" w:leftChars="171"/>
        <w:jc w:val="left"/>
        <w:outlineLvl w:val="9"/>
        <w:rPr>
          <w:rFonts w:ascii="宋体" w:hAnsi="宋体" w:cs="仿宋_GB2312"/>
          <w:color w:val="auto"/>
          <w:kern w:val="0"/>
          <w:sz w:val="24"/>
        </w:rPr>
      </w:pPr>
      <w:r>
        <w:rPr>
          <w:rFonts w:hint="eastAsia" w:ascii="宋体" w:hAnsi="宋体" w:cs="仿宋_GB2312"/>
          <w:color w:val="auto"/>
          <w:kern w:val="0"/>
          <w:sz w:val="24"/>
        </w:rPr>
        <w:t>（</w:t>
      </w:r>
      <w:r>
        <w:rPr>
          <w:rFonts w:hint="eastAsia" w:ascii="宋体" w:hAnsi="宋体" w:cs="TimesNewRomanPSMT"/>
          <w:color w:val="auto"/>
          <w:kern w:val="0"/>
          <w:sz w:val="24"/>
        </w:rPr>
        <w:t>2</w:t>
      </w:r>
      <w:r>
        <w:rPr>
          <w:rFonts w:hint="eastAsia" w:ascii="宋体" w:hAnsi="宋体" w:cs="仿宋_GB2312"/>
          <w:color w:val="auto"/>
          <w:kern w:val="0"/>
          <w:sz w:val="24"/>
        </w:rPr>
        <w:t>）我方承诺按照谈判文件规定向你方递交履约保证金。作为履行合同的担保。</w:t>
      </w:r>
    </w:p>
    <w:p>
      <w:pPr>
        <w:pageBreakBefore w:val="0"/>
        <w:kinsoku/>
        <w:overflowPunct/>
        <w:topLinePunct w:val="0"/>
        <w:autoSpaceDE w:val="0"/>
        <w:autoSpaceDN w:val="0"/>
        <w:bidi w:val="0"/>
        <w:adjustRightInd w:val="0"/>
        <w:snapToGrid w:val="0"/>
        <w:spacing w:line="360" w:lineRule="auto"/>
        <w:ind w:left="359" w:leftChars="171"/>
        <w:jc w:val="left"/>
        <w:outlineLvl w:val="9"/>
        <w:rPr>
          <w:rFonts w:ascii="宋体" w:hAnsi="宋体" w:cs="仿宋_GB2312"/>
          <w:color w:val="auto"/>
          <w:kern w:val="0"/>
          <w:sz w:val="24"/>
        </w:rPr>
      </w:pPr>
      <w:r>
        <w:rPr>
          <w:rFonts w:hint="eastAsia" w:ascii="宋体" w:hAnsi="宋体" w:cs="仿宋_GB2312"/>
          <w:color w:val="auto"/>
          <w:kern w:val="0"/>
          <w:sz w:val="24"/>
        </w:rPr>
        <w:t>（</w:t>
      </w:r>
      <w:r>
        <w:rPr>
          <w:rFonts w:hint="eastAsia" w:ascii="宋体" w:hAnsi="宋体" w:cs="TimesNewRomanPSMT"/>
          <w:color w:val="auto"/>
          <w:kern w:val="0"/>
          <w:sz w:val="24"/>
        </w:rPr>
        <w:t>3</w:t>
      </w:r>
      <w:r>
        <w:rPr>
          <w:rFonts w:hint="eastAsia" w:ascii="宋体" w:hAnsi="宋体" w:cs="仿宋_GB2312"/>
          <w:color w:val="auto"/>
          <w:kern w:val="0"/>
          <w:sz w:val="24"/>
        </w:rPr>
        <w:t>）我方承诺按合同约定的期限和地点，提供符合招谈判文件要求的全部的货物和（/或）服务。</w:t>
      </w:r>
    </w:p>
    <w:p>
      <w:pPr>
        <w:pageBreakBefore w:val="0"/>
        <w:kinsoku/>
        <w:overflowPunct/>
        <w:topLinePunct w:val="0"/>
        <w:autoSpaceDE w:val="0"/>
        <w:autoSpaceDN w:val="0"/>
        <w:bidi w:val="0"/>
        <w:adjustRightInd w:val="0"/>
        <w:snapToGrid w:val="0"/>
        <w:spacing w:line="360" w:lineRule="auto"/>
        <w:ind w:left="359" w:leftChars="171"/>
        <w:jc w:val="left"/>
        <w:outlineLvl w:val="9"/>
        <w:rPr>
          <w:rFonts w:ascii="宋体" w:hAnsi="宋体" w:cs="仿宋_GB2312"/>
          <w:color w:val="auto"/>
          <w:kern w:val="0"/>
          <w:sz w:val="24"/>
        </w:rPr>
      </w:pPr>
      <w:r>
        <w:rPr>
          <w:rFonts w:hint="eastAsia" w:ascii="宋体" w:hAnsi="宋体" w:cs="仿宋_GB2312"/>
          <w:color w:val="auto"/>
          <w:kern w:val="0"/>
          <w:sz w:val="24"/>
        </w:rPr>
        <w:t>（4）我方保证在收到成交通知书后五个工作日内按要求支付代理服务费。</w:t>
      </w:r>
    </w:p>
    <w:p>
      <w:pPr>
        <w:pageBreakBefore w:val="0"/>
        <w:kinsoku/>
        <w:overflowPunct/>
        <w:topLinePunct w:val="0"/>
        <w:autoSpaceDE w:val="0"/>
        <w:autoSpaceDN w:val="0"/>
        <w:bidi w:val="0"/>
        <w:adjustRightInd w:val="0"/>
        <w:snapToGrid w:val="0"/>
        <w:spacing w:line="360" w:lineRule="auto"/>
        <w:ind w:firstLine="480" w:firstLineChars="200"/>
        <w:jc w:val="left"/>
        <w:outlineLvl w:val="9"/>
        <w:rPr>
          <w:rFonts w:ascii="宋体" w:hAnsi="宋体" w:cs="TimesNewRomanPSMT"/>
          <w:color w:val="auto"/>
          <w:kern w:val="0"/>
          <w:sz w:val="24"/>
        </w:rPr>
      </w:pPr>
      <w:r>
        <w:rPr>
          <w:rFonts w:hint="eastAsia" w:ascii="宋体" w:hAnsi="宋体" w:cs="TimesNewRomanPSMT"/>
          <w:color w:val="auto"/>
          <w:kern w:val="0"/>
          <w:sz w:val="24"/>
        </w:rPr>
        <w:t>7.如谈判后的最后报价函与本报价函内容有差异，以最后的报价函内容为准。</w:t>
      </w:r>
    </w:p>
    <w:p>
      <w:pPr>
        <w:pageBreakBefore w:val="0"/>
        <w:kinsoku/>
        <w:overflowPunct/>
        <w:topLinePunct w:val="0"/>
        <w:autoSpaceDE w:val="0"/>
        <w:autoSpaceDN w:val="0"/>
        <w:bidi w:val="0"/>
        <w:adjustRightInd w:val="0"/>
        <w:snapToGrid w:val="0"/>
        <w:spacing w:line="360" w:lineRule="auto"/>
        <w:ind w:firstLine="480" w:firstLineChars="200"/>
        <w:jc w:val="left"/>
        <w:outlineLvl w:val="9"/>
        <w:rPr>
          <w:rFonts w:ascii="宋体" w:hAnsi="宋体" w:cs="TimesNewRomanPSMT"/>
          <w:color w:val="auto"/>
          <w:kern w:val="0"/>
          <w:sz w:val="24"/>
        </w:rPr>
      </w:pPr>
      <w:r>
        <w:rPr>
          <w:rFonts w:hint="eastAsia" w:ascii="宋体" w:hAnsi="宋体" w:cs="TimesNewRomanPSMT"/>
          <w:color w:val="auto"/>
          <w:kern w:val="0"/>
          <w:sz w:val="24"/>
        </w:rPr>
        <w:t>8．</w:t>
      </w:r>
      <w:r>
        <w:rPr>
          <w:rFonts w:hint="eastAsia" w:ascii="宋体" w:hAnsi="宋体" w:cs="TimesNewRomanPSMT"/>
          <w:color w:val="auto"/>
          <w:kern w:val="0"/>
          <w:sz w:val="24"/>
          <w:u w:val="single"/>
        </w:rPr>
        <w:t xml:space="preserve">               </w:t>
      </w:r>
      <w:r>
        <w:rPr>
          <w:rFonts w:ascii="宋体" w:hAnsi="宋体" w:cs="TimesNewRomanPSMT"/>
          <w:color w:val="auto"/>
          <w:kern w:val="0"/>
          <w:sz w:val="24"/>
          <w:u w:val="single"/>
        </w:rPr>
        <w:t xml:space="preserve"> </w:t>
      </w:r>
      <w:r>
        <w:rPr>
          <w:rFonts w:hint="eastAsia" w:ascii="宋体" w:hAnsi="宋体" w:cs="TimesNewRomanPSMT"/>
          <w:color w:val="auto"/>
          <w:kern w:val="0"/>
          <w:sz w:val="24"/>
        </w:rPr>
        <w:t>（其他补充说明）。</w:t>
      </w:r>
    </w:p>
    <w:p>
      <w:pPr>
        <w:pageBreakBefore w:val="0"/>
        <w:kinsoku/>
        <w:overflowPunct/>
        <w:topLinePunct w:val="0"/>
        <w:autoSpaceDE w:val="0"/>
        <w:autoSpaceDN w:val="0"/>
        <w:bidi w:val="0"/>
        <w:adjustRightInd w:val="0"/>
        <w:snapToGri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napToGrid w:val="0"/>
        <w:spacing w:line="360" w:lineRule="auto"/>
        <w:ind w:left="3780" w:leftChars="1800"/>
        <w:jc w:val="left"/>
        <w:outlineLvl w:val="9"/>
        <w:rPr>
          <w:rFonts w:ascii="宋体" w:hAnsi="宋体" w:cs="仿宋_GB2312"/>
          <w:color w:val="auto"/>
          <w:kern w:val="0"/>
          <w:sz w:val="24"/>
        </w:rPr>
      </w:pPr>
      <w:r>
        <w:rPr>
          <w:rFonts w:ascii="宋体" w:hAnsi="宋体" w:cs="仿宋_GB2312"/>
          <w:color w:val="auto"/>
          <w:kern w:val="0"/>
          <w:sz w:val="24"/>
        </w:rPr>
        <w:t>供应商：</w:t>
      </w:r>
    </w:p>
    <w:p>
      <w:pPr>
        <w:pageBreakBefore w:val="0"/>
        <w:kinsoku/>
        <w:overflowPunct/>
        <w:topLinePunct w:val="0"/>
        <w:autoSpaceDE w:val="0"/>
        <w:autoSpaceDN w:val="0"/>
        <w:bidi w:val="0"/>
        <w:adjustRightInd w:val="0"/>
        <w:snapToGrid w:val="0"/>
        <w:spacing w:line="360" w:lineRule="auto"/>
        <w:ind w:left="3780" w:leftChars="1800"/>
        <w:jc w:val="left"/>
        <w:outlineLvl w:val="9"/>
        <w:rPr>
          <w:rFonts w:ascii="宋体" w:hAnsi="宋体" w:cs="仿宋_GB2312"/>
          <w:color w:val="auto"/>
          <w:kern w:val="0"/>
          <w:sz w:val="24"/>
        </w:rPr>
      </w:pPr>
      <w:r>
        <w:rPr>
          <w:rFonts w:hint="eastAsia" w:ascii="宋体" w:hAnsi="宋体" w:cs="仿宋_GB2312"/>
          <w:color w:val="auto"/>
          <w:kern w:val="0"/>
          <w:sz w:val="24"/>
        </w:rPr>
        <w:t>法定代表人或其委托代理人：</w:t>
      </w:r>
      <w:r>
        <w:rPr>
          <w:rFonts w:ascii="宋体" w:hAnsi="宋体" w:cs="仿宋_GB2312"/>
          <w:color w:val="auto"/>
          <w:kern w:val="0"/>
          <w:sz w:val="24"/>
        </w:rPr>
        <w:t xml:space="preserve"> </w:t>
      </w:r>
      <w:r>
        <w:rPr>
          <w:rFonts w:hint="eastAsia" w:ascii="宋体" w:hAnsi="宋体" w:cs="仿宋_GB2312"/>
          <w:color w:val="auto"/>
          <w:kern w:val="0"/>
          <w:sz w:val="24"/>
        </w:rPr>
        <w:t>（签字或盖人名章）</w:t>
      </w:r>
    </w:p>
    <w:p>
      <w:pPr>
        <w:pageBreakBefore w:val="0"/>
        <w:kinsoku/>
        <w:overflowPunct/>
        <w:topLinePunct w:val="0"/>
        <w:autoSpaceDE w:val="0"/>
        <w:autoSpaceDN w:val="0"/>
        <w:bidi w:val="0"/>
        <w:adjustRightInd w:val="0"/>
        <w:snapToGrid w:val="0"/>
        <w:spacing w:line="360" w:lineRule="auto"/>
        <w:ind w:left="3780" w:leftChars="1800"/>
        <w:jc w:val="left"/>
        <w:outlineLvl w:val="9"/>
        <w:rPr>
          <w:rFonts w:ascii="宋体" w:hAnsi="宋体" w:cs="仿宋_GB2312"/>
          <w:color w:val="auto"/>
          <w:kern w:val="0"/>
          <w:sz w:val="24"/>
        </w:rPr>
      </w:pPr>
      <w:r>
        <w:rPr>
          <w:rFonts w:hint="eastAsia" w:ascii="宋体" w:hAnsi="宋体" w:cs="仿宋_GB2312"/>
          <w:color w:val="auto"/>
          <w:kern w:val="0"/>
          <w:sz w:val="24"/>
        </w:rPr>
        <w:t>地址：</w:t>
      </w:r>
    </w:p>
    <w:p>
      <w:pPr>
        <w:pageBreakBefore w:val="0"/>
        <w:kinsoku/>
        <w:overflowPunct/>
        <w:topLinePunct w:val="0"/>
        <w:autoSpaceDE w:val="0"/>
        <w:autoSpaceDN w:val="0"/>
        <w:bidi w:val="0"/>
        <w:adjustRightInd w:val="0"/>
        <w:snapToGrid w:val="0"/>
        <w:spacing w:line="360" w:lineRule="auto"/>
        <w:ind w:left="3780" w:leftChars="1800"/>
        <w:jc w:val="left"/>
        <w:outlineLvl w:val="9"/>
        <w:rPr>
          <w:rFonts w:ascii="宋体" w:hAnsi="宋体" w:cs="仿宋_GB2312"/>
          <w:color w:val="auto"/>
          <w:kern w:val="0"/>
          <w:sz w:val="24"/>
        </w:rPr>
      </w:pPr>
      <w:r>
        <w:rPr>
          <w:rFonts w:hint="eastAsia" w:ascii="宋体" w:hAnsi="宋体" w:cs="仿宋_GB2312"/>
          <w:color w:val="auto"/>
          <w:kern w:val="0"/>
          <w:sz w:val="24"/>
        </w:rPr>
        <w:t>电话：</w:t>
      </w:r>
    </w:p>
    <w:p>
      <w:pPr>
        <w:pageBreakBefore w:val="0"/>
        <w:kinsoku/>
        <w:overflowPunct/>
        <w:topLinePunct w:val="0"/>
        <w:autoSpaceDE w:val="0"/>
        <w:autoSpaceDN w:val="0"/>
        <w:bidi w:val="0"/>
        <w:adjustRightInd w:val="0"/>
        <w:snapToGrid w:val="0"/>
        <w:spacing w:line="360" w:lineRule="auto"/>
        <w:ind w:left="3780" w:leftChars="1800"/>
        <w:jc w:val="left"/>
        <w:outlineLvl w:val="9"/>
        <w:rPr>
          <w:rFonts w:ascii="宋体" w:hAnsi="宋体" w:cs="仿宋_GB2312"/>
          <w:color w:val="auto"/>
          <w:kern w:val="0"/>
          <w:sz w:val="24"/>
        </w:rPr>
      </w:pPr>
      <w:r>
        <w:rPr>
          <w:rFonts w:hint="eastAsia" w:ascii="宋体" w:hAnsi="宋体" w:cs="仿宋_GB2312"/>
          <w:color w:val="auto"/>
          <w:kern w:val="0"/>
          <w:sz w:val="24"/>
        </w:rPr>
        <w:t>传真：</w:t>
      </w:r>
    </w:p>
    <w:p>
      <w:pPr>
        <w:pageBreakBefore w:val="0"/>
        <w:kinsoku/>
        <w:overflowPunct/>
        <w:topLinePunct w:val="0"/>
        <w:autoSpaceDE w:val="0"/>
        <w:autoSpaceDN w:val="0"/>
        <w:bidi w:val="0"/>
        <w:adjustRightInd w:val="0"/>
        <w:snapToGrid w:val="0"/>
        <w:spacing w:line="360" w:lineRule="auto"/>
        <w:ind w:left="5939" w:leftChars="2828"/>
        <w:jc w:val="left"/>
        <w:outlineLvl w:val="9"/>
        <w:rPr>
          <w:rFonts w:ascii="宋体" w:hAnsi="宋体" w:cs="仿宋_GB2312"/>
          <w:color w:val="auto"/>
          <w:kern w:val="0"/>
          <w:sz w:val="24"/>
        </w:rPr>
      </w:pPr>
      <w:r>
        <w:rPr>
          <w:rFonts w:hint="eastAsia" w:ascii="宋体" w:hAnsi="宋体" w:cs="仿宋_GB2312"/>
          <w:color w:val="auto"/>
          <w:kern w:val="0"/>
          <w:sz w:val="24"/>
        </w:rPr>
        <w:t>年</w:t>
      </w:r>
      <w:r>
        <w:rPr>
          <w:rFonts w:ascii="宋体" w:hAnsi="宋体" w:cs="仿宋_GB2312"/>
          <w:color w:val="auto"/>
          <w:kern w:val="0"/>
          <w:sz w:val="24"/>
        </w:rPr>
        <w:t xml:space="preserve"> </w:t>
      </w:r>
      <w:r>
        <w:rPr>
          <w:rFonts w:hint="eastAsia" w:ascii="宋体" w:hAnsi="宋体" w:cs="仿宋_GB2312"/>
          <w:color w:val="auto"/>
          <w:kern w:val="0"/>
          <w:sz w:val="24"/>
        </w:rPr>
        <w:t>月</w:t>
      </w:r>
      <w:r>
        <w:rPr>
          <w:rFonts w:ascii="宋体" w:hAnsi="宋体" w:cs="仿宋_GB2312"/>
          <w:color w:val="auto"/>
          <w:kern w:val="0"/>
          <w:sz w:val="24"/>
        </w:rPr>
        <w:t xml:space="preserve"> </w:t>
      </w:r>
      <w:r>
        <w:rPr>
          <w:rFonts w:hint="eastAsia" w:ascii="宋体" w:hAnsi="宋体" w:cs="仿宋_GB2312"/>
          <w:color w:val="auto"/>
          <w:kern w:val="0"/>
          <w:sz w:val="24"/>
        </w:rPr>
        <w:t>日</w:t>
      </w:r>
    </w:p>
    <w:p>
      <w:pPr>
        <w:pageBreakBefore w:val="0"/>
        <w:kinsoku/>
        <w:overflowPunct/>
        <w:topLinePunct w:val="0"/>
        <w:bidi w:val="0"/>
        <w:spacing w:line="360" w:lineRule="auto"/>
        <w:jc w:val="center"/>
        <w:outlineLvl w:val="9"/>
        <w:rPr>
          <w:rFonts w:ascii="宋体" w:hAnsi="宋体"/>
          <w:color w:val="auto"/>
          <w:sz w:val="24"/>
        </w:rPr>
      </w:pPr>
      <w:r>
        <w:rPr>
          <w:color w:val="auto"/>
        </w:rPr>
        <w:br w:type="page"/>
      </w:r>
      <w:bookmarkEnd w:id="204"/>
      <w:bookmarkStart w:id="205" w:name="_Toc192127131"/>
      <w:bookmarkStart w:id="206" w:name="_Toc195922057"/>
      <w:bookmarkStart w:id="207" w:name="_Toc416103827"/>
      <w:r>
        <w:rPr>
          <w:b/>
          <w:color w:val="auto"/>
          <w:sz w:val="24"/>
        </w:rPr>
        <w:t xml:space="preserve"> </w:t>
      </w:r>
      <w:r>
        <w:rPr>
          <w:rFonts w:hint="eastAsia" w:ascii="宋体" w:hAnsi="宋体"/>
          <w:color w:val="auto"/>
          <w:sz w:val="24"/>
        </w:rPr>
        <w:t>报价函附录</w:t>
      </w:r>
    </w:p>
    <w:tbl>
      <w:tblPr>
        <w:tblStyle w:val="73"/>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pageBreakBefore w:val="0"/>
              <w:kinsoku/>
              <w:overflowPunct/>
              <w:topLinePunct w:val="0"/>
              <w:bidi w:val="0"/>
              <w:ind w:left="141" w:leftChars="67" w:right="103" w:rightChars="49"/>
              <w:jc w:val="center"/>
              <w:outlineLvl w:val="9"/>
              <w:rPr>
                <w:rFonts w:ascii="仿宋_GB2312" w:hAnsi="宋体" w:eastAsia="仿宋_GB2312"/>
                <w:b/>
                <w:color w:val="auto"/>
                <w:sz w:val="24"/>
              </w:rPr>
            </w:pPr>
            <w:r>
              <w:rPr>
                <w:rFonts w:hint="eastAsia" w:ascii="仿宋_GB2312" w:hAnsi="宋体" w:eastAsia="仿宋_GB2312"/>
                <w:b/>
                <w:color w:val="auto"/>
                <w:sz w:val="24"/>
              </w:rPr>
              <w:t>项目编号及谈判文件名称</w:t>
            </w:r>
          </w:p>
        </w:tc>
        <w:tc>
          <w:tcPr>
            <w:tcW w:w="6329" w:type="dxa"/>
            <w:vAlign w:val="center"/>
          </w:tcPr>
          <w:p>
            <w:pPr>
              <w:pageBreakBefore w:val="0"/>
              <w:kinsoku/>
              <w:overflowPunct/>
              <w:topLinePunct w:val="0"/>
              <w:bidi w:val="0"/>
              <w:ind w:left="189" w:leftChars="90" w:firstLine="1"/>
              <w:outlineLvl w:val="9"/>
              <w:rPr>
                <w:rFonts w:ascii="仿宋_GB2312" w:hAnsi="宋体" w:eastAsia="仿宋_GB2312"/>
                <w:color w:val="auto"/>
                <w:sz w:val="24"/>
              </w:rPr>
            </w:pPr>
            <w:r>
              <w:rPr>
                <w:rFonts w:hint="eastAsia" w:ascii="仿宋_GB2312" w:hAnsi="宋体" w:eastAsia="仿宋_GB2312"/>
                <w:color w:val="auto"/>
                <w:sz w:val="24"/>
              </w:rPr>
              <w:t>项目编号：</w:t>
            </w:r>
          </w:p>
          <w:p>
            <w:pPr>
              <w:pageBreakBefore w:val="0"/>
              <w:kinsoku/>
              <w:overflowPunct/>
              <w:topLinePunct w:val="0"/>
              <w:bidi w:val="0"/>
              <w:ind w:left="189" w:leftChars="90" w:firstLine="1"/>
              <w:outlineLvl w:val="9"/>
              <w:rPr>
                <w:rFonts w:ascii="仿宋_GB2312" w:hAnsi="宋体" w:eastAsia="仿宋_GB2312"/>
                <w:color w:val="auto"/>
                <w:sz w:val="24"/>
              </w:rPr>
            </w:pPr>
          </w:p>
          <w:p>
            <w:pPr>
              <w:pageBreakBefore w:val="0"/>
              <w:kinsoku/>
              <w:overflowPunct/>
              <w:topLinePunct w:val="0"/>
              <w:bidi w:val="0"/>
              <w:ind w:left="189" w:leftChars="90" w:firstLine="1"/>
              <w:outlineLvl w:val="9"/>
              <w:rPr>
                <w:rFonts w:ascii="仿宋_GB2312" w:hAnsi="宋体" w:eastAsia="仿宋_GB2312"/>
                <w:color w:val="auto"/>
                <w:sz w:val="24"/>
              </w:rPr>
            </w:pPr>
            <w:r>
              <w:rPr>
                <w:rFonts w:hint="eastAsia" w:ascii="仿宋_GB2312" w:hAnsi="宋体" w:eastAsia="仿宋_GB2312"/>
                <w:color w:val="auto"/>
                <w:sz w:val="24"/>
              </w:rPr>
              <w:t>谈判项目名称：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pageBreakBefore w:val="0"/>
              <w:kinsoku/>
              <w:overflowPunct/>
              <w:topLinePunct w:val="0"/>
              <w:bidi w:val="0"/>
              <w:ind w:left="-13" w:leftChars="-6"/>
              <w:jc w:val="center"/>
              <w:outlineLvl w:val="9"/>
              <w:rPr>
                <w:rFonts w:ascii="仿宋_GB2312" w:hAnsi="宋体" w:eastAsia="仿宋_GB2312"/>
                <w:b/>
                <w:color w:val="auto"/>
                <w:sz w:val="24"/>
              </w:rPr>
            </w:pPr>
            <w:r>
              <w:rPr>
                <w:rFonts w:hint="eastAsia" w:ascii="仿宋_GB2312" w:hAnsi="宋体" w:eastAsia="仿宋_GB2312"/>
                <w:b/>
                <w:color w:val="auto"/>
                <w:sz w:val="24"/>
              </w:rPr>
              <w:t>响应文件总价</w:t>
            </w:r>
          </w:p>
        </w:tc>
        <w:tc>
          <w:tcPr>
            <w:tcW w:w="6329" w:type="dxa"/>
            <w:vAlign w:val="center"/>
          </w:tcPr>
          <w:p>
            <w:pPr>
              <w:pageBreakBefore w:val="0"/>
              <w:kinsoku/>
              <w:overflowPunct/>
              <w:topLinePunct w:val="0"/>
              <w:bidi w:val="0"/>
              <w:ind w:left="189" w:leftChars="90" w:firstLine="1"/>
              <w:outlineLvl w:val="9"/>
              <w:rPr>
                <w:rFonts w:ascii="仿宋_GB2312" w:hAnsi="宋体" w:eastAsia="仿宋_GB2312"/>
                <w:color w:val="auto"/>
                <w:sz w:val="24"/>
              </w:rPr>
            </w:pPr>
            <w:r>
              <w:rPr>
                <w:rFonts w:hint="eastAsia" w:ascii="仿宋_GB2312" w:hAnsi="宋体" w:eastAsia="仿宋_GB2312"/>
                <w:color w:val="auto"/>
                <w:sz w:val="24"/>
              </w:rPr>
              <w:t>人民币（小写金额）：</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元</w:t>
            </w:r>
          </w:p>
          <w:p>
            <w:pPr>
              <w:pageBreakBefore w:val="0"/>
              <w:kinsoku/>
              <w:overflowPunct/>
              <w:topLinePunct w:val="0"/>
              <w:bidi w:val="0"/>
              <w:ind w:left="189" w:leftChars="90" w:firstLine="1"/>
              <w:outlineLvl w:val="9"/>
              <w:rPr>
                <w:rFonts w:ascii="仿宋_GB2312" w:hAnsi="宋体" w:eastAsia="仿宋_GB2312"/>
                <w:color w:val="auto"/>
                <w:sz w:val="24"/>
                <w:u w:val="single"/>
              </w:rPr>
            </w:pPr>
            <w:r>
              <w:rPr>
                <w:rFonts w:hint="eastAsia" w:ascii="仿宋_GB2312" w:hAnsi="宋体" w:eastAsia="仿宋_GB2312"/>
                <w:color w:val="auto"/>
                <w:sz w:val="24"/>
              </w:rPr>
              <w:t>人民币（大写金额）：</w:t>
            </w:r>
            <w:r>
              <w:rPr>
                <w:rFonts w:hint="eastAsia" w:ascii="仿宋_GB2312" w:hAnsi="宋体" w:eastAsia="仿宋_GB2312"/>
                <w:color w:val="auto"/>
                <w:sz w:val="24"/>
                <w:u w:val="single"/>
              </w:rPr>
              <w:t xml:space="preserve">                        整</w:t>
            </w:r>
          </w:p>
          <w:p>
            <w:pPr>
              <w:pageBreakBefore w:val="0"/>
              <w:kinsoku/>
              <w:overflowPunct/>
              <w:topLinePunct w:val="0"/>
              <w:bidi w:val="0"/>
              <w:ind w:left="189" w:leftChars="90" w:firstLine="1"/>
              <w:outlineLvl w:val="9"/>
              <w:rPr>
                <w:rFonts w:ascii="仿宋_GB2312" w:hAnsi="宋体" w:eastAsia="仿宋_GB2312"/>
                <w:color w:val="auto"/>
                <w:sz w:val="24"/>
              </w:rPr>
            </w:pPr>
            <w:r>
              <w:rPr>
                <w:rFonts w:hint="eastAsia" w:ascii="仿宋_GB2312" w:hAnsi="宋体" w:eastAsia="仿宋_GB2312"/>
                <w:color w:val="auto"/>
                <w:sz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946" w:type="dxa"/>
            <w:vAlign w:val="center"/>
          </w:tcPr>
          <w:p>
            <w:pPr>
              <w:pageBreakBefore w:val="0"/>
              <w:kinsoku/>
              <w:overflowPunct/>
              <w:topLinePunct w:val="0"/>
              <w:bidi w:val="0"/>
              <w:ind w:left="-13" w:leftChars="-6"/>
              <w:jc w:val="center"/>
              <w:outlineLvl w:val="9"/>
              <w:rPr>
                <w:rFonts w:ascii="仿宋_GB2312" w:hAnsi="宋体" w:eastAsia="仿宋_GB2312"/>
                <w:b/>
                <w:color w:val="auto"/>
                <w:sz w:val="24"/>
              </w:rPr>
            </w:pPr>
            <w:r>
              <w:rPr>
                <w:rFonts w:hint="eastAsia" w:ascii="仿宋_GB2312" w:hAnsi="宋体" w:eastAsia="仿宋_GB2312"/>
                <w:b/>
                <w:color w:val="auto"/>
                <w:sz w:val="24"/>
              </w:rPr>
              <w:t>谈判保证金</w:t>
            </w:r>
          </w:p>
        </w:tc>
        <w:tc>
          <w:tcPr>
            <w:tcW w:w="6329" w:type="dxa"/>
            <w:vAlign w:val="center"/>
          </w:tcPr>
          <w:p>
            <w:pPr>
              <w:pageBreakBefore w:val="0"/>
              <w:kinsoku/>
              <w:overflowPunct/>
              <w:topLinePunct w:val="0"/>
              <w:bidi w:val="0"/>
              <w:ind w:left="189" w:leftChars="90" w:firstLine="1"/>
              <w:outlineLvl w:val="9"/>
              <w:rPr>
                <w:rFonts w:ascii="仿宋_GB2312" w:hAnsi="宋体" w:eastAsia="仿宋_GB2312"/>
                <w:color w:val="auto"/>
                <w:sz w:val="24"/>
              </w:rPr>
            </w:pPr>
            <w:r>
              <w:rPr>
                <w:rFonts w:hint="eastAsia" w:ascii="仿宋_GB2312" w:hAnsi="宋体" w:eastAsia="仿宋_GB2312"/>
                <w:color w:val="auto"/>
                <w:sz w:val="24"/>
              </w:rPr>
              <w:t>人民币</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pageBreakBefore w:val="0"/>
              <w:kinsoku/>
              <w:overflowPunct/>
              <w:topLinePunct w:val="0"/>
              <w:bidi w:val="0"/>
              <w:ind w:left="-13" w:leftChars="-6"/>
              <w:jc w:val="center"/>
              <w:outlineLvl w:val="9"/>
              <w:rPr>
                <w:rFonts w:ascii="仿宋_GB2312" w:hAnsi="宋体" w:eastAsia="仿宋_GB2312"/>
                <w:b/>
                <w:color w:val="auto"/>
                <w:sz w:val="24"/>
              </w:rPr>
            </w:pPr>
            <w:r>
              <w:rPr>
                <w:rFonts w:hint="eastAsia" w:ascii="仿宋_GB2312" w:hAnsi="宋体" w:eastAsia="仿宋_GB2312"/>
                <w:b/>
                <w:color w:val="auto"/>
                <w:sz w:val="24"/>
              </w:rPr>
              <w:t>交货期/服务期</w:t>
            </w:r>
          </w:p>
        </w:tc>
        <w:tc>
          <w:tcPr>
            <w:tcW w:w="6329" w:type="dxa"/>
            <w:vAlign w:val="center"/>
          </w:tcPr>
          <w:p>
            <w:pPr>
              <w:pageBreakBefore w:val="0"/>
              <w:kinsoku/>
              <w:overflowPunct/>
              <w:topLinePunct w:val="0"/>
              <w:bidi w:val="0"/>
              <w:ind w:left="189" w:leftChars="90" w:firstLine="1"/>
              <w:outlineLvl w:val="9"/>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pageBreakBefore w:val="0"/>
              <w:kinsoku/>
              <w:overflowPunct/>
              <w:topLinePunct w:val="0"/>
              <w:bidi w:val="0"/>
              <w:ind w:left="-13" w:leftChars="-6"/>
              <w:jc w:val="center"/>
              <w:outlineLvl w:val="9"/>
              <w:rPr>
                <w:rFonts w:ascii="仿宋_GB2312" w:hAnsi="宋体" w:eastAsia="仿宋_GB2312"/>
                <w:b/>
                <w:color w:val="auto"/>
                <w:sz w:val="24"/>
              </w:rPr>
            </w:pPr>
            <w:r>
              <w:rPr>
                <w:rFonts w:hint="eastAsia" w:ascii="仿宋_GB2312" w:hAnsi="宋体" w:eastAsia="仿宋_GB2312"/>
                <w:b/>
                <w:color w:val="auto"/>
                <w:sz w:val="24"/>
              </w:rPr>
              <w:t>交货/服务地点</w:t>
            </w:r>
          </w:p>
        </w:tc>
        <w:tc>
          <w:tcPr>
            <w:tcW w:w="6329" w:type="dxa"/>
            <w:vAlign w:val="center"/>
          </w:tcPr>
          <w:p>
            <w:pPr>
              <w:pageBreakBefore w:val="0"/>
              <w:kinsoku/>
              <w:overflowPunct/>
              <w:topLinePunct w:val="0"/>
              <w:bidi w:val="0"/>
              <w:ind w:left="899" w:leftChars="428" w:firstLine="1"/>
              <w:outlineLvl w:val="9"/>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pageBreakBefore w:val="0"/>
              <w:kinsoku/>
              <w:overflowPunct/>
              <w:topLinePunct w:val="0"/>
              <w:bidi w:val="0"/>
              <w:jc w:val="center"/>
              <w:outlineLvl w:val="9"/>
              <w:rPr>
                <w:rFonts w:ascii="仿宋_GB2312" w:hAnsi="宋体" w:eastAsia="仿宋_GB2312"/>
                <w:b/>
                <w:color w:val="auto"/>
                <w:sz w:val="24"/>
              </w:rPr>
            </w:pPr>
            <w:r>
              <w:rPr>
                <w:rFonts w:hint="eastAsia" w:ascii="仿宋_GB2312" w:hAnsi="宋体" w:eastAsia="仿宋_GB2312"/>
                <w:b/>
                <w:color w:val="auto"/>
                <w:sz w:val="24"/>
              </w:rPr>
              <w:t>其他声明（如有）</w:t>
            </w:r>
          </w:p>
        </w:tc>
        <w:tc>
          <w:tcPr>
            <w:tcW w:w="6329" w:type="dxa"/>
            <w:vAlign w:val="center"/>
          </w:tcPr>
          <w:p>
            <w:pPr>
              <w:pageBreakBefore w:val="0"/>
              <w:kinsoku/>
              <w:overflowPunct/>
              <w:topLinePunct w:val="0"/>
              <w:bidi w:val="0"/>
              <w:ind w:left="899" w:leftChars="428" w:firstLine="1"/>
              <w:outlineLvl w:val="9"/>
              <w:rPr>
                <w:rFonts w:ascii="仿宋_GB2312" w:hAnsi="宋体" w:eastAsia="仿宋_GB2312"/>
                <w:color w:val="auto"/>
                <w:sz w:val="24"/>
              </w:rPr>
            </w:pPr>
          </w:p>
        </w:tc>
      </w:tr>
    </w:tbl>
    <w:p>
      <w:pPr>
        <w:pStyle w:val="39"/>
        <w:pageBreakBefore w:val="0"/>
        <w:tabs>
          <w:tab w:val="left" w:pos="5580"/>
        </w:tabs>
        <w:kinsoku/>
        <w:overflowPunct/>
        <w:topLinePunct w:val="0"/>
        <w:bidi w:val="0"/>
        <w:spacing w:before="120"/>
        <w:ind w:firstLine="720" w:firstLineChars="300"/>
        <w:outlineLvl w:val="9"/>
        <w:rPr>
          <w:rFonts w:ascii="仿宋_GB2312" w:hAnsi="宋体" w:eastAsia="仿宋_GB2312"/>
          <w:color w:val="auto"/>
          <w:sz w:val="24"/>
        </w:rPr>
      </w:pPr>
      <w:r>
        <w:rPr>
          <w:rFonts w:hint="eastAsia" w:ascii="仿宋_GB2312" w:hAnsi="宋体" w:eastAsia="仿宋_GB2312"/>
          <w:color w:val="auto"/>
          <w:sz w:val="24"/>
        </w:rPr>
        <w:t>供应商名称（盖章）：</w:t>
      </w:r>
      <w:r>
        <w:rPr>
          <w:rFonts w:hint="eastAsia" w:ascii="仿宋_GB2312" w:hAnsi="宋体" w:eastAsia="仿宋_GB2312"/>
          <w:color w:val="auto"/>
          <w:sz w:val="24"/>
          <w:u w:val="single"/>
        </w:rPr>
        <w:t xml:space="preserve">                         </w:t>
      </w:r>
    </w:p>
    <w:p>
      <w:pPr>
        <w:pStyle w:val="39"/>
        <w:pageBreakBefore w:val="0"/>
        <w:tabs>
          <w:tab w:val="left" w:pos="5340"/>
        </w:tabs>
        <w:kinsoku/>
        <w:overflowPunct/>
        <w:topLinePunct w:val="0"/>
        <w:bidi w:val="0"/>
        <w:spacing w:before="120"/>
        <w:ind w:firstLine="720" w:firstLineChars="300"/>
        <w:outlineLvl w:val="9"/>
        <w:rPr>
          <w:rFonts w:ascii="仿宋_GB2312" w:hAnsi="宋体" w:eastAsia="仿宋_GB2312"/>
          <w:color w:val="auto"/>
          <w:sz w:val="24"/>
          <w:u w:val="single"/>
        </w:rPr>
      </w:pPr>
      <w:r>
        <w:rPr>
          <w:rFonts w:hint="eastAsia" w:ascii="仿宋_GB2312" w:hAnsi="宋体" w:eastAsia="仿宋_GB2312"/>
          <w:color w:val="auto"/>
          <w:sz w:val="24"/>
        </w:rPr>
        <w:t>供应商授权代表</w:t>
      </w:r>
      <w:r>
        <w:rPr>
          <w:rFonts w:ascii="仿宋_GB2312" w:hAnsi="宋体" w:eastAsia="仿宋_GB2312"/>
          <w:color w:val="auto"/>
          <w:sz w:val="24"/>
        </w:rPr>
        <w:t>(</w:t>
      </w:r>
      <w:r>
        <w:rPr>
          <w:rFonts w:hint="eastAsia" w:hAnsi="宋体" w:cs="仿宋_GB2312"/>
          <w:color w:val="auto"/>
          <w:kern w:val="0"/>
          <w:sz w:val="24"/>
        </w:rPr>
        <w:t>签字或盖人名章</w:t>
      </w:r>
      <w:r>
        <w:rPr>
          <w:rFonts w:ascii="仿宋_GB2312" w:hAnsi="宋体" w:eastAsia="仿宋_GB2312"/>
          <w:color w:val="auto"/>
          <w:sz w:val="24"/>
        </w:rPr>
        <w:t>)</w:t>
      </w:r>
      <w:r>
        <w:rPr>
          <w:rFonts w:hint="eastAsia" w:ascii="仿宋_GB2312" w:hAnsi="宋体" w:eastAsia="仿宋_GB2312"/>
          <w:color w:val="auto"/>
          <w:sz w:val="24"/>
        </w:rPr>
        <w:t>：</w:t>
      </w:r>
      <w:r>
        <w:rPr>
          <w:rFonts w:ascii="仿宋_GB2312" w:hAnsi="宋体" w:eastAsia="仿宋_GB2312"/>
          <w:color w:val="auto"/>
          <w:sz w:val="24"/>
          <w:u w:val="single"/>
        </w:rPr>
        <w:tab/>
      </w:r>
    </w:p>
    <w:p>
      <w:pPr>
        <w:pStyle w:val="39"/>
        <w:pageBreakBefore w:val="0"/>
        <w:tabs>
          <w:tab w:val="left" w:pos="5580"/>
        </w:tabs>
        <w:kinsoku/>
        <w:overflowPunct/>
        <w:topLinePunct w:val="0"/>
        <w:bidi w:val="0"/>
        <w:spacing w:before="120"/>
        <w:ind w:firstLine="720" w:firstLineChars="300"/>
        <w:outlineLvl w:val="9"/>
        <w:rPr>
          <w:rFonts w:ascii="仿宋_GB2312" w:hAnsi="宋体" w:eastAsia="仿宋_GB2312"/>
          <w:color w:val="auto"/>
          <w:sz w:val="24"/>
          <w:u w:val="single"/>
        </w:rPr>
      </w:pPr>
      <w:r>
        <w:rPr>
          <w:rFonts w:hint="eastAsia" w:ascii="仿宋_GB2312" w:hAnsi="宋体" w:eastAsia="仿宋_GB2312"/>
          <w:color w:val="auto"/>
          <w:sz w:val="24"/>
        </w:rPr>
        <w:t>日期：</w:t>
      </w:r>
      <w:r>
        <w:rPr>
          <w:rFonts w:hint="eastAsia" w:ascii="仿宋_GB2312" w:hAnsi="宋体" w:eastAsia="仿宋_GB2312"/>
          <w:color w:val="auto"/>
          <w:sz w:val="24"/>
          <w:u w:val="single"/>
        </w:rPr>
        <w:t xml:space="preserve">                                      </w:t>
      </w:r>
    </w:p>
    <w:p>
      <w:pPr>
        <w:pStyle w:val="39"/>
        <w:pageBreakBefore w:val="0"/>
        <w:tabs>
          <w:tab w:val="left" w:pos="5580"/>
        </w:tabs>
        <w:kinsoku/>
        <w:overflowPunct/>
        <w:topLinePunct w:val="0"/>
        <w:bidi w:val="0"/>
        <w:spacing w:before="120"/>
        <w:ind w:firstLine="720" w:firstLineChars="300"/>
        <w:outlineLvl w:val="9"/>
        <w:rPr>
          <w:rFonts w:ascii="仿宋_GB2312" w:hAnsi="宋体" w:eastAsia="仿宋_GB2312"/>
          <w:color w:val="auto"/>
          <w:sz w:val="24"/>
          <w:u w:val="single"/>
        </w:rPr>
      </w:pPr>
    </w:p>
    <w:p>
      <w:pPr>
        <w:pStyle w:val="39"/>
        <w:pageBreakBefore w:val="0"/>
        <w:tabs>
          <w:tab w:val="left" w:pos="5580"/>
        </w:tabs>
        <w:kinsoku/>
        <w:overflowPunct/>
        <w:topLinePunct w:val="0"/>
        <w:bidi w:val="0"/>
        <w:spacing w:before="120"/>
        <w:ind w:firstLine="720" w:firstLineChars="300"/>
        <w:outlineLvl w:val="9"/>
        <w:rPr>
          <w:rFonts w:ascii="仿宋_GB2312" w:hAnsi="宋体" w:eastAsia="仿宋_GB2312"/>
          <w:color w:val="auto"/>
          <w:sz w:val="24"/>
        </w:rPr>
      </w:pPr>
    </w:p>
    <w:p>
      <w:pPr>
        <w:pStyle w:val="39"/>
        <w:pageBreakBefore w:val="0"/>
        <w:tabs>
          <w:tab w:val="left" w:pos="5580"/>
        </w:tabs>
        <w:kinsoku/>
        <w:overflowPunct/>
        <w:topLinePunct w:val="0"/>
        <w:bidi w:val="0"/>
        <w:spacing w:before="120"/>
        <w:ind w:firstLine="720" w:firstLineChars="300"/>
        <w:outlineLvl w:val="9"/>
        <w:rPr>
          <w:rFonts w:ascii="仿宋_GB2312" w:hAnsi="宋体" w:eastAsia="仿宋_GB2312"/>
          <w:color w:val="auto"/>
          <w:sz w:val="24"/>
        </w:rPr>
      </w:pPr>
      <w:r>
        <w:rPr>
          <w:rFonts w:hint="eastAsia" w:ascii="仿宋_GB2312" w:hAnsi="宋体" w:eastAsia="仿宋_GB2312"/>
          <w:color w:val="auto"/>
          <w:sz w:val="24"/>
        </w:rPr>
        <w:t>注:此表中响应文件总价应与附件5中的总价相一致。</w:t>
      </w:r>
    </w:p>
    <w:p>
      <w:pPr>
        <w:pStyle w:val="39"/>
        <w:pageBreakBefore w:val="0"/>
        <w:tabs>
          <w:tab w:val="left" w:pos="5580"/>
        </w:tabs>
        <w:kinsoku/>
        <w:overflowPunct/>
        <w:topLinePunct w:val="0"/>
        <w:bidi w:val="0"/>
        <w:spacing w:before="120"/>
        <w:ind w:firstLine="720" w:firstLineChars="300"/>
        <w:outlineLvl w:val="9"/>
        <w:rPr>
          <w:rFonts w:ascii="仿宋_GB2312" w:hAnsi="宋体" w:eastAsia="仿宋_GB2312"/>
          <w:color w:val="auto"/>
          <w:sz w:val="24"/>
        </w:rPr>
      </w:pPr>
      <w:r>
        <w:rPr>
          <w:rFonts w:hAnsi="宋体"/>
          <w:color w:val="auto"/>
          <w:sz w:val="24"/>
        </w:rPr>
        <w:br w:type="page"/>
      </w: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r>
        <w:rPr>
          <w:rFonts w:hint="eastAsia"/>
          <w:b/>
          <w:color w:val="auto"/>
          <w:sz w:val="24"/>
        </w:rPr>
        <w:t>法定代表人身份证明</w:t>
      </w:r>
    </w:p>
    <w:p>
      <w:pPr>
        <w:pageBreakBefore w:val="0"/>
        <w:kinsoku/>
        <w:overflowPunct/>
        <w:topLinePunct w:val="0"/>
        <w:bidi w:val="0"/>
        <w:spacing w:before="156" w:beforeLines="50" w:line="288" w:lineRule="auto"/>
        <w:ind w:hanging="104"/>
        <w:jc w:val="center"/>
        <w:outlineLvl w:val="9"/>
        <w:rPr>
          <w:rFonts w:ascii="宋体" w:hAnsi="宋体"/>
          <w:color w:val="auto"/>
          <w:szCs w:val="21"/>
        </w:rPr>
      </w:pPr>
    </w:p>
    <w:p>
      <w:pPr>
        <w:pageBreakBefore w:val="0"/>
        <w:kinsoku/>
        <w:overflowPunct/>
        <w:topLinePunct w:val="0"/>
        <w:autoSpaceDE w:val="0"/>
        <w:autoSpaceDN w:val="0"/>
        <w:bidi w:val="0"/>
        <w:adjustRightInd w:val="0"/>
        <w:jc w:val="center"/>
        <w:outlineLvl w:val="9"/>
        <w:rPr>
          <w:rFonts w:ascii="宋体" w:hAnsi="宋体" w:cs="黑体"/>
          <w:color w:val="auto"/>
          <w:kern w:val="0"/>
          <w:sz w:val="28"/>
          <w:szCs w:val="28"/>
        </w:rPr>
      </w:pPr>
      <w:r>
        <w:rPr>
          <w:rFonts w:hint="eastAsia" w:ascii="宋体" w:hAnsi="宋体" w:cs="黑体"/>
          <w:color w:val="auto"/>
          <w:kern w:val="0"/>
          <w:sz w:val="28"/>
          <w:szCs w:val="28"/>
        </w:rPr>
        <w:t>法定代表人身份证明</w:t>
      </w: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r>
        <w:rPr>
          <w:rFonts w:hint="eastAsia" w:ascii="宋体" w:hAnsi="宋体" w:cs="仿宋_GB2312"/>
          <w:color w:val="auto"/>
          <w:kern w:val="0"/>
          <w:sz w:val="24"/>
        </w:rPr>
        <w:t>姓名：</w:t>
      </w:r>
      <w:r>
        <w:rPr>
          <w:rFonts w:ascii="宋体" w:hAnsi="宋体" w:cs="仿宋_GB2312"/>
          <w:color w:val="auto"/>
          <w:kern w:val="0"/>
          <w:sz w:val="24"/>
          <w:u w:val="single"/>
        </w:rPr>
        <w:t xml:space="preserve"> </w:t>
      </w:r>
      <w:r>
        <w:rPr>
          <w:rFonts w:hint="eastAsia" w:ascii="宋体" w:hAnsi="宋体" w:cs="仿宋_GB2312"/>
          <w:color w:val="auto"/>
          <w:kern w:val="0"/>
          <w:sz w:val="24"/>
          <w:u w:val="single"/>
        </w:rPr>
        <w:t xml:space="preserve">   </w:t>
      </w:r>
      <w:r>
        <w:rPr>
          <w:rFonts w:hint="eastAsia" w:ascii="宋体" w:hAnsi="宋体" w:cs="仿宋_GB2312"/>
          <w:color w:val="auto"/>
          <w:kern w:val="0"/>
          <w:sz w:val="24"/>
        </w:rPr>
        <w:t>性别：</w:t>
      </w:r>
      <w:r>
        <w:rPr>
          <w:rFonts w:ascii="宋体" w:hAnsi="宋体" w:cs="仿宋_GB2312"/>
          <w:color w:val="auto"/>
          <w:kern w:val="0"/>
          <w:sz w:val="24"/>
          <w:u w:val="single"/>
        </w:rPr>
        <w:t xml:space="preserve"> </w:t>
      </w:r>
      <w:r>
        <w:rPr>
          <w:rFonts w:hint="eastAsia" w:ascii="宋体" w:hAnsi="宋体" w:cs="仿宋_GB2312"/>
          <w:color w:val="auto"/>
          <w:kern w:val="0"/>
          <w:sz w:val="24"/>
          <w:u w:val="single"/>
        </w:rPr>
        <w:t xml:space="preserve">   </w:t>
      </w:r>
      <w:r>
        <w:rPr>
          <w:rFonts w:hint="eastAsia" w:ascii="宋体" w:hAnsi="宋体" w:cs="仿宋_GB2312"/>
          <w:color w:val="auto"/>
          <w:kern w:val="0"/>
          <w:sz w:val="24"/>
        </w:rPr>
        <w:t>年龄：</w:t>
      </w:r>
      <w:r>
        <w:rPr>
          <w:rFonts w:ascii="宋体" w:hAnsi="宋体" w:cs="仿宋_GB2312"/>
          <w:color w:val="auto"/>
          <w:kern w:val="0"/>
          <w:sz w:val="24"/>
          <w:u w:val="single"/>
        </w:rPr>
        <w:t xml:space="preserve"> </w:t>
      </w:r>
      <w:r>
        <w:rPr>
          <w:rFonts w:hint="eastAsia" w:ascii="宋体" w:hAnsi="宋体" w:cs="仿宋_GB2312"/>
          <w:color w:val="auto"/>
          <w:kern w:val="0"/>
          <w:sz w:val="24"/>
          <w:u w:val="single"/>
        </w:rPr>
        <w:t xml:space="preserve">  </w:t>
      </w:r>
      <w:r>
        <w:rPr>
          <w:rFonts w:hint="eastAsia" w:ascii="宋体" w:hAnsi="宋体" w:cs="仿宋_GB2312"/>
          <w:color w:val="auto"/>
          <w:kern w:val="0"/>
          <w:sz w:val="24"/>
        </w:rPr>
        <w:t xml:space="preserve"> 职务：</w:t>
      </w:r>
      <w:r>
        <w:rPr>
          <w:rFonts w:hint="eastAsia" w:ascii="宋体" w:hAnsi="宋体" w:cs="仿宋_GB2312"/>
          <w:color w:val="auto"/>
          <w:kern w:val="0"/>
          <w:sz w:val="24"/>
          <w:u w:val="single"/>
        </w:rPr>
        <w:t xml:space="preserve">     </w:t>
      </w:r>
      <w:r>
        <w:rPr>
          <w:rFonts w:hint="eastAsia" w:ascii="宋体" w:hAnsi="宋体" w:cs="仿宋_GB2312"/>
          <w:color w:val="auto"/>
          <w:kern w:val="0"/>
          <w:sz w:val="24"/>
        </w:rPr>
        <w:t>系</w:t>
      </w:r>
      <w:r>
        <w:rPr>
          <w:rFonts w:hint="eastAsia" w:ascii="宋体" w:hAnsi="宋体" w:cs="仿宋_GB2312"/>
          <w:color w:val="auto"/>
          <w:kern w:val="0"/>
          <w:sz w:val="24"/>
          <w:u w:val="single"/>
        </w:rPr>
        <w:t xml:space="preserve">             </w:t>
      </w:r>
      <w:r>
        <w:rPr>
          <w:rFonts w:hint="eastAsia" w:ascii="宋体" w:hAnsi="宋体" w:cs="仿宋_GB2312"/>
          <w:color w:val="auto"/>
          <w:kern w:val="0"/>
          <w:sz w:val="24"/>
        </w:rPr>
        <w:t>（供应商名称）的法定代表人。</w:t>
      </w: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r>
        <w:rPr>
          <w:rFonts w:hint="eastAsia" w:ascii="宋体" w:hAnsi="宋体" w:cs="仿宋_GB2312"/>
          <w:color w:val="auto"/>
          <w:kern w:val="0"/>
          <w:sz w:val="24"/>
        </w:rPr>
        <w:t>特此证明。</w:t>
      </w: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ind w:left="5399" w:leftChars="2571"/>
        <w:jc w:val="left"/>
        <w:outlineLvl w:val="9"/>
        <w:rPr>
          <w:rFonts w:ascii="宋体" w:hAnsi="宋体" w:cs="仿宋_GB2312"/>
          <w:color w:val="auto"/>
          <w:kern w:val="0"/>
          <w:sz w:val="24"/>
        </w:rPr>
      </w:pPr>
      <w:r>
        <w:rPr>
          <w:rFonts w:hint="eastAsia" w:ascii="宋体" w:hAnsi="宋体" w:cs="仿宋_GB2312"/>
          <w:color w:val="auto"/>
          <w:kern w:val="0"/>
          <w:sz w:val="24"/>
        </w:rPr>
        <w:t xml:space="preserve">供应商：          </w:t>
      </w:r>
      <w:r>
        <w:rPr>
          <w:rFonts w:ascii="宋体" w:hAnsi="宋体" w:cs="仿宋_GB2312"/>
          <w:color w:val="auto"/>
          <w:kern w:val="0"/>
          <w:sz w:val="24"/>
        </w:rPr>
        <w:t xml:space="preserve"> </w:t>
      </w:r>
      <w:r>
        <w:rPr>
          <w:rFonts w:hint="eastAsia" w:ascii="宋体" w:hAnsi="宋体" w:cs="仿宋_GB2312"/>
          <w:color w:val="auto"/>
          <w:kern w:val="0"/>
          <w:sz w:val="24"/>
        </w:rPr>
        <w:t>（盖单位章）</w:t>
      </w:r>
    </w:p>
    <w:p>
      <w:pPr>
        <w:pageBreakBefore w:val="0"/>
        <w:kinsoku/>
        <w:overflowPunct/>
        <w:topLinePunct w:val="0"/>
        <w:autoSpaceDE w:val="0"/>
        <w:autoSpaceDN w:val="0"/>
        <w:bidi w:val="0"/>
        <w:adjustRightInd w:val="0"/>
        <w:spacing w:line="360" w:lineRule="auto"/>
        <w:ind w:left="5399" w:leftChars="2571"/>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ind w:left="6659" w:leftChars="3171"/>
        <w:jc w:val="left"/>
        <w:outlineLvl w:val="9"/>
        <w:rPr>
          <w:rFonts w:ascii="宋体" w:hAnsi="宋体" w:cs="仿宋_GB2312"/>
          <w:color w:val="auto"/>
          <w:kern w:val="0"/>
          <w:sz w:val="24"/>
        </w:rPr>
      </w:pPr>
      <w:r>
        <w:rPr>
          <w:rFonts w:hint="eastAsia" w:ascii="宋体" w:hAnsi="宋体" w:cs="仿宋_GB2312"/>
          <w:color w:val="auto"/>
          <w:kern w:val="0"/>
          <w:sz w:val="24"/>
        </w:rPr>
        <w:t>年</w:t>
      </w:r>
      <w:r>
        <w:rPr>
          <w:rFonts w:ascii="宋体" w:hAnsi="宋体" w:cs="仿宋_GB2312"/>
          <w:color w:val="auto"/>
          <w:kern w:val="0"/>
          <w:sz w:val="24"/>
        </w:rPr>
        <w:t xml:space="preserve"> </w:t>
      </w:r>
      <w:r>
        <w:rPr>
          <w:rFonts w:hint="eastAsia" w:ascii="宋体" w:hAnsi="宋体" w:cs="仿宋_GB2312"/>
          <w:color w:val="auto"/>
          <w:kern w:val="0"/>
          <w:sz w:val="24"/>
        </w:rPr>
        <w:t>月</w:t>
      </w:r>
      <w:r>
        <w:rPr>
          <w:rFonts w:ascii="宋体" w:hAnsi="宋体" w:cs="仿宋_GB2312"/>
          <w:color w:val="auto"/>
          <w:kern w:val="0"/>
          <w:sz w:val="24"/>
        </w:rPr>
        <w:t xml:space="preserve"> </w:t>
      </w:r>
      <w:r>
        <w:rPr>
          <w:rFonts w:hint="eastAsia" w:ascii="宋体" w:hAnsi="宋体" w:cs="仿宋_GB2312"/>
          <w:color w:val="auto"/>
          <w:kern w:val="0"/>
          <w:sz w:val="24"/>
        </w:rPr>
        <w:t>日</w:t>
      </w:r>
    </w:p>
    <w:p>
      <w:pPr>
        <w:pageBreakBefore w:val="0"/>
        <w:widowControl/>
        <w:kinsoku/>
        <w:overflowPunct/>
        <w:topLinePunct w:val="0"/>
        <w:bidi w:val="0"/>
        <w:jc w:val="left"/>
        <w:outlineLvl w:val="9"/>
        <w:rPr>
          <w:rFonts w:ascii="宋体" w:hAnsi="宋体" w:cs="仿宋_GB2312"/>
          <w:color w:val="auto"/>
          <w:kern w:val="0"/>
          <w:sz w:val="24"/>
        </w:rPr>
      </w:pPr>
      <w:r>
        <w:rPr>
          <w:rFonts w:ascii="宋体" w:hAnsi="宋体" w:cs="仿宋_GB2312"/>
          <w:color w:val="auto"/>
          <w:kern w:val="0"/>
          <w:sz w:val="24"/>
        </w:rPr>
        <w:br w:type="page"/>
      </w: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bookmarkStart w:id="208" w:name="_Toc195922058"/>
      <w:r>
        <w:rPr>
          <w:rFonts w:hint="eastAsia"/>
          <w:b/>
          <w:color w:val="auto"/>
          <w:sz w:val="24"/>
        </w:rPr>
        <w:t>授权委托书</w:t>
      </w:r>
    </w:p>
    <w:p>
      <w:pPr>
        <w:pageBreakBefore w:val="0"/>
        <w:kinsoku/>
        <w:overflowPunct/>
        <w:topLinePunct w:val="0"/>
        <w:autoSpaceDE w:val="0"/>
        <w:autoSpaceDN w:val="0"/>
        <w:bidi w:val="0"/>
        <w:adjustRightInd w:val="0"/>
        <w:jc w:val="center"/>
        <w:outlineLvl w:val="9"/>
        <w:rPr>
          <w:rFonts w:ascii="宋体" w:hAnsi="宋体" w:cs="TimesNewRomanPSMT"/>
          <w:color w:val="auto"/>
          <w:kern w:val="0"/>
          <w:sz w:val="18"/>
          <w:szCs w:val="18"/>
        </w:rPr>
      </w:pPr>
    </w:p>
    <w:p>
      <w:pPr>
        <w:pageBreakBefore w:val="0"/>
        <w:kinsoku/>
        <w:overflowPunct/>
        <w:topLinePunct w:val="0"/>
        <w:autoSpaceDE w:val="0"/>
        <w:autoSpaceDN w:val="0"/>
        <w:bidi w:val="0"/>
        <w:adjustRightInd w:val="0"/>
        <w:jc w:val="center"/>
        <w:outlineLvl w:val="9"/>
        <w:rPr>
          <w:rFonts w:ascii="宋体" w:hAnsi="宋体" w:cs="黑体"/>
          <w:color w:val="auto"/>
          <w:kern w:val="0"/>
          <w:sz w:val="28"/>
          <w:szCs w:val="28"/>
        </w:rPr>
      </w:pPr>
      <w:r>
        <w:rPr>
          <w:rFonts w:hint="eastAsia" w:ascii="宋体" w:hAnsi="宋体" w:cs="黑体"/>
          <w:color w:val="auto"/>
          <w:kern w:val="0"/>
          <w:sz w:val="28"/>
          <w:szCs w:val="28"/>
        </w:rPr>
        <w:t>授权委托书</w:t>
      </w:r>
      <w:bookmarkEnd w:id="208"/>
    </w:p>
    <w:p>
      <w:pPr>
        <w:pageBreakBefore w:val="0"/>
        <w:kinsoku/>
        <w:overflowPunct/>
        <w:topLinePunct w:val="0"/>
        <w:autoSpaceDE w:val="0"/>
        <w:autoSpaceDN w:val="0"/>
        <w:bidi w:val="0"/>
        <w:adjustRightInd w:val="0"/>
        <w:jc w:val="center"/>
        <w:outlineLvl w:val="9"/>
        <w:rPr>
          <w:rFonts w:ascii="宋体" w:hAnsi="宋体" w:cs="黑体"/>
          <w:color w:val="auto"/>
          <w:kern w:val="0"/>
          <w:sz w:val="28"/>
          <w:szCs w:val="28"/>
        </w:rPr>
      </w:pPr>
    </w:p>
    <w:p>
      <w:pPr>
        <w:pageBreakBefore w:val="0"/>
        <w:kinsoku/>
        <w:overflowPunct/>
        <w:topLinePunct w:val="0"/>
        <w:autoSpaceDE w:val="0"/>
        <w:autoSpaceDN w:val="0"/>
        <w:bidi w:val="0"/>
        <w:adjustRightInd w:val="0"/>
        <w:jc w:val="left"/>
        <w:outlineLvl w:val="9"/>
        <w:rPr>
          <w:rFonts w:ascii="宋体" w:hAnsi="宋体" w:cs="仿宋_GB2312"/>
          <w:color w:val="auto"/>
          <w:kern w:val="0"/>
          <w:szCs w:val="21"/>
        </w:rPr>
      </w:pPr>
    </w:p>
    <w:p>
      <w:pPr>
        <w:pageBreakBefore w:val="0"/>
        <w:kinsoku/>
        <w:overflowPunct/>
        <w:topLinePunct w:val="0"/>
        <w:autoSpaceDE w:val="0"/>
        <w:autoSpaceDN w:val="0"/>
        <w:bidi w:val="0"/>
        <w:adjustRightInd w:val="0"/>
        <w:spacing w:line="360" w:lineRule="auto"/>
        <w:ind w:firstLine="480" w:firstLineChars="200"/>
        <w:jc w:val="left"/>
        <w:outlineLvl w:val="9"/>
        <w:rPr>
          <w:rFonts w:ascii="宋体" w:hAnsi="宋体" w:cs="仿宋_GB2312"/>
          <w:color w:val="auto"/>
          <w:kern w:val="0"/>
          <w:sz w:val="24"/>
        </w:rPr>
      </w:pPr>
      <w:r>
        <w:rPr>
          <w:rFonts w:hint="eastAsia" w:ascii="宋体" w:hAnsi="宋体" w:cs="仿宋_GB2312"/>
          <w:color w:val="auto"/>
          <w:kern w:val="0"/>
          <w:sz w:val="24"/>
        </w:rPr>
        <w:t>本人</w:t>
      </w:r>
      <w:r>
        <w:rPr>
          <w:rFonts w:ascii="宋体" w:hAnsi="宋体" w:cs="仿宋_GB2312"/>
          <w:color w:val="auto"/>
          <w:kern w:val="0"/>
          <w:sz w:val="24"/>
          <w:u w:val="single"/>
        </w:rPr>
        <w:t xml:space="preserve"> </w:t>
      </w:r>
      <w:r>
        <w:rPr>
          <w:rFonts w:hint="eastAsia" w:ascii="宋体" w:hAnsi="宋体" w:cs="仿宋_GB2312"/>
          <w:color w:val="auto"/>
          <w:kern w:val="0"/>
          <w:sz w:val="24"/>
          <w:u w:val="single"/>
        </w:rPr>
        <w:t xml:space="preserve">     </w:t>
      </w:r>
      <w:r>
        <w:rPr>
          <w:rFonts w:hint="eastAsia" w:ascii="宋体" w:hAnsi="宋体" w:cs="仿宋_GB2312"/>
          <w:color w:val="auto"/>
          <w:kern w:val="0"/>
          <w:sz w:val="24"/>
        </w:rPr>
        <w:t>（姓名）系</w:t>
      </w:r>
      <w:r>
        <w:rPr>
          <w:rFonts w:ascii="宋体" w:hAnsi="宋体" w:cs="仿宋_GB2312"/>
          <w:color w:val="auto"/>
          <w:kern w:val="0"/>
          <w:sz w:val="24"/>
          <w:u w:val="single"/>
        </w:rPr>
        <w:t xml:space="preserve"> </w:t>
      </w:r>
      <w:r>
        <w:rPr>
          <w:rFonts w:hint="eastAsia" w:ascii="宋体" w:hAnsi="宋体" w:cs="仿宋_GB2312"/>
          <w:color w:val="auto"/>
          <w:kern w:val="0"/>
          <w:sz w:val="24"/>
          <w:u w:val="single"/>
        </w:rPr>
        <w:t xml:space="preserve">       </w:t>
      </w:r>
      <w:r>
        <w:rPr>
          <w:rFonts w:hint="eastAsia" w:ascii="宋体" w:hAnsi="宋体" w:cs="仿宋_GB2312"/>
          <w:color w:val="auto"/>
          <w:kern w:val="0"/>
          <w:sz w:val="24"/>
        </w:rPr>
        <w:t>（供应商名称）的法定代表人，现委托</w:t>
      </w:r>
      <w:r>
        <w:rPr>
          <w:rFonts w:hint="eastAsia" w:ascii="宋体" w:hAnsi="宋体" w:cs="仿宋_GB2312"/>
          <w:color w:val="auto"/>
          <w:kern w:val="0"/>
          <w:sz w:val="24"/>
          <w:u w:val="single"/>
        </w:rPr>
        <w:t xml:space="preserve">      </w:t>
      </w:r>
      <w:r>
        <w:rPr>
          <w:rFonts w:hint="eastAsia" w:ascii="宋体" w:hAnsi="宋体" w:cs="仿宋_GB2312"/>
          <w:color w:val="auto"/>
          <w:kern w:val="0"/>
          <w:sz w:val="24"/>
        </w:rPr>
        <w:t>（姓名）为我方代理人。代理人根据授权，以我方名义签署、澄清、说明、补正、递交、撤回、修改</w:t>
      </w:r>
      <w:r>
        <w:rPr>
          <w:rFonts w:ascii="宋体" w:hAnsi="宋体" w:cs="仿宋_GB2312"/>
          <w:color w:val="auto"/>
          <w:kern w:val="0"/>
          <w:sz w:val="24"/>
          <w:u w:val="single"/>
        </w:rPr>
        <w:t xml:space="preserve"> </w:t>
      </w:r>
      <w:r>
        <w:rPr>
          <w:rFonts w:hint="eastAsia" w:ascii="宋体" w:hAnsi="宋体" w:cs="仿宋_GB2312"/>
          <w:color w:val="auto"/>
          <w:kern w:val="0"/>
          <w:sz w:val="24"/>
          <w:u w:val="single"/>
        </w:rPr>
        <w:t xml:space="preserve">           </w:t>
      </w:r>
      <w:r>
        <w:rPr>
          <w:rFonts w:hint="eastAsia" w:ascii="宋体" w:hAnsi="宋体" w:cs="仿宋_GB2312"/>
          <w:color w:val="auto"/>
          <w:kern w:val="0"/>
          <w:sz w:val="24"/>
        </w:rPr>
        <w:t>（项目名称）响应文件、签订合同和处理有关事宜，其法律后果由我方承担。</w:t>
      </w: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r>
        <w:rPr>
          <w:rFonts w:hint="eastAsia" w:ascii="宋体" w:hAnsi="宋体" w:cs="仿宋_GB2312"/>
          <w:color w:val="auto"/>
          <w:kern w:val="0"/>
          <w:sz w:val="24"/>
        </w:rPr>
        <w:t>委托期限：</w:t>
      </w:r>
      <w:r>
        <w:rPr>
          <w:rFonts w:hint="eastAsia" w:ascii="宋体" w:hAnsi="宋体" w:cs="仿宋_GB2312"/>
          <w:color w:val="auto"/>
          <w:kern w:val="0"/>
          <w:sz w:val="24"/>
          <w:u w:val="single"/>
        </w:rPr>
        <w:t xml:space="preserve">             </w:t>
      </w:r>
      <w:r>
        <w:rPr>
          <w:rFonts w:ascii="宋体" w:hAnsi="宋体" w:cs="仿宋_GB2312"/>
          <w:color w:val="auto"/>
          <w:kern w:val="0"/>
          <w:sz w:val="24"/>
        </w:rPr>
        <w:t xml:space="preserve"> </w:t>
      </w:r>
      <w:r>
        <w:rPr>
          <w:rFonts w:hint="eastAsia" w:ascii="宋体" w:hAnsi="宋体" w:cs="仿宋_GB2312"/>
          <w:color w:val="auto"/>
          <w:kern w:val="0"/>
          <w:sz w:val="24"/>
        </w:rPr>
        <w:t>。</w:t>
      </w: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r>
        <w:rPr>
          <w:rFonts w:hint="eastAsia" w:ascii="宋体" w:hAnsi="宋体" w:cs="仿宋_GB2312"/>
          <w:color w:val="auto"/>
          <w:kern w:val="0"/>
          <w:sz w:val="24"/>
        </w:rPr>
        <w:t>代理人无转委托权。</w:t>
      </w: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r>
        <w:rPr>
          <w:rFonts w:hint="eastAsia" w:ascii="宋体" w:hAnsi="宋体" w:cs="仿宋_GB2312"/>
          <w:color w:val="auto"/>
          <w:kern w:val="0"/>
          <w:sz w:val="24"/>
        </w:rPr>
        <w:t>附：法定代表人身份证明及被授权人身份证明（复印件或扫描件）</w:t>
      </w: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jc w:val="left"/>
        <w:outlineLvl w:val="9"/>
        <w:rPr>
          <w:rFonts w:ascii="宋体" w:hAnsi="宋体" w:cs="仿宋_GB2312"/>
          <w:color w:val="auto"/>
          <w:kern w:val="0"/>
          <w:sz w:val="24"/>
        </w:rPr>
      </w:pPr>
    </w:p>
    <w:p>
      <w:pPr>
        <w:pageBreakBefore w:val="0"/>
        <w:kinsoku/>
        <w:overflowPunct/>
        <w:topLinePunct w:val="0"/>
        <w:autoSpaceDE w:val="0"/>
        <w:autoSpaceDN w:val="0"/>
        <w:bidi w:val="0"/>
        <w:adjustRightInd w:val="0"/>
        <w:spacing w:line="360" w:lineRule="auto"/>
        <w:ind w:left="3958" w:leftChars="1885"/>
        <w:jc w:val="left"/>
        <w:outlineLvl w:val="9"/>
        <w:rPr>
          <w:rFonts w:ascii="宋体" w:hAnsi="宋体" w:cs="仿宋_GB2312"/>
          <w:color w:val="auto"/>
          <w:kern w:val="0"/>
          <w:sz w:val="24"/>
        </w:rPr>
      </w:pPr>
      <w:r>
        <w:rPr>
          <w:rFonts w:hint="eastAsia" w:ascii="宋体" w:hAnsi="宋体" w:cs="仿宋_GB2312"/>
          <w:color w:val="auto"/>
          <w:kern w:val="0"/>
          <w:sz w:val="24"/>
        </w:rPr>
        <w:t>供应商：</w:t>
      </w:r>
      <w:r>
        <w:rPr>
          <w:rFonts w:ascii="宋体" w:hAnsi="宋体" w:cs="仿宋_GB2312"/>
          <w:color w:val="auto"/>
          <w:kern w:val="0"/>
          <w:sz w:val="24"/>
        </w:rPr>
        <w:t xml:space="preserve"> </w:t>
      </w:r>
      <w:r>
        <w:rPr>
          <w:rFonts w:hint="eastAsia" w:ascii="宋体" w:hAnsi="宋体" w:cs="仿宋_GB2312"/>
          <w:color w:val="auto"/>
          <w:kern w:val="0"/>
          <w:sz w:val="24"/>
        </w:rPr>
        <w:t xml:space="preserve">           （盖单位章）</w:t>
      </w:r>
    </w:p>
    <w:p>
      <w:pPr>
        <w:pageBreakBefore w:val="0"/>
        <w:kinsoku/>
        <w:overflowPunct/>
        <w:topLinePunct w:val="0"/>
        <w:autoSpaceDE w:val="0"/>
        <w:autoSpaceDN w:val="0"/>
        <w:bidi w:val="0"/>
        <w:adjustRightInd w:val="0"/>
        <w:spacing w:line="360" w:lineRule="auto"/>
        <w:ind w:left="3958" w:leftChars="1885"/>
        <w:jc w:val="left"/>
        <w:outlineLvl w:val="9"/>
        <w:rPr>
          <w:rFonts w:ascii="宋体" w:hAnsi="宋体" w:cs="仿宋_GB2312"/>
          <w:color w:val="auto"/>
          <w:kern w:val="0"/>
          <w:sz w:val="24"/>
        </w:rPr>
      </w:pPr>
      <w:r>
        <w:rPr>
          <w:rFonts w:hint="eastAsia" w:ascii="宋体" w:hAnsi="宋体" w:cs="仿宋_GB2312"/>
          <w:color w:val="auto"/>
          <w:kern w:val="0"/>
          <w:sz w:val="24"/>
        </w:rPr>
        <w:t>法定代表人：</w:t>
      </w:r>
      <w:r>
        <w:rPr>
          <w:rFonts w:ascii="宋体" w:hAnsi="宋体" w:cs="仿宋_GB2312"/>
          <w:color w:val="auto"/>
          <w:kern w:val="0"/>
          <w:sz w:val="24"/>
        </w:rPr>
        <w:t xml:space="preserve"> </w:t>
      </w:r>
      <w:r>
        <w:rPr>
          <w:rFonts w:hint="eastAsia" w:ascii="宋体" w:hAnsi="宋体" w:cs="仿宋_GB2312"/>
          <w:color w:val="auto"/>
          <w:kern w:val="0"/>
          <w:sz w:val="24"/>
        </w:rPr>
        <w:t xml:space="preserve">            （签字或</w:t>
      </w:r>
      <w:r>
        <w:rPr>
          <w:rFonts w:hint="eastAsia" w:hAnsi="宋体" w:cs="仿宋_GB2312"/>
          <w:color w:val="auto"/>
          <w:kern w:val="0"/>
          <w:sz w:val="24"/>
        </w:rPr>
        <w:t>盖人名</w:t>
      </w:r>
      <w:r>
        <w:rPr>
          <w:rFonts w:hint="eastAsia" w:ascii="宋体" w:hAnsi="宋体" w:cs="仿宋_GB2312"/>
          <w:color w:val="auto"/>
          <w:kern w:val="0"/>
          <w:sz w:val="24"/>
        </w:rPr>
        <w:t>章）</w:t>
      </w:r>
    </w:p>
    <w:p>
      <w:pPr>
        <w:pageBreakBefore w:val="0"/>
        <w:kinsoku/>
        <w:overflowPunct/>
        <w:topLinePunct w:val="0"/>
        <w:autoSpaceDE w:val="0"/>
        <w:autoSpaceDN w:val="0"/>
        <w:bidi w:val="0"/>
        <w:adjustRightInd w:val="0"/>
        <w:spacing w:line="360" w:lineRule="auto"/>
        <w:ind w:left="3958" w:leftChars="1885"/>
        <w:jc w:val="left"/>
        <w:outlineLvl w:val="9"/>
        <w:rPr>
          <w:rFonts w:ascii="宋体" w:hAnsi="宋体" w:cs="仿宋_GB2312"/>
          <w:color w:val="auto"/>
          <w:kern w:val="0"/>
          <w:sz w:val="24"/>
        </w:rPr>
      </w:pPr>
      <w:r>
        <w:rPr>
          <w:rFonts w:hint="eastAsia" w:ascii="宋体" w:hAnsi="宋体" w:cs="仿宋_GB2312"/>
          <w:color w:val="auto"/>
          <w:kern w:val="0"/>
          <w:sz w:val="24"/>
        </w:rPr>
        <w:t>身份证号码：</w:t>
      </w:r>
    </w:p>
    <w:p>
      <w:pPr>
        <w:pageBreakBefore w:val="0"/>
        <w:kinsoku/>
        <w:overflowPunct/>
        <w:topLinePunct w:val="0"/>
        <w:autoSpaceDE w:val="0"/>
        <w:autoSpaceDN w:val="0"/>
        <w:bidi w:val="0"/>
        <w:adjustRightInd w:val="0"/>
        <w:spacing w:line="360" w:lineRule="auto"/>
        <w:ind w:left="3958" w:leftChars="1885"/>
        <w:jc w:val="left"/>
        <w:outlineLvl w:val="9"/>
        <w:rPr>
          <w:rFonts w:ascii="宋体" w:hAnsi="宋体" w:cs="仿宋_GB2312"/>
          <w:color w:val="auto"/>
          <w:kern w:val="0"/>
          <w:sz w:val="24"/>
        </w:rPr>
      </w:pPr>
      <w:r>
        <w:rPr>
          <w:rFonts w:hint="eastAsia" w:ascii="宋体" w:hAnsi="宋体" w:cs="仿宋_GB2312"/>
          <w:color w:val="auto"/>
          <w:kern w:val="0"/>
          <w:sz w:val="24"/>
        </w:rPr>
        <w:t>委托代理人：</w:t>
      </w:r>
      <w:r>
        <w:rPr>
          <w:rFonts w:ascii="宋体" w:hAnsi="宋体" w:cs="仿宋_GB2312"/>
          <w:color w:val="auto"/>
          <w:kern w:val="0"/>
          <w:sz w:val="24"/>
        </w:rPr>
        <w:t xml:space="preserve"> </w:t>
      </w:r>
      <w:r>
        <w:rPr>
          <w:rFonts w:hint="eastAsia" w:ascii="宋体" w:hAnsi="宋体" w:cs="仿宋_GB2312"/>
          <w:color w:val="auto"/>
          <w:kern w:val="0"/>
          <w:sz w:val="24"/>
        </w:rPr>
        <w:t xml:space="preserve">             （签字或</w:t>
      </w:r>
      <w:r>
        <w:rPr>
          <w:rFonts w:hint="eastAsia" w:hAnsi="宋体" w:cs="仿宋_GB2312"/>
          <w:color w:val="auto"/>
          <w:kern w:val="0"/>
          <w:sz w:val="24"/>
        </w:rPr>
        <w:t>盖人名</w:t>
      </w:r>
      <w:r>
        <w:rPr>
          <w:rFonts w:hint="eastAsia" w:ascii="宋体" w:hAnsi="宋体" w:cs="仿宋_GB2312"/>
          <w:color w:val="auto"/>
          <w:kern w:val="0"/>
          <w:sz w:val="24"/>
        </w:rPr>
        <w:t>章）</w:t>
      </w:r>
    </w:p>
    <w:p>
      <w:pPr>
        <w:pageBreakBefore w:val="0"/>
        <w:kinsoku/>
        <w:overflowPunct/>
        <w:topLinePunct w:val="0"/>
        <w:autoSpaceDE w:val="0"/>
        <w:autoSpaceDN w:val="0"/>
        <w:bidi w:val="0"/>
        <w:adjustRightInd w:val="0"/>
        <w:spacing w:line="360" w:lineRule="auto"/>
        <w:ind w:left="3958" w:leftChars="1885"/>
        <w:jc w:val="left"/>
        <w:outlineLvl w:val="9"/>
        <w:rPr>
          <w:rFonts w:ascii="宋体" w:hAnsi="宋体" w:cs="仿宋_GB2312"/>
          <w:color w:val="auto"/>
          <w:kern w:val="0"/>
          <w:sz w:val="24"/>
        </w:rPr>
      </w:pPr>
      <w:r>
        <w:rPr>
          <w:rFonts w:hint="eastAsia" w:ascii="宋体" w:hAnsi="宋体" w:cs="仿宋_GB2312"/>
          <w:color w:val="auto"/>
          <w:kern w:val="0"/>
          <w:sz w:val="24"/>
        </w:rPr>
        <w:t>身份证号码：</w:t>
      </w:r>
    </w:p>
    <w:p>
      <w:pPr>
        <w:pageBreakBefore w:val="0"/>
        <w:kinsoku/>
        <w:overflowPunct/>
        <w:topLinePunct w:val="0"/>
        <w:autoSpaceDE w:val="0"/>
        <w:autoSpaceDN w:val="0"/>
        <w:bidi w:val="0"/>
        <w:adjustRightInd w:val="0"/>
        <w:spacing w:line="360" w:lineRule="auto"/>
        <w:ind w:left="3958" w:leftChars="1885"/>
        <w:jc w:val="left"/>
        <w:outlineLvl w:val="9"/>
        <w:rPr>
          <w:rFonts w:ascii="宋体" w:hAnsi="宋体" w:cs="仿宋_GB2312"/>
          <w:color w:val="auto"/>
          <w:kern w:val="0"/>
          <w:sz w:val="24"/>
        </w:rPr>
      </w:pPr>
      <w:r>
        <w:rPr>
          <w:rFonts w:hint="eastAsia" w:ascii="宋体" w:hAnsi="宋体" w:cs="仿宋_GB2312"/>
          <w:color w:val="auto"/>
          <w:kern w:val="0"/>
          <w:sz w:val="24"/>
        </w:rPr>
        <w:t>年</w:t>
      </w:r>
      <w:r>
        <w:rPr>
          <w:rFonts w:ascii="宋体" w:hAnsi="宋体" w:cs="仿宋_GB2312"/>
          <w:color w:val="auto"/>
          <w:kern w:val="0"/>
          <w:sz w:val="24"/>
        </w:rPr>
        <w:t xml:space="preserve"> </w:t>
      </w:r>
      <w:r>
        <w:rPr>
          <w:rFonts w:hint="eastAsia" w:ascii="宋体" w:hAnsi="宋体" w:cs="仿宋_GB2312"/>
          <w:color w:val="auto"/>
          <w:kern w:val="0"/>
          <w:sz w:val="24"/>
        </w:rPr>
        <w:t>月</w:t>
      </w:r>
      <w:r>
        <w:rPr>
          <w:rFonts w:ascii="宋体" w:hAnsi="宋体" w:cs="仿宋_GB2312"/>
          <w:color w:val="auto"/>
          <w:kern w:val="0"/>
          <w:sz w:val="24"/>
        </w:rPr>
        <w:t xml:space="preserve"> </w:t>
      </w:r>
      <w:r>
        <w:rPr>
          <w:rFonts w:hint="eastAsia" w:ascii="宋体" w:hAnsi="宋体" w:cs="仿宋_GB2312"/>
          <w:color w:val="auto"/>
          <w:kern w:val="0"/>
          <w:sz w:val="24"/>
        </w:rPr>
        <w:t>日</w:t>
      </w:r>
    </w:p>
    <w:p>
      <w:pPr>
        <w:pageBreakBefore w:val="0"/>
        <w:widowControl/>
        <w:kinsoku/>
        <w:overflowPunct/>
        <w:topLinePunct w:val="0"/>
        <w:bidi w:val="0"/>
        <w:jc w:val="left"/>
        <w:outlineLvl w:val="9"/>
        <w:rPr>
          <w:rFonts w:ascii="宋体" w:hAnsi="宋体" w:cs="仿宋_GB2312"/>
          <w:color w:val="auto"/>
          <w:kern w:val="0"/>
          <w:sz w:val="24"/>
        </w:rPr>
      </w:pPr>
      <w:r>
        <w:rPr>
          <w:rFonts w:ascii="宋体" w:hAnsi="宋体" w:cs="仿宋_GB2312"/>
          <w:color w:val="auto"/>
          <w:kern w:val="0"/>
          <w:sz w:val="24"/>
        </w:rPr>
        <w:br w:type="page"/>
      </w: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r>
        <w:rPr>
          <w:rFonts w:hint="eastAsia"/>
          <w:b/>
          <w:color w:val="auto"/>
          <w:sz w:val="24"/>
        </w:rPr>
        <w:t>谈判保证金</w:t>
      </w:r>
      <w:bookmarkEnd w:id="205"/>
      <w:bookmarkEnd w:id="206"/>
    </w:p>
    <w:p>
      <w:pPr>
        <w:pageBreakBefore w:val="0"/>
        <w:kinsoku/>
        <w:overflowPunct/>
        <w:topLinePunct w:val="0"/>
        <w:bidi w:val="0"/>
        <w:spacing w:before="120" w:after="120" w:line="360" w:lineRule="auto"/>
        <w:ind w:firstLine="420" w:firstLineChars="200"/>
        <w:outlineLvl w:val="9"/>
        <w:rPr>
          <w:rFonts w:ascii="宋体"/>
          <w:color w:val="auto"/>
          <w:szCs w:val="21"/>
        </w:rPr>
      </w:pPr>
      <w:r>
        <w:rPr>
          <w:rFonts w:hint="eastAsia" w:ascii="宋体"/>
          <w:color w:val="auto"/>
          <w:szCs w:val="21"/>
        </w:rPr>
        <w:t>（复印件）</w:t>
      </w:r>
    </w:p>
    <w:p>
      <w:pPr>
        <w:pageBreakBefore w:val="0"/>
        <w:kinsoku/>
        <w:overflowPunct/>
        <w:topLinePunct w:val="0"/>
        <w:bidi w:val="0"/>
        <w:outlineLvl w:val="9"/>
        <w:rPr>
          <w:rFonts w:ascii="宋体"/>
          <w:b/>
          <w:color w:val="auto"/>
          <w:szCs w:val="21"/>
        </w:rPr>
      </w:pPr>
    </w:p>
    <w:p>
      <w:pPr>
        <w:pageBreakBefore w:val="0"/>
        <w:kinsoku/>
        <w:overflowPunct/>
        <w:topLinePunct w:val="0"/>
        <w:bidi w:val="0"/>
        <w:ind w:firstLine="422" w:firstLineChars="200"/>
        <w:outlineLvl w:val="9"/>
        <w:rPr>
          <w:rFonts w:ascii="宋体"/>
          <w:b/>
          <w:color w:val="auto"/>
          <w:szCs w:val="21"/>
        </w:rPr>
      </w:pPr>
      <w:r>
        <w:rPr>
          <w:rFonts w:hint="eastAsia" w:ascii="宋体"/>
          <w:b/>
          <w:color w:val="auto"/>
          <w:szCs w:val="21"/>
        </w:rPr>
        <w:t>说明：</w:t>
      </w:r>
    </w:p>
    <w:p>
      <w:pPr>
        <w:pageBreakBefore w:val="0"/>
        <w:kinsoku/>
        <w:overflowPunct/>
        <w:topLinePunct w:val="0"/>
        <w:bidi w:val="0"/>
        <w:spacing w:before="120" w:after="120" w:line="360" w:lineRule="auto"/>
        <w:ind w:firstLine="420" w:firstLineChars="200"/>
        <w:outlineLvl w:val="9"/>
        <w:rPr>
          <w:rFonts w:ascii="宋体"/>
          <w:color w:val="auto"/>
          <w:szCs w:val="21"/>
        </w:rPr>
      </w:pPr>
      <w:r>
        <w:rPr>
          <w:rFonts w:hint="eastAsia" w:ascii="宋体"/>
          <w:color w:val="auto"/>
          <w:szCs w:val="21"/>
        </w:rPr>
        <w:t>供应商提交的谈判保证金应采用谈判文件中规定的形式，并在此提供相应凭证的复印件</w:t>
      </w:r>
      <w:r>
        <w:rPr>
          <w:rFonts w:ascii="宋体"/>
          <w:color w:val="auto"/>
          <w:szCs w:val="21"/>
        </w:rPr>
        <w:t>。</w:t>
      </w:r>
    </w:p>
    <w:p>
      <w:pPr>
        <w:pageBreakBefore w:val="0"/>
        <w:kinsoku/>
        <w:overflowPunct/>
        <w:topLinePunct w:val="0"/>
        <w:bidi w:val="0"/>
        <w:spacing w:before="120" w:after="120" w:line="360" w:lineRule="auto"/>
        <w:outlineLvl w:val="9"/>
        <w:rPr>
          <w:rFonts w:ascii="宋体"/>
          <w:color w:val="auto"/>
          <w:szCs w:val="21"/>
        </w:rPr>
      </w:pPr>
    </w:p>
    <w:p>
      <w:pPr>
        <w:pageBreakBefore w:val="0"/>
        <w:kinsoku/>
        <w:overflowPunct/>
        <w:topLinePunct w:val="0"/>
        <w:bidi w:val="0"/>
        <w:spacing w:before="120" w:after="120" w:line="360" w:lineRule="auto"/>
        <w:ind w:firstLine="420" w:firstLineChars="200"/>
        <w:outlineLvl w:val="9"/>
        <w:rPr>
          <w:rFonts w:ascii="宋体"/>
          <w:color w:val="auto"/>
          <w:szCs w:val="21"/>
        </w:rPr>
      </w:pPr>
      <w:r>
        <w:rPr>
          <w:rFonts w:ascii="宋体"/>
          <w:color w:val="auto"/>
          <w:szCs w:val="21"/>
        </w:rPr>
        <w:t xml:space="preserve">供应商名称（公章）： </w:t>
      </w:r>
    </w:p>
    <w:p>
      <w:pPr>
        <w:pageBreakBefore w:val="0"/>
        <w:kinsoku/>
        <w:overflowPunct/>
        <w:topLinePunct w:val="0"/>
        <w:bidi w:val="0"/>
        <w:spacing w:before="120" w:after="120" w:line="360" w:lineRule="auto"/>
        <w:ind w:firstLine="420" w:firstLineChars="200"/>
        <w:outlineLvl w:val="9"/>
        <w:rPr>
          <w:rFonts w:ascii="宋体"/>
          <w:color w:val="auto"/>
          <w:szCs w:val="21"/>
        </w:rPr>
      </w:pPr>
      <w:r>
        <w:rPr>
          <w:rFonts w:ascii="宋体"/>
          <w:color w:val="auto"/>
          <w:szCs w:val="21"/>
        </w:rPr>
        <w:t>法定代表人或其授权代表（</w:t>
      </w:r>
      <w:r>
        <w:rPr>
          <w:rFonts w:hint="eastAsia" w:ascii="宋体"/>
          <w:color w:val="auto"/>
          <w:szCs w:val="21"/>
        </w:rPr>
        <w:t>签字或加盖人名章</w:t>
      </w:r>
      <w:r>
        <w:rPr>
          <w:rFonts w:ascii="宋体"/>
          <w:color w:val="auto"/>
          <w:szCs w:val="21"/>
        </w:rPr>
        <w:t>）：</w:t>
      </w:r>
    </w:p>
    <w:p>
      <w:pPr>
        <w:pageBreakBefore w:val="0"/>
        <w:kinsoku/>
        <w:overflowPunct/>
        <w:topLinePunct w:val="0"/>
        <w:bidi w:val="0"/>
        <w:spacing w:before="120" w:after="120" w:line="360" w:lineRule="auto"/>
        <w:ind w:firstLine="420" w:firstLineChars="200"/>
        <w:outlineLvl w:val="9"/>
        <w:rPr>
          <w:rFonts w:ascii="宋体"/>
          <w:color w:val="auto"/>
          <w:szCs w:val="21"/>
        </w:rPr>
      </w:pPr>
      <w:r>
        <w:rPr>
          <w:rFonts w:ascii="宋体"/>
          <w:color w:val="auto"/>
          <w:szCs w:val="21"/>
        </w:rPr>
        <w:t>日    期：     年   月    日</w:t>
      </w:r>
    </w:p>
    <w:p>
      <w:pPr>
        <w:pageBreakBefore w:val="0"/>
        <w:kinsoku/>
        <w:overflowPunct/>
        <w:topLinePunct w:val="0"/>
        <w:bidi w:val="0"/>
        <w:spacing w:before="156" w:beforeLines="50" w:line="440" w:lineRule="exact"/>
        <w:ind w:firstLine="422"/>
        <w:outlineLvl w:val="9"/>
        <w:rPr>
          <w:rFonts w:ascii="宋体"/>
          <w:b/>
          <w:color w:val="auto"/>
          <w:szCs w:val="21"/>
        </w:rPr>
      </w:pPr>
    </w:p>
    <w:p>
      <w:pPr>
        <w:pageBreakBefore w:val="0"/>
        <w:kinsoku/>
        <w:overflowPunct/>
        <w:topLinePunct w:val="0"/>
        <w:bidi w:val="0"/>
        <w:spacing w:before="156" w:beforeLines="50" w:line="440" w:lineRule="exact"/>
        <w:ind w:firstLine="422"/>
        <w:outlineLvl w:val="9"/>
        <w:rPr>
          <w:rFonts w:ascii="宋体"/>
          <w:b/>
          <w:color w:val="auto"/>
          <w:szCs w:val="21"/>
        </w:rPr>
      </w:pPr>
    </w:p>
    <w:p>
      <w:pPr>
        <w:pageBreakBefore w:val="0"/>
        <w:kinsoku/>
        <w:overflowPunct/>
        <w:topLinePunct w:val="0"/>
        <w:bidi w:val="0"/>
        <w:spacing w:before="156" w:beforeLines="50" w:line="440" w:lineRule="exact"/>
        <w:ind w:firstLine="422"/>
        <w:outlineLvl w:val="9"/>
        <w:rPr>
          <w:rFonts w:ascii="宋体"/>
          <w:i/>
          <w:color w:val="auto"/>
          <w:sz w:val="24"/>
        </w:rPr>
      </w:pPr>
    </w:p>
    <w:p>
      <w:pPr>
        <w:pageBreakBefore w:val="0"/>
        <w:kinsoku/>
        <w:overflowPunct/>
        <w:topLinePunct w:val="0"/>
        <w:bidi w:val="0"/>
        <w:spacing w:before="156" w:beforeLines="50" w:line="440" w:lineRule="exact"/>
        <w:ind w:firstLine="422"/>
        <w:outlineLvl w:val="9"/>
        <w:rPr>
          <w:rFonts w:ascii="宋体"/>
          <w:b/>
          <w:color w:val="auto"/>
          <w:szCs w:val="21"/>
        </w:rPr>
      </w:pPr>
    </w:p>
    <w:p>
      <w:pPr>
        <w:pageBreakBefore w:val="0"/>
        <w:kinsoku/>
        <w:overflowPunct/>
        <w:topLinePunct w:val="0"/>
        <w:bidi w:val="0"/>
        <w:spacing w:before="156" w:beforeLines="50" w:line="440" w:lineRule="exact"/>
        <w:ind w:firstLine="422"/>
        <w:outlineLvl w:val="9"/>
        <w:rPr>
          <w:rFonts w:ascii="宋体"/>
          <w:b/>
          <w:color w:val="auto"/>
          <w:szCs w:val="21"/>
        </w:rPr>
      </w:pPr>
    </w:p>
    <w:p>
      <w:pPr>
        <w:pageBreakBefore w:val="0"/>
        <w:kinsoku/>
        <w:overflowPunct/>
        <w:topLinePunct w:val="0"/>
        <w:bidi w:val="0"/>
        <w:spacing w:line="480" w:lineRule="exact"/>
        <w:ind w:firstLine="482" w:firstLineChars="200"/>
        <w:outlineLvl w:val="9"/>
        <w:rPr>
          <w:rFonts w:ascii="仿宋_GB2312" w:hAnsi="仿宋_GB2312" w:eastAsia="仿宋_GB2312" w:cs="宋体"/>
          <w:b/>
          <w:color w:val="auto"/>
          <w:kern w:val="0"/>
          <w:sz w:val="24"/>
          <w:szCs w:val="28"/>
        </w:rPr>
      </w:pPr>
    </w:p>
    <w:p>
      <w:pPr>
        <w:pageBreakBefore w:val="0"/>
        <w:kinsoku/>
        <w:overflowPunct/>
        <w:topLinePunct w:val="0"/>
        <w:bidi w:val="0"/>
        <w:spacing w:line="480" w:lineRule="exact"/>
        <w:ind w:firstLine="482" w:firstLineChars="200"/>
        <w:outlineLvl w:val="9"/>
        <w:rPr>
          <w:rFonts w:ascii="仿宋_GB2312" w:hAnsi="仿宋_GB2312" w:eastAsia="仿宋_GB2312" w:cs="宋体"/>
          <w:b/>
          <w:color w:val="auto"/>
          <w:kern w:val="0"/>
          <w:sz w:val="24"/>
          <w:szCs w:val="28"/>
        </w:rPr>
        <w:sectPr>
          <w:pgSz w:w="11906" w:h="16838"/>
          <w:pgMar w:top="1418" w:right="1134" w:bottom="1134" w:left="1418" w:header="851" w:footer="992" w:gutter="0"/>
          <w:cols w:space="720" w:num="1"/>
          <w:docGrid w:type="lines" w:linePitch="312" w:charSpace="0"/>
        </w:sectPr>
      </w:pPr>
    </w:p>
    <w:p>
      <w:pPr>
        <w:pStyle w:val="427"/>
        <w:pageBreakBefore w:val="0"/>
        <w:numPr>
          <w:ilvl w:val="0"/>
          <w:numId w:val="17"/>
        </w:numPr>
        <w:kinsoku/>
        <w:overflowPunct/>
        <w:topLinePunct w:val="0"/>
        <w:bidi w:val="0"/>
        <w:spacing w:line="360" w:lineRule="auto"/>
        <w:ind w:left="1276" w:hanging="1276" w:firstLineChars="0"/>
        <w:outlineLvl w:val="9"/>
        <w:rPr>
          <w:b/>
          <w:color w:val="auto"/>
          <w:sz w:val="24"/>
          <w:highlight w:val="none"/>
        </w:rPr>
      </w:pPr>
      <w:r>
        <w:rPr>
          <w:rFonts w:hint="eastAsia"/>
          <w:b/>
          <w:color w:val="auto"/>
          <w:sz w:val="24"/>
          <w:highlight w:val="none"/>
        </w:rPr>
        <w:t>服务要求</w:t>
      </w:r>
    </w:p>
    <w:p>
      <w:pPr>
        <w:pageBreakBefore w:val="0"/>
        <w:kinsoku/>
        <w:overflowPunct/>
        <w:topLinePunct w:val="0"/>
        <w:bidi w:val="0"/>
        <w:spacing w:before="156" w:beforeLines="50" w:line="288" w:lineRule="auto"/>
        <w:ind w:left="-122" w:leftChars="-58"/>
        <w:outlineLvl w:val="9"/>
        <w:rPr>
          <w:rFonts w:ascii="宋体" w:hAnsi="宋体"/>
          <w:color w:val="auto"/>
          <w:szCs w:val="21"/>
          <w:highlight w:val="none"/>
        </w:rPr>
      </w:pPr>
      <w:r>
        <w:rPr>
          <w:rFonts w:hint="eastAsia" w:ascii="宋体" w:hAnsi="宋体"/>
          <w:color w:val="auto"/>
          <w:szCs w:val="21"/>
          <w:highlight w:val="none"/>
        </w:rPr>
        <w:t>（格式自拟）</w:t>
      </w:r>
    </w:p>
    <w:p>
      <w:pPr>
        <w:pStyle w:val="29"/>
        <w:pageBreakBefore w:val="0"/>
        <w:kinsoku/>
        <w:overflowPunct/>
        <w:topLinePunct w:val="0"/>
        <w:bidi w:val="0"/>
        <w:outlineLvl w:val="9"/>
        <w:rPr>
          <w:rFonts w:hint="eastAsia"/>
          <w:color w:val="auto"/>
          <w:highlight w:val="none"/>
        </w:rPr>
      </w:pPr>
    </w:p>
    <w:p>
      <w:pPr>
        <w:pageBreakBefore w:val="0"/>
        <w:kinsoku/>
        <w:overflowPunct/>
        <w:topLinePunct w:val="0"/>
        <w:bidi w:val="0"/>
        <w:spacing w:before="156" w:beforeLines="50" w:line="288" w:lineRule="auto"/>
        <w:ind w:left="-122" w:leftChars="-58"/>
        <w:outlineLvl w:val="9"/>
        <w:rPr>
          <w:rFonts w:ascii="宋体" w:hAnsi="宋体"/>
          <w:color w:val="auto"/>
          <w:szCs w:val="21"/>
          <w:highlight w:val="none"/>
        </w:rPr>
      </w:pPr>
      <w:r>
        <w:rPr>
          <w:rFonts w:ascii="宋体" w:hAnsi="宋体"/>
          <w:color w:val="auto"/>
          <w:szCs w:val="21"/>
          <w:highlight w:val="none"/>
        </w:rPr>
        <w:t>供应商名称（公章）：</w:t>
      </w:r>
    </w:p>
    <w:p>
      <w:pPr>
        <w:pageBreakBefore w:val="0"/>
        <w:kinsoku/>
        <w:overflowPunct/>
        <w:topLinePunct w:val="0"/>
        <w:bidi w:val="0"/>
        <w:spacing w:before="156" w:beforeLines="50" w:line="288" w:lineRule="auto"/>
        <w:ind w:left="-122" w:leftChars="-58"/>
        <w:outlineLvl w:val="9"/>
        <w:rPr>
          <w:rFonts w:ascii="宋体" w:hAnsi="宋体"/>
          <w:color w:val="auto"/>
          <w:szCs w:val="21"/>
          <w:highlight w:val="none"/>
        </w:rPr>
      </w:pPr>
      <w:r>
        <w:rPr>
          <w:rFonts w:ascii="宋体" w:hAnsi="宋体"/>
          <w:color w:val="auto"/>
          <w:szCs w:val="21"/>
          <w:highlight w:val="none"/>
        </w:rPr>
        <w:t>法定代表人或其授权代表（</w:t>
      </w:r>
      <w:r>
        <w:rPr>
          <w:rFonts w:hint="eastAsia" w:ascii="宋体" w:hAnsi="宋体"/>
          <w:color w:val="auto"/>
          <w:szCs w:val="21"/>
          <w:highlight w:val="none"/>
        </w:rPr>
        <w:t>签字或盖人名章</w:t>
      </w:r>
      <w:r>
        <w:rPr>
          <w:rFonts w:ascii="宋体" w:hAnsi="宋体"/>
          <w:color w:val="auto"/>
          <w:szCs w:val="21"/>
          <w:highlight w:val="none"/>
        </w:rPr>
        <w:t>）：</w:t>
      </w:r>
    </w:p>
    <w:p>
      <w:pPr>
        <w:pageBreakBefore w:val="0"/>
        <w:kinsoku/>
        <w:overflowPunct/>
        <w:topLinePunct w:val="0"/>
        <w:bidi w:val="0"/>
        <w:spacing w:before="156" w:beforeLines="50" w:line="288" w:lineRule="auto"/>
        <w:ind w:left="-122" w:leftChars="-58"/>
        <w:outlineLvl w:val="9"/>
        <w:rPr>
          <w:rFonts w:ascii="宋体" w:hAnsi="宋体"/>
          <w:color w:val="auto"/>
          <w:szCs w:val="21"/>
          <w:highlight w:val="none"/>
        </w:rPr>
      </w:pPr>
      <w:r>
        <w:rPr>
          <w:rFonts w:ascii="宋体" w:hAnsi="宋体"/>
          <w:color w:val="auto"/>
          <w:szCs w:val="21"/>
          <w:highlight w:val="none"/>
        </w:rPr>
        <w:t>日期：</w:t>
      </w:r>
    </w:p>
    <w:p>
      <w:pPr>
        <w:pageBreakBefore w:val="0"/>
        <w:kinsoku/>
        <w:overflowPunct/>
        <w:topLinePunct w:val="0"/>
        <w:bidi w:val="0"/>
        <w:spacing w:line="288" w:lineRule="auto"/>
        <w:outlineLvl w:val="9"/>
        <w:rPr>
          <w:rFonts w:ascii="宋体" w:hAnsi="宋体"/>
          <w:bCs/>
          <w:color w:val="auto"/>
          <w:szCs w:val="21"/>
          <w:highlight w:val="none"/>
        </w:rPr>
      </w:pPr>
      <w:r>
        <w:rPr>
          <w:rFonts w:ascii="宋体" w:hAnsi="宋体"/>
          <w:bCs/>
          <w:color w:val="auto"/>
          <w:szCs w:val="21"/>
          <w:highlight w:val="none"/>
        </w:rPr>
        <w:t>注：</w:t>
      </w:r>
      <w:r>
        <w:rPr>
          <w:rFonts w:hint="eastAsia" w:ascii="宋体" w:hAnsi="宋体"/>
          <w:bCs/>
          <w:color w:val="auto"/>
          <w:szCs w:val="21"/>
          <w:highlight w:val="none"/>
        </w:rPr>
        <w:t>1、</w:t>
      </w:r>
      <w:r>
        <w:rPr>
          <w:rFonts w:ascii="宋体" w:hAnsi="宋体"/>
          <w:bCs/>
          <w:color w:val="auto"/>
          <w:szCs w:val="21"/>
          <w:highlight w:val="none"/>
        </w:rPr>
        <w:t>此表</w:t>
      </w:r>
      <w:r>
        <w:rPr>
          <w:rFonts w:hint="eastAsia" w:ascii="宋体" w:hAnsi="宋体"/>
          <w:bCs/>
          <w:color w:val="auto"/>
          <w:szCs w:val="21"/>
          <w:highlight w:val="none"/>
        </w:rPr>
        <w:t>为</w:t>
      </w:r>
      <w:r>
        <w:rPr>
          <w:rFonts w:ascii="宋体" w:hAnsi="宋体"/>
          <w:bCs/>
          <w:color w:val="auto"/>
          <w:szCs w:val="21"/>
          <w:highlight w:val="none"/>
        </w:rPr>
        <w:t>报价表之</w:t>
      </w:r>
      <w:r>
        <w:rPr>
          <w:rFonts w:hint="eastAsia" w:ascii="宋体" w:hAnsi="宋体"/>
          <w:bCs/>
          <w:color w:val="auto"/>
          <w:szCs w:val="21"/>
          <w:highlight w:val="none"/>
        </w:rPr>
        <w:t>服务分项报价</w:t>
      </w:r>
      <w:r>
        <w:rPr>
          <w:rFonts w:ascii="宋体" w:hAnsi="宋体"/>
          <w:bCs/>
          <w:color w:val="auto"/>
          <w:szCs w:val="21"/>
          <w:highlight w:val="none"/>
        </w:rPr>
        <w:t>表。</w:t>
      </w:r>
    </w:p>
    <w:p>
      <w:pPr>
        <w:pageBreakBefore w:val="0"/>
        <w:kinsoku/>
        <w:overflowPunct/>
        <w:topLinePunct w:val="0"/>
        <w:bidi w:val="0"/>
        <w:spacing w:line="288" w:lineRule="auto"/>
        <w:ind w:firstLine="420" w:firstLineChars="200"/>
        <w:outlineLvl w:val="9"/>
        <w:rPr>
          <w:rFonts w:ascii="宋体" w:hAnsi="宋体"/>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所报内容</w:t>
      </w:r>
      <w:r>
        <w:rPr>
          <w:rFonts w:hint="eastAsia" w:ascii="宋体" w:hAnsi="宋体"/>
          <w:bCs/>
          <w:color w:val="auto"/>
          <w:szCs w:val="21"/>
          <w:highlight w:val="none"/>
        </w:rPr>
        <w:t>需参照谈判文件及采购</w:t>
      </w:r>
      <w:r>
        <w:rPr>
          <w:rFonts w:ascii="宋体" w:hAnsi="宋体"/>
          <w:bCs/>
          <w:color w:val="auto"/>
          <w:szCs w:val="21"/>
          <w:highlight w:val="none"/>
        </w:rPr>
        <w:t>需求相关条款的要求。</w:t>
      </w:r>
    </w:p>
    <w:p>
      <w:pPr>
        <w:pageBreakBefore w:val="0"/>
        <w:kinsoku/>
        <w:overflowPunct/>
        <w:topLinePunct w:val="0"/>
        <w:bidi w:val="0"/>
        <w:spacing w:line="288" w:lineRule="auto"/>
        <w:ind w:firstLine="420" w:firstLineChars="200"/>
        <w:outlineLvl w:val="9"/>
        <w:rPr>
          <w:rFonts w:ascii="宋体" w:hAnsi="宋体"/>
          <w:bCs/>
          <w:color w:val="auto"/>
          <w:szCs w:val="21"/>
        </w:rPr>
      </w:pPr>
      <w:r>
        <w:rPr>
          <w:rFonts w:ascii="宋体" w:hAnsi="宋体"/>
          <w:color w:val="auto"/>
          <w:szCs w:val="21"/>
        </w:rPr>
        <w:br w:type="page"/>
      </w:r>
    </w:p>
    <w:p>
      <w:pPr>
        <w:pageBreakBefore w:val="0"/>
        <w:kinsoku/>
        <w:overflowPunct/>
        <w:topLinePunct w:val="0"/>
        <w:bidi w:val="0"/>
        <w:spacing w:line="288" w:lineRule="auto"/>
        <w:outlineLvl w:val="9"/>
        <w:rPr>
          <w:rFonts w:ascii="宋体" w:hAnsi="宋体"/>
          <w:bCs/>
          <w:color w:val="auto"/>
          <w:szCs w:val="21"/>
        </w:rPr>
        <w:sectPr>
          <w:pgSz w:w="16838" w:h="11906" w:orient="landscape"/>
          <w:pgMar w:top="1247" w:right="1361" w:bottom="1247" w:left="1440" w:header="851" w:footer="992" w:gutter="0"/>
          <w:cols w:space="720" w:num="1"/>
          <w:docGrid w:type="lines" w:linePitch="312" w:charSpace="0"/>
        </w:sectPr>
      </w:pPr>
    </w:p>
    <w:p>
      <w:pPr>
        <w:pageBreakBefore w:val="0"/>
        <w:kinsoku/>
        <w:overflowPunct/>
        <w:topLinePunct w:val="0"/>
        <w:bidi w:val="0"/>
        <w:spacing w:line="288" w:lineRule="auto"/>
        <w:outlineLvl w:val="9"/>
        <w:rPr>
          <w:rFonts w:ascii="宋体" w:hAnsi="宋体"/>
          <w:color w:val="auto"/>
          <w:szCs w:val="21"/>
        </w:rPr>
      </w:pP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bookmarkStart w:id="209" w:name="_Toc143577473"/>
      <w:bookmarkStart w:id="210" w:name="_Toc468781351"/>
      <w:r>
        <w:rPr>
          <w:b/>
          <w:color w:val="auto"/>
          <w:sz w:val="24"/>
        </w:rPr>
        <w:t>商务、合同条款偏差表</w:t>
      </w:r>
      <w:bookmarkStart w:id="227" w:name="_GoBack"/>
      <w:bookmarkEnd w:id="227"/>
    </w:p>
    <w:p>
      <w:pPr>
        <w:pageBreakBefore w:val="0"/>
        <w:kinsoku/>
        <w:overflowPunct/>
        <w:topLinePunct w:val="0"/>
        <w:bidi w:val="0"/>
        <w:spacing w:after="240"/>
        <w:ind w:hanging="119"/>
        <w:outlineLvl w:val="9"/>
        <w:rPr>
          <w:color w:val="auto"/>
        </w:rPr>
      </w:pPr>
    </w:p>
    <w:p>
      <w:pPr>
        <w:pageBreakBefore w:val="0"/>
        <w:kinsoku/>
        <w:overflowPunct/>
        <w:topLinePunct w:val="0"/>
        <w:bidi w:val="0"/>
        <w:spacing w:after="240"/>
        <w:ind w:hanging="119"/>
        <w:jc w:val="center"/>
        <w:outlineLvl w:val="9"/>
        <w:rPr>
          <w:bCs/>
          <w:color w:val="auto"/>
          <w:u w:val="single"/>
        </w:rPr>
      </w:pPr>
      <w:r>
        <w:rPr>
          <w:bCs/>
          <w:color w:val="auto"/>
          <w:sz w:val="24"/>
        </w:rPr>
        <w:t>商务、合同条款偏差表</w:t>
      </w:r>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pPr>
              <w:pageBreakBefore w:val="0"/>
              <w:kinsoku/>
              <w:overflowPunct/>
              <w:topLinePunct w:val="0"/>
              <w:bidi w:val="0"/>
              <w:spacing w:line="440" w:lineRule="atLeast"/>
              <w:jc w:val="center"/>
              <w:outlineLvl w:val="9"/>
              <w:rPr>
                <w:color w:val="auto"/>
              </w:rPr>
            </w:pPr>
            <w:r>
              <w:rPr>
                <w:color w:val="auto"/>
              </w:rPr>
              <w:t>谈判文件条目号</w:t>
            </w:r>
          </w:p>
        </w:tc>
        <w:tc>
          <w:tcPr>
            <w:tcW w:w="3623" w:type="dxa"/>
          </w:tcPr>
          <w:p>
            <w:pPr>
              <w:pageBreakBefore w:val="0"/>
              <w:kinsoku/>
              <w:overflowPunct/>
              <w:topLinePunct w:val="0"/>
              <w:bidi w:val="0"/>
              <w:spacing w:line="440" w:lineRule="atLeast"/>
              <w:jc w:val="center"/>
              <w:outlineLvl w:val="9"/>
              <w:rPr>
                <w:color w:val="auto"/>
              </w:rPr>
            </w:pPr>
            <w:r>
              <w:rPr>
                <w:color w:val="auto"/>
              </w:rPr>
              <w:t>谈判文件的商务、合同条款</w:t>
            </w:r>
          </w:p>
        </w:tc>
        <w:tc>
          <w:tcPr>
            <w:tcW w:w="1134" w:type="dxa"/>
          </w:tcPr>
          <w:p>
            <w:pPr>
              <w:pageBreakBefore w:val="0"/>
              <w:kinsoku/>
              <w:overflowPunct/>
              <w:topLinePunct w:val="0"/>
              <w:bidi w:val="0"/>
              <w:spacing w:line="440" w:lineRule="atLeast"/>
              <w:jc w:val="center"/>
              <w:outlineLvl w:val="9"/>
              <w:rPr>
                <w:color w:val="auto"/>
              </w:rPr>
            </w:pPr>
            <w:r>
              <w:rPr>
                <w:rFonts w:hint="eastAsia"/>
                <w:color w:val="auto"/>
              </w:rPr>
              <w:t>完全</w:t>
            </w:r>
            <w:r>
              <w:rPr>
                <w:color w:val="auto"/>
              </w:rPr>
              <w:t>响应</w:t>
            </w:r>
          </w:p>
        </w:tc>
        <w:tc>
          <w:tcPr>
            <w:tcW w:w="851" w:type="dxa"/>
          </w:tcPr>
          <w:p>
            <w:pPr>
              <w:pageBreakBefore w:val="0"/>
              <w:kinsoku/>
              <w:overflowPunct/>
              <w:topLinePunct w:val="0"/>
              <w:bidi w:val="0"/>
              <w:spacing w:line="440" w:lineRule="atLeast"/>
              <w:jc w:val="center"/>
              <w:outlineLvl w:val="9"/>
              <w:rPr>
                <w:color w:val="auto"/>
              </w:rPr>
            </w:pPr>
            <w:r>
              <w:rPr>
                <w:rFonts w:hint="eastAsia"/>
                <w:color w:val="auto"/>
              </w:rPr>
              <w:t>有偏离</w:t>
            </w:r>
          </w:p>
        </w:tc>
        <w:tc>
          <w:tcPr>
            <w:tcW w:w="1310" w:type="dxa"/>
          </w:tcPr>
          <w:p>
            <w:pPr>
              <w:pageBreakBefore w:val="0"/>
              <w:kinsoku/>
              <w:overflowPunct/>
              <w:topLinePunct w:val="0"/>
              <w:bidi w:val="0"/>
              <w:spacing w:line="440" w:lineRule="atLeast"/>
              <w:jc w:val="center"/>
              <w:outlineLvl w:val="9"/>
              <w:rPr>
                <w:color w:val="auto"/>
              </w:rPr>
            </w:pPr>
            <w:r>
              <w:rPr>
                <w:color w:val="auto"/>
              </w:rPr>
              <w:t>偏离</w:t>
            </w:r>
            <w:r>
              <w:rPr>
                <w:rFonts w:hint="eastAsia"/>
                <w:color w:val="auto"/>
              </w:rPr>
              <w:t>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pPr>
              <w:pageBreakBefore w:val="0"/>
              <w:kinsoku/>
              <w:overflowPunct/>
              <w:topLinePunct w:val="0"/>
              <w:bidi w:val="0"/>
              <w:spacing w:line="440" w:lineRule="atLeast"/>
              <w:outlineLvl w:val="9"/>
              <w:rPr>
                <w:color w:val="auto"/>
              </w:rPr>
            </w:pPr>
          </w:p>
        </w:tc>
        <w:tc>
          <w:tcPr>
            <w:tcW w:w="3623" w:type="dxa"/>
          </w:tcPr>
          <w:p>
            <w:pPr>
              <w:pageBreakBefore w:val="0"/>
              <w:kinsoku/>
              <w:overflowPunct/>
              <w:topLinePunct w:val="0"/>
              <w:bidi w:val="0"/>
              <w:spacing w:line="440" w:lineRule="atLeast"/>
              <w:outlineLvl w:val="9"/>
              <w:rPr>
                <w:color w:val="auto"/>
              </w:rPr>
            </w:pPr>
          </w:p>
        </w:tc>
        <w:tc>
          <w:tcPr>
            <w:tcW w:w="1134" w:type="dxa"/>
          </w:tcPr>
          <w:p>
            <w:pPr>
              <w:pageBreakBefore w:val="0"/>
              <w:kinsoku/>
              <w:overflowPunct/>
              <w:topLinePunct w:val="0"/>
              <w:bidi w:val="0"/>
              <w:spacing w:line="440" w:lineRule="atLeast"/>
              <w:outlineLvl w:val="9"/>
              <w:rPr>
                <w:color w:val="auto"/>
              </w:rPr>
            </w:pPr>
          </w:p>
        </w:tc>
        <w:tc>
          <w:tcPr>
            <w:tcW w:w="851" w:type="dxa"/>
          </w:tcPr>
          <w:p>
            <w:pPr>
              <w:pageBreakBefore w:val="0"/>
              <w:kinsoku/>
              <w:overflowPunct/>
              <w:topLinePunct w:val="0"/>
              <w:bidi w:val="0"/>
              <w:spacing w:line="440" w:lineRule="atLeast"/>
              <w:outlineLvl w:val="9"/>
              <w:rPr>
                <w:color w:val="auto"/>
              </w:rPr>
            </w:pPr>
          </w:p>
        </w:tc>
        <w:tc>
          <w:tcPr>
            <w:tcW w:w="1310" w:type="dxa"/>
          </w:tcPr>
          <w:p>
            <w:pPr>
              <w:pageBreakBefore w:val="0"/>
              <w:kinsoku/>
              <w:overflowPunct/>
              <w:topLinePunct w:val="0"/>
              <w:bidi w:val="0"/>
              <w:spacing w:line="440" w:lineRule="atLeast"/>
              <w:outlineLvl w:val="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pageBreakBefore w:val="0"/>
              <w:kinsoku/>
              <w:overflowPunct/>
              <w:topLinePunct w:val="0"/>
              <w:bidi w:val="0"/>
              <w:spacing w:line="440" w:lineRule="atLeast"/>
              <w:outlineLvl w:val="9"/>
              <w:rPr>
                <w:color w:val="auto"/>
              </w:rPr>
            </w:pPr>
          </w:p>
        </w:tc>
        <w:tc>
          <w:tcPr>
            <w:tcW w:w="3623" w:type="dxa"/>
          </w:tcPr>
          <w:p>
            <w:pPr>
              <w:pageBreakBefore w:val="0"/>
              <w:kinsoku/>
              <w:overflowPunct/>
              <w:topLinePunct w:val="0"/>
              <w:bidi w:val="0"/>
              <w:spacing w:line="440" w:lineRule="atLeast"/>
              <w:outlineLvl w:val="9"/>
              <w:rPr>
                <w:color w:val="auto"/>
              </w:rPr>
            </w:pPr>
          </w:p>
        </w:tc>
        <w:tc>
          <w:tcPr>
            <w:tcW w:w="1134" w:type="dxa"/>
          </w:tcPr>
          <w:p>
            <w:pPr>
              <w:pageBreakBefore w:val="0"/>
              <w:kinsoku/>
              <w:overflowPunct/>
              <w:topLinePunct w:val="0"/>
              <w:bidi w:val="0"/>
              <w:spacing w:line="440" w:lineRule="atLeast"/>
              <w:outlineLvl w:val="9"/>
              <w:rPr>
                <w:color w:val="auto"/>
              </w:rPr>
            </w:pPr>
          </w:p>
        </w:tc>
        <w:tc>
          <w:tcPr>
            <w:tcW w:w="851" w:type="dxa"/>
          </w:tcPr>
          <w:p>
            <w:pPr>
              <w:pageBreakBefore w:val="0"/>
              <w:kinsoku/>
              <w:overflowPunct/>
              <w:topLinePunct w:val="0"/>
              <w:bidi w:val="0"/>
              <w:spacing w:line="440" w:lineRule="atLeast"/>
              <w:outlineLvl w:val="9"/>
              <w:rPr>
                <w:color w:val="auto"/>
              </w:rPr>
            </w:pPr>
          </w:p>
        </w:tc>
        <w:tc>
          <w:tcPr>
            <w:tcW w:w="1310" w:type="dxa"/>
          </w:tcPr>
          <w:p>
            <w:pPr>
              <w:pageBreakBefore w:val="0"/>
              <w:kinsoku/>
              <w:overflowPunct/>
              <w:topLinePunct w:val="0"/>
              <w:bidi w:val="0"/>
              <w:spacing w:line="440" w:lineRule="atLeast"/>
              <w:outlineLvl w:val="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pageBreakBefore w:val="0"/>
              <w:kinsoku/>
              <w:overflowPunct/>
              <w:topLinePunct w:val="0"/>
              <w:bidi w:val="0"/>
              <w:spacing w:line="440" w:lineRule="atLeast"/>
              <w:outlineLvl w:val="9"/>
              <w:rPr>
                <w:color w:val="auto"/>
              </w:rPr>
            </w:pPr>
          </w:p>
        </w:tc>
        <w:tc>
          <w:tcPr>
            <w:tcW w:w="3623" w:type="dxa"/>
          </w:tcPr>
          <w:p>
            <w:pPr>
              <w:pageBreakBefore w:val="0"/>
              <w:kinsoku/>
              <w:overflowPunct/>
              <w:topLinePunct w:val="0"/>
              <w:bidi w:val="0"/>
              <w:spacing w:line="440" w:lineRule="atLeast"/>
              <w:outlineLvl w:val="9"/>
              <w:rPr>
                <w:color w:val="auto"/>
              </w:rPr>
            </w:pPr>
          </w:p>
        </w:tc>
        <w:tc>
          <w:tcPr>
            <w:tcW w:w="1134" w:type="dxa"/>
          </w:tcPr>
          <w:p>
            <w:pPr>
              <w:pageBreakBefore w:val="0"/>
              <w:kinsoku/>
              <w:overflowPunct/>
              <w:topLinePunct w:val="0"/>
              <w:bidi w:val="0"/>
              <w:spacing w:line="440" w:lineRule="atLeast"/>
              <w:outlineLvl w:val="9"/>
              <w:rPr>
                <w:color w:val="auto"/>
              </w:rPr>
            </w:pPr>
          </w:p>
        </w:tc>
        <w:tc>
          <w:tcPr>
            <w:tcW w:w="851" w:type="dxa"/>
          </w:tcPr>
          <w:p>
            <w:pPr>
              <w:pageBreakBefore w:val="0"/>
              <w:kinsoku/>
              <w:overflowPunct/>
              <w:topLinePunct w:val="0"/>
              <w:bidi w:val="0"/>
              <w:spacing w:line="440" w:lineRule="atLeast"/>
              <w:outlineLvl w:val="9"/>
              <w:rPr>
                <w:color w:val="auto"/>
              </w:rPr>
            </w:pPr>
          </w:p>
        </w:tc>
        <w:tc>
          <w:tcPr>
            <w:tcW w:w="1310" w:type="dxa"/>
          </w:tcPr>
          <w:p>
            <w:pPr>
              <w:pageBreakBefore w:val="0"/>
              <w:kinsoku/>
              <w:overflowPunct/>
              <w:topLinePunct w:val="0"/>
              <w:bidi w:val="0"/>
              <w:spacing w:line="440" w:lineRule="atLeast"/>
              <w:outlineLvl w:val="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pageBreakBefore w:val="0"/>
              <w:kinsoku/>
              <w:overflowPunct/>
              <w:topLinePunct w:val="0"/>
              <w:bidi w:val="0"/>
              <w:spacing w:line="440" w:lineRule="atLeast"/>
              <w:outlineLvl w:val="9"/>
              <w:rPr>
                <w:color w:val="auto"/>
              </w:rPr>
            </w:pPr>
          </w:p>
        </w:tc>
        <w:tc>
          <w:tcPr>
            <w:tcW w:w="3623" w:type="dxa"/>
            <w:vAlign w:val="center"/>
          </w:tcPr>
          <w:p>
            <w:pPr>
              <w:pageBreakBefore w:val="0"/>
              <w:kinsoku/>
              <w:overflowPunct/>
              <w:topLinePunct w:val="0"/>
              <w:bidi w:val="0"/>
              <w:spacing w:line="440" w:lineRule="atLeast"/>
              <w:outlineLvl w:val="9"/>
              <w:rPr>
                <w:color w:val="auto"/>
              </w:rPr>
            </w:pPr>
          </w:p>
        </w:tc>
        <w:tc>
          <w:tcPr>
            <w:tcW w:w="1134" w:type="dxa"/>
          </w:tcPr>
          <w:p>
            <w:pPr>
              <w:pageBreakBefore w:val="0"/>
              <w:kinsoku/>
              <w:overflowPunct/>
              <w:topLinePunct w:val="0"/>
              <w:bidi w:val="0"/>
              <w:spacing w:line="440" w:lineRule="atLeast"/>
              <w:outlineLvl w:val="9"/>
              <w:rPr>
                <w:color w:val="auto"/>
              </w:rPr>
            </w:pPr>
          </w:p>
        </w:tc>
        <w:tc>
          <w:tcPr>
            <w:tcW w:w="851" w:type="dxa"/>
          </w:tcPr>
          <w:p>
            <w:pPr>
              <w:pageBreakBefore w:val="0"/>
              <w:kinsoku/>
              <w:overflowPunct/>
              <w:topLinePunct w:val="0"/>
              <w:bidi w:val="0"/>
              <w:spacing w:line="440" w:lineRule="atLeast"/>
              <w:outlineLvl w:val="9"/>
              <w:rPr>
                <w:color w:val="auto"/>
              </w:rPr>
            </w:pPr>
          </w:p>
        </w:tc>
        <w:tc>
          <w:tcPr>
            <w:tcW w:w="1310" w:type="dxa"/>
          </w:tcPr>
          <w:p>
            <w:pPr>
              <w:pageBreakBefore w:val="0"/>
              <w:kinsoku/>
              <w:overflowPunct/>
              <w:topLinePunct w:val="0"/>
              <w:bidi w:val="0"/>
              <w:spacing w:line="440" w:lineRule="atLeast"/>
              <w:outlineLvl w:val="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pageBreakBefore w:val="0"/>
              <w:kinsoku/>
              <w:overflowPunct/>
              <w:topLinePunct w:val="0"/>
              <w:bidi w:val="0"/>
              <w:spacing w:line="440" w:lineRule="atLeast"/>
              <w:outlineLvl w:val="9"/>
              <w:rPr>
                <w:color w:val="auto"/>
                <w:szCs w:val="21"/>
              </w:rPr>
            </w:pPr>
          </w:p>
        </w:tc>
        <w:tc>
          <w:tcPr>
            <w:tcW w:w="3623" w:type="dxa"/>
            <w:vAlign w:val="center"/>
          </w:tcPr>
          <w:p>
            <w:pPr>
              <w:pageBreakBefore w:val="0"/>
              <w:kinsoku/>
              <w:overflowPunct/>
              <w:topLinePunct w:val="0"/>
              <w:bidi w:val="0"/>
              <w:spacing w:line="440" w:lineRule="atLeast"/>
              <w:outlineLvl w:val="9"/>
              <w:rPr>
                <w:color w:val="auto"/>
                <w:szCs w:val="21"/>
              </w:rPr>
            </w:pPr>
          </w:p>
        </w:tc>
        <w:tc>
          <w:tcPr>
            <w:tcW w:w="1134" w:type="dxa"/>
          </w:tcPr>
          <w:p>
            <w:pPr>
              <w:pageBreakBefore w:val="0"/>
              <w:kinsoku/>
              <w:overflowPunct/>
              <w:topLinePunct w:val="0"/>
              <w:bidi w:val="0"/>
              <w:spacing w:line="440" w:lineRule="atLeast"/>
              <w:outlineLvl w:val="9"/>
              <w:rPr>
                <w:color w:val="auto"/>
              </w:rPr>
            </w:pPr>
          </w:p>
        </w:tc>
        <w:tc>
          <w:tcPr>
            <w:tcW w:w="851" w:type="dxa"/>
          </w:tcPr>
          <w:p>
            <w:pPr>
              <w:pageBreakBefore w:val="0"/>
              <w:kinsoku/>
              <w:overflowPunct/>
              <w:topLinePunct w:val="0"/>
              <w:bidi w:val="0"/>
              <w:spacing w:line="440" w:lineRule="atLeast"/>
              <w:outlineLvl w:val="9"/>
              <w:rPr>
                <w:color w:val="auto"/>
              </w:rPr>
            </w:pPr>
          </w:p>
        </w:tc>
        <w:tc>
          <w:tcPr>
            <w:tcW w:w="1310" w:type="dxa"/>
          </w:tcPr>
          <w:p>
            <w:pPr>
              <w:pageBreakBefore w:val="0"/>
              <w:kinsoku/>
              <w:overflowPunct/>
              <w:topLinePunct w:val="0"/>
              <w:bidi w:val="0"/>
              <w:spacing w:line="440" w:lineRule="atLeast"/>
              <w:outlineLvl w:val="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pageBreakBefore w:val="0"/>
              <w:kinsoku/>
              <w:overflowPunct/>
              <w:topLinePunct w:val="0"/>
              <w:bidi w:val="0"/>
              <w:spacing w:line="440" w:lineRule="atLeast"/>
              <w:outlineLvl w:val="9"/>
              <w:rPr>
                <w:color w:val="auto"/>
                <w:szCs w:val="21"/>
              </w:rPr>
            </w:pPr>
            <w:r>
              <w:rPr>
                <w:rFonts w:hint="eastAsia"/>
                <w:color w:val="auto"/>
                <w:szCs w:val="21"/>
              </w:rPr>
              <w:t>……</w:t>
            </w:r>
          </w:p>
        </w:tc>
        <w:tc>
          <w:tcPr>
            <w:tcW w:w="3623" w:type="dxa"/>
            <w:vAlign w:val="center"/>
          </w:tcPr>
          <w:p>
            <w:pPr>
              <w:pageBreakBefore w:val="0"/>
              <w:kinsoku/>
              <w:overflowPunct/>
              <w:topLinePunct w:val="0"/>
              <w:bidi w:val="0"/>
              <w:spacing w:line="440" w:lineRule="atLeast"/>
              <w:outlineLvl w:val="9"/>
              <w:rPr>
                <w:color w:val="auto"/>
                <w:szCs w:val="21"/>
              </w:rPr>
            </w:pPr>
            <w:r>
              <w:rPr>
                <w:rFonts w:hint="eastAsia"/>
                <w:color w:val="auto"/>
                <w:szCs w:val="21"/>
              </w:rPr>
              <w:t>……</w:t>
            </w:r>
          </w:p>
        </w:tc>
        <w:tc>
          <w:tcPr>
            <w:tcW w:w="1134" w:type="dxa"/>
          </w:tcPr>
          <w:p>
            <w:pPr>
              <w:pageBreakBefore w:val="0"/>
              <w:kinsoku/>
              <w:overflowPunct/>
              <w:topLinePunct w:val="0"/>
              <w:bidi w:val="0"/>
              <w:spacing w:line="440" w:lineRule="atLeast"/>
              <w:outlineLvl w:val="9"/>
              <w:rPr>
                <w:color w:val="auto"/>
              </w:rPr>
            </w:pPr>
          </w:p>
        </w:tc>
        <w:tc>
          <w:tcPr>
            <w:tcW w:w="851" w:type="dxa"/>
          </w:tcPr>
          <w:p>
            <w:pPr>
              <w:pageBreakBefore w:val="0"/>
              <w:kinsoku/>
              <w:overflowPunct/>
              <w:topLinePunct w:val="0"/>
              <w:bidi w:val="0"/>
              <w:spacing w:line="440" w:lineRule="atLeast"/>
              <w:outlineLvl w:val="9"/>
              <w:rPr>
                <w:color w:val="auto"/>
              </w:rPr>
            </w:pPr>
          </w:p>
        </w:tc>
        <w:tc>
          <w:tcPr>
            <w:tcW w:w="1310" w:type="dxa"/>
          </w:tcPr>
          <w:p>
            <w:pPr>
              <w:pageBreakBefore w:val="0"/>
              <w:kinsoku/>
              <w:overflowPunct/>
              <w:topLinePunct w:val="0"/>
              <w:bidi w:val="0"/>
              <w:spacing w:line="440" w:lineRule="atLeast"/>
              <w:outlineLvl w:val="9"/>
              <w:rPr>
                <w:color w:val="auto"/>
              </w:rPr>
            </w:pPr>
          </w:p>
        </w:tc>
      </w:tr>
    </w:tbl>
    <w:p>
      <w:pPr>
        <w:pageBreakBefore w:val="0"/>
        <w:kinsoku/>
        <w:overflowPunct/>
        <w:topLinePunct w:val="0"/>
        <w:bidi w:val="0"/>
        <w:spacing w:before="120" w:beforeLines="50" w:line="440" w:lineRule="exact"/>
        <w:ind w:left="-103" w:leftChars="-49" w:firstLine="15"/>
        <w:outlineLvl w:val="9"/>
        <w:rPr>
          <w:color w:val="auto"/>
        </w:rPr>
      </w:pPr>
      <w:r>
        <w:rPr>
          <w:rFonts w:hint="eastAsia"/>
          <w:color w:val="auto"/>
        </w:rPr>
        <w:t>供应商：（公章）</w:t>
      </w:r>
    </w:p>
    <w:p>
      <w:pPr>
        <w:pageBreakBefore w:val="0"/>
        <w:kinsoku/>
        <w:overflowPunct/>
        <w:topLinePunct w:val="0"/>
        <w:bidi w:val="0"/>
        <w:spacing w:before="120" w:beforeLines="50" w:line="440" w:lineRule="exact"/>
        <w:ind w:left="-103" w:leftChars="-49"/>
        <w:outlineLvl w:val="9"/>
        <w:rPr>
          <w:color w:val="auto"/>
        </w:rPr>
      </w:pPr>
      <w:r>
        <w:rPr>
          <w:color w:val="auto"/>
        </w:rPr>
        <w:t>法定代表人或其授权代表：（</w:t>
      </w:r>
      <w:r>
        <w:rPr>
          <w:rFonts w:hint="eastAsia"/>
          <w:color w:val="auto"/>
        </w:rPr>
        <w:t>签字或加盖人名章</w:t>
      </w:r>
      <w:r>
        <w:rPr>
          <w:color w:val="auto"/>
        </w:rPr>
        <w:t>）</w:t>
      </w:r>
    </w:p>
    <w:p>
      <w:pPr>
        <w:pageBreakBefore w:val="0"/>
        <w:kinsoku/>
        <w:overflowPunct/>
        <w:topLinePunct w:val="0"/>
        <w:bidi w:val="0"/>
        <w:spacing w:before="120" w:beforeLines="50" w:line="440" w:lineRule="exact"/>
        <w:ind w:left="-103" w:leftChars="-49"/>
        <w:outlineLvl w:val="9"/>
        <w:rPr>
          <w:color w:val="auto"/>
        </w:rPr>
      </w:pPr>
      <w:r>
        <w:rPr>
          <w:color w:val="auto"/>
        </w:rPr>
        <w:t>日期：</w:t>
      </w:r>
    </w:p>
    <w:p>
      <w:pPr>
        <w:pageBreakBefore w:val="0"/>
        <w:kinsoku/>
        <w:overflowPunct/>
        <w:topLinePunct w:val="0"/>
        <w:bidi w:val="0"/>
        <w:outlineLvl w:val="9"/>
        <w:rPr>
          <w:color w:val="auto"/>
        </w:rPr>
      </w:pPr>
    </w:p>
    <w:p>
      <w:pPr>
        <w:pageBreakBefore w:val="0"/>
        <w:kinsoku/>
        <w:overflowPunct/>
        <w:topLinePunct w:val="0"/>
        <w:bidi w:val="0"/>
        <w:outlineLvl w:val="9"/>
        <w:rPr>
          <w:rFonts w:ascii="宋体" w:hAnsi="宋体" w:cs="宋体"/>
          <w:b/>
          <w:color w:val="auto"/>
          <w:sz w:val="24"/>
        </w:rPr>
      </w:pPr>
      <w:r>
        <w:rPr>
          <w:rFonts w:hint="eastAsia" w:ascii="宋体" w:hAnsi="宋体"/>
          <w:color w:val="auto"/>
        </w:rPr>
        <w:t>注：投标人递交的响应文件中与谈判文件的商务、合同部分的要求有不同时，应逐条列在商务、合同条款偏差表中，否则将认为供应商接受谈判文件的要求。</w:t>
      </w:r>
      <w:r>
        <w:rPr>
          <w:rFonts w:hint="eastAsia" w:ascii="宋体" w:hAnsi="宋体" w:cs="宋体"/>
          <w:b/>
          <w:color w:val="auto"/>
          <w:sz w:val="24"/>
        </w:rPr>
        <w:br w:type="page"/>
      </w: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r>
        <w:rPr>
          <w:b/>
          <w:color w:val="auto"/>
          <w:sz w:val="24"/>
        </w:rPr>
        <w:t>供应商基本情况表</w:t>
      </w:r>
    </w:p>
    <w:p>
      <w:pPr>
        <w:pageBreakBefore w:val="0"/>
        <w:kinsoku/>
        <w:overflowPunct/>
        <w:topLinePunct w:val="0"/>
        <w:bidi w:val="0"/>
        <w:outlineLvl w:val="9"/>
        <w:rPr>
          <w:color w:val="auto"/>
        </w:rPr>
      </w:pPr>
    </w:p>
    <w:p>
      <w:pPr>
        <w:pageBreakBefore w:val="0"/>
        <w:kinsoku/>
        <w:overflowPunct/>
        <w:topLinePunct w:val="0"/>
        <w:bidi w:val="0"/>
        <w:spacing w:line="360" w:lineRule="auto"/>
        <w:jc w:val="center"/>
        <w:outlineLvl w:val="9"/>
        <w:rPr>
          <w:bCs/>
          <w:color w:val="auto"/>
          <w:sz w:val="24"/>
        </w:rPr>
      </w:pPr>
      <w:r>
        <w:rPr>
          <w:bCs/>
          <w:color w:val="auto"/>
          <w:sz w:val="24"/>
        </w:rPr>
        <w:t>供应商基本情况表</w:t>
      </w:r>
    </w:p>
    <w:p>
      <w:pPr>
        <w:pageBreakBefore w:val="0"/>
        <w:kinsoku/>
        <w:overflowPunct/>
        <w:topLinePunct w:val="0"/>
        <w:bidi w:val="0"/>
        <w:spacing w:line="440" w:lineRule="exact"/>
        <w:ind w:firstLine="420" w:firstLineChars="200"/>
        <w:outlineLvl w:val="9"/>
        <w:rPr>
          <w:color w:val="auto"/>
        </w:rPr>
      </w:pPr>
    </w:p>
    <w:tbl>
      <w:tblPr>
        <w:tblStyle w:val="7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43" w:type="dxa"/>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企业名称</w:t>
            </w:r>
          </w:p>
        </w:tc>
        <w:tc>
          <w:tcPr>
            <w:tcW w:w="3181" w:type="dxa"/>
            <w:gridSpan w:val="3"/>
            <w:vAlign w:val="center"/>
          </w:tcPr>
          <w:p>
            <w:pPr>
              <w:pageBreakBefore w:val="0"/>
              <w:kinsoku/>
              <w:overflowPunct/>
              <w:topLinePunct w:val="0"/>
              <w:bidi w:val="0"/>
              <w:outlineLvl w:val="9"/>
              <w:rPr>
                <w:rFonts w:ascii="仿宋_GB2312" w:eastAsia="仿宋_GB2312"/>
                <w:color w:val="auto"/>
                <w:sz w:val="24"/>
              </w:rPr>
            </w:pPr>
          </w:p>
        </w:tc>
        <w:tc>
          <w:tcPr>
            <w:tcW w:w="1435"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成立日期</w:t>
            </w:r>
          </w:p>
        </w:tc>
        <w:tc>
          <w:tcPr>
            <w:tcW w:w="2363" w:type="dxa"/>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724" w:type="dxa"/>
            <w:gridSpan w:val="4"/>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统一社会信用代码</w:t>
            </w:r>
          </w:p>
        </w:tc>
        <w:tc>
          <w:tcPr>
            <w:tcW w:w="3798" w:type="dxa"/>
            <w:gridSpan w:val="3"/>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注册资本</w:t>
            </w:r>
          </w:p>
        </w:tc>
        <w:tc>
          <w:tcPr>
            <w:tcW w:w="3027" w:type="dxa"/>
            <w:gridSpan w:val="2"/>
            <w:vAlign w:val="center"/>
          </w:tcPr>
          <w:p>
            <w:pPr>
              <w:pageBreakBefore w:val="0"/>
              <w:kinsoku/>
              <w:overflowPunct/>
              <w:topLinePunct w:val="0"/>
              <w:bidi w:val="0"/>
              <w:outlineLvl w:val="9"/>
              <w:rPr>
                <w:rFonts w:ascii="仿宋_GB2312" w:eastAsia="仿宋_GB2312"/>
                <w:color w:val="auto"/>
                <w:sz w:val="24"/>
              </w:rPr>
            </w:pPr>
          </w:p>
        </w:tc>
        <w:tc>
          <w:tcPr>
            <w:tcW w:w="1435"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企业类型</w:t>
            </w:r>
          </w:p>
        </w:tc>
        <w:tc>
          <w:tcPr>
            <w:tcW w:w="2363" w:type="dxa"/>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批准登记机关</w:t>
            </w:r>
          </w:p>
        </w:tc>
        <w:tc>
          <w:tcPr>
            <w:tcW w:w="6825" w:type="dxa"/>
            <w:gridSpan w:val="5"/>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法定代表人</w:t>
            </w:r>
          </w:p>
        </w:tc>
        <w:tc>
          <w:tcPr>
            <w:tcW w:w="3027" w:type="dxa"/>
            <w:gridSpan w:val="2"/>
            <w:vAlign w:val="center"/>
          </w:tcPr>
          <w:p>
            <w:pPr>
              <w:pageBreakBefore w:val="0"/>
              <w:kinsoku/>
              <w:overflowPunct/>
              <w:topLinePunct w:val="0"/>
              <w:bidi w:val="0"/>
              <w:outlineLvl w:val="9"/>
              <w:rPr>
                <w:rFonts w:ascii="仿宋_GB2312" w:eastAsia="仿宋_GB2312"/>
                <w:color w:val="auto"/>
                <w:sz w:val="24"/>
              </w:rPr>
            </w:pPr>
          </w:p>
        </w:tc>
        <w:tc>
          <w:tcPr>
            <w:tcW w:w="1435"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营业期限</w:t>
            </w:r>
          </w:p>
        </w:tc>
        <w:tc>
          <w:tcPr>
            <w:tcW w:w="2363" w:type="dxa"/>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资质类型</w:t>
            </w:r>
          </w:p>
        </w:tc>
        <w:tc>
          <w:tcPr>
            <w:tcW w:w="3027" w:type="dxa"/>
            <w:gridSpan w:val="2"/>
            <w:vAlign w:val="center"/>
          </w:tcPr>
          <w:p>
            <w:pPr>
              <w:pageBreakBefore w:val="0"/>
              <w:kinsoku/>
              <w:overflowPunct/>
              <w:topLinePunct w:val="0"/>
              <w:bidi w:val="0"/>
              <w:outlineLvl w:val="9"/>
              <w:rPr>
                <w:rFonts w:ascii="仿宋_GB2312" w:eastAsia="仿宋_GB2312"/>
                <w:color w:val="auto"/>
                <w:sz w:val="24"/>
              </w:rPr>
            </w:pPr>
          </w:p>
        </w:tc>
        <w:tc>
          <w:tcPr>
            <w:tcW w:w="1435"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资质等级</w:t>
            </w:r>
          </w:p>
        </w:tc>
        <w:tc>
          <w:tcPr>
            <w:tcW w:w="2363" w:type="dxa"/>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主营业务</w:t>
            </w:r>
          </w:p>
        </w:tc>
        <w:tc>
          <w:tcPr>
            <w:tcW w:w="6825" w:type="dxa"/>
            <w:gridSpan w:val="5"/>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地  址</w:t>
            </w:r>
          </w:p>
        </w:tc>
        <w:tc>
          <w:tcPr>
            <w:tcW w:w="6825" w:type="dxa"/>
            <w:gridSpan w:val="5"/>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开户银行</w:t>
            </w:r>
          </w:p>
        </w:tc>
        <w:tc>
          <w:tcPr>
            <w:tcW w:w="6825" w:type="dxa"/>
            <w:gridSpan w:val="5"/>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开户行号</w:t>
            </w:r>
          </w:p>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（如有）</w:t>
            </w:r>
          </w:p>
        </w:tc>
        <w:tc>
          <w:tcPr>
            <w:tcW w:w="6825" w:type="dxa"/>
            <w:gridSpan w:val="5"/>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银行账号</w:t>
            </w:r>
          </w:p>
        </w:tc>
        <w:tc>
          <w:tcPr>
            <w:tcW w:w="6825" w:type="dxa"/>
            <w:gridSpan w:val="5"/>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电  话</w:t>
            </w:r>
          </w:p>
        </w:tc>
        <w:tc>
          <w:tcPr>
            <w:tcW w:w="2887" w:type="dxa"/>
            <w:vAlign w:val="center"/>
          </w:tcPr>
          <w:p>
            <w:pPr>
              <w:pageBreakBefore w:val="0"/>
              <w:kinsoku/>
              <w:overflowPunct/>
              <w:topLinePunct w:val="0"/>
              <w:bidi w:val="0"/>
              <w:outlineLvl w:val="9"/>
              <w:rPr>
                <w:rFonts w:ascii="仿宋_GB2312" w:eastAsia="仿宋_GB2312"/>
                <w:color w:val="auto"/>
                <w:sz w:val="24"/>
              </w:rPr>
            </w:pPr>
          </w:p>
        </w:tc>
        <w:tc>
          <w:tcPr>
            <w:tcW w:w="1378"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传  真</w:t>
            </w:r>
          </w:p>
        </w:tc>
        <w:tc>
          <w:tcPr>
            <w:tcW w:w="2560" w:type="dxa"/>
            <w:gridSpan w:val="2"/>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邮  箱</w:t>
            </w:r>
          </w:p>
        </w:tc>
        <w:tc>
          <w:tcPr>
            <w:tcW w:w="2887" w:type="dxa"/>
            <w:vAlign w:val="center"/>
          </w:tcPr>
          <w:p>
            <w:pPr>
              <w:pageBreakBefore w:val="0"/>
              <w:kinsoku/>
              <w:overflowPunct/>
              <w:topLinePunct w:val="0"/>
              <w:bidi w:val="0"/>
              <w:outlineLvl w:val="9"/>
              <w:rPr>
                <w:rFonts w:ascii="仿宋_GB2312" w:eastAsia="仿宋_GB2312"/>
                <w:color w:val="auto"/>
                <w:sz w:val="24"/>
              </w:rPr>
            </w:pPr>
          </w:p>
        </w:tc>
        <w:tc>
          <w:tcPr>
            <w:tcW w:w="1378"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邮  编</w:t>
            </w:r>
          </w:p>
        </w:tc>
        <w:tc>
          <w:tcPr>
            <w:tcW w:w="2560" w:type="dxa"/>
            <w:gridSpan w:val="2"/>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联系人</w:t>
            </w:r>
          </w:p>
        </w:tc>
        <w:tc>
          <w:tcPr>
            <w:tcW w:w="2887" w:type="dxa"/>
            <w:vAlign w:val="center"/>
          </w:tcPr>
          <w:p>
            <w:pPr>
              <w:pageBreakBefore w:val="0"/>
              <w:kinsoku/>
              <w:overflowPunct/>
              <w:topLinePunct w:val="0"/>
              <w:bidi w:val="0"/>
              <w:outlineLvl w:val="9"/>
              <w:rPr>
                <w:rFonts w:ascii="仿宋_GB2312" w:eastAsia="仿宋_GB2312"/>
                <w:color w:val="auto"/>
                <w:sz w:val="24"/>
              </w:rPr>
            </w:pPr>
          </w:p>
        </w:tc>
        <w:tc>
          <w:tcPr>
            <w:tcW w:w="1378" w:type="dxa"/>
            <w:gridSpan w:val="2"/>
            <w:vAlign w:val="center"/>
          </w:tcPr>
          <w:p>
            <w:pPr>
              <w:pageBreakBefore w:val="0"/>
              <w:kinsoku/>
              <w:overflowPunct/>
              <w:topLinePunct w:val="0"/>
              <w:bidi w:val="0"/>
              <w:outlineLvl w:val="9"/>
              <w:rPr>
                <w:rFonts w:ascii="仿宋_GB2312" w:eastAsia="仿宋_GB2312"/>
                <w:color w:val="auto"/>
                <w:sz w:val="24"/>
              </w:rPr>
            </w:pPr>
            <w:r>
              <w:rPr>
                <w:rFonts w:hint="eastAsia" w:ascii="仿宋_GB2312" w:eastAsia="仿宋_GB2312"/>
                <w:color w:val="auto"/>
                <w:sz w:val="24"/>
              </w:rPr>
              <w:t>联系方式</w:t>
            </w:r>
          </w:p>
        </w:tc>
        <w:tc>
          <w:tcPr>
            <w:tcW w:w="2560" w:type="dxa"/>
            <w:gridSpan w:val="2"/>
            <w:vAlign w:val="center"/>
          </w:tcPr>
          <w:p>
            <w:pPr>
              <w:pageBreakBefore w:val="0"/>
              <w:kinsoku/>
              <w:overflowPunct/>
              <w:topLinePunct w:val="0"/>
              <w:bidi w:val="0"/>
              <w:outlineLvl w:val="9"/>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22" w:type="dxa"/>
            <w:gridSpan w:val="7"/>
            <w:vAlign w:val="bottom"/>
          </w:tcPr>
          <w:p>
            <w:pPr>
              <w:pageBreakBefore w:val="0"/>
              <w:kinsoku/>
              <w:wordWrap w:val="0"/>
              <w:overflowPunct/>
              <w:topLinePunct w:val="0"/>
              <w:bidi w:val="0"/>
              <w:jc w:val="right"/>
              <w:outlineLvl w:val="9"/>
              <w:rPr>
                <w:rFonts w:ascii="仿宋_GB2312" w:eastAsia="仿宋_GB2312"/>
                <w:color w:val="auto"/>
                <w:sz w:val="24"/>
                <w:u w:val="single"/>
              </w:rPr>
            </w:pPr>
            <w:r>
              <w:rPr>
                <w:rFonts w:hint="eastAsia" w:ascii="仿宋_GB2312" w:eastAsia="仿宋_GB2312"/>
                <w:color w:val="auto"/>
                <w:sz w:val="24"/>
              </w:rPr>
              <w:t>供应商盖章：</w:t>
            </w:r>
            <w:r>
              <w:rPr>
                <w:rFonts w:hint="eastAsia" w:ascii="仿宋_GB2312" w:eastAsia="仿宋_GB2312"/>
                <w:color w:val="auto"/>
                <w:sz w:val="24"/>
                <w:u w:val="single"/>
              </w:rPr>
              <w:t xml:space="preserve">                </w:t>
            </w:r>
          </w:p>
        </w:tc>
      </w:tr>
    </w:tbl>
    <w:p>
      <w:pPr>
        <w:pageBreakBefore w:val="0"/>
        <w:kinsoku/>
        <w:overflowPunct/>
        <w:topLinePunct w:val="0"/>
        <w:bidi w:val="0"/>
        <w:spacing w:line="440" w:lineRule="exact"/>
        <w:ind w:firstLine="420" w:firstLineChars="200"/>
        <w:outlineLvl w:val="9"/>
        <w:rPr>
          <w:color w:val="auto"/>
        </w:rPr>
      </w:pPr>
    </w:p>
    <w:p>
      <w:pPr>
        <w:pageBreakBefore w:val="0"/>
        <w:kinsoku/>
        <w:overflowPunct/>
        <w:topLinePunct w:val="0"/>
        <w:bidi w:val="0"/>
        <w:spacing w:line="440" w:lineRule="exact"/>
        <w:ind w:firstLine="420" w:firstLineChars="200"/>
        <w:outlineLvl w:val="9"/>
        <w:rPr>
          <w:color w:val="auto"/>
        </w:rPr>
      </w:pPr>
      <w:r>
        <w:rPr>
          <w:color w:val="auto"/>
        </w:rPr>
        <w:t>兹</w:t>
      </w:r>
      <w:r>
        <w:rPr>
          <w:rFonts w:hint="eastAsia"/>
          <w:color w:val="auto"/>
        </w:rPr>
        <w:t>声</w:t>
      </w:r>
      <w:r>
        <w:rPr>
          <w:color w:val="auto"/>
        </w:rPr>
        <w:t>明上述</w:t>
      </w:r>
      <w:r>
        <w:rPr>
          <w:rFonts w:hint="eastAsia"/>
          <w:color w:val="auto"/>
        </w:rPr>
        <w:t>信息</w:t>
      </w:r>
      <w:r>
        <w:rPr>
          <w:color w:val="auto"/>
        </w:rPr>
        <w:t>是真实、正确的，并提供了全部能提供的资料和数据</w:t>
      </w:r>
      <w:r>
        <w:rPr>
          <w:rFonts w:hint="eastAsia"/>
          <w:color w:val="auto"/>
        </w:rPr>
        <w:t>；如我方提供的证明材料有虚假情况，愿承担相应后果</w:t>
      </w:r>
      <w:r>
        <w:rPr>
          <w:color w:val="auto"/>
        </w:rPr>
        <w:t>。</w:t>
      </w:r>
    </w:p>
    <w:p>
      <w:pPr>
        <w:pageBreakBefore w:val="0"/>
        <w:kinsoku/>
        <w:overflowPunct/>
        <w:topLinePunct w:val="0"/>
        <w:bidi w:val="0"/>
        <w:spacing w:before="120" w:beforeLines="50" w:line="440" w:lineRule="exact"/>
        <w:ind w:left="-103" w:leftChars="-49" w:firstLine="539" w:firstLineChars="257"/>
        <w:outlineLvl w:val="9"/>
        <w:rPr>
          <w:color w:val="auto"/>
        </w:rPr>
      </w:pPr>
    </w:p>
    <w:p>
      <w:pPr>
        <w:pageBreakBefore w:val="0"/>
        <w:kinsoku/>
        <w:overflowPunct/>
        <w:topLinePunct w:val="0"/>
        <w:bidi w:val="0"/>
        <w:spacing w:before="120" w:beforeLines="50" w:line="440" w:lineRule="exact"/>
        <w:ind w:left="-103" w:leftChars="-49" w:firstLine="539" w:firstLineChars="257"/>
        <w:outlineLvl w:val="9"/>
        <w:rPr>
          <w:color w:val="auto"/>
        </w:rPr>
      </w:pPr>
      <w:r>
        <w:rPr>
          <w:rFonts w:hint="eastAsia"/>
          <w:color w:val="auto"/>
        </w:rPr>
        <w:t>供应商：（公章）</w:t>
      </w:r>
    </w:p>
    <w:p>
      <w:pPr>
        <w:pageBreakBefore w:val="0"/>
        <w:kinsoku/>
        <w:overflowPunct/>
        <w:topLinePunct w:val="0"/>
        <w:bidi w:val="0"/>
        <w:spacing w:before="120" w:beforeLines="50" w:line="440" w:lineRule="exact"/>
        <w:ind w:left="460" w:leftChars="219"/>
        <w:outlineLvl w:val="9"/>
        <w:rPr>
          <w:color w:val="auto"/>
        </w:rPr>
      </w:pPr>
      <w:r>
        <w:rPr>
          <w:color w:val="auto"/>
        </w:rPr>
        <w:t>法定代表人或其授权代表：（</w:t>
      </w:r>
      <w:r>
        <w:rPr>
          <w:rFonts w:hint="eastAsia"/>
          <w:color w:val="auto"/>
        </w:rPr>
        <w:t>签字或加盖人名章</w:t>
      </w:r>
      <w:r>
        <w:rPr>
          <w:color w:val="auto"/>
        </w:rPr>
        <w:t>）</w:t>
      </w:r>
    </w:p>
    <w:p>
      <w:pPr>
        <w:pageBreakBefore w:val="0"/>
        <w:kinsoku/>
        <w:overflowPunct/>
        <w:topLinePunct w:val="0"/>
        <w:bidi w:val="0"/>
        <w:spacing w:before="120" w:beforeLines="50" w:line="440" w:lineRule="exact"/>
        <w:ind w:left="460" w:leftChars="219"/>
        <w:outlineLvl w:val="9"/>
        <w:rPr>
          <w:b/>
          <w:color w:val="auto"/>
          <w:sz w:val="24"/>
        </w:rPr>
      </w:pPr>
      <w:r>
        <w:rPr>
          <w:color w:val="auto"/>
        </w:rPr>
        <w:t>日期：</w:t>
      </w:r>
      <w:bookmarkStart w:id="211" w:name="_Toc414445769"/>
      <w:bookmarkStart w:id="212" w:name="_Toc416103819"/>
      <w:bookmarkStart w:id="213" w:name="_Toc410631178"/>
      <w:r>
        <w:rPr>
          <w:b/>
          <w:color w:val="auto"/>
          <w:sz w:val="24"/>
        </w:rPr>
        <w:br w:type="page"/>
      </w:r>
    </w:p>
    <w:bookmarkEnd w:id="211"/>
    <w:bookmarkEnd w:id="212"/>
    <w:bookmarkEnd w:id="213"/>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r>
        <w:rPr>
          <w:rFonts w:hint="eastAsia"/>
          <w:b/>
          <w:color w:val="auto"/>
          <w:sz w:val="24"/>
        </w:rPr>
        <w:t>资格证明文件</w:t>
      </w:r>
    </w:p>
    <w:p>
      <w:pPr>
        <w:pageBreakBefore w:val="0"/>
        <w:numPr>
          <w:ilvl w:val="1"/>
          <w:numId w:val="18"/>
        </w:numPr>
        <w:tabs>
          <w:tab w:val="left" w:pos="993"/>
          <w:tab w:val="left" w:pos="1030"/>
          <w:tab w:val="left" w:pos="8364"/>
          <w:tab w:val="clear" w:pos="780"/>
        </w:tabs>
        <w:kinsoku/>
        <w:overflowPunct/>
        <w:topLinePunct w:val="0"/>
        <w:bidi w:val="0"/>
        <w:snapToGrid w:val="0"/>
        <w:spacing w:after="120" w:afterLines="50"/>
        <w:ind w:left="993" w:right="-57" w:rightChars="-27" w:hanging="573"/>
        <w:jc w:val="left"/>
        <w:outlineLvl w:val="9"/>
        <w:rPr>
          <w:rFonts w:ascii="宋体" w:hAnsi="宋体"/>
          <w:color w:val="auto"/>
          <w:sz w:val="24"/>
        </w:rPr>
      </w:pPr>
      <w:r>
        <w:rPr>
          <w:rFonts w:hint="eastAsia" w:ascii="宋体" w:hAnsi="宋体"/>
          <w:color w:val="auto"/>
          <w:sz w:val="24"/>
        </w:rPr>
        <w:t>供应商的企业法人</w:t>
      </w:r>
      <w:r>
        <w:rPr>
          <w:rFonts w:ascii="宋体" w:hAnsi="宋体"/>
          <w:color w:val="auto"/>
          <w:sz w:val="24"/>
        </w:rPr>
        <w:t>营业执照</w:t>
      </w:r>
      <w:r>
        <w:rPr>
          <w:rFonts w:hint="eastAsia" w:ascii="宋体" w:hAnsi="宋体"/>
          <w:color w:val="auto"/>
          <w:sz w:val="24"/>
        </w:rPr>
        <w:t>副本复印件；</w:t>
      </w:r>
    </w:p>
    <w:p>
      <w:pPr>
        <w:pageBreakBefore w:val="0"/>
        <w:numPr>
          <w:ilvl w:val="1"/>
          <w:numId w:val="18"/>
        </w:numPr>
        <w:tabs>
          <w:tab w:val="left" w:pos="993"/>
          <w:tab w:val="left" w:pos="1030"/>
          <w:tab w:val="left" w:pos="8364"/>
          <w:tab w:val="clear" w:pos="780"/>
        </w:tabs>
        <w:kinsoku/>
        <w:overflowPunct/>
        <w:topLinePunct w:val="0"/>
        <w:bidi w:val="0"/>
        <w:snapToGrid w:val="0"/>
        <w:spacing w:after="120" w:afterLines="50"/>
        <w:ind w:left="993" w:right="-57" w:rightChars="-27" w:hanging="573"/>
        <w:jc w:val="left"/>
        <w:outlineLvl w:val="9"/>
        <w:rPr>
          <w:rFonts w:ascii="宋体" w:hAnsi="宋体"/>
          <w:color w:val="auto"/>
          <w:sz w:val="24"/>
        </w:rPr>
      </w:pPr>
      <w:r>
        <w:rPr>
          <w:rFonts w:hint="eastAsia" w:ascii="宋体" w:hAnsi="宋体"/>
          <w:color w:val="auto"/>
          <w:sz w:val="24"/>
        </w:rPr>
        <w:t>供应商</w:t>
      </w:r>
      <w:r>
        <w:rPr>
          <w:rFonts w:ascii="宋体" w:hAnsi="宋体"/>
          <w:color w:val="auto"/>
          <w:szCs w:val="21"/>
        </w:rPr>
        <w:t>经审计的财务报</w:t>
      </w:r>
      <w:r>
        <w:rPr>
          <w:rFonts w:hint="eastAsia" w:ascii="宋体" w:hAnsi="宋体"/>
          <w:color w:val="auto"/>
          <w:szCs w:val="21"/>
        </w:rPr>
        <w:t>告/或本年度基本开户银行出具的资信证明</w:t>
      </w:r>
      <w:r>
        <w:rPr>
          <w:rFonts w:hint="eastAsia" w:ascii="宋体" w:hAnsi="宋体"/>
          <w:color w:val="auto"/>
          <w:sz w:val="24"/>
        </w:rPr>
        <w:t>（格式要求见附件8-2）；</w:t>
      </w:r>
    </w:p>
    <w:p>
      <w:pPr>
        <w:pageBreakBefore w:val="0"/>
        <w:numPr>
          <w:ilvl w:val="1"/>
          <w:numId w:val="18"/>
        </w:numPr>
        <w:tabs>
          <w:tab w:val="left" w:pos="993"/>
          <w:tab w:val="left" w:pos="1030"/>
          <w:tab w:val="left" w:pos="8364"/>
          <w:tab w:val="clear" w:pos="780"/>
        </w:tabs>
        <w:kinsoku/>
        <w:overflowPunct/>
        <w:topLinePunct w:val="0"/>
        <w:bidi w:val="0"/>
        <w:snapToGrid w:val="0"/>
        <w:spacing w:after="120" w:afterLines="50"/>
        <w:ind w:left="993" w:right="-57" w:rightChars="-27" w:hanging="573"/>
        <w:jc w:val="left"/>
        <w:outlineLvl w:val="9"/>
        <w:rPr>
          <w:rFonts w:ascii="宋体" w:hAnsi="宋体"/>
          <w:color w:val="auto"/>
          <w:sz w:val="24"/>
        </w:rPr>
      </w:pPr>
      <w:r>
        <w:rPr>
          <w:rFonts w:hint="eastAsia" w:asciiTheme="minorEastAsia" w:hAnsiTheme="minorEastAsia" w:eastAsiaTheme="minorEastAsia"/>
          <w:color w:val="auto"/>
          <w:sz w:val="24"/>
        </w:rPr>
        <w:t>依法缴纳税收和社会保障资金的证明材料复印件</w:t>
      </w:r>
      <w:r>
        <w:rPr>
          <w:rFonts w:ascii="宋体" w:hAnsi="宋体"/>
          <w:color w:val="auto"/>
          <w:sz w:val="24"/>
        </w:rPr>
        <w:t>（格式见</w:t>
      </w:r>
      <w:r>
        <w:rPr>
          <w:rFonts w:hint="eastAsia" w:ascii="宋体" w:hAnsi="宋体"/>
          <w:color w:val="auto"/>
          <w:sz w:val="24"/>
        </w:rPr>
        <w:t>附件8-3、8-4）</w:t>
      </w:r>
    </w:p>
    <w:p>
      <w:pPr>
        <w:pageBreakBefore w:val="0"/>
        <w:numPr>
          <w:ilvl w:val="1"/>
          <w:numId w:val="18"/>
        </w:numPr>
        <w:tabs>
          <w:tab w:val="left" w:pos="993"/>
          <w:tab w:val="left" w:pos="1030"/>
          <w:tab w:val="left" w:pos="8364"/>
          <w:tab w:val="clear" w:pos="780"/>
        </w:tabs>
        <w:kinsoku/>
        <w:overflowPunct/>
        <w:topLinePunct w:val="0"/>
        <w:bidi w:val="0"/>
        <w:snapToGrid w:val="0"/>
        <w:spacing w:after="120" w:afterLines="50"/>
        <w:ind w:left="993" w:right="-57" w:rightChars="-27" w:hanging="573"/>
        <w:jc w:val="left"/>
        <w:outlineLvl w:val="9"/>
        <w:rPr>
          <w:rFonts w:ascii="宋体" w:hAnsi="宋体"/>
          <w:color w:val="auto"/>
          <w:sz w:val="24"/>
        </w:rPr>
      </w:pPr>
      <w:r>
        <w:rPr>
          <w:rFonts w:hint="eastAsia" w:ascii="宋体" w:hAnsi="宋体"/>
          <w:color w:val="auto"/>
          <w:sz w:val="24"/>
        </w:rPr>
        <w:t>具备履行合同所必需的设备和专业技术能力的承诺原件</w:t>
      </w:r>
      <w:r>
        <w:rPr>
          <w:rFonts w:ascii="宋体" w:hAnsi="宋体"/>
          <w:color w:val="auto"/>
          <w:sz w:val="24"/>
        </w:rPr>
        <w:t>（格式见</w:t>
      </w:r>
      <w:r>
        <w:rPr>
          <w:rFonts w:hint="eastAsia" w:ascii="宋体" w:hAnsi="宋体"/>
          <w:color w:val="auto"/>
          <w:sz w:val="24"/>
        </w:rPr>
        <w:t>附件8-5）；</w:t>
      </w:r>
    </w:p>
    <w:p>
      <w:pPr>
        <w:pageBreakBefore w:val="0"/>
        <w:numPr>
          <w:ilvl w:val="1"/>
          <w:numId w:val="18"/>
        </w:numPr>
        <w:tabs>
          <w:tab w:val="left" w:pos="993"/>
          <w:tab w:val="left" w:pos="1030"/>
          <w:tab w:val="left" w:pos="8364"/>
          <w:tab w:val="clear" w:pos="780"/>
        </w:tabs>
        <w:kinsoku/>
        <w:overflowPunct/>
        <w:topLinePunct w:val="0"/>
        <w:bidi w:val="0"/>
        <w:snapToGrid w:val="0"/>
        <w:spacing w:after="120" w:afterLines="50"/>
        <w:ind w:left="993" w:right="-57" w:rightChars="-27" w:hanging="573"/>
        <w:jc w:val="left"/>
        <w:outlineLvl w:val="9"/>
        <w:rPr>
          <w:rFonts w:ascii="宋体" w:hAnsi="宋体"/>
          <w:color w:val="auto"/>
          <w:sz w:val="24"/>
        </w:rPr>
      </w:pPr>
      <w:r>
        <w:rPr>
          <w:rFonts w:hint="eastAsia" w:ascii="宋体" w:hAnsi="宋体"/>
          <w:color w:val="auto"/>
          <w:sz w:val="24"/>
        </w:rPr>
        <w:t>供应商参加政府采购活动前3年内在经营活动中没有重大违法记录的书面声明原件</w:t>
      </w:r>
      <w:r>
        <w:rPr>
          <w:rFonts w:ascii="宋体" w:hAnsi="宋体"/>
          <w:color w:val="auto"/>
          <w:sz w:val="24"/>
        </w:rPr>
        <w:t>（格式见</w:t>
      </w:r>
      <w:r>
        <w:rPr>
          <w:rFonts w:hint="eastAsia" w:ascii="宋体" w:hAnsi="宋体"/>
          <w:color w:val="auto"/>
          <w:sz w:val="24"/>
        </w:rPr>
        <w:t>附件8-6）</w:t>
      </w:r>
    </w:p>
    <w:p>
      <w:pPr>
        <w:pageBreakBefore w:val="0"/>
        <w:numPr>
          <w:ilvl w:val="1"/>
          <w:numId w:val="18"/>
        </w:numPr>
        <w:tabs>
          <w:tab w:val="left" w:pos="993"/>
          <w:tab w:val="left" w:pos="1030"/>
          <w:tab w:val="left" w:pos="8364"/>
          <w:tab w:val="clear" w:pos="780"/>
        </w:tabs>
        <w:kinsoku/>
        <w:overflowPunct/>
        <w:topLinePunct w:val="0"/>
        <w:bidi w:val="0"/>
        <w:snapToGrid w:val="0"/>
        <w:spacing w:after="120" w:afterLines="50"/>
        <w:ind w:left="993" w:right="-57" w:rightChars="-27" w:hanging="573"/>
        <w:jc w:val="left"/>
        <w:outlineLvl w:val="9"/>
        <w:rPr>
          <w:rFonts w:ascii="宋体" w:hAnsi="宋体"/>
          <w:color w:val="auto"/>
          <w:sz w:val="24"/>
        </w:rPr>
      </w:pPr>
      <w:r>
        <w:rPr>
          <w:rFonts w:hint="eastAsia" w:ascii="宋体" w:hAnsi="宋体"/>
          <w:color w:val="auto"/>
          <w:sz w:val="24"/>
        </w:rPr>
        <w:t>供应商控股股东名称、控股公司的名称和存在管理、被管理关系的单位名称说明（格式见附件8-7)</w:t>
      </w:r>
    </w:p>
    <w:p>
      <w:pPr>
        <w:pageBreakBefore w:val="0"/>
        <w:numPr>
          <w:ilvl w:val="1"/>
          <w:numId w:val="18"/>
        </w:numPr>
        <w:tabs>
          <w:tab w:val="left" w:pos="993"/>
          <w:tab w:val="left" w:pos="1030"/>
          <w:tab w:val="left" w:pos="8364"/>
          <w:tab w:val="clear" w:pos="780"/>
        </w:tabs>
        <w:kinsoku/>
        <w:overflowPunct/>
        <w:topLinePunct w:val="0"/>
        <w:bidi w:val="0"/>
        <w:snapToGrid w:val="0"/>
        <w:spacing w:after="120" w:afterLines="50"/>
        <w:ind w:left="993" w:right="-57" w:rightChars="-27" w:hanging="573"/>
        <w:jc w:val="left"/>
        <w:outlineLvl w:val="9"/>
        <w:rPr>
          <w:rFonts w:ascii="宋体" w:hAnsi="宋体"/>
          <w:color w:val="auto"/>
          <w:sz w:val="24"/>
        </w:rPr>
      </w:pPr>
      <w:r>
        <w:rPr>
          <w:rFonts w:hint="eastAsia" w:ascii="宋体" w:hAnsi="宋体"/>
          <w:color w:val="auto"/>
          <w:sz w:val="24"/>
        </w:rPr>
        <w:t>供应商是否属于</w:t>
      </w:r>
      <w:r>
        <w:rPr>
          <w:rFonts w:hint="eastAsia" w:asciiTheme="minorEastAsia" w:hAnsiTheme="minorEastAsia" w:eastAsiaTheme="minorEastAsia"/>
          <w:color w:val="auto"/>
          <w:sz w:val="24"/>
        </w:rPr>
        <w:t>为本项目提供整体设计、规范编制或者项目管理、监理、检测等服务的供应商声明原件（格式见附件8-8)</w:t>
      </w:r>
    </w:p>
    <w:p>
      <w:pPr>
        <w:pageBreakBefore w:val="0"/>
        <w:numPr>
          <w:ilvl w:val="1"/>
          <w:numId w:val="18"/>
        </w:numPr>
        <w:tabs>
          <w:tab w:val="left" w:pos="993"/>
          <w:tab w:val="left" w:pos="1030"/>
          <w:tab w:val="left" w:pos="8364"/>
          <w:tab w:val="clear" w:pos="780"/>
        </w:tabs>
        <w:kinsoku/>
        <w:overflowPunct/>
        <w:topLinePunct w:val="0"/>
        <w:bidi w:val="0"/>
        <w:snapToGrid w:val="0"/>
        <w:spacing w:after="120" w:afterLines="50"/>
        <w:ind w:left="993" w:right="-57" w:rightChars="-27" w:hanging="573"/>
        <w:jc w:val="left"/>
        <w:outlineLvl w:val="9"/>
        <w:rPr>
          <w:rFonts w:ascii="宋体" w:hAnsi="宋体"/>
          <w:color w:val="auto"/>
          <w:sz w:val="24"/>
        </w:rPr>
      </w:pPr>
      <w:r>
        <w:rPr>
          <w:rFonts w:hint="eastAsia" w:ascii="宋体" w:hAnsi="宋体"/>
          <w:color w:val="auto"/>
          <w:sz w:val="24"/>
        </w:rPr>
        <w:t>联合体协议书原件（如联合体时提供）（格式见附件8-9)</w:t>
      </w:r>
    </w:p>
    <w:p>
      <w:pPr>
        <w:pageBreakBefore w:val="0"/>
        <w:kinsoku/>
        <w:overflowPunct/>
        <w:topLinePunct w:val="0"/>
        <w:bidi w:val="0"/>
        <w:adjustRightInd w:val="0"/>
        <w:spacing w:line="360" w:lineRule="auto"/>
        <w:ind w:firstLine="480" w:firstLineChars="200"/>
        <w:jc w:val="left"/>
        <w:textAlignment w:val="baseline"/>
        <w:outlineLvl w:val="9"/>
        <w:rPr>
          <w:rFonts w:ascii="宋体" w:hAnsi="宋体"/>
          <w:color w:val="auto"/>
          <w:sz w:val="24"/>
        </w:rPr>
      </w:pPr>
      <w:r>
        <w:rPr>
          <w:rFonts w:hint="eastAsia" w:ascii="宋体" w:hAnsi="宋体"/>
          <w:color w:val="auto"/>
          <w:sz w:val="24"/>
        </w:rPr>
        <w:t>以上提供的扫描件、复印件必须加盖供应商公章。</w:t>
      </w:r>
    </w:p>
    <w:p>
      <w:pPr>
        <w:pageBreakBefore w:val="0"/>
        <w:kinsoku/>
        <w:overflowPunct/>
        <w:topLinePunct w:val="0"/>
        <w:bidi w:val="0"/>
        <w:jc w:val="center"/>
        <w:outlineLvl w:val="9"/>
        <w:rPr>
          <w:color w:val="auto"/>
        </w:rPr>
      </w:pPr>
      <w:r>
        <w:rPr>
          <w:color w:val="auto"/>
        </w:rPr>
        <w:br w:type="page"/>
      </w:r>
      <w:bookmarkStart w:id="214" w:name="_Hlt520274121"/>
      <w:bookmarkEnd w:id="214"/>
    </w:p>
    <w:p>
      <w:pPr>
        <w:pageBreakBefore w:val="0"/>
        <w:kinsoku/>
        <w:overflowPunct/>
        <w:topLinePunct w:val="0"/>
        <w:bidi w:val="0"/>
        <w:jc w:val="center"/>
        <w:outlineLvl w:val="9"/>
        <w:rPr>
          <w:color w:val="auto"/>
          <w:spacing w:val="20"/>
          <w:sz w:val="30"/>
          <w:szCs w:val="30"/>
        </w:rPr>
      </w:pPr>
    </w:p>
    <w:p>
      <w:pPr>
        <w:pStyle w:val="427"/>
        <w:pageBreakBefore w:val="0"/>
        <w:numPr>
          <w:ilvl w:val="0"/>
          <w:numId w:val="19"/>
        </w:numPr>
        <w:kinsoku/>
        <w:overflowPunct/>
        <w:topLinePunct w:val="0"/>
        <w:bidi w:val="0"/>
        <w:ind w:firstLineChars="0"/>
        <w:jc w:val="left"/>
        <w:outlineLvl w:val="9"/>
        <w:rPr>
          <w:rFonts w:ascii="仿宋_GB2312" w:hAnsi="宋体" w:eastAsia="仿宋_GB2312"/>
          <w:b/>
          <w:color w:val="auto"/>
          <w:sz w:val="24"/>
        </w:rPr>
      </w:pPr>
      <w:bookmarkStart w:id="215" w:name="_Toc45099938"/>
      <w:r>
        <w:rPr>
          <w:rFonts w:hint="eastAsia" w:ascii="仿宋_GB2312" w:hAnsi="宋体" w:eastAsia="仿宋_GB2312"/>
          <w:b/>
          <w:color w:val="auto"/>
          <w:sz w:val="24"/>
        </w:rPr>
        <w:t>供应商的企业法人营业执照副本复印件（加盖公章）</w:t>
      </w:r>
      <w:bookmarkEnd w:id="215"/>
    </w:p>
    <w:p>
      <w:pPr>
        <w:pageBreakBefore w:val="0"/>
        <w:kinsoku/>
        <w:overflowPunct/>
        <w:topLinePunct w:val="0"/>
        <w:bidi w:val="0"/>
        <w:jc w:val="left"/>
        <w:outlineLvl w:val="9"/>
        <w:rPr>
          <w:rFonts w:ascii="仿宋_GB2312" w:hAnsi="宋体" w:eastAsia="仿宋_GB2312"/>
          <w:color w:val="auto"/>
          <w:sz w:val="24"/>
        </w:rPr>
      </w:pPr>
    </w:p>
    <w:p>
      <w:pPr>
        <w:pageBreakBefore w:val="0"/>
        <w:kinsoku/>
        <w:overflowPunct/>
        <w:topLinePunct w:val="0"/>
        <w:bidi w:val="0"/>
        <w:jc w:val="left"/>
        <w:outlineLvl w:val="9"/>
        <w:rPr>
          <w:rFonts w:ascii="仿宋_GB2312" w:hAnsi="宋体" w:eastAsia="仿宋_GB2312"/>
          <w:color w:val="auto"/>
          <w:sz w:val="24"/>
        </w:rPr>
      </w:pPr>
      <w:r>
        <w:rPr>
          <w:rFonts w:hint="eastAsia" w:ascii="仿宋_GB2312" w:hAnsi="宋体" w:eastAsia="仿宋_GB2312"/>
          <w:color w:val="auto"/>
          <w:sz w:val="24"/>
        </w:rPr>
        <w:t>（注：根据项目实际情况，本项内容可能要求提供“事业单位法人证书”、执业许可证、自然人身份证明等证明材料）</w:t>
      </w:r>
    </w:p>
    <w:p>
      <w:pPr>
        <w:pageBreakBefore w:val="0"/>
        <w:kinsoku/>
        <w:overflowPunct/>
        <w:topLinePunct w:val="0"/>
        <w:bidi w:val="0"/>
        <w:adjustRightInd w:val="0"/>
        <w:spacing w:line="360" w:lineRule="atLeast"/>
        <w:jc w:val="left"/>
        <w:textAlignment w:val="baseline"/>
        <w:outlineLvl w:val="9"/>
        <w:rPr>
          <w:b/>
          <w:color w:val="auto"/>
          <w:sz w:val="28"/>
        </w:rPr>
      </w:pPr>
      <w:r>
        <w:rPr>
          <w:b/>
          <w:color w:val="auto"/>
        </w:rPr>
        <w:br w:type="page"/>
      </w:r>
    </w:p>
    <w:bookmarkEnd w:id="209"/>
    <w:p>
      <w:pPr>
        <w:pStyle w:val="427"/>
        <w:pageBreakBefore w:val="0"/>
        <w:numPr>
          <w:ilvl w:val="0"/>
          <w:numId w:val="19"/>
        </w:numPr>
        <w:kinsoku/>
        <w:overflowPunct/>
        <w:topLinePunct w:val="0"/>
        <w:bidi w:val="0"/>
        <w:ind w:firstLineChars="0"/>
        <w:jc w:val="left"/>
        <w:outlineLvl w:val="9"/>
        <w:rPr>
          <w:rFonts w:ascii="仿宋_GB2312" w:hAnsi="宋体" w:eastAsia="仿宋_GB2312"/>
          <w:b/>
          <w:color w:val="auto"/>
          <w:sz w:val="24"/>
        </w:rPr>
      </w:pPr>
      <w:r>
        <w:rPr>
          <w:rFonts w:ascii="宋体" w:hAnsi="宋体"/>
          <w:color w:val="auto"/>
          <w:szCs w:val="21"/>
        </w:rPr>
        <w:t>经审计的财务报</w:t>
      </w:r>
      <w:r>
        <w:rPr>
          <w:rFonts w:hint="eastAsia" w:ascii="宋体" w:hAnsi="宋体"/>
          <w:color w:val="auto"/>
          <w:szCs w:val="21"/>
        </w:rPr>
        <w:t>告</w:t>
      </w:r>
    </w:p>
    <w:p>
      <w:pPr>
        <w:pageBreakBefore w:val="0"/>
        <w:kinsoku/>
        <w:overflowPunct/>
        <w:topLinePunct w:val="0"/>
        <w:bidi w:val="0"/>
        <w:spacing w:line="360" w:lineRule="auto"/>
        <w:outlineLvl w:val="9"/>
        <w:rPr>
          <w:color w:val="auto"/>
          <w:szCs w:val="21"/>
        </w:rPr>
      </w:pPr>
    </w:p>
    <w:p>
      <w:pPr>
        <w:pageBreakBefore w:val="0"/>
        <w:kinsoku/>
        <w:overflowPunct/>
        <w:topLinePunct w:val="0"/>
        <w:bidi w:val="0"/>
        <w:spacing w:line="360" w:lineRule="auto"/>
        <w:ind w:right="155"/>
        <w:outlineLvl w:val="9"/>
        <w:rPr>
          <w:rFonts w:hAnsi="宋体"/>
          <w:color w:val="auto"/>
          <w:szCs w:val="21"/>
        </w:rPr>
      </w:pPr>
      <w:r>
        <w:rPr>
          <w:rFonts w:hint="eastAsia"/>
          <w:color w:val="auto"/>
          <w:szCs w:val="21"/>
        </w:rPr>
        <w:t>提供供应商</w:t>
      </w:r>
      <w:r>
        <w:rPr>
          <w:rFonts w:ascii="宋体" w:hAnsi="宋体"/>
          <w:color w:val="auto"/>
          <w:szCs w:val="21"/>
        </w:rPr>
        <w:t>经审计的财务报</w:t>
      </w:r>
      <w:r>
        <w:rPr>
          <w:rFonts w:hint="eastAsia" w:ascii="宋体" w:hAnsi="宋体"/>
          <w:color w:val="auto"/>
          <w:szCs w:val="21"/>
        </w:rPr>
        <w:t>告</w:t>
      </w:r>
      <w:r>
        <w:rPr>
          <w:rFonts w:hint="eastAsia"/>
          <w:color w:val="auto"/>
          <w:szCs w:val="21"/>
        </w:rPr>
        <w:t>复印件或扫描件、</w:t>
      </w:r>
      <w:r>
        <w:rPr>
          <w:color w:val="auto"/>
        </w:rPr>
        <w:t>所有复印件或扫描件需加盖单位公章</w:t>
      </w:r>
      <w:r>
        <w:rPr>
          <w:rFonts w:hint="eastAsia"/>
          <w:color w:val="auto"/>
          <w:szCs w:val="21"/>
        </w:rPr>
        <w:t>。</w:t>
      </w:r>
    </w:p>
    <w:p>
      <w:pPr>
        <w:pageBreakBefore w:val="0"/>
        <w:tabs>
          <w:tab w:val="left" w:pos="993"/>
          <w:tab w:val="left" w:pos="1030"/>
          <w:tab w:val="left" w:pos="8364"/>
        </w:tabs>
        <w:kinsoku/>
        <w:overflowPunct/>
        <w:topLinePunct w:val="0"/>
        <w:bidi w:val="0"/>
        <w:snapToGrid w:val="0"/>
        <w:spacing w:after="120" w:afterLines="50"/>
        <w:ind w:left="420" w:right="-57" w:rightChars="-27"/>
        <w:jc w:val="left"/>
        <w:outlineLvl w:val="9"/>
        <w:rPr>
          <w:b/>
          <w:color w:val="auto"/>
          <w:spacing w:val="20"/>
          <w:sz w:val="24"/>
        </w:rPr>
      </w:pPr>
    </w:p>
    <w:p>
      <w:pPr>
        <w:pStyle w:val="427"/>
        <w:pageBreakBefore w:val="0"/>
        <w:numPr>
          <w:ilvl w:val="0"/>
          <w:numId w:val="20"/>
        </w:numPr>
        <w:kinsoku/>
        <w:overflowPunct/>
        <w:topLinePunct w:val="0"/>
        <w:bidi w:val="0"/>
        <w:ind w:firstLineChars="0"/>
        <w:jc w:val="left"/>
        <w:outlineLvl w:val="9"/>
        <w:rPr>
          <w:rFonts w:ascii="仿宋_GB2312" w:hAnsi="宋体" w:eastAsia="仿宋_GB2312"/>
          <w:b/>
          <w:color w:val="auto"/>
          <w:sz w:val="24"/>
        </w:rPr>
      </w:pPr>
      <w:bookmarkStart w:id="216" w:name="_Toc45099940"/>
      <w:r>
        <w:rPr>
          <w:rFonts w:hint="eastAsia" w:ascii="仿宋_GB2312" w:hAnsi="宋体" w:eastAsia="仿宋_GB2312"/>
          <w:b/>
          <w:color w:val="auto"/>
          <w:sz w:val="24"/>
        </w:rPr>
        <w:t>本年度基本开户银行出具的资信证明</w:t>
      </w:r>
      <w:bookmarkEnd w:id="216"/>
    </w:p>
    <w:p>
      <w:pPr>
        <w:pageBreakBefore w:val="0"/>
        <w:kinsoku/>
        <w:overflowPunct/>
        <w:topLinePunct w:val="0"/>
        <w:bidi w:val="0"/>
        <w:jc w:val="center"/>
        <w:outlineLvl w:val="9"/>
        <w:rPr>
          <w:rFonts w:ascii="仿宋_GB2312" w:hAnsi="宋体" w:eastAsia="仿宋_GB2312"/>
          <w:b/>
          <w:color w:val="auto"/>
          <w:sz w:val="24"/>
        </w:rPr>
      </w:pPr>
    </w:p>
    <w:p>
      <w:pPr>
        <w:pageBreakBefore w:val="0"/>
        <w:kinsoku/>
        <w:overflowPunct/>
        <w:topLinePunct w:val="0"/>
        <w:bidi w:val="0"/>
        <w:spacing w:line="360" w:lineRule="auto"/>
        <w:outlineLvl w:val="9"/>
        <w:rPr>
          <w:color w:val="auto"/>
          <w:szCs w:val="21"/>
        </w:rPr>
      </w:pPr>
    </w:p>
    <w:p>
      <w:pPr>
        <w:pageBreakBefore w:val="0"/>
        <w:kinsoku/>
        <w:overflowPunct/>
        <w:topLinePunct w:val="0"/>
        <w:bidi w:val="0"/>
        <w:spacing w:line="360" w:lineRule="auto"/>
        <w:outlineLvl w:val="9"/>
        <w:rPr>
          <w:color w:val="auto"/>
          <w:szCs w:val="21"/>
        </w:rPr>
      </w:pPr>
      <w:r>
        <w:rPr>
          <w:rFonts w:hint="eastAsia"/>
          <w:color w:val="auto"/>
          <w:szCs w:val="21"/>
        </w:rPr>
        <w:t>注：</w:t>
      </w:r>
      <w:r>
        <w:rPr>
          <w:rFonts w:hint="eastAsia" w:ascii="宋体"/>
          <w:bCs/>
          <w:color w:val="auto"/>
          <w:szCs w:val="21"/>
        </w:rPr>
        <w:t>附基本帐户的“银行开户许可证”的复印件。</w:t>
      </w:r>
    </w:p>
    <w:p>
      <w:pPr>
        <w:pageBreakBefore w:val="0"/>
        <w:widowControl/>
        <w:kinsoku/>
        <w:overflowPunct/>
        <w:topLinePunct w:val="0"/>
        <w:bidi w:val="0"/>
        <w:jc w:val="left"/>
        <w:outlineLvl w:val="9"/>
        <w:rPr>
          <w:b/>
          <w:color w:val="auto"/>
          <w:spacing w:val="20"/>
          <w:sz w:val="24"/>
        </w:rPr>
      </w:pPr>
      <w:r>
        <w:rPr>
          <w:b/>
          <w:color w:val="auto"/>
          <w:spacing w:val="20"/>
          <w:sz w:val="24"/>
        </w:rPr>
        <w:br w:type="page"/>
      </w:r>
    </w:p>
    <w:p>
      <w:pPr>
        <w:pStyle w:val="427"/>
        <w:pageBreakBefore w:val="0"/>
        <w:numPr>
          <w:ilvl w:val="0"/>
          <w:numId w:val="20"/>
        </w:numPr>
        <w:kinsoku/>
        <w:overflowPunct/>
        <w:topLinePunct w:val="0"/>
        <w:bidi w:val="0"/>
        <w:ind w:firstLineChars="0"/>
        <w:jc w:val="left"/>
        <w:outlineLvl w:val="9"/>
        <w:rPr>
          <w:rFonts w:ascii="仿宋_GB2312" w:hAnsi="宋体" w:eastAsia="仿宋_GB2312"/>
          <w:b/>
          <w:color w:val="auto"/>
          <w:sz w:val="24"/>
        </w:rPr>
      </w:pPr>
      <w:bookmarkStart w:id="217" w:name="_Toc45099941"/>
      <w:r>
        <w:rPr>
          <w:rFonts w:hint="eastAsia" w:ascii="仿宋_GB2312" w:hAnsi="宋体" w:eastAsia="仿宋_GB2312"/>
          <w:b/>
          <w:color w:val="auto"/>
          <w:sz w:val="24"/>
        </w:rPr>
        <w:t>依法缴纳税收的证明</w:t>
      </w:r>
      <w:bookmarkEnd w:id="217"/>
    </w:p>
    <w:p>
      <w:pPr>
        <w:pageBreakBefore w:val="0"/>
        <w:tabs>
          <w:tab w:val="left" w:pos="993"/>
          <w:tab w:val="left" w:pos="1030"/>
          <w:tab w:val="left" w:pos="8364"/>
        </w:tabs>
        <w:kinsoku/>
        <w:overflowPunct/>
        <w:topLinePunct w:val="0"/>
        <w:bidi w:val="0"/>
        <w:snapToGrid w:val="0"/>
        <w:spacing w:after="120" w:afterLines="50"/>
        <w:ind w:left="420" w:right="-57" w:rightChars="-27" w:firstLine="480" w:firstLineChars="200"/>
        <w:jc w:val="left"/>
        <w:outlineLvl w:val="9"/>
        <w:rPr>
          <w:rFonts w:asciiTheme="minorEastAsia" w:hAnsiTheme="minorEastAsia" w:eastAsiaTheme="minorEastAsia"/>
          <w:color w:val="auto"/>
          <w:sz w:val="24"/>
        </w:rPr>
      </w:pPr>
    </w:p>
    <w:p>
      <w:pPr>
        <w:pageBreakBefore w:val="0"/>
        <w:tabs>
          <w:tab w:val="left" w:pos="993"/>
          <w:tab w:val="left" w:pos="1030"/>
          <w:tab w:val="left" w:pos="8364"/>
        </w:tabs>
        <w:kinsoku/>
        <w:overflowPunct/>
        <w:topLinePunct w:val="0"/>
        <w:bidi w:val="0"/>
        <w:snapToGrid w:val="0"/>
        <w:spacing w:after="120" w:afterLines="50"/>
        <w:ind w:left="420" w:right="-57" w:rightChars="-27" w:firstLine="480" w:firstLineChars="200"/>
        <w:jc w:val="left"/>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说明：</w:t>
      </w:r>
    </w:p>
    <w:p>
      <w:pPr>
        <w:pageBreakBefore w:val="0"/>
        <w:tabs>
          <w:tab w:val="left" w:pos="993"/>
          <w:tab w:val="left" w:pos="1030"/>
          <w:tab w:val="left" w:pos="8364"/>
        </w:tabs>
        <w:kinsoku/>
        <w:overflowPunct/>
        <w:topLinePunct w:val="0"/>
        <w:bidi w:val="0"/>
        <w:snapToGrid w:val="0"/>
        <w:spacing w:after="120" w:afterLines="50"/>
        <w:ind w:left="420" w:right="-57" w:rightChars="-27" w:firstLine="480" w:firstLineChars="200"/>
        <w:jc w:val="left"/>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1、供应商应提供近六个月中任何一个月缴纳增值税和企业所得税的凭证（银行出具的缴税凭证或税务机关出具的证明的复印件，并加盖本单位公章）。</w:t>
      </w:r>
    </w:p>
    <w:p>
      <w:pPr>
        <w:pageBreakBefore w:val="0"/>
        <w:tabs>
          <w:tab w:val="left" w:pos="993"/>
          <w:tab w:val="left" w:pos="1030"/>
          <w:tab w:val="left" w:pos="8364"/>
        </w:tabs>
        <w:kinsoku/>
        <w:overflowPunct/>
        <w:topLinePunct w:val="0"/>
        <w:bidi w:val="0"/>
        <w:snapToGrid w:val="0"/>
        <w:spacing w:after="120" w:afterLines="50"/>
        <w:ind w:right="-57" w:rightChars="-27"/>
        <w:jc w:val="left"/>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2、依法免税的供应商，应提供相应文件证明其依法免税。</w:t>
      </w:r>
    </w:p>
    <w:p>
      <w:pPr>
        <w:pageBreakBefore w:val="0"/>
        <w:tabs>
          <w:tab w:val="left" w:pos="993"/>
          <w:tab w:val="left" w:pos="1030"/>
          <w:tab w:val="left" w:pos="8364"/>
        </w:tabs>
        <w:kinsoku/>
        <w:overflowPunct/>
        <w:topLinePunct w:val="0"/>
        <w:bidi w:val="0"/>
        <w:snapToGrid w:val="0"/>
        <w:spacing w:after="120" w:afterLines="50"/>
        <w:ind w:left="420" w:right="-57" w:rightChars="-27" w:firstLine="480" w:firstLineChars="200"/>
        <w:jc w:val="left"/>
        <w:outlineLvl w:val="9"/>
        <w:rPr>
          <w:rFonts w:asciiTheme="minorEastAsia" w:hAnsiTheme="minorEastAsia" w:eastAsiaTheme="minorEastAsia"/>
          <w:color w:val="auto"/>
          <w:sz w:val="24"/>
        </w:rPr>
      </w:pPr>
    </w:p>
    <w:p>
      <w:pPr>
        <w:pStyle w:val="427"/>
        <w:pageBreakBefore w:val="0"/>
        <w:numPr>
          <w:ilvl w:val="0"/>
          <w:numId w:val="20"/>
        </w:numPr>
        <w:kinsoku/>
        <w:overflowPunct/>
        <w:topLinePunct w:val="0"/>
        <w:bidi w:val="0"/>
        <w:ind w:firstLineChars="0"/>
        <w:jc w:val="left"/>
        <w:outlineLvl w:val="9"/>
        <w:rPr>
          <w:rFonts w:ascii="仿宋_GB2312" w:hAnsi="宋体" w:eastAsia="仿宋_GB2312"/>
          <w:b/>
          <w:color w:val="auto"/>
          <w:sz w:val="24"/>
        </w:rPr>
      </w:pPr>
      <w:bookmarkStart w:id="218" w:name="_Toc45099942"/>
      <w:r>
        <w:rPr>
          <w:rFonts w:hint="eastAsia" w:ascii="仿宋_GB2312" w:hAnsi="宋体" w:eastAsia="仿宋_GB2312"/>
          <w:b/>
          <w:color w:val="auto"/>
          <w:sz w:val="24"/>
        </w:rPr>
        <w:t>社会保障资金缴纳记录</w:t>
      </w:r>
      <w:bookmarkEnd w:id="218"/>
    </w:p>
    <w:p>
      <w:pPr>
        <w:pageBreakBefore w:val="0"/>
        <w:tabs>
          <w:tab w:val="left" w:pos="993"/>
          <w:tab w:val="left" w:pos="1030"/>
          <w:tab w:val="left" w:pos="8364"/>
        </w:tabs>
        <w:kinsoku/>
        <w:overflowPunct/>
        <w:topLinePunct w:val="0"/>
        <w:bidi w:val="0"/>
        <w:snapToGrid w:val="0"/>
        <w:spacing w:after="120" w:afterLines="50"/>
        <w:ind w:left="420" w:leftChars="200" w:right="-57" w:rightChars="-27"/>
        <w:jc w:val="left"/>
        <w:outlineLvl w:val="9"/>
        <w:rPr>
          <w:rFonts w:asciiTheme="minorEastAsia" w:hAnsiTheme="minorEastAsia" w:eastAsiaTheme="minorEastAsia"/>
          <w:color w:val="auto"/>
          <w:sz w:val="24"/>
        </w:rPr>
      </w:pPr>
    </w:p>
    <w:p>
      <w:pPr>
        <w:pageBreakBefore w:val="0"/>
        <w:tabs>
          <w:tab w:val="left" w:pos="993"/>
          <w:tab w:val="left" w:pos="1030"/>
          <w:tab w:val="left" w:pos="8364"/>
        </w:tabs>
        <w:kinsoku/>
        <w:overflowPunct/>
        <w:topLinePunct w:val="0"/>
        <w:bidi w:val="0"/>
        <w:snapToGrid w:val="0"/>
        <w:spacing w:after="120" w:afterLines="50"/>
        <w:ind w:left="420" w:leftChars="200" w:right="-57" w:rightChars="-27"/>
        <w:jc w:val="left"/>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说明：</w:t>
      </w:r>
    </w:p>
    <w:p>
      <w:pPr>
        <w:pageBreakBefore w:val="0"/>
        <w:numPr>
          <w:ilvl w:val="0"/>
          <w:numId w:val="21"/>
        </w:numPr>
        <w:tabs>
          <w:tab w:val="left" w:pos="993"/>
          <w:tab w:val="left" w:pos="1030"/>
          <w:tab w:val="left" w:pos="8364"/>
        </w:tabs>
        <w:kinsoku/>
        <w:overflowPunct/>
        <w:topLinePunct w:val="0"/>
        <w:bidi w:val="0"/>
        <w:snapToGrid w:val="0"/>
        <w:spacing w:after="120" w:afterLines="50"/>
        <w:ind w:left="420" w:leftChars="200" w:right="-57" w:rightChars="-27"/>
        <w:jc w:val="left"/>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供应商应提供近六个月中至少一个月的社会缴纳社会保险的凭据（专用收据或社会保险缴纳清单），并加盖本单位公章。</w:t>
      </w:r>
    </w:p>
    <w:p>
      <w:pPr>
        <w:pageBreakBefore w:val="0"/>
        <w:numPr>
          <w:ilvl w:val="0"/>
          <w:numId w:val="21"/>
        </w:numPr>
        <w:tabs>
          <w:tab w:val="left" w:pos="993"/>
          <w:tab w:val="left" w:pos="1030"/>
          <w:tab w:val="left" w:pos="8364"/>
        </w:tabs>
        <w:kinsoku/>
        <w:overflowPunct/>
        <w:topLinePunct w:val="0"/>
        <w:bidi w:val="0"/>
        <w:snapToGrid w:val="0"/>
        <w:spacing w:after="120" w:afterLines="50"/>
        <w:ind w:left="420" w:leftChars="200" w:right="-57" w:rightChars="-27"/>
        <w:jc w:val="left"/>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不需要缴纳社会保障资金的供应商，应提供相应文件证明其不需要缴纳社会保障资金。</w:t>
      </w:r>
    </w:p>
    <w:p>
      <w:pPr>
        <w:pageBreakBefore w:val="0"/>
        <w:tabs>
          <w:tab w:val="left" w:pos="5580"/>
        </w:tabs>
        <w:kinsoku/>
        <w:overflowPunct/>
        <w:topLinePunct w:val="0"/>
        <w:bidi w:val="0"/>
        <w:spacing w:before="120" w:line="360" w:lineRule="auto"/>
        <w:ind w:firstLine="480" w:firstLineChars="200"/>
        <w:outlineLvl w:val="9"/>
        <w:rPr>
          <w:rFonts w:asciiTheme="minorEastAsia" w:hAnsiTheme="minorEastAsia" w:eastAsiaTheme="minorEastAsia"/>
          <w:color w:val="auto"/>
          <w:sz w:val="24"/>
        </w:rPr>
      </w:pPr>
      <w:r>
        <w:rPr>
          <w:rFonts w:asciiTheme="minorEastAsia" w:hAnsiTheme="minorEastAsia" w:eastAsiaTheme="minorEastAsia"/>
          <w:color w:val="auto"/>
          <w:sz w:val="24"/>
        </w:rPr>
        <w:br w:type="page"/>
      </w:r>
    </w:p>
    <w:p>
      <w:pPr>
        <w:pStyle w:val="427"/>
        <w:pageBreakBefore w:val="0"/>
        <w:numPr>
          <w:ilvl w:val="0"/>
          <w:numId w:val="20"/>
        </w:numPr>
        <w:kinsoku/>
        <w:overflowPunct/>
        <w:topLinePunct w:val="0"/>
        <w:bidi w:val="0"/>
        <w:ind w:firstLineChars="0"/>
        <w:jc w:val="left"/>
        <w:outlineLvl w:val="9"/>
        <w:rPr>
          <w:rFonts w:ascii="仿宋_GB2312" w:hAnsi="宋体" w:eastAsia="仿宋_GB2312"/>
          <w:b/>
          <w:color w:val="auto"/>
          <w:sz w:val="24"/>
        </w:rPr>
      </w:pPr>
      <w:bookmarkStart w:id="219" w:name="_Toc45099943"/>
      <w:r>
        <w:rPr>
          <w:rFonts w:ascii="仿宋_GB2312" w:hAnsi="宋体" w:eastAsia="仿宋_GB2312"/>
          <w:b/>
          <w:color w:val="auto"/>
          <w:sz w:val="24"/>
        </w:rPr>
        <w:t>具</w:t>
      </w:r>
      <w:r>
        <w:rPr>
          <w:rFonts w:hint="eastAsia" w:ascii="仿宋_GB2312" w:hAnsi="宋体" w:eastAsia="仿宋_GB2312"/>
          <w:b/>
          <w:color w:val="auto"/>
          <w:sz w:val="24"/>
        </w:rPr>
        <w:t>备</w:t>
      </w:r>
      <w:r>
        <w:rPr>
          <w:rFonts w:ascii="仿宋_GB2312" w:hAnsi="宋体" w:eastAsia="仿宋_GB2312"/>
          <w:b/>
          <w:color w:val="auto"/>
          <w:sz w:val="24"/>
        </w:rPr>
        <w:t>履行合同所必需的设备和专业技术能力</w:t>
      </w:r>
      <w:r>
        <w:rPr>
          <w:rFonts w:hint="eastAsia" w:ascii="仿宋_GB2312" w:hAnsi="宋体" w:eastAsia="仿宋_GB2312"/>
          <w:b/>
          <w:color w:val="auto"/>
          <w:sz w:val="24"/>
        </w:rPr>
        <w:t>承诺书</w:t>
      </w:r>
      <w:bookmarkEnd w:id="219"/>
    </w:p>
    <w:p>
      <w:pPr>
        <w:pageBreakBefore w:val="0"/>
        <w:kinsoku/>
        <w:overflowPunct/>
        <w:topLinePunct w:val="0"/>
        <w:bidi w:val="0"/>
        <w:ind w:firstLine="480"/>
        <w:outlineLvl w:val="9"/>
        <w:rPr>
          <w:rFonts w:cs="宋体" w:asciiTheme="minorEastAsia" w:hAnsiTheme="minorEastAsia" w:eastAsiaTheme="minorEastAsia"/>
          <w:color w:val="auto"/>
          <w:kern w:val="0"/>
          <w:sz w:val="24"/>
        </w:rPr>
      </w:pPr>
    </w:p>
    <w:p>
      <w:pPr>
        <w:pageBreakBefore w:val="0"/>
        <w:kinsoku/>
        <w:overflowPunct/>
        <w:topLinePunct w:val="0"/>
        <w:bidi w:val="0"/>
        <w:ind w:firstLine="480"/>
        <w:outlineLvl w:val="9"/>
        <w:rPr>
          <w:rFonts w:cs="宋体" w:asciiTheme="minorEastAsia" w:hAnsiTheme="minorEastAsia" w:eastAsiaTheme="minorEastAsia"/>
          <w:color w:val="auto"/>
          <w:kern w:val="0"/>
          <w:sz w:val="24"/>
        </w:rPr>
      </w:pPr>
    </w:p>
    <w:p>
      <w:pPr>
        <w:pageBreakBefore w:val="0"/>
        <w:kinsoku/>
        <w:overflowPunct/>
        <w:topLinePunct w:val="0"/>
        <w:bidi w:val="0"/>
        <w:outlineLvl w:val="9"/>
        <w:rPr>
          <w:rFonts w:cs="宋体" w:asciiTheme="minorEastAsia" w:hAnsiTheme="minorEastAsia" w:eastAsiaTheme="minorEastAsia"/>
          <w:color w:val="auto"/>
          <w:kern w:val="0"/>
          <w:sz w:val="24"/>
          <w:u w:val="single"/>
        </w:rPr>
      </w:pPr>
      <w:r>
        <w:rPr>
          <w:rFonts w:hint="eastAsia" w:cs="宋体" w:asciiTheme="minorEastAsia" w:hAnsiTheme="minorEastAsia" w:eastAsiaTheme="minorEastAsia"/>
          <w:color w:val="auto"/>
          <w:kern w:val="0"/>
          <w:sz w:val="24"/>
          <w:u w:val="single"/>
        </w:rPr>
        <w:t xml:space="preserve">(采购人名称)      </w:t>
      </w:r>
    </w:p>
    <w:p>
      <w:pPr>
        <w:pageBreakBefore w:val="0"/>
        <w:kinsoku/>
        <w:overflowPunct/>
        <w:topLinePunct w:val="0"/>
        <w:bidi w:val="0"/>
        <w:ind w:firstLine="480"/>
        <w:outlineLvl w:val="9"/>
        <w:rPr>
          <w:rFonts w:cs="宋体" w:asciiTheme="minorEastAsia" w:hAnsiTheme="minorEastAsia" w:eastAsiaTheme="minorEastAsia"/>
          <w:color w:val="auto"/>
          <w:kern w:val="0"/>
          <w:sz w:val="24"/>
        </w:rPr>
      </w:pPr>
    </w:p>
    <w:p>
      <w:pPr>
        <w:pageBreakBefore w:val="0"/>
        <w:kinsoku/>
        <w:overflowPunct/>
        <w:topLinePunct w:val="0"/>
        <w:bidi w:val="0"/>
        <w:ind w:firstLine="480"/>
        <w:outlineLvl w:val="9"/>
        <w:rPr>
          <w:rFonts w:cs="宋体" w:asciiTheme="minorEastAsia" w:hAnsiTheme="minorEastAsia" w:eastAsiaTheme="minorEastAsia"/>
          <w:color w:val="auto"/>
          <w:kern w:val="0"/>
          <w:sz w:val="24"/>
        </w:rPr>
      </w:pPr>
      <w:r>
        <w:rPr>
          <w:rFonts w:hint="eastAsia" w:cs="宋体" w:asciiTheme="minorEastAsia" w:hAnsiTheme="minorEastAsia" w:eastAsiaTheme="minorEastAsia"/>
          <w:color w:val="auto"/>
          <w:kern w:val="0"/>
          <w:sz w:val="24"/>
        </w:rPr>
        <w:t>我公司承诺</w:t>
      </w:r>
      <w:r>
        <w:rPr>
          <w:rFonts w:asciiTheme="minorEastAsia" w:hAnsiTheme="minorEastAsia" w:eastAsiaTheme="minorEastAsia"/>
          <w:color w:val="auto"/>
          <w:sz w:val="24"/>
        </w:rPr>
        <w:t>具</w:t>
      </w:r>
      <w:r>
        <w:rPr>
          <w:rFonts w:hint="eastAsia" w:asciiTheme="minorEastAsia" w:hAnsiTheme="minorEastAsia" w:eastAsiaTheme="minorEastAsia"/>
          <w:color w:val="auto"/>
          <w:sz w:val="24"/>
        </w:rPr>
        <w:t>备</w:t>
      </w:r>
      <w:r>
        <w:rPr>
          <w:rFonts w:asciiTheme="minorEastAsia" w:hAnsiTheme="minorEastAsia" w:eastAsiaTheme="minorEastAsia"/>
          <w:color w:val="auto"/>
          <w:sz w:val="24"/>
        </w:rPr>
        <w:t>履行合同所必需的设备和专业技术能力</w:t>
      </w:r>
      <w:r>
        <w:rPr>
          <w:rFonts w:hint="eastAsia" w:cs="宋体" w:asciiTheme="minorEastAsia" w:hAnsiTheme="minorEastAsia" w:eastAsiaTheme="minorEastAsia"/>
          <w:color w:val="auto"/>
          <w:kern w:val="0"/>
          <w:sz w:val="24"/>
        </w:rPr>
        <w:t>。</w:t>
      </w:r>
    </w:p>
    <w:p>
      <w:pPr>
        <w:pageBreakBefore w:val="0"/>
        <w:kinsoku/>
        <w:overflowPunct/>
        <w:topLinePunct w:val="0"/>
        <w:bidi w:val="0"/>
        <w:ind w:firstLine="480"/>
        <w:outlineLvl w:val="9"/>
        <w:rPr>
          <w:rFonts w:asciiTheme="minorEastAsia" w:hAnsiTheme="minorEastAsia" w:eastAsiaTheme="minorEastAsia"/>
          <w:b/>
          <w:color w:val="auto"/>
          <w:sz w:val="24"/>
        </w:rPr>
      </w:pPr>
    </w:p>
    <w:p>
      <w:pPr>
        <w:pageBreakBefore w:val="0"/>
        <w:kinsoku/>
        <w:overflowPunct/>
        <w:topLinePunct w:val="0"/>
        <w:bidi w:val="0"/>
        <w:ind w:firstLine="480"/>
        <w:outlineLvl w:val="9"/>
        <w:rPr>
          <w:rFonts w:asciiTheme="minorEastAsia" w:hAnsiTheme="minorEastAsia" w:eastAsiaTheme="minorEastAsia"/>
          <w:b/>
          <w:color w:val="auto"/>
          <w:sz w:val="24"/>
        </w:rPr>
      </w:pPr>
    </w:p>
    <w:p>
      <w:pPr>
        <w:pageBreakBefore w:val="0"/>
        <w:kinsoku/>
        <w:overflowPunct/>
        <w:topLinePunct w:val="0"/>
        <w:bidi w:val="0"/>
        <w:spacing w:before="120" w:beforeLines="50" w:line="440" w:lineRule="exact"/>
        <w:ind w:left="-103" w:leftChars="-49" w:firstLine="616" w:firstLineChars="257"/>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供应商：（公章）</w:t>
      </w:r>
    </w:p>
    <w:p>
      <w:pPr>
        <w:pageBreakBefore w:val="0"/>
        <w:kinsoku/>
        <w:overflowPunct/>
        <w:topLinePunct w:val="0"/>
        <w:bidi w:val="0"/>
        <w:spacing w:before="120" w:beforeLines="50" w:line="440" w:lineRule="exact"/>
        <w:ind w:left="460" w:leftChars="219"/>
        <w:outlineLvl w:val="9"/>
        <w:rPr>
          <w:rFonts w:asciiTheme="minorEastAsia" w:hAnsiTheme="minorEastAsia" w:eastAsiaTheme="minorEastAsia"/>
          <w:color w:val="auto"/>
          <w:sz w:val="24"/>
        </w:rPr>
      </w:pPr>
      <w:r>
        <w:rPr>
          <w:rFonts w:asciiTheme="minorEastAsia" w:hAnsiTheme="minorEastAsia" w:eastAsiaTheme="minorEastAsia"/>
          <w:color w:val="auto"/>
          <w:sz w:val="24"/>
        </w:rPr>
        <w:t>法定代表人或其授权代表：（</w:t>
      </w:r>
      <w:r>
        <w:rPr>
          <w:rFonts w:hint="eastAsia" w:asciiTheme="minorEastAsia" w:hAnsiTheme="minorEastAsia" w:eastAsiaTheme="minorEastAsia"/>
          <w:color w:val="auto"/>
          <w:sz w:val="24"/>
        </w:rPr>
        <w:t>签字或加盖人名章</w:t>
      </w:r>
      <w:r>
        <w:rPr>
          <w:rFonts w:asciiTheme="minorEastAsia" w:hAnsiTheme="minorEastAsia" w:eastAsiaTheme="minorEastAsia"/>
          <w:color w:val="auto"/>
          <w:sz w:val="24"/>
        </w:rPr>
        <w:t>）</w:t>
      </w:r>
    </w:p>
    <w:p>
      <w:pPr>
        <w:pageBreakBefore w:val="0"/>
        <w:kinsoku/>
        <w:overflowPunct/>
        <w:topLinePunct w:val="0"/>
        <w:bidi w:val="0"/>
        <w:spacing w:before="120" w:beforeLines="50" w:line="440" w:lineRule="exact"/>
        <w:ind w:left="460" w:leftChars="219"/>
        <w:outlineLvl w:val="9"/>
        <w:rPr>
          <w:rFonts w:asciiTheme="minorEastAsia" w:hAnsiTheme="minorEastAsia" w:eastAsiaTheme="minorEastAsia"/>
          <w:color w:val="auto"/>
          <w:sz w:val="24"/>
        </w:rPr>
      </w:pPr>
      <w:r>
        <w:rPr>
          <w:rFonts w:asciiTheme="minorEastAsia" w:hAnsiTheme="minorEastAsia" w:eastAsiaTheme="minorEastAsia"/>
          <w:color w:val="auto"/>
          <w:sz w:val="24"/>
        </w:rPr>
        <w:t>日期：</w:t>
      </w:r>
    </w:p>
    <w:p>
      <w:pPr>
        <w:pageBreakBefore w:val="0"/>
        <w:kinsoku/>
        <w:overflowPunct/>
        <w:topLinePunct w:val="0"/>
        <w:bidi w:val="0"/>
        <w:ind w:right="280"/>
        <w:outlineLvl w:val="9"/>
        <w:rPr>
          <w:rFonts w:asciiTheme="minorEastAsia" w:hAnsiTheme="minorEastAsia" w:eastAsiaTheme="minorEastAsia"/>
          <w:color w:val="auto"/>
          <w:sz w:val="24"/>
        </w:rPr>
      </w:pPr>
    </w:p>
    <w:p>
      <w:pPr>
        <w:pageBreakBefore w:val="0"/>
        <w:tabs>
          <w:tab w:val="left" w:pos="5580"/>
        </w:tabs>
        <w:kinsoku/>
        <w:overflowPunct/>
        <w:topLinePunct w:val="0"/>
        <w:bidi w:val="0"/>
        <w:spacing w:before="120" w:line="360" w:lineRule="auto"/>
        <w:outlineLvl w:val="9"/>
        <w:rPr>
          <w:rFonts w:asciiTheme="minorEastAsia" w:hAnsiTheme="minorEastAsia" w:eastAsiaTheme="minorEastAsia"/>
          <w:color w:val="auto"/>
          <w:sz w:val="24"/>
        </w:rPr>
      </w:pPr>
    </w:p>
    <w:p>
      <w:pPr>
        <w:pageBreakBefore w:val="0"/>
        <w:tabs>
          <w:tab w:val="left" w:pos="5580"/>
        </w:tabs>
        <w:kinsoku/>
        <w:overflowPunct/>
        <w:topLinePunct w:val="0"/>
        <w:bidi w:val="0"/>
        <w:spacing w:before="120" w:line="360" w:lineRule="auto"/>
        <w:ind w:firstLine="480" w:firstLineChars="200"/>
        <w:outlineLvl w:val="9"/>
        <w:rPr>
          <w:rFonts w:ascii="仿宋_GB2312" w:eastAsia="仿宋_GB2312"/>
          <w:color w:val="auto"/>
          <w:sz w:val="24"/>
        </w:rPr>
      </w:pPr>
    </w:p>
    <w:p>
      <w:pPr>
        <w:pageBreakBefore w:val="0"/>
        <w:tabs>
          <w:tab w:val="left" w:pos="5580"/>
        </w:tabs>
        <w:kinsoku/>
        <w:overflowPunct/>
        <w:topLinePunct w:val="0"/>
        <w:bidi w:val="0"/>
        <w:spacing w:before="120" w:line="360" w:lineRule="auto"/>
        <w:ind w:firstLine="480" w:firstLineChars="200"/>
        <w:outlineLvl w:val="9"/>
        <w:rPr>
          <w:rFonts w:ascii="仿宋_GB2312" w:eastAsia="仿宋_GB2312"/>
          <w:color w:val="auto"/>
          <w:sz w:val="24"/>
        </w:rPr>
      </w:pPr>
    </w:p>
    <w:p>
      <w:pPr>
        <w:pageBreakBefore w:val="0"/>
        <w:tabs>
          <w:tab w:val="left" w:pos="993"/>
          <w:tab w:val="left" w:pos="1030"/>
          <w:tab w:val="left" w:pos="8364"/>
        </w:tabs>
        <w:kinsoku/>
        <w:overflowPunct/>
        <w:topLinePunct w:val="0"/>
        <w:bidi w:val="0"/>
        <w:snapToGrid w:val="0"/>
        <w:spacing w:after="120" w:afterLines="50"/>
        <w:ind w:left="420" w:right="-57" w:rightChars="-27" w:firstLine="480" w:firstLineChars="200"/>
        <w:jc w:val="left"/>
        <w:outlineLvl w:val="9"/>
        <w:rPr>
          <w:rFonts w:ascii="仿宋_GB2312" w:eastAsia="仿宋_GB2312"/>
          <w:color w:val="auto"/>
          <w:sz w:val="24"/>
        </w:rPr>
      </w:pPr>
    </w:p>
    <w:p>
      <w:pPr>
        <w:pageBreakBefore w:val="0"/>
        <w:widowControl/>
        <w:kinsoku/>
        <w:overflowPunct/>
        <w:topLinePunct w:val="0"/>
        <w:bidi w:val="0"/>
        <w:jc w:val="left"/>
        <w:outlineLvl w:val="9"/>
        <w:rPr>
          <w:rFonts w:ascii="仿宋_GB2312" w:hAnsi="宋体" w:eastAsia="仿宋_GB2312"/>
          <w:b/>
          <w:color w:val="auto"/>
          <w:sz w:val="24"/>
        </w:rPr>
      </w:pPr>
      <w:r>
        <w:rPr>
          <w:rFonts w:ascii="仿宋_GB2312" w:hAnsi="宋体" w:eastAsia="仿宋_GB2312"/>
          <w:b/>
          <w:color w:val="auto"/>
          <w:sz w:val="24"/>
        </w:rPr>
        <w:br w:type="page"/>
      </w:r>
    </w:p>
    <w:p>
      <w:pPr>
        <w:pStyle w:val="427"/>
        <w:pageBreakBefore w:val="0"/>
        <w:numPr>
          <w:ilvl w:val="0"/>
          <w:numId w:val="20"/>
        </w:numPr>
        <w:kinsoku/>
        <w:overflowPunct/>
        <w:topLinePunct w:val="0"/>
        <w:bidi w:val="0"/>
        <w:ind w:firstLineChars="0"/>
        <w:jc w:val="left"/>
        <w:outlineLvl w:val="9"/>
        <w:rPr>
          <w:rFonts w:ascii="仿宋_GB2312" w:hAnsi="宋体" w:eastAsia="仿宋_GB2312"/>
          <w:b/>
          <w:color w:val="auto"/>
          <w:sz w:val="24"/>
        </w:rPr>
      </w:pPr>
      <w:bookmarkStart w:id="220" w:name="_Toc45099944"/>
      <w:r>
        <w:rPr>
          <w:rFonts w:hint="eastAsia" w:ascii="仿宋_GB2312" w:hAnsi="宋体" w:eastAsia="仿宋_GB2312"/>
          <w:b/>
          <w:color w:val="auto"/>
          <w:sz w:val="24"/>
        </w:rPr>
        <w:t>供应商参加政府采购活动前3年内在经营活动中没有重大违法记录的书面声明（格式）</w:t>
      </w:r>
      <w:bookmarkEnd w:id="220"/>
    </w:p>
    <w:p>
      <w:pPr>
        <w:pageBreakBefore w:val="0"/>
        <w:kinsoku/>
        <w:overflowPunct/>
        <w:topLinePunct w:val="0"/>
        <w:bidi w:val="0"/>
        <w:jc w:val="center"/>
        <w:outlineLvl w:val="9"/>
        <w:rPr>
          <w:rFonts w:asciiTheme="minorEastAsia" w:hAnsiTheme="minorEastAsia" w:eastAsiaTheme="minorEastAsia"/>
          <w:color w:val="auto"/>
          <w:sz w:val="24"/>
        </w:rPr>
      </w:pPr>
    </w:p>
    <w:p>
      <w:pPr>
        <w:pageBreakBefore w:val="0"/>
        <w:kinsoku/>
        <w:overflowPunct/>
        <w:topLinePunct w:val="0"/>
        <w:bidi w:val="0"/>
        <w:jc w:val="center"/>
        <w:outlineLvl w:val="9"/>
        <w:rPr>
          <w:rFonts w:asciiTheme="minorEastAsia" w:hAnsiTheme="minorEastAsia" w:eastAsiaTheme="minorEastAsia"/>
          <w:b/>
          <w:color w:val="auto"/>
          <w:sz w:val="24"/>
        </w:rPr>
      </w:pPr>
      <w:r>
        <w:rPr>
          <w:rFonts w:hint="eastAsia" w:asciiTheme="minorEastAsia" w:hAnsiTheme="minorEastAsia" w:eastAsiaTheme="minorEastAsia"/>
          <w:b/>
          <w:color w:val="auto"/>
          <w:sz w:val="24"/>
        </w:rPr>
        <w:t>声明函</w:t>
      </w:r>
    </w:p>
    <w:p>
      <w:pPr>
        <w:pageBreakBefore w:val="0"/>
        <w:kinsoku/>
        <w:overflowPunct/>
        <w:topLinePunct w:val="0"/>
        <w:bidi w:val="0"/>
        <w:jc w:val="center"/>
        <w:outlineLvl w:val="9"/>
        <w:rPr>
          <w:rFonts w:asciiTheme="minorEastAsia" w:hAnsiTheme="minorEastAsia" w:eastAsiaTheme="minorEastAsia"/>
          <w:color w:val="auto"/>
          <w:sz w:val="24"/>
        </w:rPr>
      </w:pPr>
    </w:p>
    <w:p>
      <w:pPr>
        <w:pageBreakBefore w:val="0"/>
        <w:tabs>
          <w:tab w:val="left" w:pos="5580"/>
        </w:tabs>
        <w:kinsoku/>
        <w:overflowPunct/>
        <w:topLinePunct w:val="0"/>
        <w:bidi w:val="0"/>
        <w:spacing w:before="120" w:line="360" w:lineRule="auto"/>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至：</w:t>
      </w:r>
      <w:r>
        <w:rPr>
          <w:rFonts w:hint="eastAsia" w:asciiTheme="minorEastAsia" w:hAnsiTheme="minorEastAsia" w:eastAsiaTheme="minorEastAsia"/>
          <w:color w:val="auto"/>
          <w:sz w:val="24"/>
          <w:u w:val="single"/>
        </w:rPr>
        <w:t xml:space="preserve">   （采购人）  </w:t>
      </w:r>
    </w:p>
    <w:p>
      <w:pPr>
        <w:pageBreakBefore w:val="0"/>
        <w:tabs>
          <w:tab w:val="left" w:pos="5580"/>
        </w:tabs>
        <w:kinsoku/>
        <w:overflowPunct/>
        <w:topLinePunct w:val="0"/>
        <w:bidi w:val="0"/>
        <w:spacing w:before="120" w:line="360" w:lineRule="auto"/>
        <w:ind w:firstLine="480" w:firstLineChars="200"/>
        <w:outlineLvl w:val="9"/>
        <w:rPr>
          <w:rFonts w:asciiTheme="minorEastAsia" w:hAnsiTheme="minorEastAsia" w:eastAsiaTheme="minorEastAsia"/>
          <w:color w:val="auto"/>
          <w:sz w:val="24"/>
        </w:rPr>
      </w:pPr>
    </w:p>
    <w:p>
      <w:pPr>
        <w:pageBreakBefore w:val="0"/>
        <w:tabs>
          <w:tab w:val="left" w:pos="5580"/>
        </w:tabs>
        <w:kinsoku/>
        <w:overflowPunct/>
        <w:topLinePunct w:val="0"/>
        <w:bidi w:val="0"/>
        <w:spacing w:before="120"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我公司郑重承诺在参加本项目政府采购活动前三年内，在经营活动中无重大违法记录。公司未受到行政处罚或责令停业、吊销许可证（或执照）；未处于财产被接管、冻结、破产状况。</w:t>
      </w:r>
    </w:p>
    <w:p>
      <w:pPr>
        <w:pageBreakBefore w:val="0"/>
        <w:tabs>
          <w:tab w:val="left" w:pos="5580"/>
        </w:tabs>
        <w:kinsoku/>
        <w:overflowPunct/>
        <w:topLinePunct w:val="0"/>
        <w:bidi w:val="0"/>
        <w:spacing w:before="120" w:line="360" w:lineRule="auto"/>
        <w:ind w:firstLine="480" w:firstLineChars="200"/>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特此声明。</w:t>
      </w:r>
    </w:p>
    <w:p>
      <w:pPr>
        <w:pStyle w:val="39"/>
        <w:pageBreakBefore w:val="0"/>
        <w:kinsoku/>
        <w:overflowPunct/>
        <w:topLinePunct w:val="0"/>
        <w:bidi w:val="0"/>
        <w:spacing w:line="360" w:lineRule="auto"/>
        <w:outlineLvl w:val="9"/>
        <w:rPr>
          <w:rFonts w:asciiTheme="minorEastAsia" w:hAnsiTheme="minorEastAsia" w:eastAsiaTheme="minorEastAsia"/>
          <w:color w:val="auto"/>
          <w:sz w:val="24"/>
        </w:rPr>
      </w:pPr>
    </w:p>
    <w:p>
      <w:pPr>
        <w:pStyle w:val="39"/>
        <w:pageBreakBefore w:val="0"/>
        <w:kinsoku/>
        <w:overflowPunct/>
        <w:topLinePunct w:val="0"/>
        <w:bidi w:val="0"/>
        <w:spacing w:line="360" w:lineRule="auto"/>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供应商授权代表（签字或加盖人名章</w:t>
      </w:r>
      <w:r>
        <w:rPr>
          <w:rFonts w:hAnsi="宋体"/>
          <w:color w:val="auto"/>
        </w:rPr>
        <w:t>）</w:t>
      </w:r>
      <w:r>
        <w:rPr>
          <w:rFonts w:hint="eastAsia" w:asciiTheme="minorEastAsia" w:hAnsiTheme="minorEastAsia" w:eastAsiaTheme="minorEastAsia"/>
          <w:color w:val="auto"/>
          <w:sz w:val="24"/>
        </w:rPr>
        <w:t>：____________________________</w:t>
      </w:r>
    </w:p>
    <w:p>
      <w:pPr>
        <w:pStyle w:val="39"/>
        <w:pageBreakBefore w:val="0"/>
        <w:kinsoku/>
        <w:overflowPunct/>
        <w:topLinePunct w:val="0"/>
        <w:bidi w:val="0"/>
        <w:spacing w:line="360" w:lineRule="auto"/>
        <w:outlineLvl w:val="9"/>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供应商(盖章)：</w:t>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ab/>
      </w:r>
      <w:r>
        <w:rPr>
          <w:rFonts w:hint="eastAsia" w:asciiTheme="minorEastAsia" w:hAnsiTheme="minorEastAsia" w:eastAsiaTheme="minorEastAsia"/>
          <w:color w:val="auto"/>
          <w:sz w:val="24"/>
          <w:u w:val="single"/>
        </w:rPr>
        <w:t xml:space="preserve">                        </w:t>
      </w:r>
      <w:r>
        <w:rPr>
          <w:rFonts w:asciiTheme="minorEastAsia" w:hAnsiTheme="minorEastAsia" w:eastAsiaTheme="minorEastAsia"/>
          <w:color w:val="auto"/>
          <w:sz w:val="24"/>
          <w:u w:val="single"/>
        </w:rPr>
        <w:tab/>
      </w:r>
    </w:p>
    <w:p>
      <w:pPr>
        <w:pStyle w:val="39"/>
        <w:pageBreakBefore w:val="0"/>
        <w:kinsoku/>
        <w:overflowPunct/>
        <w:topLinePunct w:val="0"/>
        <w:bidi w:val="0"/>
        <w:spacing w:line="360" w:lineRule="auto"/>
        <w:outlineLvl w:val="9"/>
        <w:rPr>
          <w:rFonts w:asciiTheme="minorEastAsia" w:hAnsiTheme="minorEastAsia" w:eastAsiaTheme="minorEastAsia"/>
          <w:color w:val="auto"/>
          <w:sz w:val="24"/>
          <w:u w:val="single"/>
        </w:rPr>
      </w:pPr>
      <w:r>
        <w:rPr>
          <w:rFonts w:asciiTheme="minorEastAsia" w:hAnsiTheme="minorEastAsia" w:eastAsiaTheme="minorEastAsia"/>
          <w:color w:val="auto"/>
          <w:sz w:val="24"/>
          <w:u w:val="single"/>
        </w:rPr>
        <w:br w:type="page"/>
      </w:r>
    </w:p>
    <w:p>
      <w:pPr>
        <w:pStyle w:val="427"/>
        <w:pageBreakBefore w:val="0"/>
        <w:numPr>
          <w:ilvl w:val="0"/>
          <w:numId w:val="20"/>
        </w:numPr>
        <w:kinsoku/>
        <w:overflowPunct/>
        <w:topLinePunct w:val="0"/>
        <w:bidi w:val="0"/>
        <w:ind w:firstLineChars="0"/>
        <w:jc w:val="left"/>
        <w:outlineLvl w:val="9"/>
        <w:rPr>
          <w:rFonts w:ascii="仿宋_GB2312" w:hAnsi="宋体" w:eastAsia="仿宋_GB2312"/>
          <w:b/>
          <w:color w:val="auto"/>
          <w:sz w:val="24"/>
        </w:rPr>
      </w:pPr>
      <w:bookmarkStart w:id="221" w:name="_Toc45099945"/>
      <w:r>
        <w:rPr>
          <w:rFonts w:hint="eastAsia" w:ascii="仿宋_GB2312" w:hAnsi="宋体" w:eastAsia="仿宋_GB2312"/>
          <w:b/>
          <w:color w:val="auto"/>
          <w:sz w:val="24"/>
        </w:rPr>
        <w:t>供应商控股股东名称、控股公司的名称和存在管理、被管理关系的单位名称说明</w:t>
      </w:r>
      <w:bookmarkEnd w:id="221"/>
    </w:p>
    <w:p>
      <w:pPr>
        <w:pageBreakBefore w:val="0"/>
        <w:kinsoku/>
        <w:overflowPunct/>
        <w:topLinePunct w:val="0"/>
        <w:bidi w:val="0"/>
        <w:ind w:firstLine="420"/>
        <w:outlineLvl w:val="9"/>
        <w:rPr>
          <w:rFonts w:ascii="宋体" w:hAnsi="宋体"/>
          <w:color w:val="auto"/>
          <w:szCs w:val="21"/>
        </w:rPr>
      </w:pPr>
    </w:p>
    <w:p>
      <w:pPr>
        <w:pageBreakBefore w:val="0"/>
        <w:kinsoku/>
        <w:overflowPunct/>
        <w:topLinePunct w:val="0"/>
        <w:bidi w:val="0"/>
        <w:spacing w:line="360" w:lineRule="auto"/>
        <w:outlineLvl w:val="9"/>
        <w:rPr>
          <w:rFonts w:ascii="宋体" w:hAnsi="宋体"/>
          <w:color w:val="auto"/>
          <w:szCs w:val="21"/>
        </w:rPr>
      </w:pPr>
      <w:r>
        <w:rPr>
          <w:rFonts w:ascii="宋体" w:hAnsi="宋体"/>
          <w:color w:val="auto"/>
          <w:szCs w:val="21"/>
        </w:rPr>
        <w:t>致：</w:t>
      </w:r>
    </w:p>
    <w:p>
      <w:pPr>
        <w:pageBreakBefore w:val="0"/>
        <w:kinsoku/>
        <w:overflowPunct/>
        <w:topLinePunct w:val="0"/>
        <w:bidi w:val="0"/>
        <w:ind w:firstLine="426"/>
        <w:outlineLvl w:val="9"/>
        <w:rPr>
          <w:rFonts w:ascii="宋体" w:hAnsi="Courier New" w:cs="Courier New"/>
          <w:color w:val="auto"/>
          <w:sz w:val="24"/>
        </w:rPr>
      </w:pPr>
      <w:r>
        <w:rPr>
          <w:rFonts w:hint="eastAsia" w:ascii="宋体" w:hAnsi="Courier New" w:cs="Courier New"/>
          <w:color w:val="auto"/>
          <w:sz w:val="24"/>
        </w:rPr>
        <w:t>与我方的法定代表人（单位负责人）为同一人的企业如下：</w:t>
      </w:r>
    </w:p>
    <w:p>
      <w:pPr>
        <w:pageBreakBefore w:val="0"/>
        <w:kinsoku/>
        <w:overflowPunct/>
        <w:topLinePunct w:val="0"/>
        <w:bidi w:val="0"/>
        <w:ind w:firstLine="426"/>
        <w:outlineLvl w:val="9"/>
        <w:rPr>
          <w:rFonts w:ascii="宋体" w:hAnsi="Courier New" w:cs="Courier New"/>
          <w:color w:val="auto"/>
          <w:sz w:val="24"/>
        </w:rPr>
      </w:pPr>
    </w:p>
    <w:p>
      <w:pPr>
        <w:pageBreakBefore w:val="0"/>
        <w:kinsoku/>
        <w:overflowPunct/>
        <w:topLinePunct w:val="0"/>
        <w:bidi w:val="0"/>
        <w:ind w:firstLine="426"/>
        <w:outlineLvl w:val="9"/>
        <w:rPr>
          <w:rFonts w:ascii="宋体" w:hAnsi="Courier New" w:cs="Courier New"/>
          <w:color w:val="auto"/>
          <w:sz w:val="24"/>
        </w:rPr>
      </w:pPr>
      <w:r>
        <w:rPr>
          <w:rFonts w:hint="eastAsia" w:ascii="宋体" w:hAnsi="Courier New" w:cs="Courier New"/>
          <w:color w:val="auto"/>
          <w:sz w:val="24"/>
        </w:rPr>
        <w:t>我方的控股股东如下：</w:t>
      </w:r>
    </w:p>
    <w:p>
      <w:pPr>
        <w:pageBreakBefore w:val="0"/>
        <w:kinsoku/>
        <w:overflowPunct/>
        <w:topLinePunct w:val="0"/>
        <w:bidi w:val="0"/>
        <w:ind w:firstLine="426"/>
        <w:outlineLvl w:val="9"/>
        <w:rPr>
          <w:rFonts w:ascii="宋体" w:hAnsi="Courier New" w:cs="Courier New"/>
          <w:color w:val="auto"/>
          <w:sz w:val="24"/>
        </w:rPr>
      </w:pPr>
    </w:p>
    <w:p>
      <w:pPr>
        <w:pageBreakBefore w:val="0"/>
        <w:kinsoku/>
        <w:overflowPunct/>
        <w:topLinePunct w:val="0"/>
        <w:bidi w:val="0"/>
        <w:ind w:firstLine="426"/>
        <w:outlineLvl w:val="9"/>
        <w:rPr>
          <w:rFonts w:ascii="宋体" w:hAnsi="Courier New" w:cs="Courier New"/>
          <w:color w:val="auto"/>
          <w:sz w:val="24"/>
        </w:rPr>
      </w:pPr>
      <w:r>
        <w:rPr>
          <w:rFonts w:hint="eastAsia" w:ascii="宋体" w:hAnsi="Courier New" w:cs="Courier New"/>
          <w:color w:val="auto"/>
          <w:sz w:val="24"/>
        </w:rPr>
        <w:t>我方直接控股的企业如下：</w:t>
      </w:r>
    </w:p>
    <w:p>
      <w:pPr>
        <w:pageBreakBefore w:val="0"/>
        <w:kinsoku/>
        <w:overflowPunct/>
        <w:topLinePunct w:val="0"/>
        <w:bidi w:val="0"/>
        <w:ind w:firstLine="426"/>
        <w:outlineLvl w:val="9"/>
        <w:rPr>
          <w:rFonts w:ascii="宋体" w:hAnsi="Courier New" w:cs="Courier New"/>
          <w:color w:val="auto"/>
          <w:sz w:val="24"/>
        </w:rPr>
      </w:pPr>
    </w:p>
    <w:p>
      <w:pPr>
        <w:pageBreakBefore w:val="0"/>
        <w:kinsoku/>
        <w:overflowPunct/>
        <w:topLinePunct w:val="0"/>
        <w:bidi w:val="0"/>
        <w:ind w:firstLine="426"/>
        <w:outlineLvl w:val="9"/>
        <w:rPr>
          <w:rFonts w:ascii="宋体" w:hAnsi="Courier New" w:cs="Courier New"/>
          <w:color w:val="auto"/>
          <w:sz w:val="24"/>
        </w:rPr>
      </w:pPr>
      <w:r>
        <w:rPr>
          <w:rFonts w:hint="eastAsia" w:ascii="宋体" w:hAnsi="Courier New" w:cs="Courier New"/>
          <w:color w:val="auto"/>
          <w:sz w:val="24"/>
        </w:rPr>
        <w:t>与我方存在管理、被管理关系的单位名称如下：</w:t>
      </w:r>
    </w:p>
    <w:p>
      <w:pPr>
        <w:pageBreakBefore w:val="0"/>
        <w:kinsoku/>
        <w:overflowPunct/>
        <w:topLinePunct w:val="0"/>
        <w:bidi w:val="0"/>
        <w:ind w:firstLine="426"/>
        <w:outlineLvl w:val="9"/>
        <w:rPr>
          <w:rFonts w:ascii="宋体" w:hAnsi="Courier New" w:cs="Courier New"/>
          <w:color w:val="auto"/>
          <w:sz w:val="24"/>
        </w:rPr>
      </w:pPr>
    </w:p>
    <w:p>
      <w:pPr>
        <w:pageBreakBefore w:val="0"/>
        <w:kinsoku/>
        <w:overflowPunct/>
        <w:topLinePunct w:val="0"/>
        <w:bidi w:val="0"/>
        <w:ind w:firstLine="426"/>
        <w:outlineLvl w:val="9"/>
        <w:rPr>
          <w:rFonts w:ascii="宋体" w:hAnsi="宋体"/>
          <w:color w:val="auto"/>
          <w:szCs w:val="21"/>
        </w:rPr>
      </w:pPr>
    </w:p>
    <w:p>
      <w:pPr>
        <w:pageBreakBefore w:val="0"/>
        <w:kinsoku/>
        <w:overflowPunct/>
        <w:topLinePunct w:val="0"/>
        <w:bidi w:val="0"/>
        <w:ind w:firstLine="426"/>
        <w:outlineLvl w:val="9"/>
        <w:rPr>
          <w:rFonts w:ascii="宋体" w:hAnsi="宋体"/>
          <w:color w:val="auto"/>
          <w:szCs w:val="21"/>
        </w:rPr>
      </w:pPr>
      <w:r>
        <w:rPr>
          <w:rFonts w:ascii="宋体" w:hAnsi="宋体"/>
          <w:color w:val="auto"/>
          <w:szCs w:val="21"/>
        </w:rPr>
        <w:t xml:space="preserve">供应商名称（公章）： </w:t>
      </w:r>
    </w:p>
    <w:p>
      <w:pPr>
        <w:pageBreakBefore w:val="0"/>
        <w:kinsoku/>
        <w:overflowPunct/>
        <w:topLinePunct w:val="0"/>
        <w:bidi w:val="0"/>
        <w:ind w:firstLine="420"/>
        <w:outlineLvl w:val="9"/>
        <w:rPr>
          <w:rFonts w:ascii="宋体" w:hAnsi="宋体"/>
          <w:color w:val="auto"/>
          <w:szCs w:val="21"/>
        </w:rPr>
      </w:pPr>
      <w:r>
        <w:rPr>
          <w:rFonts w:ascii="宋体" w:hAnsi="宋体"/>
          <w:color w:val="auto"/>
          <w:szCs w:val="21"/>
        </w:rPr>
        <w:t>法定代表人或其授权代表（</w:t>
      </w:r>
      <w:r>
        <w:rPr>
          <w:rFonts w:hint="eastAsia" w:ascii="宋体" w:hAnsi="宋体"/>
          <w:color w:val="auto"/>
          <w:szCs w:val="21"/>
        </w:rPr>
        <w:t>签字或加盖人名章</w:t>
      </w:r>
      <w:r>
        <w:rPr>
          <w:rFonts w:ascii="宋体" w:hAnsi="宋体"/>
          <w:color w:val="auto"/>
          <w:szCs w:val="21"/>
        </w:rPr>
        <w:t>）：</w:t>
      </w:r>
    </w:p>
    <w:p>
      <w:pPr>
        <w:pageBreakBefore w:val="0"/>
        <w:kinsoku/>
        <w:overflowPunct/>
        <w:topLinePunct w:val="0"/>
        <w:bidi w:val="0"/>
        <w:ind w:firstLine="420" w:firstLineChars="200"/>
        <w:outlineLvl w:val="9"/>
        <w:rPr>
          <w:rFonts w:ascii="宋体" w:hAnsi="宋体"/>
          <w:color w:val="auto"/>
          <w:szCs w:val="21"/>
        </w:rPr>
      </w:pPr>
      <w:r>
        <w:rPr>
          <w:rFonts w:ascii="宋体" w:hAnsi="宋体"/>
          <w:color w:val="auto"/>
          <w:szCs w:val="21"/>
        </w:rPr>
        <w:t>日    期：     年   月    日</w:t>
      </w:r>
    </w:p>
    <w:p>
      <w:pPr>
        <w:pageBreakBefore w:val="0"/>
        <w:kinsoku/>
        <w:overflowPunct/>
        <w:topLinePunct w:val="0"/>
        <w:bidi w:val="0"/>
        <w:ind w:firstLine="420" w:firstLineChars="200"/>
        <w:outlineLvl w:val="9"/>
        <w:rPr>
          <w:rFonts w:ascii="宋体" w:hAnsi="宋体"/>
          <w:color w:val="auto"/>
          <w:szCs w:val="21"/>
        </w:rPr>
      </w:pPr>
      <w:r>
        <w:rPr>
          <w:rFonts w:ascii="宋体" w:hAnsi="宋体"/>
          <w:color w:val="auto"/>
          <w:szCs w:val="21"/>
        </w:rPr>
        <w:br w:type="page"/>
      </w:r>
    </w:p>
    <w:p>
      <w:pPr>
        <w:pStyle w:val="427"/>
        <w:pageBreakBefore w:val="0"/>
        <w:numPr>
          <w:ilvl w:val="0"/>
          <w:numId w:val="20"/>
        </w:numPr>
        <w:kinsoku/>
        <w:overflowPunct/>
        <w:topLinePunct w:val="0"/>
        <w:bidi w:val="0"/>
        <w:ind w:firstLineChars="0"/>
        <w:jc w:val="left"/>
        <w:outlineLvl w:val="9"/>
        <w:rPr>
          <w:rFonts w:ascii="仿宋_GB2312" w:hAnsi="宋体" w:eastAsia="仿宋_GB2312"/>
          <w:b/>
          <w:color w:val="auto"/>
          <w:sz w:val="24"/>
        </w:rPr>
      </w:pPr>
      <w:bookmarkStart w:id="222" w:name="_Toc45099946"/>
      <w:r>
        <w:rPr>
          <w:rFonts w:hint="eastAsia" w:ascii="仿宋_GB2312" w:hAnsi="宋体" w:eastAsia="仿宋_GB2312"/>
          <w:b/>
          <w:color w:val="auto"/>
          <w:sz w:val="24"/>
        </w:rPr>
        <w:t>供应商是否属于为本项目提供整体设计、规范编制或者项目管理、监理、检测等服务的供应商声明</w:t>
      </w:r>
      <w:bookmarkEnd w:id="222"/>
    </w:p>
    <w:p>
      <w:pPr>
        <w:pageBreakBefore w:val="0"/>
        <w:kinsoku/>
        <w:overflowPunct/>
        <w:topLinePunct w:val="0"/>
        <w:bidi w:val="0"/>
        <w:ind w:firstLine="420"/>
        <w:outlineLvl w:val="9"/>
        <w:rPr>
          <w:rFonts w:ascii="宋体" w:hAnsi="宋体"/>
          <w:color w:val="auto"/>
          <w:szCs w:val="21"/>
        </w:rPr>
      </w:pPr>
    </w:p>
    <w:p>
      <w:pPr>
        <w:pageBreakBefore w:val="0"/>
        <w:kinsoku/>
        <w:overflowPunct/>
        <w:topLinePunct w:val="0"/>
        <w:bidi w:val="0"/>
        <w:spacing w:line="360" w:lineRule="auto"/>
        <w:outlineLvl w:val="9"/>
        <w:rPr>
          <w:rFonts w:ascii="宋体" w:hAnsi="宋体"/>
          <w:color w:val="auto"/>
          <w:szCs w:val="21"/>
        </w:rPr>
      </w:pPr>
    </w:p>
    <w:p>
      <w:pPr>
        <w:pageBreakBefore w:val="0"/>
        <w:kinsoku/>
        <w:overflowPunct/>
        <w:topLinePunct w:val="0"/>
        <w:bidi w:val="0"/>
        <w:spacing w:line="360" w:lineRule="auto"/>
        <w:outlineLvl w:val="9"/>
        <w:rPr>
          <w:rFonts w:ascii="宋体" w:hAnsi="宋体"/>
          <w:color w:val="auto"/>
          <w:szCs w:val="21"/>
        </w:rPr>
      </w:pPr>
      <w:r>
        <w:rPr>
          <w:rFonts w:ascii="宋体" w:hAnsi="宋体"/>
          <w:color w:val="auto"/>
          <w:szCs w:val="21"/>
        </w:rPr>
        <w:t>致：</w:t>
      </w:r>
    </w:p>
    <w:p>
      <w:pPr>
        <w:pageBreakBefore w:val="0"/>
        <w:kinsoku/>
        <w:overflowPunct/>
        <w:topLinePunct w:val="0"/>
        <w:bidi w:val="0"/>
        <w:ind w:firstLine="426"/>
        <w:outlineLvl w:val="9"/>
        <w:rPr>
          <w:rFonts w:ascii="宋体" w:hAnsi="Courier New" w:cs="Courier New"/>
          <w:color w:val="auto"/>
          <w:sz w:val="24"/>
        </w:rPr>
      </w:pPr>
      <w:r>
        <w:rPr>
          <w:rFonts w:hint="eastAsia" w:ascii="宋体" w:hAnsi="Courier New" w:cs="Courier New"/>
          <w:color w:val="auto"/>
          <w:sz w:val="24"/>
        </w:rPr>
        <w:t xml:space="preserve">我方 </w:t>
      </w:r>
      <w:r>
        <w:rPr>
          <w:rFonts w:hint="eastAsia" w:ascii="宋体" w:hAnsi="Courier New" w:cs="Courier New"/>
          <w:i/>
          <w:iCs/>
          <w:color w:val="auto"/>
          <w:sz w:val="24"/>
        </w:rPr>
        <w:t>属于</w:t>
      </w:r>
      <w:r>
        <w:rPr>
          <w:rFonts w:ascii="宋体" w:hAnsi="Courier New" w:cs="Courier New"/>
          <w:i/>
          <w:iCs/>
          <w:color w:val="auto"/>
          <w:sz w:val="24"/>
        </w:rPr>
        <w:t>/</w:t>
      </w:r>
      <w:r>
        <w:rPr>
          <w:rFonts w:hint="eastAsia" w:ascii="宋体" w:hAnsi="Courier New" w:cs="Courier New"/>
          <w:i/>
          <w:iCs/>
          <w:color w:val="auto"/>
          <w:sz w:val="24"/>
        </w:rPr>
        <w:t>不属于</w:t>
      </w:r>
      <w:r>
        <w:rPr>
          <w:rFonts w:hint="eastAsia" w:ascii="宋体" w:hAnsi="Courier New" w:cs="Courier New"/>
          <w:color w:val="auto"/>
          <w:sz w:val="24"/>
        </w:rPr>
        <w:t xml:space="preserve"> 为本项目提供整体设计、规范编制或者项目管理、监理、检测等服务的供应商。</w:t>
      </w:r>
    </w:p>
    <w:p>
      <w:pPr>
        <w:pageBreakBefore w:val="0"/>
        <w:kinsoku/>
        <w:overflowPunct/>
        <w:topLinePunct w:val="0"/>
        <w:bidi w:val="0"/>
        <w:ind w:firstLine="426"/>
        <w:outlineLvl w:val="9"/>
        <w:rPr>
          <w:rFonts w:ascii="宋体" w:hAnsi="Courier New" w:cs="Courier New"/>
          <w:color w:val="auto"/>
          <w:sz w:val="24"/>
        </w:rPr>
      </w:pPr>
    </w:p>
    <w:p>
      <w:pPr>
        <w:pageBreakBefore w:val="0"/>
        <w:kinsoku/>
        <w:overflowPunct/>
        <w:topLinePunct w:val="0"/>
        <w:bidi w:val="0"/>
        <w:ind w:firstLine="426"/>
        <w:outlineLvl w:val="9"/>
        <w:rPr>
          <w:rFonts w:ascii="宋体" w:hAnsi="宋体"/>
          <w:color w:val="auto"/>
          <w:szCs w:val="21"/>
        </w:rPr>
      </w:pPr>
    </w:p>
    <w:p>
      <w:pPr>
        <w:pageBreakBefore w:val="0"/>
        <w:kinsoku/>
        <w:overflowPunct/>
        <w:topLinePunct w:val="0"/>
        <w:bidi w:val="0"/>
        <w:ind w:firstLine="426"/>
        <w:outlineLvl w:val="9"/>
        <w:rPr>
          <w:rFonts w:ascii="宋体" w:hAnsi="宋体"/>
          <w:color w:val="auto"/>
          <w:szCs w:val="21"/>
        </w:rPr>
      </w:pPr>
      <w:r>
        <w:rPr>
          <w:rFonts w:ascii="宋体" w:hAnsi="宋体"/>
          <w:color w:val="auto"/>
          <w:szCs w:val="21"/>
        </w:rPr>
        <w:t xml:space="preserve">供应商名称（公章）： </w:t>
      </w:r>
    </w:p>
    <w:p>
      <w:pPr>
        <w:pageBreakBefore w:val="0"/>
        <w:kinsoku/>
        <w:overflowPunct/>
        <w:topLinePunct w:val="0"/>
        <w:bidi w:val="0"/>
        <w:ind w:firstLine="420"/>
        <w:outlineLvl w:val="9"/>
        <w:rPr>
          <w:rFonts w:ascii="宋体" w:hAnsi="宋体"/>
          <w:color w:val="auto"/>
          <w:szCs w:val="21"/>
        </w:rPr>
      </w:pPr>
      <w:r>
        <w:rPr>
          <w:rFonts w:ascii="宋体" w:hAnsi="宋体"/>
          <w:color w:val="auto"/>
          <w:szCs w:val="21"/>
        </w:rPr>
        <w:t>法定代表人或其授权代表（</w:t>
      </w:r>
      <w:r>
        <w:rPr>
          <w:rFonts w:hint="eastAsia" w:ascii="宋体" w:hAnsi="宋体"/>
          <w:color w:val="auto"/>
          <w:szCs w:val="21"/>
        </w:rPr>
        <w:t>签字或加盖人名章</w:t>
      </w:r>
      <w:r>
        <w:rPr>
          <w:rFonts w:ascii="宋体" w:hAnsi="宋体"/>
          <w:color w:val="auto"/>
          <w:szCs w:val="21"/>
        </w:rPr>
        <w:t>）：</w:t>
      </w:r>
    </w:p>
    <w:p>
      <w:pPr>
        <w:pageBreakBefore w:val="0"/>
        <w:kinsoku/>
        <w:overflowPunct/>
        <w:topLinePunct w:val="0"/>
        <w:bidi w:val="0"/>
        <w:ind w:firstLine="420" w:firstLineChars="200"/>
        <w:outlineLvl w:val="9"/>
        <w:rPr>
          <w:rFonts w:ascii="宋体" w:hAnsi="宋体"/>
          <w:color w:val="auto"/>
          <w:szCs w:val="21"/>
        </w:rPr>
      </w:pPr>
      <w:r>
        <w:rPr>
          <w:rFonts w:ascii="宋体" w:hAnsi="宋体"/>
          <w:color w:val="auto"/>
          <w:szCs w:val="21"/>
        </w:rPr>
        <w:t>日    期：     年   月    日</w:t>
      </w:r>
    </w:p>
    <w:p>
      <w:pPr>
        <w:pageBreakBefore w:val="0"/>
        <w:kinsoku/>
        <w:overflowPunct/>
        <w:topLinePunct w:val="0"/>
        <w:bidi w:val="0"/>
        <w:outlineLvl w:val="9"/>
        <w:rPr>
          <w:rFonts w:ascii="宋体" w:hAnsi="宋体"/>
          <w:color w:val="auto"/>
          <w:szCs w:val="21"/>
        </w:rPr>
      </w:pPr>
    </w:p>
    <w:p>
      <w:pPr>
        <w:pageBreakBefore w:val="0"/>
        <w:widowControl/>
        <w:kinsoku/>
        <w:overflowPunct/>
        <w:topLinePunct w:val="0"/>
        <w:bidi w:val="0"/>
        <w:jc w:val="left"/>
        <w:outlineLvl w:val="9"/>
        <w:rPr>
          <w:rFonts w:cs="Courier New" w:asciiTheme="minorEastAsia" w:hAnsiTheme="minorEastAsia" w:eastAsiaTheme="minorEastAsia"/>
          <w:color w:val="auto"/>
          <w:sz w:val="24"/>
          <w:szCs w:val="21"/>
          <w:u w:val="single"/>
        </w:rPr>
      </w:pPr>
      <w:r>
        <w:rPr>
          <w:rFonts w:asciiTheme="minorEastAsia" w:hAnsiTheme="minorEastAsia" w:eastAsiaTheme="minorEastAsia"/>
          <w:color w:val="auto"/>
          <w:sz w:val="24"/>
          <w:u w:val="single"/>
        </w:rPr>
        <w:br w:type="page"/>
      </w: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r>
        <w:rPr>
          <w:b/>
          <w:color w:val="auto"/>
          <w:sz w:val="24"/>
        </w:rPr>
        <w:t>供应商</w:t>
      </w:r>
      <w:r>
        <w:rPr>
          <w:rFonts w:hint="eastAsia"/>
          <w:b/>
          <w:color w:val="auto"/>
          <w:sz w:val="24"/>
        </w:rPr>
        <w:t>服务</w:t>
      </w:r>
      <w:r>
        <w:rPr>
          <w:b/>
          <w:color w:val="auto"/>
          <w:sz w:val="24"/>
        </w:rPr>
        <w:t>业绩</w:t>
      </w:r>
      <w:r>
        <w:rPr>
          <w:rFonts w:hint="eastAsia"/>
          <w:b/>
          <w:color w:val="auto"/>
          <w:sz w:val="24"/>
        </w:rPr>
        <w:t>一览</w:t>
      </w:r>
      <w:r>
        <w:rPr>
          <w:b/>
          <w:color w:val="auto"/>
          <w:sz w:val="24"/>
        </w:rPr>
        <w:t>表</w:t>
      </w:r>
    </w:p>
    <w:p>
      <w:pPr>
        <w:pageBreakBefore w:val="0"/>
        <w:kinsoku/>
        <w:overflowPunct/>
        <w:topLinePunct w:val="0"/>
        <w:bidi w:val="0"/>
        <w:outlineLvl w:val="9"/>
        <w:rPr>
          <w:color w:val="auto"/>
        </w:rPr>
      </w:pPr>
    </w:p>
    <w:tbl>
      <w:tblPr>
        <w:tblStyle w:val="73"/>
        <w:tblW w:w="141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1701"/>
        <w:gridCol w:w="1454"/>
        <w:gridCol w:w="2234"/>
        <w:gridCol w:w="3109"/>
        <w:gridCol w:w="23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08" w:type="dxa"/>
            <w:vAlign w:val="center"/>
          </w:tcPr>
          <w:p>
            <w:pPr>
              <w:pageBreakBefore w:val="0"/>
              <w:kinsoku/>
              <w:overflowPunct/>
              <w:topLinePunct w:val="0"/>
              <w:bidi w:val="0"/>
              <w:jc w:val="center"/>
              <w:outlineLvl w:val="9"/>
              <w:rPr>
                <w:rFonts w:ascii="宋体" w:hAnsi="宋体"/>
                <w:color w:val="auto"/>
                <w:sz w:val="24"/>
              </w:rPr>
            </w:pPr>
            <w:r>
              <w:rPr>
                <w:rFonts w:hint="eastAsia" w:ascii="宋体" w:hAnsi="宋体"/>
                <w:color w:val="auto"/>
                <w:sz w:val="24"/>
              </w:rPr>
              <w:t>年份</w:t>
            </w:r>
          </w:p>
        </w:tc>
        <w:tc>
          <w:tcPr>
            <w:tcW w:w="2271" w:type="dxa"/>
            <w:vAlign w:val="center"/>
          </w:tcPr>
          <w:p>
            <w:pPr>
              <w:pageBreakBefore w:val="0"/>
              <w:kinsoku/>
              <w:overflowPunct/>
              <w:topLinePunct w:val="0"/>
              <w:bidi w:val="0"/>
              <w:jc w:val="center"/>
              <w:outlineLvl w:val="9"/>
              <w:rPr>
                <w:rFonts w:ascii="宋体" w:hAnsi="宋体"/>
                <w:color w:val="auto"/>
                <w:sz w:val="24"/>
              </w:rPr>
            </w:pPr>
            <w:r>
              <w:rPr>
                <w:rFonts w:hint="eastAsia" w:ascii="宋体" w:hAnsi="宋体"/>
                <w:color w:val="auto"/>
                <w:sz w:val="24"/>
              </w:rPr>
              <w:t>项目</w:t>
            </w:r>
            <w:r>
              <w:rPr>
                <w:rFonts w:ascii="宋体" w:hAnsi="宋体"/>
                <w:color w:val="auto"/>
                <w:sz w:val="24"/>
              </w:rPr>
              <w:t>名称</w:t>
            </w:r>
          </w:p>
        </w:tc>
        <w:tc>
          <w:tcPr>
            <w:tcW w:w="1701" w:type="dxa"/>
            <w:vAlign w:val="center"/>
          </w:tcPr>
          <w:p>
            <w:pPr>
              <w:pageBreakBefore w:val="0"/>
              <w:kinsoku/>
              <w:overflowPunct/>
              <w:topLinePunct w:val="0"/>
              <w:bidi w:val="0"/>
              <w:jc w:val="center"/>
              <w:outlineLvl w:val="9"/>
              <w:rPr>
                <w:rFonts w:ascii="宋体" w:hAnsi="宋体"/>
                <w:color w:val="auto"/>
                <w:sz w:val="24"/>
              </w:rPr>
            </w:pPr>
            <w:r>
              <w:rPr>
                <w:rFonts w:hint="eastAsia" w:ascii="宋体" w:hAnsi="宋体"/>
                <w:color w:val="auto"/>
                <w:sz w:val="24"/>
              </w:rPr>
              <w:t>服务内容</w:t>
            </w:r>
          </w:p>
        </w:tc>
        <w:tc>
          <w:tcPr>
            <w:tcW w:w="1454" w:type="dxa"/>
            <w:vAlign w:val="center"/>
          </w:tcPr>
          <w:p>
            <w:pPr>
              <w:pageBreakBefore w:val="0"/>
              <w:kinsoku/>
              <w:overflowPunct/>
              <w:topLinePunct w:val="0"/>
              <w:bidi w:val="0"/>
              <w:jc w:val="center"/>
              <w:outlineLvl w:val="9"/>
              <w:rPr>
                <w:rFonts w:ascii="宋体" w:hAnsi="宋体"/>
                <w:color w:val="auto"/>
                <w:sz w:val="24"/>
              </w:rPr>
            </w:pPr>
            <w:r>
              <w:rPr>
                <w:rFonts w:hint="eastAsia" w:ascii="宋体" w:hAnsi="宋体"/>
                <w:color w:val="auto"/>
                <w:sz w:val="24"/>
              </w:rPr>
              <w:t>合同总价</w:t>
            </w:r>
          </w:p>
        </w:tc>
        <w:tc>
          <w:tcPr>
            <w:tcW w:w="2234" w:type="dxa"/>
            <w:vAlign w:val="center"/>
          </w:tcPr>
          <w:p>
            <w:pPr>
              <w:pageBreakBefore w:val="0"/>
              <w:kinsoku/>
              <w:overflowPunct/>
              <w:topLinePunct w:val="0"/>
              <w:bidi w:val="0"/>
              <w:jc w:val="center"/>
              <w:outlineLvl w:val="9"/>
              <w:rPr>
                <w:rFonts w:ascii="宋体" w:hAnsi="宋体"/>
                <w:color w:val="auto"/>
                <w:sz w:val="24"/>
              </w:rPr>
            </w:pPr>
            <w:r>
              <w:rPr>
                <w:rFonts w:hint="eastAsia" w:ascii="宋体" w:hAnsi="宋体"/>
                <w:color w:val="auto"/>
                <w:sz w:val="24"/>
              </w:rPr>
              <w:t>使用单位名称</w:t>
            </w:r>
          </w:p>
        </w:tc>
        <w:tc>
          <w:tcPr>
            <w:tcW w:w="3109" w:type="dxa"/>
            <w:vAlign w:val="center"/>
          </w:tcPr>
          <w:p>
            <w:pPr>
              <w:pageBreakBefore w:val="0"/>
              <w:kinsoku/>
              <w:overflowPunct/>
              <w:topLinePunct w:val="0"/>
              <w:bidi w:val="0"/>
              <w:jc w:val="center"/>
              <w:outlineLvl w:val="9"/>
              <w:rPr>
                <w:rFonts w:ascii="宋体" w:hAnsi="宋体"/>
                <w:color w:val="auto"/>
                <w:sz w:val="24"/>
              </w:rPr>
            </w:pPr>
            <w:r>
              <w:rPr>
                <w:rFonts w:hint="eastAsia" w:ascii="宋体" w:hAnsi="宋体"/>
                <w:color w:val="auto"/>
                <w:sz w:val="24"/>
              </w:rPr>
              <w:t>使用单位联系人及电话</w:t>
            </w:r>
          </w:p>
        </w:tc>
        <w:tc>
          <w:tcPr>
            <w:tcW w:w="2335" w:type="dxa"/>
            <w:vAlign w:val="center"/>
          </w:tcPr>
          <w:p>
            <w:pPr>
              <w:pageBreakBefore w:val="0"/>
              <w:kinsoku/>
              <w:overflowPunct/>
              <w:topLinePunct w:val="0"/>
              <w:bidi w:val="0"/>
              <w:jc w:val="center"/>
              <w:outlineLvl w:val="9"/>
              <w:rPr>
                <w:rFonts w:ascii="宋体" w:hAnsi="宋体"/>
                <w:color w:val="auto"/>
                <w:sz w:val="24"/>
              </w:rPr>
            </w:pPr>
            <w:r>
              <w:rPr>
                <w:rFonts w:ascii="宋体" w:hAnsi="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pageBreakBefore w:val="0"/>
              <w:kinsoku/>
              <w:overflowPunct/>
              <w:topLinePunct w:val="0"/>
              <w:bidi w:val="0"/>
              <w:jc w:val="center"/>
              <w:outlineLvl w:val="9"/>
              <w:rPr>
                <w:rFonts w:ascii="宋体" w:hAnsi="宋体"/>
                <w:color w:val="auto"/>
                <w:sz w:val="24"/>
              </w:rPr>
            </w:pPr>
            <w:r>
              <w:rPr>
                <w:rFonts w:hint="eastAsia" w:ascii="宋体" w:hAnsi="宋体"/>
                <w:color w:val="auto"/>
                <w:sz w:val="24"/>
              </w:rPr>
              <w:t>20  年</w:t>
            </w:r>
          </w:p>
        </w:tc>
        <w:tc>
          <w:tcPr>
            <w:tcW w:w="2271" w:type="dxa"/>
            <w:vAlign w:val="center"/>
          </w:tcPr>
          <w:p>
            <w:pPr>
              <w:pageBreakBefore w:val="0"/>
              <w:kinsoku/>
              <w:overflowPunct/>
              <w:topLinePunct w:val="0"/>
              <w:bidi w:val="0"/>
              <w:jc w:val="center"/>
              <w:outlineLvl w:val="9"/>
              <w:rPr>
                <w:rFonts w:ascii="宋体" w:hAnsi="宋体"/>
                <w:color w:val="auto"/>
                <w:sz w:val="24"/>
              </w:rPr>
            </w:pPr>
          </w:p>
        </w:tc>
        <w:tc>
          <w:tcPr>
            <w:tcW w:w="1701" w:type="dxa"/>
            <w:vAlign w:val="center"/>
          </w:tcPr>
          <w:p>
            <w:pPr>
              <w:pageBreakBefore w:val="0"/>
              <w:kinsoku/>
              <w:overflowPunct/>
              <w:topLinePunct w:val="0"/>
              <w:bidi w:val="0"/>
              <w:jc w:val="center"/>
              <w:outlineLvl w:val="9"/>
              <w:rPr>
                <w:rFonts w:ascii="宋体" w:hAnsi="宋体"/>
                <w:color w:val="auto"/>
                <w:sz w:val="24"/>
              </w:rPr>
            </w:pPr>
          </w:p>
        </w:tc>
        <w:tc>
          <w:tcPr>
            <w:tcW w:w="1454" w:type="dxa"/>
            <w:vAlign w:val="center"/>
          </w:tcPr>
          <w:p>
            <w:pPr>
              <w:pageBreakBefore w:val="0"/>
              <w:kinsoku/>
              <w:overflowPunct/>
              <w:topLinePunct w:val="0"/>
              <w:bidi w:val="0"/>
              <w:jc w:val="center"/>
              <w:outlineLvl w:val="9"/>
              <w:rPr>
                <w:rFonts w:ascii="宋体" w:hAnsi="宋体"/>
                <w:color w:val="auto"/>
                <w:sz w:val="24"/>
              </w:rPr>
            </w:pPr>
          </w:p>
        </w:tc>
        <w:tc>
          <w:tcPr>
            <w:tcW w:w="2234" w:type="dxa"/>
            <w:vAlign w:val="center"/>
          </w:tcPr>
          <w:p>
            <w:pPr>
              <w:pageBreakBefore w:val="0"/>
              <w:kinsoku/>
              <w:overflowPunct/>
              <w:topLinePunct w:val="0"/>
              <w:bidi w:val="0"/>
              <w:jc w:val="center"/>
              <w:outlineLvl w:val="9"/>
              <w:rPr>
                <w:rFonts w:ascii="宋体" w:hAnsi="宋体"/>
                <w:color w:val="auto"/>
                <w:sz w:val="24"/>
              </w:rPr>
            </w:pPr>
          </w:p>
        </w:tc>
        <w:tc>
          <w:tcPr>
            <w:tcW w:w="3109" w:type="dxa"/>
            <w:vAlign w:val="center"/>
          </w:tcPr>
          <w:p>
            <w:pPr>
              <w:pageBreakBefore w:val="0"/>
              <w:kinsoku/>
              <w:overflowPunct/>
              <w:topLinePunct w:val="0"/>
              <w:bidi w:val="0"/>
              <w:jc w:val="center"/>
              <w:outlineLvl w:val="9"/>
              <w:rPr>
                <w:rFonts w:ascii="宋体" w:hAnsi="宋体"/>
                <w:color w:val="auto"/>
                <w:sz w:val="24"/>
              </w:rPr>
            </w:pPr>
          </w:p>
        </w:tc>
        <w:tc>
          <w:tcPr>
            <w:tcW w:w="2335" w:type="dxa"/>
            <w:vAlign w:val="center"/>
          </w:tcPr>
          <w:p>
            <w:pPr>
              <w:pageBreakBefore w:val="0"/>
              <w:kinsoku/>
              <w:overflowPunct/>
              <w:topLinePunct w:val="0"/>
              <w:bidi w:val="0"/>
              <w:jc w:val="center"/>
              <w:outlineLvl w:val="9"/>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pageBreakBefore w:val="0"/>
              <w:kinsoku/>
              <w:overflowPunct/>
              <w:topLinePunct w:val="0"/>
              <w:bidi w:val="0"/>
              <w:jc w:val="center"/>
              <w:outlineLvl w:val="9"/>
              <w:rPr>
                <w:rFonts w:ascii="宋体" w:hAnsi="宋体"/>
                <w:color w:val="auto"/>
                <w:sz w:val="24"/>
              </w:rPr>
            </w:pPr>
          </w:p>
        </w:tc>
        <w:tc>
          <w:tcPr>
            <w:tcW w:w="2271" w:type="dxa"/>
            <w:vAlign w:val="center"/>
          </w:tcPr>
          <w:p>
            <w:pPr>
              <w:pageBreakBefore w:val="0"/>
              <w:kinsoku/>
              <w:overflowPunct/>
              <w:topLinePunct w:val="0"/>
              <w:bidi w:val="0"/>
              <w:jc w:val="center"/>
              <w:outlineLvl w:val="9"/>
              <w:rPr>
                <w:rFonts w:ascii="宋体" w:hAnsi="宋体"/>
                <w:color w:val="auto"/>
                <w:sz w:val="24"/>
              </w:rPr>
            </w:pPr>
          </w:p>
        </w:tc>
        <w:tc>
          <w:tcPr>
            <w:tcW w:w="1701" w:type="dxa"/>
            <w:vAlign w:val="center"/>
          </w:tcPr>
          <w:p>
            <w:pPr>
              <w:pageBreakBefore w:val="0"/>
              <w:kinsoku/>
              <w:overflowPunct/>
              <w:topLinePunct w:val="0"/>
              <w:bidi w:val="0"/>
              <w:jc w:val="center"/>
              <w:outlineLvl w:val="9"/>
              <w:rPr>
                <w:rFonts w:ascii="宋体" w:hAnsi="宋体"/>
                <w:color w:val="auto"/>
                <w:sz w:val="24"/>
              </w:rPr>
            </w:pPr>
          </w:p>
        </w:tc>
        <w:tc>
          <w:tcPr>
            <w:tcW w:w="1454" w:type="dxa"/>
            <w:vAlign w:val="center"/>
          </w:tcPr>
          <w:p>
            <w:pPr>
              <w:pageBreakBefore w:val="0"/>
              <w:kinsoku/>
              <w:overflowPunct/>
              <w:topLinePunct w:val="0"/>
              <w:bidi w:val="0"/>
              <w:jc w:val="center"/>
              <w:outlineLvl w:val="9"/>
              <w:rPr>
                <w:rFonts w:ascii="宋体" w:hAnsi="宋体"/>
                <w:color w:val="auto"/>
                <w:sz w:val="24"/>
              </w:rPr>
            </w:pPr>
          </w:p>
        </w:tc>
        <w:tc>
          <w:tcPr>
            <w:tcW w:w="2234" w:type="dxa"/>
            <w:vAlign w:val="center"/>
          </w:tcPr>
          <w:p>
            <w:pPr>
              <w:pageBreakBefore w:val="0"/>
              <w:kinsoku/>
              <w:overflowPunct/>
              <w:topLinePunct w:val="0"/>
              <w:bidi w:val="0"/>
              <w:jc w:val="center"/>
              <w:outlineLvl w:val="9"/>
              <w:rPr>
                <w:rFonts w:ascii="宋体" w:hAnsi="宋体"/>
                <w:color w:val="auto"/>
                <w:sz w:val="24"/>
              </w:rPr>
            </w:pPr>
          </w:p>
        </w:tc>
        <w:tc>
          <w:tcPr>
            <w:tcW w:w="3109" w:type="dxa"/>
            <w:vAlign w:val="center"/>
          </w:tcPr>
          <w:p>
            <w:pPr>
              <w:pageBreakBefore w:val="0"/>
              <w:kinsoku/>
              <w:overflowPunct/>
              <w:topLinePunct w:val="0"/>
              <w:bidi w:val="0"/>
              <w:jc w:val="center"/>
              <w:outlineLvl w:val="9"/>
              <w:rPr>
                <w:rFonts w:ascii="宋体" w:hAnsi="宋体"/>
                <w:color w:val="auto"/>
                <w:sz w:val="24"/>
              </w:rPr>
            </w:pPr>
          </w:p>
        </w:tc>
        <w:tc>
          <w:tcPr>
            <w:tcW w:w="2335" w:type="dxa"/>
            <w:vAlign w:val="center"/>
          </w:tcPr>
          <w:p>
            <w:pPr>
              <w:pageBreakBefore w:val="0"/>
              <w:kinsoku/>
              <w:overflowPunct/>
              <w:topLinePunct w:val="0"/>
              <w:bidi w:val="0"/>
              <w:jc w:val="center"/>
              <w:outlineLvl w:val="9"/>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pageBreakBefore w:val="0"/>
              <w:kinsoku/>
              <w:overflowPunct/>
              <w:topLinePunct w:val="0"/>
              <w:bidi w:val="0"/>
              <w:jc w:val="center"/>
              <w:outlineLvl w:val="9"/>
              <w:rPr>
                <w:rFonts w:ascii="宋体" w:hAnsi="宋体"/>
                <w:color w:val="auto"/>
                <w:sz w:val="24"/>
              </w:rPr>
            </w:pPr>
            <w:r>
              <w:rPr>
                <w:rFonts w:hint="eastAsia" w:ascii="宋体" w:hAnsi="宋体"/>
                <w:color w:val="auto"/>
                <w:sz w:val="24"/>
              </w:rPr>
              <w:t>20  年</w:t>
            </w:r>
          </w:p>
        </w:tc>
        <w:tc>
          <w:tcPr>
            <w:tcW w:w="2271" w:type="dxa"/>
            <w:vAlign w:val="center"/>
          </w:tcPr>
          <w:p>
            <w:pPr>
              <w:pageBreakBefore w:val="0"/>
              <w:kinsoku/>
              <w:overflowPunct/>
              <w:topLinePunct w:val="0"/>
              <w:bidi w:val="0"/>
              <w:jc w:val="center"/>
              <w:outlineLvl w:val="9"/>
              <w:rPr>
                <w:rFonts w:ascii="宋体" w:hAnsi="宋体"/>
                <w:color w:val="auto"/>
                <w:sz w:val="24"/>
              </w:rPr>
            </w:pPr>
          </w:p>
        </w:tc>
        <w:tc>
          <w:tcPr>
            <w:tcW w:w="1701" w:type="dxa"/>
            <w:vAlign w:val="center"/>
          </w:tcPr>
          <w:p>
            <w:pPr>
              <w:pageBreakBefore w:val="0"/>
              <w:kinsoku/>
              <w:overflowPunct/>
              <w:topLinePunct w:val="0"/>
              <w:bidi w:val="0"/>
              <w:jc w:val="center"/>
              <w:outlineLvl w:val="9"/>
              <w:rPr>
                <w:rFonts w:ascii="宋体" w:hAnsi="宋体"/>
                <w:color w:val="auto"/>
                <w:sz w:val="24"/>
              </w:rPr>
            </w:pPr>
          </w:p>
        </w:tc>
        <w:tc>
          <w:tcPr>
            <w:tcW w:w="1454" w:type="dxa"/>
            <w:vAlign w:val="center"/>
          </w:tcPr>
          <w:p>
            <w:pPr>
              <w:pageBreakBefore w:val="0"/>
              <w:kinsoku/>
              <w:overflowPunct/>
              <w:topLinePunct w:val="0"/>
              <w:bidi w:val="0"/>
              <w:jc w:val="center"/>
              <w:outlineLvl w:val="9"/>
              <w:rPr>
                <w:rFonts w:ascii="宋体" w:hAnsi="宋体"/>
                <w:color w:val="auto"/>
                <w:sz w:val="24"/>
              </w:rPr>
            </w:pPr>
          </w:p>
        </w:tc>
        <w:tc>
          <w:tcPr>
            <w:tcW w:w="2234" w:type="dxa"/>
            <w:vAlign w:val="center"/>
          </w:tcPr>
          <w:p>
            <w:pPr>
              <w:pageBreakBefore w:val="0"/>
              <w:kinsoku/>
              <w:overflowPunct/>
              <w:topLinePunct w:val="0"/>
              <w:bidi w:val="0"/>
              <w:jc w:val="center"/>
              <w:outlineLvl w:val="9"/>
              <w:rPr>
                <w:rFonts w:ascii="宋体" w:hAnsi="宋体"/>
                <w:color w:val="auto"/>
                <w:sz w:val="24"/>
              </w:rPr>
            </w:pPr>
          </w:p>
        </w:tc>
        <w:tc>
          <w:tcPr>
            <w:tcW w:w="3109" w:type="dxa"/>
            <w:vAlign w:val="center"/>
          </w:tcPr>
          <w:p>
            <w:pPr>
              <w:pageBreakBefore w:val="0"/>
              <w:kinsoku/>
              <w:overflowPunct/>
              <w:topLinePunct w:val="0"/>
              <w:bidi w:val="0"/>
              <w:jc w:val="center"/>
              <w:outlineLvl w:val="9"/>
              <w:rPr>
                <w:rFonts w:ascii="宋体" w:hAnsi="宋体"/>
                <w:color w:val="auto"/>
                <w:sz w:val="24"/>
              </w:rPr>
            </w:pPr>
          </w:p>
        </w:tc>
        <w:tc>
          <w:tcPr>
            <w:tcW w:w="2335" w:type="dxa"/>
            <w:vAlign w:val="center"/>
          </w:tcPr>
          <w:p>
            <w:pPr>
              <w:pageBreakBefore w:val="0"/>
              <w:kinsoku/>
              <w:overflowPunct/>
              <w:topLinePunct w:val="0"/>
              <w:bidi w:val="0"/>
              <w:jc w:val="center"/>
              <w:outlineLvl w:val="9"/>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pageBreakBefore w:val="0"/>
              <w:kinsoku/>
              <w:overflowPunct/>
              <w:topLinePunct w:val="0"/>
              <w:bidi w:val="0"/>
              <w:jc w:val="center"/>
              <w:outlineLvl w:val="9"/>
              <w:rPr>
                <w:rFonts w:ascii="宋体" w:hAnsi="宋体"/>
                <w:color w:val="auto"/>
                <w:sz w:val="24"/>
              </w:rPr>
            </w:pPr>
          </w:p>
        </w:tc>
        <w:tc>
          <w:tcPr>
            <w:tcW w:w="2271" w:type="dxa"/>
            <w:vAlign w:val="center"/>
          </w:tcPr>
          <w:p>
            <w:pPr>
              <w:pageBreakBefore w:val="0"/>
              <w:kinsoku/>
              <w:overflowPunct/>
              <w:topLinePunct w:val="0"/>
              <w:bidi w:val="0"/>
              <w:jc w:val="center"/>
              <w:outlineLvl w:val="9"/>
              <w:rPr>
                <w:rFonts w:ascii="宋体" w:hAnsi="宋体"/>
                <w:color w:val="auto"/>
                <w:sz w:val="24"/>
              </w:rPr>
            </w:pPr>
          </w:p>
        </w:tc>
        <w:tc>
          <w:tcPr>
            <w:tcW w:w="1701" w:type="dxa"/>
            <w:vAlign w:val="center"/>
          </w:tcPr>
          <w:p>
            <w:pPr>
              <w:pageBreakBefore w:val="0"/>
              <w:kinsoku/>
              <w:overflowPunct/>
              <w:topLinePunct w:val="0"/>
              <w:bidi w:val="0"/>
              <w:jc w:val="center"/>
              <w:outlineLvl w:val="9"/>
              <w:rPr>
                <w:rFonts w:ascii="宋体" w:hAnsi="宋体"/>
                <w:color w:val="auto"/>
                <w:sz w:val="24"/>
              </w:rPr>
            </w:pPr>
          </w:p>
        </w:tc>
        <w:tc>
          <w:tcPr>
            <w:tcW w:w="1454" w:type="dxa"/>
            <w:vAlign w:val="center"/>
          </w:tcPr>
          <w:p>
            <w:pPr>
              <w:pageBreakBefore w:val="0"/>
              <w:kinsoku/>
              <w:overflowPunct/>
              <w:topLinePunct w:val="0"/>
              <w:bidi w:val="0"/>
              <w:jc w:val="center"/>
              <w:outlineLvl w:val="9"/>
              <w:rPr>
                <w:rFonts w:ascii="宋体" w:hAnsi="宋体"/>
                <w:color w:val="auto"/>
                <w:sz w:val="24"/>
              </w:rPr>
            </w:pPr>
          </w:p>
        </w:tc>
        <w:tc>
          <w:tcPr>
            <w:tcW w:w="2234" w:type="dxa"/>
            <w:vAlign w:val="center"/>
          </w:tcPr>
          <w:p>
            <w:pPr>
              <w:pageBreakBefore w:val="0"/>
              <w:kinsoku/>
              <w:overflowPunct/>
              <w:topLinePunct w:val="0"/>
              <w:bidi w:val="0"/>
              <w:jc w:val="center"/>
              <w:outlineLvl w:val="9"/>
              <w:rPr>
                <w:rFonts w:ascii="宋体" w:hAnsi="宋体"/>
                <w:color w:val="auto"/>
                <w:sz w:val="24"/>
              </w:rPr>
            </w:pPr>
          </w:p>
        </w:tc>
        <w:tc>
          <w:tcPr>
            <w:tcW w:w="3109" w:type="dxa"/>
            <w:vAlign w:val="center"/>
          </w:tcPr>
          <w:p>
            <w:pPr>
              <w:pageBreakBefore w:val="0"/>
              <w:kinsoku/>
              <w:overflowPunct/>
              <w:topLinePunct w:val="0"/>
              <w:bidi w:val="0"/>
              <w:jc w:val="center"/>
              <w:outlineLvl w:val="9"/>
              <w:rPr>
                <w:rFonts w:ascii="宋体" w:hAnsi="宋体"/>
                <w:color w:val="auto"/>
                <w:sz w:val="24"/>
              </w:rPr>
            </w:pPr>
          </w:p>
        </w:tc>
        <w:tc>
          <w:tcPr>
            <w:tcW w:w="2335" w:type="dxa"/>
            <w:vAlign w:val="center"/>
          </w:tcPr>
          <w:p>
            <w:pPr>
              <w:pageBreakBefore w:val="0"/>
              <w:kinsoku/>
              <w:overflowPunct/>
              <w:topLinePunct w:val="0"/>
              <w:bidi w:val="0"/>
              <w:jc w:val="center"/>
              <w:outlineLvl w:val="9"/>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pageBreakBefore w:val="0"/>
              <w:kinsoku/>
              <w:overflowPunct/>
              <w:topLinePunct w:val="0"/>
              <w:bidi w:val="0"/>
              <w:jc w:val="center"/>
              <w:outlineLvl w:val="9"/>
              <w:rPr>
                <w:rFonts w:ascii="宋体" w:hAnsi="宋体"/>
                <w:color w:val="auto"/>
                <w:sz w:val="24"/>
              </w:rPr>
            </w:pPr>
            <w:r>
              <w:rPr>
                <w:rFonts w:hint="eastAsia" w:ascii="宋体" w:hAnsi="宋体"/>
                <w:color w:val="auto"/>
                <w:sz w:val="24"/>
              </w:rPr>
              <w:t>20  年</w:t>
            </w:r>
          </w:p>
        </w:tc>
        <w:tc>
          <w:tcPr>
            <w:tcW w:w="2271" w:type="dxa"/>
            <w:vAlign w:val="center"/>
          </w:tcPr>
          <w:p>
            <w:pPr>
              <w:pageBreakBefore w:val="0"/>
              <w:kinsoku/>
              <w:overflowPunct/>
              <w:topLinePunct w:val="0"/>
              <w:bidi w:val="0"/>
              <w:jc w:val="center"/>
              <w:outlineLvl w:val="9"/>
              <w:rPr>
                <w:rFonts w:ascii="宋体" w:hAnsi="宋体"/>
                <w:color w:val="auto"/>
                <w:sz w:val="24"/>
              </w:rPr>
            </w:pPr>
          </w:p>
        </w:tc>
        <w:tc>
          <w:tcPr>
            <w:tcW w:w="1701" w:type="dxa"/>
            <w:vAlign w:val="center"/>
          </w:tcPr>
          <w:p>
            <w:pPr>
              <w:pageBreakBefore w:val="0"/>
              <w:kinsoku/>
              <w:overflowPunct/>
              <w:topLinePunct w:val="0"/>
              <w:bidi w:val="0"/>
              <w:jc w:val="center"/>
              <w:outlineLvl w:val="9"/>
              <w:rPr>
                <w:rFonts w:ascii="宋体" w:hAnsi="宋体"/>
                <w:color w:val="auto"/>
                <w:sz w:val="24"/>
              </w:rPr>
            </w:pPr>
          </w:p>
        </w:tc>
        <w:tc>
          <w:tcPr>
            <w:tcW w:w="1454" w:type="dxa"/>
            <w:vAlign w:val="center"/>
          </w:tcPr>
          <w:p>
            <w:pPr>
              <w:pageBreakBefore w:val="0"/>
              <w:kinsoku/>
              <w:overflowPunct/>
              <w:topLinePunct w:val="0"/>
              <w:bidi w:val="0"/>
              <w:jc w:val="center"/>
              <w:outlineLvl w:val="9"/>
              <w:rPr>
                <w:rFonts w:ascii="宋体" w:hAnsi="宋体"/>
                <w:color w:val="auto"/>
                <w:sz w:val="24"/>
              </w:rPr>
            </w:pPr>
          </w:p>
        </w:tc>
        <w:tc>
          <w:tcPr>
            <w:tcW w:w="2234" w:type="dxa"/>
            <w:vAlign w:val="center"/>
          </w:tcPr>
          <w:p>
            <w:pPr>
              <w:pageBreakBefore w:val="0"/>
              <w:kinsoku/>
              <w:overflowPunct/>
              <w:topLinePunct w:val="0"/>
              <w:bidi w:val="0"/>
              <w:jc w:val="center"/>
              <w:outlineLvl w:val="9"/>
              <w:rPr>
                <w:rFonts w:ascii="宋体" w:hAnsi="宋体"/>
                <w:color w:val="auto"/>
                <w:sz w:val="24"/>
              </w:rPr>
            </w:pPr>
          </w:p>
        </w:tc>
        <w:tc>
          <w:tcPr>
            <w:tcW w:w="3109" w:type="dxa"/>
            <w:vAlign w:val="center"/>
          </w:tcPr>
          <w:p>
            <w:pPr>
              <w:pageBreakBefore w:val="0"/>
              <w:kinsoku/>
              <w:overflowPunct/>
              <w:topLinePunct w:val="0"/>
              <w:bidi w:val="0"/>
              <w:jc w:val="center"/>
              <w:outlineLvl w:val="9"/>
              <w:rPr>
                <w:rFonts w:ascii="宋体" w:hAnsi="宋体"/>
                <w:color w:val="auto"/>
                <w:sz w:val="24"/>
              </w:rPr>
            </w:pPr>
          </w:p>
        </w:tc>
        <w:tc>
          <w:tcPr>
            <w:tcW w:w="2335" w:type="dxa"/>
            <w:vAlign w:val="center"/>
          </w:tcPr>
          <w:p>
            <w:pPr>
              <w:pageBreakBefore w:val="0"/>
              <w:kinsoku/>
              <w:overflowPunct/>
              <w:topLinePunct w:val="0"/>
              <w:bidi w:val="0"/>
              <w:jc w:val="center"/>
              <w:outlineLvl w:val="9"/>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pageBreakBefore w:val="0"/>
              <w:kinsoku/>
              <w:overflowPunct/>
              <w:topLinePunct w:val="0"/>
              <w:bidi w:val="0"/>
              <w:jc w:val="center"/>
              <w:outlineLvl w:val="9"/>
              <w:rPr>
                <w:rFonts w:ascii="宋体" w:hAnsi="宋体"/>
                <w:color w:val="auto"/>
                <w:sz w:val="24"/>
              </w:rPr>
            </w:pPr>
          </w:p>
        </w:tc>
        <w:tc>
          <w:tcPr>
            <w:tcW w:w="2271" w:type="dxa"/>
            <w:vAlign w:val="center"/>
          </w:tcPr>
          <w:p>
            <w:pPr>
              <w:pageBreakBefore w:val="0"/>
              <w:kinsoku/>
              <w:overflowPunct/>
              <w:topLinePunct w:val="0"/>
              <w:bidi w:val="0"/>
              <w:jc w:val="center"/>
              <w:outlineLvl w:val="9"/>
              <w:rPr>
                <w:rFonts w:ascii="宋体" w:hAnsi="宋体"/>
                <w:color w:val="auto"/>
                <w:sz w:val="24"/>
              </w:rPr>
            </w:pPr>
          </w:p>
        </w:tc>
        <w:tc>
          <w:tcPr>
            <w:tcW w:w="1701" w:type="dxa"/>
            <w:vAlign w:val="center"/>
          </w:tcPr>
          <w:p>
            <w:pPr>
              <w:pageBreakBefore w:val="0"/>
              <w:kinsoku/>
              <w:overflowPunct/>
              <w:topLinePunct w:val="0"/>
              <w:bidi w:val="0"/>
              <w:jc w:val="center"/>
              <w:outlineLvl w:val="9"/>
              <w:rPr>
                <w:rFonts w:ascii="宋体" w:hAnsi="宋体"/>
                <w:color w:val="auto"/>
                <w:sz w:val="24"/>
              </w:rPr>
            </w:pPr>
          </w:p>
        </w:tc>
        <w:tc>
          <w:tcPr>
            <w:tcW w:w="1454" w:type="dxa"/>
            <w:vAlign w:val="center"/>
          </w:tcPr>
          <w:p>
            <w:pPr>
              <w:pageBreakBefore w:val="0"/>
              <w:kinsoku/>
              <w:overflowPunct/>
              <w:topLinePunct w:val="0"/>
              <w:bidi w:val="0"/>
              <w:jc w:val="center"/>
              <w:outlineLvl w:val="9"/>
              <w:rPr>
                <w:rFonts w:ascii="宋体" w:hAnsi="宋体"/>
                <w:color w:val="auto"/>
                <w:sz w:val="24"/>
              </w:rPr>
            </w:pPr>
          </w:p>
        </w:tc>
        <w:tc>
          <w:tcPr>
            <w:tcW w:w="2234" w:type="dxa"/>
            <w:vAlign w:val="center"/>
          </w:tcPr>
          <w:p>
            <w:pPr>
              <w:pageBreakBefore w:val="0"/>
              <w:kinsoku/>
              <w:overflowPunct/>
              <w:topLinePunct w:val="0"/>
              <w:bidi w:val="0"/>
              <w:jc w:val="center"/>
              <w:outlineLvl w:val="9"/>
              <w:rPr>
                <w:rFonts w:ascii="宋体" w:hAnsi="宋体"/>
                <w:color w:val="auto"/>
                <w:sz w:val="24"/>
              </w:rPr>
            </w:pPr>
          </w:p>
        </w:tc>
        <w:tc>
          <w:tcPr>
            <w:tcW w:w="3109" w:type="dxa"/>
            <w:vAlign w:val="center"/>
          </w:tcPr>
          <w:p>
            <w:pPr>
              <w:pageBreakBefore w:val="0"/>
              <w:kinsoku/>
              <w:overflowPunct/>
              <w:topLinePunct w:val="0"/>
              <w:bidi w:val="0"/>
              <w:jc w:val="center"/>
              <w:outlineLvl w:val="9"/>
              <w:rPr>
                <w:rFonts w:ascii="宋体" w:hAnsi="宋体"/>
                <w:color w:val="auto"/>
                <w:sz w:val="24"/>
              </w:rPr>
            </w:pPr>
          </w:p>
        </w:tc>
        <w:tc>
          <w:tcPr>
            <w:tcW w:w="2335" w:type="dxa"/>
            <w:vAlign w:val="center"/>
          </w:tcPr>
          <w:p>
            <w:pPr>
              <w:pageBreakBefore w:val="0"/>
              <w:kinsoku/>
              <w:overflowPunct/>
              <w:topLinePunct w:val="0"/>
              <w:bidi w:val="0"/>
              <w:jc w:val="center"/>
              <w:outlineLvl w:val="9"/>
              <w:rPr>
                <w:rFonts w:ascii="宋体" w:hAnsi="宋体"/>
                <w:color w:val="auto"/>
                <w:sz w:val="24"/>
              </w:rPr>
            </w:pPr>
          </w:p>
        </w:tc>
      </w:tr>
    </w:tbl>
    <w:p>
      <w:pPr>
        <w:pageBreakBefore w:val="0"/>
        <w:kinsoku/>
        <w:overflowPunct/>
        <w:topLinePunct w:val="0"/>
        <w:autoSpaceDE w:val="0"/>
        <w:autoSpaceDN w:val="0"/>
        <w:bidi w:val="0"/>
        <w:ind w:left="700" w:hanging="700" w:hangingChars="332"/>
        <w:outlineLvl w:val="9"/>
        <w:rPr>
          <w:rFonts w:ascii="宋体" w:hAnsi="宋体"/>
          <w:color w:val="auto"/>
          <w:sz w:val="24"/>
        </w:rPr>
      </w:pPr>
      <w:r>
        <w:rPr>
          <w:rFonts w:hAnsi="宋体"/>
          <w:b/>
          <w:color w:val="auto"/>
          <w:szCs w:val="21"/>
        </w:rPr>
        <w:t>注：</w:t>
      </w:r>
    </w:p>
    <w:p>
      <w:pPr>
        <w:pageBreakBefore w:val="0"/>
        <w:numPr>
          <w:ilvl w:val="0"/>
          <w:numId w:val="22"/>
        </w:numPr>
        <w:kinsoku/>
        <w:overflowPunct/>
        <w:topLinePunct w:val="0"/>
        <w:autoSpaceDE w:val="0"/>
        <w:autoSpaceDN w:val="0"/>
        <w:bidi w:val="0"/>
        <w:adjustRightInd w:val="0"/>
        <w:spacing w:line="360" w:lineRule="auto"/>
        <w:outlineLvl w:val="9"/>
        <w:rPr>
          <w:rFonts w:hAnsi="宋体"/>
          <w:color w:val="auto"/>
          <w:szCs w:val="21"/>
        </w:rPr>
      </w:pPr>
      <w:r>
        <w:rPr>
          <w:rFonts w:hint="eastAsia" w:hAnsi="宋体"/>
          <w:color w:val="auto"/>
          <w:szCs w:val="21"/>
        </w:rPr>
        <w:t>供应商</w:t>
      </w:r>
      <w:r>
        <w:rPr>
          <w:rFonts w:hAnsi="宋体"/>
          <w:color w:val="auto"/>
          <w:szCs w:val="21"/>
        </w:rPr>
        <w:t>须提供相应的证明文件（</w:t>
      </w:r>
      <w:r>
        <w:rPr>
          <w:rFonts w:hint="eastAsia" w:hAnsi="宋体"/>
          <w:color w:val="auto"/>
          <w:szCs w:val="21"/>
        </w:rPr>
        <w:t>供应商</w:t>
      </w:r>
      <w:r>
        <w:rPr>
          <w:rFonts w:hAnsi="宋体"/>
          <w:color w:val="auto"/>
          <w:szCs w:val="21"/>
        </w:rPr>
        <w:t>需提供供货合同复印件）</w:t>
      </w:r>
    </w:p>
    <w:p>
      <w:pPr>
        <w:pageBreakBefore w:val="0"/>
        <w:numPr>
          <w:ilvl w:val="0"/>
          <w:numId w:val="22"/>
        </w:numPr>
        <w:kinsoku/>
        <w:overflowPunct/>
        <w:topLinePunct w:val="0"/>
        <w:autoSpaceDE w:val="0"/>
        <w:autoSpaceDN w:val="0"/>
        <w:bidi w:val="0"/>
        <w:adjustRightInd w:val="0"/>
        <w:spacing w:line="360" w:lineRule="auto"/>
        <w:outlineLvl w:val="9"/>
        <w:rPr>
          <w:color w:val="auto"/>
          <w:szCs w:val="21"/>
        </w:rPr>
      </w:pPr>
      <w:r>
        <w:rPr>
          <w:color w:val="auto"/>
          <w:szCs w:val="21"/>
        </w:rPr>
        <w:t>正在执行的</w:t>
      </w:r>
      <w:r>
        <w:rPr>
          <w:rFonts w:hint="eastAsia" w:hAnsi="宋体"/>
          <w:color w:val="auto"/>
          <w:szCs w:val="21"/>
        </w:rPr>
        <w:t>类似业绩需标明执行状态，</w:t>
      </w:r>
      <w:r>
        <w:rPr>
          <w:rFonts w:hint="eastAsia"/>
          <w:color w:val="auto"/>
          <w:szCs w:val="21"/>
        </w:rPr>
        <w:t>供应商需在备注栏填写合同执行的状态，如：设计联络阶段、服务阶段、服务完毕阶段、联调联试阶段等。</w:t>
      </w:r>
    </w:p>
    <w:p>
      <w:pPr>
        <w:pageBreakBefore w:val="0"/>
        <w:kinsoku/>
        <w:overflowPunct/>
        <w:topLinePunct w:val="0"/>
        <w:bidi w:val="0"/>
        <w:spacing w:before="120" w:beforeLines="50" w:line="440" w:lineRule="exact"/>
        <w:ind w:left="-103" w:leftChars="-49" w:firstLine="119" w:firstLineChars="57"/>
        <w:outlineLvl w:val="9"/>
        <w:rPr>
          <w:color w:val="auto"/>
        </w:rPr>
      </w:pPr>
      <w:r>
        <w:rPr>
          <w:rFonts w:hint="eastAsia"/>
          <w:color w:val="auto"/>
        </w:rPr>
        <w:t>供应商：（公章）</w:t>
      </w:r>
    </w:p>
    <w:p>
      <w:pPr>
        <w:pStyle w:val="56"/>
        <w:pageBreakBefore w:val="0"/>
        <w:kinsoku/>
        <w:overflowPunct/>
        <w:topLinePunct w:val="0"/>
        <w:bidi w:val="0"/>
        <w:spacing w:before="120"/>
        <w:outlineLvl w:val="9"/>
        <w:rPr>
          <w:rFonts w:hAnsi="宋体"/>
          <w:color w:val="auto"/>
          <w:sz w:val="21"/>
          <w:szCs w:val="21"/>
        </w:rPr>
      </w:pPr>
      <w:r>
        <w:rPr>
          <w:rFonts w:hAnsi="宋体"/>
          <w:color w:val="auto"/>
          <w:sz w:val="21"/>
          <w:szCs w:val="21"/>
        </w:rPr>
        <w:t>法定代表人或</w:t>
      </w:r>
      <w:r>
        <w:rPr>
          <w:rFonts w:hint="eastAsia" w:hAnsi="宋体"/>
          <w:color w:val="auto"/>
          <w:sz w:val="21"/>
          <w:szCs w:val="21"/>
        </w:rPr>
        <w:t>其</w:t>
      </w:r>
      <w:r>
        <w:rPr>
          <w:rFonts w:hAnsi="宋体"/>
          <w:color w:val="auto"/>
          <w:sz w:val="21"/>
          <w:szCs w:val="21"/>
        </w:rPr>
        <w:t>授权代表：（</w:t>
      </w:r>
      <w:r>
        <w:rPr>
          <w:rFonts w:hint="eastAsia" w:hAnsi="宋体"/>
          <w:color w:val="auto"/>
          <w:sz w:val="21"/>
          <w:szCs w:val="21"/>
        </w:rPr>
        <w:t>签字或加盖人名章</w:t>
      </w:r>
      <w:r>
        <w:rPr>
          <w:rFonts w:hAnsi="宋体"/>
          <w:color w:val="auto"/>
          <w:sz w:val="21"/>
          <w:szCs w:val="21"/>
        </w:rPr>
        <w:t>）</w:t>
      </w:r>
    </w:p>
    <w:p>
      <w:pPr>
        <w:pageBreakBefore w:val="0"/>
        <w:kinsoku/>
        <w:overflowPunct/>
        <w:topLinePunct w:val="0"/>
        <w:bidi w:val="0"/>
        <w:outlineLvl w:val="9"/>
        <w:rPr>
          <w:color w:val="auto"/>
          <w:sz w:val="24"/>
        </w:rPr>
      </w:pPr>
      <w:r>
        <w:rPr>
          <w:rFonts w:hAnsi="宋体"/>
          <w:color w:val="auto"/>
          <w:szCs w:val="21"/>
        </w:rPr>
        <w:t>日期：</w:t>
      </w:r>
      <w:r>
        <w:rPr>
          <w:rFonts w:hint="eastAsia" w:hAnsi="宋体"/>
          <w:color w:val="auto"/>
          <w:szCs w:val="21"/>
        </w:rPr>
        <w:t xml:space="preserve">  </w:t>
      </w:r>
      <w:r>
        <w:rPr>
          <w:rFonts w:hAnsi="宋体"/>
          <w:color w:val="auto"/>
          <w:szCs w:val="21"/>
        </w:rPr>
        <w:t>年</w:t>
      </w:r>
      <w:r>
        <w:rPr>
          <w:rFonts w:hint="eastAsia" w:hAnsi="宋体"/>
          <w:color w:val="auto"/>
          <w:szCs w:val="21"/>
        </w:rPr>
        <w:t xml:space="preserve"> </w:t>
      </w:r>
      <w:r>
        <w:rPr>
          <w:rFonts w:hAnsi="宋体"/>
          <w:color w:val="auto"/>
          <w:szCs w:val="21"/>
        </w:rPr>
        <w:t>月</w:t>
      </w:r>
      <w:r>
        <w:rPr>
          <w:rFonts w:hint="eastAsia" w:hAnsi="宋体"/>
          <w:color w:val="auto"/>
          <w:szCs w:val="21"/>
        </w:rPr>
        <w:t xml:space="preserve">  </w:t>
      </w:r>
      <w:r>
        <w:rPr>
          <w:rFonts w:hAnsi="宋体"/>
          <w:color w:val="auto"/>
          <w:szCs w:val="21"/>
        </w:rPr>
        <w:t>日</w:t>
      </w:r>
    </w:p>
    <w:p>
      <w:pPr>
        <w:pageBreakBefore w:val="0"/>
        <w:widowControl/>
        <w:kinsoku/>
        <w:overflowPunct/>
        <w:topLinePunct w:val="0"/>
        <w:bidi w:val="0"/>
        <w:jc w:val="left"/>
        <w:outlineLvl w:val="9"/>
        <w:rPr>
          <w:rFonts w:ascii="Cambria" w:hAnsi="Cambria"/>
          <w:b/>
          <w:bCs/>
          <w:color w:val="auto"/>
          <w:sz w:val="24"/>
        </w:rPr>
      </w:pPr>
      <w:r>
        <w:rPr>
          <w:rFonts w:ascii="Cambria" w:hAnsi="Cambria"/>
          <w:b/>
          <w:bCs/>
          <w:color w:val="auto"/>
          <w:sz w:val="24"/>
        </w:rPr>
        <w:br w:type="page"/>
      </w:r>
    </w:p>
    <w:p>
      <w:pPr>
        <w:pageBreakBefore w:val="0"/>
        <w:kinsoku/>
        <w:overflowPunct/>
        <w:topLinePunct w:val="0"/>
        <w:bidi w:val="0"/>
        <w:spacing w:before="120" w:beforeLines="50"/>
        <w:ind w:left="-84" w:leftChars="-40" w:firstLine="525" w:firstLineChars="250"/>
        <w:outlineLvl w:val="9"/>
        <w:rPr>
          <w:color w:val="auto"/>
        </w:rPr>
        <w:sectPr>
          <w:headerReference r:id="rId6" w:type="default"/>
          <w:footerReference r:id="rId7" w:type="default"/>
          <w:pgSz w:w="16838" w:h="11906" w:orient="landscape"/>
          <w:pgMar w:top="1701" w:right="1247" w:bottom="1247" w:left="1247" w:header="851" w:footer="992" w:gutter="0"/>
          <w:cols w:space="720" w:num="1"/>
          <w:docGrid w:linePitch="312" w:charSpace="0"/>
        </w:sectPr>
      </w:pP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r>
        <w:rPr>
          <w:rFonts w:hint="eastAsia"/>
          <w:b/>
          <w:color w:val="auto"/>
          <w:sz w:val="24"/>
        </w:rPr>
        <w:t>小微企业、监狱企业、残疾人福利单位的声明函或证明材料</w:t>
      </w:r>
    </w:p>
    <w:p>
      <w:pPr>
        <w:pStyle w:val="39"/>
        <w:pageBreakBefore w:val="0"/>
        <w:kinsoku/>
        <w:overflowPunct/>
        <w:topLinePunct w:val="0"/>
        <w:bidi w:val="0"/>
        <w:snapToGrid w:val="0"/>
        <w:spacing w:before="156" w:beforeLines="50"/>
        <w:outlineLvl w:val="9"/>
        <w:rPr>
          <w:rFonts w:hAnsi="宋体" w:cs="宋体"/>
          <w:color w:val="auto"/>
          <w:sz w:val="24"/>
        </w:rPr>
      </w:pPr>
    </w:p>
    <w:p>
      <w:pPr>
        <w:pageBreakBefore w:val="0"/>
        <w:kinsoku/>
        <w:overflowPunct/>
        <w:topLinePunct w:val="0"/>
        <w:bidi w:val="0"/>
        <w:jc w:val="center"/>
        <w:outlineLvl w:val="9"/>
        <w:rPr>
          <w:rFonts w:hAnsi="宋体"/>
          <w:color w:val="auto"/>
          <w:sz w:val="32"/>
          <w:szCs w:val="32"/>
        </w:rPr>
      </w:pPr>
      <w:r>
        <w:rPr>
          <w:rFonts w:hint="eastAsia" w:hAnsi="宋体"/>
          <w:color w:val="auto"/>
          <w:sz w:val="32"/>
          <w:szCs w:val="32"/>
        </w:rPr>
        <w:t>（一）中小企业声明函</w:t>
      </w:r>
    </w:p>
    <w:p>
      <w:pPr>
        <w:pageBreakBefore w:val="0"/>
        <w:widowControl/>
        <w:kinsoku/>
        <w:overflowPunct/>
        <w:topLinePunct w:val="0"/>
        <w:bidi w:val="0"/>
        <w:ind w:firstLine="480" w:firstLineChars="200"/>
        <w:jc w:val="left"/>
        <w:outlineLvl w:val="9"/>
        <w:rPr>
          <w:rFonts w:hAnsi="宋体"/>
          <w:color w:val="auto"/>
          <w:sz w:val="24"/>
        </w:rPr>
      </w:pPr>
      <w:r>
        <w:rPr>
          <w:rFonts w:hint="eastAsia" w:hAnsi="宋体"/>
          <w:color w:val="auto"/>
          <w:sz w:val="24"/>
        </w:rPr>
        <w:t>本公司（联合体）郑重声明，根据《政府采购促进中小企业发展管理办法》（财库﹝2020﹞46 号）的规定，本公司（联合体）参加 （单位名称） 的 （项目名称） 采购活动，提</w:t>
      </w:r>
    </w:p>
    <w:p>
      <w:pPr>
        <w:pageBreakBefore w:val="0"/>
        <w:widowControl/>
        <w:kinsoku/>
        <w:overflowPunct/>
        <w:topLinePunct w:val="0"/>
        <w:bidi w:val="0"/>
        <w:jc w:val="left"/>
        <w:outlineLvl w:val="9"/>
        <w:rPr>
          <w:rFonts w:hAnsi="宋体"/>
          <w:color w:val="auto"/>
          <w:sz w:val="24"/>
        </w:rPr>
      </w:pPr>
      <w:r>
        <w:rPr>
          <w:rFonts w:hint="eastAsia" w:hAnsi="宋体"/>
          <w:color w:val="auto"/>
          <w:sz w:val="24"/>
        </w:rPr>
        <w:t>供的货物全部由符合政策要求的中小企业制造。相关企业（含联合体中的中小企业、签订分包意向协议的中小企业）的具体情况如下：</w:t>
      </w:r>
    </w:p>
    <w:p>
      <w:pPr>
        <w:pageBreakBefore w:val="0"/>
        <w:widowControl/>
        <w:kinsoku/>
        <w:overflowPunct/>
        <w:topLinePunct w:val="0"/>
        <w:bidi w:val="0"/>
        <w:jc w:val="left"/>
        <w:outlineLvl w:val="9"/>
        <w:rPr>
          <w:rFonts w:hAnsi="宋体"/>
          <w:color w:val="auto"/>
          <w:sz w:val="24"/>
        </w:rPr>
      </w:pPr>
      <w:r>
        <w:rPr>
          <w:rFonts w:hint="eastAsia" w:hAnsi="宋体"/>
          <w:color w:val="auto"/>
          <w:sz w:val="24"/>
        </w:rPr>
        <w:t xml:space="preserve">1. </w:t>
      </w:r>
      <w:r>
        <w:rPr>
          <w:rFonts w:hint="eastAsia" w:hAnsi="宋体"/>
          <w:color w:val="auto"/>
          <w:sz w:val="24"/>
          <w:u w:val="single"/>
        </w:rPr>
        <w:t>（标的名称）</w:t>
      </w:r>
      <w:r>
        <w:rPr>
          <w:rFonts w:hint="eastAsia" w:hAnsi="宋体"/>
          <w:color w:val="auto"/>
          <w:sz w:val="24"/>
        </w:rPr>
        <w:t xml:space="preserve"> ，属于 </w:t>
      </w:r>
      <w:r>
        <w:rPr>
          <w:rFonts w:hint="eastAsia" w:hAnsi="宋体"/>
          <w:color w:val="auto"/>
          <w:sz w:val="24"/>
          <w:u w:val="single"/>
        </w:rPr>
        <w:t>（采购文件中明确的所属行业）</w:t>
      </w:r>
      <w:r>
        <w:rPr>
          <w:rFonts w:hint="eastAsia" w:hAnsi="宋体"/>
          <w:color w:val="auto"/>
          <w:sz w:val="24"/>
        </w:rPr>
        <w:t>行业 ；制造商为</w:t>
      </w:r>
      <w:r>
        <w:rPr>
          <w:rFonts w:hint="eastAsia" w:hAnsi="宋体"/>
          <w:color w:val="auto"/>
          <w:sz w:val="24"/>
          <w:u w:val="single"/>
        </w:rPr>
        <w:t xml:space="preserve"> （企业名称） </w:t>
      </w:r>
      <w:r>
        <w:rPr>
          <w:rFonts w:hint="eastAsia" w:hAnsi="宋体"/>
          <w:color w:val="auto"/>
          <w:sz w:val="24"/>
        </w:rPr>
        <w:t>从业人员</w:t>
      </w:r>
      <w:r>
        <w:rPr>
          <w:rFonts w:hint="eastAsia" w:hAnsi="宋体"/>
          <w:color w:val="auto"/>
          <w:sz w:val="24"/>
          <w:u w:val="single"/>
        </w:rPr>
        <w:t xml:space="preserve">   </w:t>
      </w:r>
      <w:r>
        <w:rPr>
          <w:rFonts w:hint="eastAsia" w:hAnsi="宋体"/>
          <w:color w:val="auto"/>
          <w:sz w:val="24"/>
        </w:rPr>
        <w:t>人，营业收入为</w:t>
      </w:r>
      <w:r>
        <w:rPr>
          <w:rFonts w:hint="eastAsia" w:hAnsi="宋体"/>
          <w:i/>
          <w:iCs/>
          <w:color w:val="auto"/>
          <w:sz w:val="24"/>
          <w:u w:val="single"/>
        </w:rPr>
        <w:t xml:space="preserve">   </w:t>
      </w:r>
      <w:r>
        <w:rPr>
          <w:rFonts w:hint="eastAsia" w:hAnsi="宋体"/>
          <w:color w:val="auto"/>
          <w:sz w:val="24"/>
        </w:rPr>
        <w:t>万元，资产总额为</w:t>
      </w:r>
      <w:r>
        <w:rPr>
          <w:rFonts w:hint="eastAsia" w:hAnsi="宋体"/>
          <w:color w:val="auto"/>
          <w:sz w:val="24"/>
          <w:u w:val="single"/>
        </w:rPr>
        <w:t xml:space="preserve">     </w:t>
      </w:r>
      <w:r>
        <w:rPr>
          <w:rFonts w:hint="eastAsia" w:hAnsi="宋体"/>
          <w:color w:val="auto"/>
          <w:sz w:val="24"/>
        </w:rPr>
        <w:t>万元，属于</w:t>
      </w:r>
      <w:r>
        <w:rPr>
          <w:rFonts w:hint="eastAsia" w:hAnsi="宋体"/>
          <w:color w:val="auto"/>
          <w:sz w:val="24"/>
          <w:u w:val="single"/>
        </w:rPr>
        <w:t xml:space="preserve"> （中型企业、小型企业、微型企业）</w:t>
      </w:r>
      <w:r>
        <w:rPr>
          <w:rFonts w:hint="eastAsia" w:hAnsi="宋体"/>
          <w:color w:val="auto"/>
          <w:sz w:val="24"/>
        </w:rPr>
        <w:t xml:space="preserve"> ；</w:t>
      </w:r>
    </w:p>
    <w:p>
      <w:pPr>
        <w:pageBreakBefore w:val="0"/>
        <w:widowControl/>
        <w:kinsoku/>
        <w:overflowPunct/>
        <w:topLinePunct w:val="0"/>
        <w:bidi w:val="0"/>
        <w:jc w:val="left"/>
        <w:outlineLvl w:val="9"/>
        <w:rPr>
          <w:rFonts w:hAnsi="宋体"/>
          <w:color w:val="auto"/>
          <w:sz w:val="24"/>
          <w:u w:val="single"/>
        </w:rPr>
      </w:pPr>
      <w:r>
        <w:rPr>
          <w:rFonts w:hint="eastAsia" w:hAnsi="宋体"/>
          <w:color w:val="auto"/>
          <w:sz w:val="24"/>
        </w:rPr>
        <w:t xml:space="preserve">2. </w:t>
      </w:r>
      <w:r>
        <w:rPr>
          <w:rFonts w:hint="eastAsia" w:hAnsi="宋体"/>
          <w:color w:val="auto"/>
          <w:sz w:val="24"/>
          <w:u w:val="single"/>
        </w:rPr>
        <w:t xml:space="preserve">（标的名称） </w:t>
      </w:r>
      <w:r>
        <w:rPr>
          <w:rFonts w:hint="eastAsia" w:hAnsi="宋体"/>
          <w:color w:val="auto"/>
          <w:sz w:val="24"/>
        </w:rPr>
        <w:t>，属于</w:t>
      </w:r>
      <w:r>
        <w:rPr>
          <w:rFonts w:hint="eastAsia" w:hAnsi="宋体"/>
          <w:color w:val="auto"/>
          <w:sz w:val="24"/>
          <w:u w:val="single"/>
        </w:rPr>
        <w:t xml:space="preserve"> （采购文件中明确的所属行业）</w:t>
      </w:r>
      <w:r>
        <w:rPr>
          <w:rFonts w:hint="eastAsia" w:hAnsi="宋体"/>
          <w:color w:val="auto"/>
          <w:sz w:val="24"/>
        </w:rPr>
        <w:t>行业 ；制造商为</w:t>
      </w:r>
      <w:r>
        <w:rPr>
          <w:rFonts w:hint="eastAsia" w:hAnsi="宋体"/>
          <w:color w:val="auto"/>
          <w:sz w:val="24"/>
          <w:u w:val="single"/>
        </w:rPr>
        <w:t xml:space="preserve"> （企业名称） </w:t>
      </w:r>
      <w:r>
        <w:rPr>
          <w:rFonts w:hint="eastAsia" w:hAnsi="宋体"/>
          <w:color w:val="auto"/>
          <w:sz w:val="24"/>
        </w:rPr>
        <w:t>从业人员</w:t>
      </w:r>
      <w:r>
        <w:rPr>
          <w:rFonts w:hint="eastAsia" w:hAnsi="宋体"/>
          <w:color w:val="auto"/>
          <w:sz w:val="24"/>
          <w:u w:val="single"/>
        </w:rPr>
        <w:t xml:space="preserve">    </w:t>
      </w:r>
      <w:r>
        <w:rPr>
          <w:rFonts w:hint="eastAsia" w:hAnsi="宋体"/>
          <w:color w:val="auto"/>
          <w:sz w:val="24"/>
        </w:rPr>
        <w:t>人，营业收入为</w:t>
      </w:r>
      <w:r>
        <w:rPr>
          <w:rFonts w:hint="eastAsia" w:hAnsi="宋体"/>
          <w:color w:val="auto"/>
          <w:sz w:val="24"/>
          <w:u w:val="single"/>
        </w:rPr>
        <w:t xml:space="preserve">    </w:t>
      </w:r>
      <w:r>
        <w:rPr>
          <w:rFonts w:hint="eastAsia" w:hAnsi="宋体"/>
          <w:color w:val="auto"/>
          <w:sz w:val="24"/>
        </w:rPr>
        <w:t>万元，资产总额为</w:t>
      </w:r>
      <w:r>
        <w:rPr>
          <w:rFonts w:hint="eastAsia" w:hAnsi="宋体"/>
          <w:color w:val="auto"/>
          <w:sz w:val="24"/>
          <w:u w:val="single"/>
        </w:rPr>
        <w:t xml:space="preserve">    </w:t>
      </w:r>
      <w:r>
        <w:rPr>
          <w:rFonts w:hint="eastAsia" w:hAnsi="宋体"/>
          <w:color w:val="auto"/>
          <w:sz w:val="24"/>
        </w:rPr>
        <w:t>万元，属于</w:t>
      </w:r>
      <w:r>
        <w:rPr>
          <w:rFonts w:hint="eastAsia" w:hAnsi="宋体"/>
          <w:color w:val="auto"/>
          <w:sz w:val="24"/>
          <w:u w:val="single"/>
        </w:rPr>
        <w:t xml:space="preserve"> （中型企业、小型</w:t>
      </w:r>
    </w:p>
    <w:p>
      <w:pPr>
        <w:pageBreakBefore w:val="0"/>
        <w:widowControl/>
        <w:kinsoku/>
        <w:overflowPunct/>
        <w:topLinePunct w:val="0"/>
        <w:bidi w:val="0"/>
        <w:jc w:val="left"/>
        <w:outlineLvl w:val="9"/>
        <w:rPr>
          <w:rFonts w:hAnsi="宋体"/>
          <w:color w:val="auto"/>
          <w:sz w:val="24"/>
        </w:rPr>
      </w:pPr>
      <w:r>
        <w:rPr>
          <w:rFonts w:hint="eastAsia" w:hAnsi="宋体"/>
          <w:color w:val="auto"/>
          <w:sz w:val="24"/>
          <w:u w:val="single"/>
        </w:rPr>
        <w:t xml:space="preserve">企业、微型企业） </w:t>
      </w:r>
      <w:r>
        <w:rPr>
          <w:rFonts w:hint="eastAsia" w:hAnsi="宋体"/>
          <w:color w:val="auto"/>
          <w:sz w:val="24"/>
        </w:rPr>
        <w:t>；</w:t>
      </w:r>
    </w:p>
    <w:p>
      <w:pPr>
        <w:pageBreakBefore w:val="0"/>
        <w:widowControl/>
        <w:kinsoku/>
        <w:overflowPunct/>
        <w:topLinePunct w:val="0"/>
        <w:bidi w:val="0"/>
        <w:jc w:val="left"/>
        <w:outlineLvl w:val="9"/>
        <w:rPr>
          <w:rFonts w:hAnsi="宋体"/>
          <w:color w:val="auto"/>
          <w:sz w:val="24"/>
        </w:rPr>
      </w:pPr>
      <w:r>
        <w:rPr>
          <w:rFonts w:hint="eastAsia" w:hAnsi="宋体"/>
          <w:color w:val="auto"/>
          <w:sz w:val="24"/>
        </w:rPr>
        <w:t>……</w:t>
      </w:r>
    </w:p>
    <w:p>
      <w:pPr>
        <w:pageBreakBefore w:val="0"/>
        <w:widowControl/>
        <w:kinsoku/>
        <w:overflowPunct/>
        <w:topLinePunct w:val="0"/>
        <w:bidi w:val="0"/>
        <w:ind w:firstLine="480" w:firstLineChars="200"/>
        <w:jc w:val="left"/>
        <w:outlineLvl w:val="9"/>
        <w:rPr>
          <w:rFonts w:hAnsi="宋体"/>
          <w:color w:val="auto"/>
          <w:sz w:val="24"/>
        </w:rPr>
      </w:pPr>
      <w:r>
        <w:rPr>
          <w:rFonts w:hint="eastAsia" w:hAnsi="宋体"/>
          <w:color w:val="auto"/>
          <w:sz w:val="24"/>
        </w:rPr>
        <w:t>以上企业，不属于大企业的分支机构，不存在控股股东为大企业的情形，也不存在与大企业的负责人为同一人的情形。</w:t>
      </w:r>
    </w:p>
    <w:p>
      <w:pPr>
        <w:pageBreakBefore w:val="0"/>
        <w:widowControl/>
        <w:kinsoku/>
        <w:overflowPunct/>
        <w:topLinePunct w:val="0"/>
        <w:bidi w:val="0"/>
        <w:jc w:val="left"/>
        <w:outlineLvl w:val="9"/>
        <w:rPr>
          <w:rFonts w:hAnsi="宋体"/>
          <w:color w:val="auto"/>
          <w:sz w:val="24"/>
        </w:rPr>
      </w:pPr>
    </w:p>
    <w:p>
      <w:pPr>
        <w:pageBreakBefore w:val="0"/>
        <w:widowControl/>
        <w:kinsoku/>
        <w:overflowPunct/>
        <w:topLinePunct w:val="0"/>
        <w:bidi w:val="0"/>
        <w:ind w:firstLine="480" w:firstLineChars="200"/>
        <w:jc w:val="left"/>
        <w:outlineLvl w:val="9"/>
        <w:rPr>
          <w:rFonts w:hAnsi="宋体"/>
          <w:color w:val="auto"/>
          <w:sz w:val="24"/>
        </w:rPr>
      </w:pPr>
      <w:r>
        <w:rPr>
          <w:rFonts w:hint="eastAsia" w:hAnsi="宋体"/>
          <w:color w:val="auto"/>
          <w:sz w:val="24"/>
        </w:rPr>
        <w:t>本企业对上述声明内容的真实性负责。如有虚假，将依法承担相应责任。</w:t>
      </w:r>
    </w:p>
    <w:p>
      <w:pPr>
        <w:pageBreakBefore w:val="0"/>
        <w:widowControl/>
        <w:kinsoku/>
        <w:overflowPunct/>
        <w:topLinePunct w:val="0"/>
        <w:bidi w:val="0"/>
        <w:jc w:val="left"/>
        <w:outlineLvl w:val="9"/>
        <w:rPr>
          <w:rFonts w:hAnsi="宋体"/>
          <w:color w:val="auto"/>
          <w:sz w:val="24"/>
        </w:rPr>
      </w:pPr>
    </w:p>
    <w:p>
      <w:pPr>
        <w:pageBreakBefore w:val="0"/>
        <w:widowControl/>
        <w:kinsoku/>
        <w:overflowPunct/>
        <w:topLinePunct w:val="0"/>
        <w:bidi w:val="0"/>
        <w:jc w:val="right"/>
        <w:outlineLvl w:val="9"/>
        <w:rPr>
          <w:rFonts w:hAnsi="宋体"/>
          <w:color w:val="auto"/>
          <w:sz w:val="24"/>
        </w:rPr>
      </w:pPr>
      <w:r>
        <w:rPr>
          <w:rFonts w:hint="eastAsia" w:hAnsi="宋体"/>
          <w:color w:val="auto"/>
          <w:sz w:val="24"/>
        </w:rPr>
        <w:t>企业名称（盖章）：</w:t>
      </w:r>
    </w:p>
    <w:p>
      <w:pPr>
        <w:pageBreakBefore w:val="0"/>
        <w:widowControl/>
        <w:kinsoku/>
        <w:overflowPunct/>
        <w:topLinePunct w:val="0"/>
        <w:bidi w:val="0"/>
        <w:jc w:val="center"/>
        <w:outlineLvl w:val="9"/>
        <w:rPr>
          <w:rFonts w:hAnsi="宋体"/>
          <w:color w:val="auto"/>
          <w:sz w:val="24"/>
        </w:rPr>
      </w:pPr>
      <w:r>
        <w:rPr>
          <w:rFonts w:hint="eastAsia" w:hAnsi="宋体"/>
          <w:color w:val="auto"/>
          <w:sz w:val="24"/>
        </w:rPr>
        <w:t xml:space="preserve">                                                  日 期：</w:t>
      </w:r>
    </w:p>
    <w:p>
      <w:pPr>
        <w:pageBreakBefore w:val="0"/>
        <w:widowControl/>
        <w:kinsoku/>
        <w:overflowPunct/>
        <w:topLinePunct w:val="0"/>
        <w:bidi w:val="0"/>
        <w:jc w:val="left"/>
        <w:outlineLvl w:val="9"/>
        <w:rPr>
          <w:rFonts w:hAnsi="宋体"/>
          <w:color w:val="auto"/>
          <w:sz w:val="24"/>
        </w:rPr>
      </w:pPr>
    </w:p>
    <w:p>
      <w:pPr>
        <w:pageBreakBefore w:val="0"/>
        <w:widowControl/>
        <w:kinsoku/>
        <w:overflowPunct/>
        <w:topLinePunct w:val="0"/>
        <w:bidi w:val="0"/>
        <w:jc w:val="left"/>
        <w:outlineLvl w:val="9"/>
        <w:rPr>
          <w:rFonts w:hAnsi="宋体"/>
          <w:color w:val="auto"/>
          <w:sz w:val="24"/>
        </w:rPr>
      </w:pPr>
    </w:p>
    <w:p>
      <w:pPr>
        <w:pageBreakBefore w:val="0"/>
        <w:widowControl/>
        <w:kinsoku/>
        <w:overflowPunct/>
        <w:topLinePunct w:val="0"/>
        <w:bidi w:val="0"/>
        <w:jc w:val="left"/>
        <w:outlineLvl w:val="9"/>
        <w:rPr>
          <w:rFonts w:hAnsi="宋体"/>
          <w:color w:val="auto"/>
          <w:sz w:val="24"/>
        </w:rPr>
      </w:pPr>
    </w:p>
    <w:p>
      <w:pPr>
        <w:pageBreakBefore w:val="0"/>
        <w:widowControl/>
        <w:kinsoku/>
        <w:overflowPunct/>
        <w:topLinePunct w:val="0"/>
        <w:bidi w:val="0"/>
        <w:jc w:val="left"/>
        <w:outlineLvl w:val="9"/>
        <w:rPr>
          <w:rFonts w:ascii="宋体" w:hAnsi="宋体" w:cs="宋体"/>
          <w:color w:val="auto"/>
          <w:sz w:val="24"/>
        </w:rPr>
      </w:pPr>
      <w:r>
        <w:rPr>
          <w:rFonts w:hint="eastAsia" w:hAnsi="宋体"/>
          <w:color w:val="auto"/>
          <w:sz w:val="24"/>
        </w:rPr>
        <w:t>备注：从业人员、营业收入、资产总额填报上一年度数据，无上一年度数据的新成立企业可不填报。</w:t>
      </w:r>
      <w:r>
        <w:rPr>
          <w:rFonts w:hAnsi="宋体" w:cs="宋体"/>
          <w:color w:val="auto"/>
          <w:sz w:val="24"/>
        </w:rPr>
        <w:br w:type="page"/>
      </w:r>
    </w:p>
    <w:p>
      <w:pPr>
        <w:pageBreakBefore w:val="0"/>
        <w:kinsoku/>
        <w:overflowPunct/>
        <w:topLinePunct w:val="0"/>
        <w:bidi w:val="0"/>
        <w:jc w:val="center"/>
        <w:outlineLvl w:val="9"/>
        <w:rPr>
          <w:rFonts w:hAnsi="宋体"/>
          <w:b/>
          <w:bCs/>
          <w:color w:val="auto"/>
          <w:sz w:val="32"/>
          <w:szCs w:val="32"/>
        </w:rPr>
      </w:pPr>
      <w:r>
        <w:rPr>
          <w:rFonts w:hint="eastAsia" w:hAnsi="宋体"/>
          <w:b/>
          <w:bCs/>
          <w:color w:val="auto"/>
          <w:sz w:val="32"/>
          <w:szCs w:val="32"/>
        </w:rPr>
        <w:t>（二）监狱企业证明</w:t>
      </w:r>
    </w:p>
    <w:p>
      <w:pPr>
        <w:pageBreakBefore w:val="0"/>
        <w:kinsoku/>
        <w:overflowPunct/>
        <w:topLinePunct w:val="0"/>
        <w:bidi w:val="0"/>
        <w:jc w:val="center"/>
        <w:outlineLvl w:val="9"/>
        <w:rPr>
          <w:color w:val="auto"/>
          <w:sz w:val="24"/>
        </w:rPr>
      </w:pPr>
      <w:r>
        <w:rPr>
          <w:rFonts w:hint="eastAsia"/>
          <w:color w:val="auto"/>
          <w:sz w:val="24"/>
        </w:rPr>
        <w:t>（注：符合条件的监狱企业请提供本函，不符合的不提供本函）</w:t>
      </w:r>
    </w:p>
    <w:p>
      <w:pPr>
        <w:pStyle w:val="39"/>
        <w:pageBreakBefore w:val="0"/>
        <w:kinsoku/>
        <w:overflowPunct/>
        <w:topLinePunct w:val="0"/>
        <w:bidi w:val="0"/>
        <w:snapToGrid w:val="0"/>
        <w:spacing w:before="156" w:beforeLines="50"/>
        <w:outlineLvl w:val="9"/>
        <w:rPr>
          <w:rFonts w:hAnsi="宋体" w:cs="宋体"/>
          <w:color w:val="auto"/>
          <w:sz w:val="24"/>
          <w:szCs w:val="24"/>
        </w:rPr>
      </w:pPr>
    </w:p>
    <w:p>
      <w:pPr>
        <w:pStyle w:val="39"/>
        <w:pageBreakBefore w:val="0"/>
        <w:kinsoku/>
        <w:overflowPunct/>
        <w:topLinePunct w:val="0"/>
        <w:bidi w:val="0"/>
        <w:snapToGrid w:val="0"/>
        <w:spacing w:before="156" w:beforeLines="50"/>
        <w:outlineLvl w:val="9"/>
        <w:rPr>
          <w:rFonts w:hAnsi="宋体" w:cs="宋体"/>
          <w:color w:val="auto"/>
          <w:sz w:val="24"/>
          <w:szCs w:val="24"/>
        </w:rPr>
      </w:pPr>
      <w:r>
        <w:rPr>
          <w:rFonts w:hint="eastAsia" w:hAnsi="宋体" w:cs="宋体"/>
          <w:color w:val="auto"/>
          <w:sz w:val="24"/>
          <w:szCs w:val="24"/>
        </w:rPr>
        <w:t>省级以上监狱管理局、戒毒管理局（含新疆生产建设兵团）出具的属于监狱企业的证明文件。</w:t>
      </w:r>
    </w:p>
    <w:p>
      <w:pPr>
        <w:pStyle w:val="39"/>
        <w:pageBreakBefore w:val="0"/>
        <w:kinsoku/>
        <w:overflowPunct/>
        <w:topLinePunct w:val="0"/>
        <w:bidi w:val="0"/>
        <w:snapToGrid w:val="0"/>
        <w:spacing w:before="156" w:beforeLines="50"/>
        <w:outlineLvl w:val="9"/>
        <w:rPr>
          <w:rFonts w:hAnsi="宋体" w:cs="宋体"/>
          <w:color w:val="auto"/>
          <w:sz w:val="24"/>
          <w:szCs w:val="24"/>
        </w:rPr>
      </w:pPr>
    </w:p>
    <w:p>
      <w:pPr>
        <w:pageBreakBefore w:val="0"/>
        <w:kinsoku/>
        <w:overflowPunct/>
        <w:topLinePunct w:val="0"/>
        <w:bidi w:val="0"/>
        <w:jc w:val="center"/>
        <w:outlineLvl w:val="9"/>
        <w:rPr>
          <w:rFonts w:hAnsi="宋体"/>
          <w:b/>
          <w:bCs/>
          <w:color w:val="auto"/>
          <w:sz w:val="32"/>
          <w:szCs w:val="32"/>
        </w:rPr>
      </w:pPr>
      <w:r>
        <w:rPr>
          <w:rFonts w:hAnsi="宋体" w:cs="宋体"/>
          <w:color w:val="auto"/>
          <w:sz w:val="24"/>
        </w:rPr>
        <w:br w:type="page"/>
      </w:r>
      <w:r>
        <w:rPr>
          <w:rFonts w:hint="eastAsia" w:hAnsi="宋体"/>
          <w:b/>
          <w:bCs/>
          <w:color w:val="auto"/>
          <w:sz w:val="32"/>
          <w:szCs w:val="32"/>
        </w:rPr>
        <w:t>（三）残疾人福利性单位声明函</w:t>
      </w:r>
    </w:p>
    <w:p>
      <w:pPr>
        <w:pageBreakBefore w:val="0"/>
        <w:kinsoku/>
        <w:overflowPunct/>
        <w:topLinePunct w:val="0"/>
        <w:bidi w:val="0"/>
        <w:jc w:val="center"/>
        <w:outlineLvl w:val="9"/>
        <w:rPr>
          <w:color w:val="auto"/>
          <w:sz w:val="24"/>
        </w:rPr>
      </w:pPr>
      <w:r>
        <w:rPr>
          <w:rFonts w:hint="eastAsia"/>
          <w:color w:val="auto"/>
          <w:sz w:val="24"/>
        </w:rPr>
        <w:t>（注：符合条件的残疾人福利性单位请提供本函，不符合的不提供本函）</w:t>
      </w:r>
    </w:p>
    <w:p>
      <w:pPr>
        <w:pageBreakBefore w:val="0"/>
        <w:kinsoku/>
        <w:overflowPunct/>
        <w:topLinePunct w:val="0"/>
        <w:bidi w:val="0"/>
        <w:outlineLvl w:val="9"/>
        <w:rPr>
          <w:color w:val="auto"/>
          <w:sz w:val="24"/>
        </w:rPr>
      </w:pPr>
    </w:p>
    <w:p>
      <w:pPr>
        <w:pageBreakBefore w:val="0"/>
        <w:kinsoku/>
        <w:overflowPunct/>
        <w:topLinePunct w:val="0"/>
        <w:bidi w:val="0"/>
        <w:outlineLvl w:val="9"/>
        <w:rPr>
          <w:color w:val="auto"/>
          <w:sz w:val="24"/>
        </w:rPr>
      </w:pPr>
    </w:p>
    <w:p>
      <w:pPr>
        <w:pageBreakBefore w:val="0"/>
        <w:kinsoku/>
        <w:overflowPunct/>
        <w:topLinePunct w:val="0"/>
        <w:bidi w:val="0"/>
        <w:outlineLvl w:val="9"/>
        <w:rPr>
          <w:color w:val="auto"/>
          <w:sz w:val="24"/>
        </w:rPr>
      </w:pPr>
      <w:r>
        <w:rPr>
          <w:rFonts w:hint="eastAsia"/>
          <w:color w:val="auto"/>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kinsoku/>
        <w:overflowPunct/>
        <w:topLinePunct w:val="0"/>
        <w:bidi w:val="0"/>
        <w:outlineLvl w:val="9"/>
        <w:rPr>
          <w:color w:val="auto"/>
          <w:sz w:val="24"/>
        </w:rPr>
      </w:pPr>
    </w:p>
    <w:p>
      <w:pPr>
        <w:pageBreakBefore w:val="0"/>
        <w:kinsoku/>
        <w:overflowPunct/>
        <w:topLinePunct w:val="0"/>
        <w:bidi w:val="0"/>
        <w:outlineLvl w:val="9"/>
        <w:rPr>
          <w:color w:val="auto"/>
          <w:sz w:val="24"/>
        </w:rPr>
      </w:pPr>
      <w:r>
        <w:rPr>
          <w:rFonts w:hint="eastAsia"/>
          <w:color w:val="auto"/>
          <w:sz w:val="24"/>
        </w:rPr>
        <w:t>本单位对上述声明的真实性负责。如有虚假，将依法承担相应责任。</w:t>
      </w:r>
    </w:p>
    <w:p>
      <w:pPr>
        <w:pageBreakBefore w:val="0"/>
        <w:kinsoku/>
        <w:overflowPunct/>
        <w:topLinePunct w:val="0"/>
        <w:bidi w:val="0"/>
        <w:outlineLvl w:val="9"/>
        <w:rPr>
          <w:color w:val="auto"/>
          <w:sz w:val="24"/>
        </w:rPr>
      </w:pPr>
      <w:r>
        <w:rPr>
          <w:color w:val="auto"/>
          <w:sz w:val="24"/>
        </w:rPr>
        <w:t xml:space="preserve"> </w:t>
      </w:r>
    </w:p>
    <w:p>
      <w:pPr>
        <w:pageBreakBefore w:val="0"/>
        <w:kinsoku/>
        <w:overflowPunct/>
        <w:topLinePunct w:val="0"/>
        <w:bidi w:val="0"/>
        <w:outlineLvl w:val="9"/>
        <w:rPr>
          <w:color w:val="auto"/>
          <w:sz w:val="24"/>
        </w:rPr>
      </w:pPr>
      <w:r>
        <w:rPr>
          <w:rFonts w:hint="eastAsia"/>
          <w:color w:val="auto"/>
          <w:sz w:val="24"/>
        </w:rPr>
        <w:t>单位名称（盖章）：</w:t>
      </w:r>
    </w:p>
    <w:p>
      <w:pPr>
        <w:pageBreakBefore w:val="0"/>
        <w:kinsoku/>
        <w:overflowPunct/>
        <w:topLinePunct w:val="0"/>
        <w:bidi w:val="0"/>
        <w:outlineLvl w:val="9"/>
        <w:rPr>
          <w:color w:val="auto"/>
          <w:sz w:val="24"/>
        </w:rPr>
      </w:pPr>
    </w:p>
    <w:p>
      <w:pPr>
        <w:pageBreakBefore w:val="0"/>
        <w:kinsoku/>
        <w:overflowPunct/>
        <w:topLinePunct w:val="0"/>
        <w:bidi w:val="0"/>
        <w:outlineLvl w:val="9"/>
        <w:rPr>
          <w:color w:val="auto"/>
          <w:sz w:val="24"/>
        </w:rPr>
      </w:pPr>
      <w:r>
        <w:rPr>
          <w:rFonts w:hint="eastAsia"/>
          <w:color w:val="auto"/>
          <w:sz w:val="24"/>
        </w:rPr>
        <w:t>日  期：</w:t>
      </w:r>
    </w:p>
    <w:p>
      <w:pPr>
        <w:pageBreakBefore w:val="0"/>
        <w:kinsoku/>
        <w:overflowPunct/>
        <w:topLinePunct w:val="0"/>
        <w:bidi w:val="0"/>
        <w:outlineLvl w:val="9"/>
        <w:rPr>
          <w:color w:val="auto"/>
          <w:sz w:val="24"/>
        </w:rPr>
      </w:pPr>
    </w:p>
    <w:p>
      <w:pPr>
        <w:pStyle w:val="39"/>
        <w:pageBreakBefore w:val="0"/>
        <w:kinsoku/>
        <w:overflowPunct/>
        <w:topLinePunct w:val="0"/>
        <w:bidi w:val="0"/>
        <w:snapToGrid w:val="0"/>
        <w:spacing w:before="156" w:beforeLines="50"/>
        <w:jc w:val="center"/>
        <w:outlineLvl w:val="9"/>
        <w:rPr>
          <w:rFonts w:ascii="仿宋_GB2312" w:hAnsi="宋体" w:eastAsia="仿宋_GB2312"/>
          <w:b/>
          <w:color w:val="auto"/>
          <w:sz w:val="24"/>
        </w:rPr>
      </w:pPr>
    </w:p>
    <w:p>
      <w:pPr>
        <w:pageBreakBefore w:val="0"/>
        <w:widowControl/>
        <w:kinsoku/>
        <w:overflowPunct/>
        <w:topLinePunct w:val="0"/>
        <w:bidi w:val="0"/>
        <w:jc w:val="left"/>
        <w:outlineLvl w:val="9"/>
        <w:rPr>
          <w:rFonts w:ascii="宋体" w:hAnsi="宋体" w:cs="宋体"/>
          <w:color w:val="auto"/>
          <w:sz w:val="24"/>
        </w:rPr>
      </w:pPr>
      <w:r>
        <w:rPr>
          <w:rFonts w:ascii="宋体" w:hAnsi="宋体" w:cs="宋体"/>
          <w:color w:val="auto"/>
          <w:sz w:val="24"/>
        </w:rPr>
        <w:br w:type="page"/>
      </w: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r>
        <w:rPr>
          <w:b/>
          <w:color w:val="auto"/>
          <w:sz w:val="24"/>
        </w:rPr>
        <w:t>响应承诺书</w:t>
      </w:r>
    </w:p>
    <w:p>
      <w:pPr>
        <w:pageBreakBefore w:val="0"/>
        <w:kinsoku/>
        <w:overflowPunct/>
        <w:topLinePunct w:val="0"/>
        <w:bidi w:val="0"/>
        <w:outlineLvl w:val="9"/>
        <w:rPr>
          <w:rFonts w:ascii="宋体" w:hAnsi="宋体"/>
          <w:color w:val="auto"/>
          <w:szCs w:val="21"/>
        </w:rPr>
      </w:pPr>
    </w:p>
    <w:p>
      <w:pPr>
        <w:pageBreakBefore w:val="0"/>
        <w:kinsoku/>
        <w:overflowPunct/>
        <w:topLinePunct w:val="0"/>
        <w:bidi w:val="0"/>
        <w:jc w:val="center"/>
        <w:outlineLvl w:val="9"/>
        <w:rPr>
          <w:rFonts w:ascii="宋体" w:hAnsi="宋体"/>
          <w:b/>
          <w:bCs/>
          <w:color w:val="auto"/>
          <w:sz w:val="32"/>
          <w:szCs w:val="32"/>
        </w:rPr>
      </w:pPr>
      <w:r>
        <w:rPr>
          <w:rFonts w:hint="eastAsia" w:ascii="宋体" w:hAnsi="宋体"/>
          <w:b/>
          <w:bCs/>
          <w:color w:val="auto"/>
          <w:sz w:val="32"/>
          <w:szCs w:val="32"/>
        </w:rPr>
        <w:t>响应承诺书</w:t>
      </w:r>
    </w:p>
    <w:p>
      <w:pPr>
        <w:pageBreakBefore w:val="0"/>
        <w:kinsoku/>
        <w:overflowPunct/>
        <w:topLinePunct w:val="0"/>
        <w:bidi w:val="0"/>
        <w:spacing w:line="360" w:lineRule="auto"/>
        <w:outlineLvl w:val="9"/>
        <w:rPr>
          <w:rFonts w:ascii="宋体" w:hAnsi="宋体"/>
          <w:color w:val="auto"/>
          <w:sz w:val="24"/>
        </w:rPr>
      </w:pPr>
      <w:r>
        <w:rPr>
          <w:rFonts w:ascii="宋体" w:hAnsi="宋体"/>
          <w:color w:val="auto"/>
          <w:sz w:val="24"/>
        </w:rPr>
        <w:t>致：</w:t>
      </w:r>
    </w:p>
    <w:p>
      <w:pPr>
        <w:pageBreakBefore w:val="0"/>
        <w:kinsoku/>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我方在此声明，我方以下事项进行承诺：</w:t>
      </w:r>
    </w:p>
    <w:p>
      <w:pPr>
        <w:pageBreakBefore w:val="0"/>
        <w:kinsoku/>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（1） 在本次谈判中我公司无与其他供应商相互串通，或与采购人串通的行为；</w:t>
      </w:r>
    </w:p>
    <w:p>
      <w:pPr>
        <w:pageBreakBefore w:val="0"/>
        <w:kinsoku/>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（2） 在本次谈判中我公司无向采购人或评审小组成员行贿的手段谋取成交的行为；</w:t>
      </w:r>
    </w:p>
    <w:p>
      <w:pPr>
        <w:pageBreakBefore w:val="0"/>
        <w:kinsoku/>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（3） 在本次谈判中我公司无出借或借用资质行为、在响应文件中所附资料（业绩、项目负责人资料等）无弄虚作假；</w:t>
      </w:r>
    </w:p>
    <w:p>
      <w:pPr>
        <w:pageBreakBefore w:val="0"/>
        <w:kinsoku/>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（4） 我公司没有处于被责令停产、停业、投标资格被取消状态；</w:t>
      </w:r>
    </w:p>
    <w:p>
      <w:pPr>
        <w:pageBreakBefore w:val="0"/>
        <w:kinsoku/>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（5）我公司不采用非法手段获取证据进行质疑、投诉，在质疑、投诉过程中不提供虚假情况或进行恶意质疑、投诉。</w:t>
      </w:r>
    </w:p>
    <w:p>
      <w:pPr>
        <w:pageBreakBefore w:val="0"/>
        <w:kinsoku/>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上述承诺内容如有不实，我公司愿意承担由此造成的一切法律责任，并承诺以谈判保证金赔偿给采购人造成的损失。</w:t>
      </w:r>
    </w:p>
    <w:p>
      <w:pPr>
        <w:pageBreakBefore w:val="0"/>
        <w:kinsoku/>
        <w:overflowPunct/>
        <w:topLinePunct w:val="0"/>
        <w:bidi w:val="0"/>
        <w:spacing w:line="360" w:lineRule="auto"/>
        <w:ind w:firstLine="480" w:firstLineChars="200"/>
        <w:outlineLvl w:val="9"/>
        <w:rPr>
          <w:rFonts w:ascii="宋体" w:hAnsi="宋体"/>
          <w:color w:val="auto"/>
          <w:sz w:val="24"/>
        </w:rPr>
      </w:pPr>
      <w:r>
        <w:rPr>
          <w:rFonts w:hint="eastAsia" w:ascii="宋体" w:hAnsi="宋体"/>
          <w:color w:val="auto"/>
          <w:sz w:val="24"/>
        </w:rPr>
        <w:t>特此承诺</w:t>
      </w:r>
    </w:p>
    <w:p>
      <w:pPr>
        <w:pageBreakBefore w:val="0"/>
        <w:kinsoku/>
        <w:overflowPunct/>
        <w:topLinePunct w:val="0"/>
        <w:bidi w:val="0"/>
        <w:spacing w:line="360" w:lineRule="auto"/>
        <w:ind w:firstLine="480" w:firstLineChars="200"/>
        <w:outlineLvl w:val="9"/>
        <w:rPr>
          <w:rFonts w:ascii="宋体" w:hAnsi="宋体"/>
          <w:color w:val="auto"/>
          <w:sz w:val="24"/>
        </w:rPr>
      </w:pPr>
    </w:p>
    <w:p>
      <w:pPr>
        <w:pageBreakBefore w:val="0"/>
        <w:kinsoku/>
        <w:overflowPunct/>
        <w:topLinePunct w:val="0"/>
        <w:bidi w:val="0"/>
        <w:spacing w:line="360" w:lineRule="auto"/>
        <w:ind w:firstLine="480" w:firstLineChars="200"/>
        <w:outlineLvl w:val="9"/>
        <w:rPr>
          <w:rFonts w:ascii="宋体" w:hAnsi="宋体"/>
          <w:color w:val="auto"/>
          <w:sz w:val="24"/>
        </w:rPr>
      </w:pPr>
      <w:r>
        <w:rPr>
          <w:rFonts w:ascii="宋体" w:hAnsi="宋体"/>
          <w:color w:val="auto"/>
          <w:sz w:val="24"/>
        </w:rPr>
        <w:t xml:space="preserve">供应商名称（公章）： </w:t>
      </w:r>
    </w:p>
    <w:p>
      <w:pPr>
        <w:pageBreakBefore w:val="0"/>
        <w:kinsoku/>
        <w:overflowPunct/>
        <w:topLinePunct w:val="0"/>
        <w:bidi w:val="0"/>
        <w:spacing w:line="360" w:lineRule="auto"/>
        <w:ind w:firstLine="480" w:firstLineChars="200"/>
        <w:outlineLvl w:val="9"/>
        <w:rPr>
          <w:rFonts w:ascii="宋体" w:hAnsi="宋体"/>
          <w:color w:val="auto"/>
          <w:sz w:val="24"/>
        </w:rPr>
      </w:pPr>
      <w:r>
        <w:rPr>
          <w:rFonts w:ascii="宋体" w:hAnsi="宋体"/>
          <w:color w:val="auto"/>
          <w:sz w:val="24"/>
        </w:rPr>
        <w:t>法定代表人或其授权代表（</w:t>
      </w:r>
      <w:r>
        <w:rPr>
          <w:rFonts w:hint="eastAsia" w:ascii="宋体" w:hAnsi="宋体"/>
          <w:color w:val="auto"/>
          <w:sz w:val="24"/>
        </w:rPr>
        <w:t>签字或加盖人名章</w:t>
      </w:r>
      <w:r>
        <w:rPr>
          <w:rFonts w:ascii="宋体" w:hAnsi="宋体"/>
          <w:color w:val="auto"/>
          <w:sz w:val="24"/>
        </w:rPr>
        <w:t>）：</w:t>
      </w:r>
    </w:p>
    <w:p>
      <w:pPr>
        <w:pageBreakBefore w:val="0"/>
        <w:kinsoku/>
        <w:overflowPunct/>
        <w:topLinePunct w:val="0"/>
        <w:bidi w:val="0"/>
        <w:spacing w:line="360" w:lineRule="auto"/>
        <w:ind w:firstLine="480" w:firstLineChars="200"/>
        <w:outlineLvl w:val="9"/>
        <w:rPr>
          <w:rFonts w:ascii="宋体" w:hAnsi="宋体"/>
          <w:color w:val="auto"/>
          <w:sz w:val="24"/>
        </w:rPr>
      </w:pPr>
      <w:r>
        <w:rPr>
          <w:rFonts w:ascii="宋体" w:hAnsi="宋体"/>
          <w:color w:val="auto"/>
          <w:sz w:val="24"/>
        </w:rPr>
        <w:t>日    期：     年   月    日</w:t>
      </w:r>
    </w:p>
    <w:p>
      <w:pPr>
        <w:pageBreakBefore w:val="0"/>
        <w:widowControl/>
        <w:kinsoku/>
        <w:overflowPunct/>
        <w:topLinePunct w:val="0"/>
        <w:bidi w:val="0"/>
        <w:jc w:val="left"/>
        <w:outlineLvl w:val="9"/>
        <w:rPr>
          <w:rFonts w:ascii="宋体" w:hAnsi="宋体" w:cs="宋体"/>
          <w:color w:val="auto"/>
          <w:sz w:val="24"/>
        </w:rPr>
      </w:pPr>
    </w:p>
    <w:p>
      <w:pPr>
        <w:pStyle w:val="39"/>
        <w:pageBreakBefore w:val="0"/>
        <w:kinsoku/>
        <w:overflowPunct/>
        <w:topLinePunct w:val="0"/>
        <w:bidi w:val="0"/>
        <w:snapToGrid w:val="0"/>
        <w:spacing w:before="156" w:beforeLines="50"/>
        <w:outlineLvl w:val="9"/>
        <w:rPr>
          <w:rFonts w:hAnsi="宋体" w:cs="宋体"/>
          <w:color w:val="auto"/>
          <w:sz w:val="24"/>
          <w:szCs w:val="24"/>
        </w:rPr>
      </w:pPr>
    </w:p>
    <w:p>
      <w:pPr>
        <w:pageBreakBefore w:val="0"/>
        <w:widowControl/>
        <w:kinsoku/>
        <w:overflowPunct/>
        <w:topLinePunct w:val="0"/>
        <w:bidi w:val="0"/>
        <w:jc w:val="left"/>
        <w:outlineLvl w:val="9"/>
        <w:rPr>
          <w:rFonts w:ascii="宋体" w:hAnsi="宋体"/>
          <w:color w:val="auto"/>
          <w:sz w:val="24"/>
        </w:rPr>
      </w:pPr>
    </w:p>
    <w:p>
      <w:pPr>
        <w:pageBreakBefore w:val="0"/>
        <w:kinsoku/>
        <w:overflowPunct/>
        <w:topLinePunct w:val="0"/>
        <w:bidi w:val="0"/>
        <w:adjustRightInd w:val="0"/>
        <w:spacing w:line="360" w:lineRule="atLeast"/>
        <w:jc w:val="left"/>
        <w:textAlignment w:val="baseline"/>
        <w:outlineLvl w:val="9"/>
        <w:rPr>
          <w:b/>
          <w:color w:val="auto"/>
          <w:sz w:val="30"/>
          <w:szCs w:val="30"/>
        </w:rPr>
      </w:pPr>
      <w:r>
        <w:rPr>
          <w:b/>
          <w:color w:val="auto"/>
          <w:spacing w:val="20"/>
          <w:sz w:val="24"/>
        </w:rPr>
        <w:br w:type="page"/>
      </w: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bookmarkStart w:id="223" w:name="_Toc410631184"/>
      <w:bookmarkStart w:id="224" w:name="_Toc416103825"/>
      <w:bookmarkStart w:id="225" w:name="_Toc414445775"/>
      <w:r>
        <w:rPr>
          <w:b/>
          <w:color w:val="auto"/>
          <w:sz w:val="24"/>
        </w:rPr>
        <w:t>技术偏</w:t>
      </w:r>
      <w:r>
        <w:rPr>
          <w:rFonts w:hint="eastAsia"/>
          <w:b/>
          <w:color w:val="auto"/>
          <w:sz w:val="24"/>
        </w:rPr>
        <w:t>离</w:t>
      </w:r>
      <w:r>
        <w:rPr>
          <w:b/>
          <w:color w:val="auto"/>
          <w:sz w:val="24"/>
        </w:rPr>
        <w:t>表</w:t>
      </w:r>
      <w:bookmarkEnd w:id="223"/>
      <w:bookmarkEnd w:id="224"/>
      <w:bookmarkEnd w:id="225"/>
    </w:p>
    <w:p>
      <w:pPr>
        <w:pageBreakBefore w:val="0"/>
        <w:kinsoku/>
        <w:overflowPunct/>
        <w:topLinePunct w:val="0"/>
        <w:bidi w:val="0"/>
        <w:spacing w:after="240"/>
        <w:ind w:left="210" w:leftChars="100" w:firstLine="90" w:firstLineChars="43"/>
        <w:outlineLvl w:val="9"/>
        <w:rPr>
          <w:color w:val="auto"/>
        </w:rPr>
      </w:pPr>
      <w:r>
        <w:rPr>
          <w:color w:val="auto"/>
        </w:rPr>
        <w:t>供应商名称：</w:t>
      </w:r>
    </w:p>
    <w:tbl>
      <w:tblPr>
        <w:tblStyle w:val="73"/>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pageBreakBefore w:val="0"/>
              <w:kinsoku/>
              <w:overflowPunct/>
              <w:topLinePunct w:val="0"/>
              <w:bidi w:val="0"/>
              <w:spacing w:line="400" w:lineRule="exact"/>
              <w:jc w:val="center"/>
              <w:outlineLvl w:val="9"/>
              <w:rPr>
                <w:color w:val="auto"/>
              </w:rPr>
            </w:pPr>
            <w:r>
              <w:rPr>
                <w:color w:val="auto"/>
              </w:rPr>
              <w:t>谈判文件条目号</w:t>
            </w:r>
          </w:p>
        </w:tc>
        <w:tc>
          <w:tcPr>
            <w:tcW w:w="1932" w:type="dxa"/>
          </w:tcPr>
          <w:p>
            <w:pPr>
              <w:pageBreakBefore w:val="0"/>
              <w:kinsoku/>
              <w:overflowPunct/>
              <w:topLinePunct w:val="0"/>
              <w:bidi w:val="0"/>
              <w:spacing w:line="400" w:lineRule="exact"/>
              <w:jc w:val="center"/>
              <w:outlineLvl w:val="9"/>
              <w:rPr>
                <w:color w:val="auto"/>
              </w:rPr>
            </w:pPr>
            <w:r>
              <w:rPr>
                <w:color w:val="auto"/>
              </w:rPr>
              <w:t>技术条款要求</w:t>
            </w:r>
          </w:p>
        </w:tc>
        <w:tc>
          <w:tcPr>
            <w:tcW w:w="1236" w:type="dxa"/>
          </w:tcPr>
          <w:p>
            <w:pPr>
              <w:pageBreakBefore w:val="0"/>
              <w:kinsoku/>
              <w:overflowPunct/>
              <w:topLinePunct w:val="0"/>
              <w:bidi w:val="0"/>
              <w:spacing w:line="400" w:lineRule="exact"/>
              <w:jc w:val="center"/>
              <w:outlineLvl w:val="9"/>
              <w:rPr>
                <w:color w:val="auto"/>
              </w:rPr>
            </w:pPr>
            <w:r>
              <w:rPr>
                <w:rFonts w:hint="eastAsia"/>
                <w:color w:val="auto"/>
              </w:rPr>
              <w:t>完全</w:t>
            </w:r>
            <w:r>
              <w:rPr>
                <w:color w:val="auto"/>
              </w:rPr>
              <w:t>响应</w:t>
            </w:r>
          </w:p>
        </w:tc>
        <w:tc>
          <w:tcPr>
            <w:tcW w:w="1236" w:type="dxa"/>
          </w:tcPr>
          <w:p>
            <w:pPr>
              <w:pageBreakBefore w:val="0"/>
              <w:kinsoku/>
              <w:overflowPunct/>
              <w:topLinePunct w:val="0"/>
              <w:bidi w:val="0"/>
              <w:spacing w:line="400" w:lineRule="exact"/>
              <w:jc w:val="center"/>
              <w:outlineLvl w:val="9"/>
              <w:rPr>
                <w:color w:val="auto"/>
              </w:rPr>
            </w:pPr>
            <w:r>
              <w:rPr>
                <w:rFonts w:hint="eastAsia"/>
                <w:color w:val="auto"/>
              </w:rPr>
              <w:t>有偏离</w:t>
            </w:r>
          </w:p>
        </w:tc>
        <w:tc>
          <w:tcPr>
            <w:tcW w:w="2394" w:type="dxa"/>
          </w:tcPr>
          <w:p>
            <w:pPr>
              <w:pageBreakBefore w:val="0"/>
              <w:kinsoku/>
              <w:overflowPunct/>
              <w:topLinePunct w:val="0"/>
              <w:bidi w:val="0"/>
              <w:spacing w:line="400" w:lineRule="exact"/>
              <w:jc w:val="center"/>
              <w:outlineLvl w:val="9"/>
              <w:rPr>
                <w:color w:val="auto"/>
              </w:rPr>
            </w:pPr>
            <w:r>
              <w:rPr>
                <w:color w:val="auto"/>
              </w:rPr>
              <w:t>偏离</w:t>
            </w:r>
            <w:r>
              <w:rPr>
                <w:rFonts w:hint="eastAsia"/>
                <w:color w:val="auto"/>
              </w:rPr>
              <w:t>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pageBreakBefore w:val="0"/>
              <w:kinsoku/>
              <w:overflowPunct/>
              <w:topLinePunct w:val="0"/>
              <w:bidi w:val="0"/>
              <w:spacing w:line="400" w:lineRule="exact"/>
              <w:outlineLvl w:val="9"/>
              <w:rPr>
                <w:color w:val="auto"/>
              </w:rPr>
            </w:pPr>
          </w:p>
        </w:tc>
        <w:tc>
          <w:tcPr>
            <w:tcW w:w="1932"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2394" w:type="dxa"/>
          </w:tcPr>
          <w:p>
            <w:pPr>
              <w:pageBreakBefore w:val="0"/>
              <w:kinsoku/>
              <w:overflowPunct/>
              <w:topLinePunct w:val="0"/>
              <w:bidi w:val="0"/>
              <w:spacing w:line="400" w:lineRule="exact"/>
              <w:outlineLvl w:val="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pageBreakBefore w:val="0"/>
              <w:kinsoku/>
              <w:overflowPunct/>
              <w:topLinePunct w:val="0"/>
              <w:bidi w:val="0"/>
              <w:spacing w:line="400" w:lineRule="exact"/>
              <w:outlineLvl w:val="9"/>
              <w:rPr>
                <w:color w:val="auto"/>
              </w:rPr>
            </w:pPr>
          </w:p>
        </w:tc>
        <w:tc>
          <w:tcPr>
            <w:tcW w:w="1932"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2394" w:type="dxa"/>
          </w:tcPr>
          <w:p>
            <w:pPr>
              <w:pageBreakBefore w:val="0"/>
              <w:kinsoku/>
              <w:overflowPunct/>
              <w:topLinePunct w:val="0"/>
              <w:bidi w:val="0"/>
              <w:spacing w:line="400" w:lineRule="exact"/>
              <w:outlineLvl w:val="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pageBreakBefore w:val="0"/>
              <w:kinsoku/>
              <w:overflowPunct/>
              <w:topLinePunct w:val="0"/>
              <w:bidi w:val="0"/>
              <w:spacing w:line="400" w:lineRule="exact"/>
              <w:outlineLvl w:val="9"/>
              <w:rPr>
                <w:color w:val="auto"/>
              </w:rPr>
            </w:pPr>
          </w:p>
        </w:tc>
        <w:tc>
          <w:tcPr>
            <w:tcW w:w="1932"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2394" w:type="dxa"/>
          </w:tcPr>
          <w:p>
            <w:pPr>
              <w:pageBreakBefore w:val="0"/>
              <w:kinsoku/>
              <w:overflowPunct/>
              <w:topLinePunct w:val="0"/>
              <w:bidi w:val="0"/>
              <w:spacing w:line="400" w:lineRule="exact"/>
              <w:outlineLvl w:val="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pageBreakBefore w:val="0"/>
              <w:kinsoku/>
              <w:overflowPunct/>
              <w:topLinePunct w:val="0"/>
              <w:bidi w:val="0"/>
              <w:spacing w:line="400" w:lineRule="exact"/>
              <w:outlineLvl w:val="9"/>
              <w:rPr>
                <w:color w:val="auto"/>
              </w:rPr>
            </w:pPr>
          </w:p>
        </w:tc>
        <w:tc>
          <w:tcPr>
            <w:tcW w:w="1932"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2394" w:type="dxa"/>
          </w:tcPr>
          <w:p>
            <w:pPr>
              <w:pageBreakBefore w:val="0"/>
              <w:kinsoku/>
              <w:overflowPunct/>
              <w:topLinePunct w:val="0"/>
              <w:bidi w:val="0"/>
              <w:spacing w:line="400" w:lineRule="exact"/>
              <w:outlineLvl w:val="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pageBreakBefore w:val="0"/>
              <w:kinsoku/>
              <w:overflowPunct/>
              <w:topLinePunct w:val="0"/>
              <w:bidi w:val="0"/>
              <w:spacing w:line="400" w:lineRule="exact"/>
              <w:outlineLvl w:val="9"/>
              <w:rPr>
                <w:color w:val="auto"/>
              </w:rPr>
            </w:pPr>
          </w:p>
        </w:tc>
        <w:tc>
          <w:tcPr>
            <w:tcW w:w="1932"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2394" w:type="dxa"/>
          </w:tcPr>
          <w:p>
            <w:pPr>
              <w:pageBreakBefore w:val="0"/>
              <w:kinsoku/>
              <w:overflowPunct/>
              <w:topLinePunct w:val="0"/>
              <w:bidi w:val="0"/>
              <w:spacing w:line="400" w:lineRule="exact"/>
              <w:outlineLvl w:val="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pageBreakBefore w:val="0"/>
              <w:kinsoku/>
              <w:overflowPunct/>
              <w:topLinePunct w:val="0"/>
              <w:bidi w:val="0"/>
              <w:spacing w:line="400" w:lineRule="exact"/>
              <w:outlineLvl w:val="9"/>
              <w:rPr>
                <w:color w:val="auto"/>
              </w:rPr>
            </w:pPr>
          </w:p>
        </w:tc>
        <w:tc>
          <w:tcPr>
            <w:tcW w:w="1932" w:type="dxa"/>
          </w:tcPr>
          <w:p>
            <w:pPr>
              <w:pageBreakBefore w:val="0"/>
              <w:kinsoku/>
              <w:overflowPunct/>
              <w:topLinePunct w:val="0"/>
              <w:bidi w:val="0"/>
              <w:spacing w:line="400" w:lineRule="exact"/>
              <w:outlineLvl w:val="9"/>
              <w:rPr>
                <w:bCs/>
                <w:color w:val="auto"/>
              </w:rPr>
            </w:pPr>
          </w:p>
        </w:tc>
        <w:tc>
          <w:tcPr>
            <w:tcW w:w="1236"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2394" w:type="dxa"/>
          </w:tcPr>
          <w:p>
            <w:pPr>
              <w:pageBreakBefore w:val="0"/>
              <w:kinsoku/>
              <w:overflowPunct/>
              <w:topLinePunct w:val="0"/>
              <w:bidi w:val="0"/>
              <w:spacing w:line="400" w:lineRule="exact"/>
              <w:outlineLvl w:val="9"/>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pageBreakBefore w:val="0"/>
              <w:kinsoku/>
              <w:overflowPunct/>
              <w:topLinePunct w:val="0"/>
              <w:bidi w:val="0"/>
              <w:spacing w:line="400" w:lineRule="exact"/>
              <w:outlineLvl w:val="9"/>
              <w:rPr>
                <w:color w:val="auto"/>
              </w:rPr>
            </w:pPr>
          </w:p>
        </w:tc>
        <w:tc>
          <w:tcPr>
            <w:tcW w:w="1932" w:type="dxa"/>
          </w:tcPr>
          <w:p>
            <w:pPr>
              <w:pageBreakBefore w:val="0"/>
              <w:kinsoku/>
              <w:overflowPunct/>
              <w:topLinePunct w:val="0"/>
              <w:bidi w:val="0"/>
              <w:spacing w:line="400" w:lineRule="exact"/>
              <w:outlineLvl w:val="9"/>
              <w:rPr>
                <w:bCs/>
                <w:color w:val="auto"/>
              </w:rPr>
            </w:pPr>
          </w:p>
        </w:tc>
        <w:tc>
          <w:tcPr>
            <w:tcW w:w="1236" w:type="dxa"/>
          </w:tcPr>
          <w:p>
            <w:pPr>
              <w:pageBreakBefore w:val="0"/>
              <w:kinsoku/>
              <w:overflowPunct/>
              <w:topLinePunct w:val="0"/>
              <w:bidi w:val="0"/>
              <w:spacing w:line="400" w:lineRule="exact"/>
              <w:outlineLvl w:val="9"/>
              <w:rPr>
                <w:color w:val="auto"/>
              </w:rPr>
            </w:pPr>
          </w:p>
        </w:tc>
        <w:tc>
          <w:tcPr>
            <w:tcW w:w="1236" w:type="dxa"/>
          </w:tcPr>
          <w:p>
            <w:pPr>
              <w:pageBreakBefore w:val="0"/>
              <w:kinsoku/>
              <w:overflowPunct/>
              <w:topLinePunct w:val="0"/>
              <w:bidi w:val="0"/>
              <w:spacing w:line="400" w:lineRule="exact"/>
              <w:outlineLvl w:val="9"/>
              <w:rPr>
                <w:color w:val="auto"/>
              </w:rPr>
            </w:pPr>
          </w:p>
        </w:tc>
        <w:tc>
          <w:tcPr>
            <w:tcW w:w="2394" w:type="dxa"/>
          </w:tcPr>
          <w:p>
            <w:pPr>
              <w:pageBreakBefore w:val="0"/>
              <w:kinsoku/>
              <w:overflowPunct/>
              <w:topLinePunct w:val="0"/>
              <w:bidi w:val="0"/>
              <w:spacing w:line="400" w:lineRule="exact"/>
              <w:outlineLvl w:val="9"/>
              <w:rPr>
                <w:color w:val="auto"/>
              </w:rPr>
            </w:pPr>
          </w:p>
        </w:tc>
      </w:tr>
    </w:tbl>
    <w:p>
      <w:pPr>
        <w:pageBreakBefore w:val="0"/>
        <w:kinsoku/>
        <w:overflowPunct/>
        <w:topLinePunct w:val="0"/>
        <w:bidi w:val="0"/>
        <w:spacing w:before="156" w:beforeLines="50" w:line="440" w:lineRule="exact"/>
        <w:ind w:left="-103" w:leftChars="-49" w:firstLine="224" w:firstLineChars="107"/>
        <w:outlineLvl w:val="9"/>
        <w:rPr>
          <w:color w:val="auto"/>
        </w:rPr>
      </w:pPr>
      <w:r>
        <w:rPr>
          <w:rFonts w:hint="eastAsia"/>
          <w:color w:val="auto"/>
        </w:rPr>
        <w:t>供应商：（公章）</w:t>
      </w:r>
    </w:p>
    <w:p>
      <w:pPr>
        <w:pageBreakBefore w:val="0"/>
        <w:kinsoku/>
        <w:overflowPunct/>
        <w:topLinePunct w:val="0"/>
        <w:bidi w:val="0"/>
        <w:spacing w:before="156" w:beforeLines="50"/>
        <w:ind w:left="-103" w:leftChars="-49" w:firstLine="224" w:firstLineChars="107"/>
        <w:outlineLvl w:val="9"/>
        <w:rPr>
          <w:color w:val="auto"/>
        </w:rPr>
      </w:pPr>
      <w:r>
        <w:rPr>
          <w:color w:val="auto"/>
        </w:rPr>
        <w:t>法定代表人或其授权代表：（</w:t>
      </w:r>
      <w:r>
        <w:rPr>
          <w:rFonts w:hint="eastAsia"/>
          <w:color w:val="auto"/>
        </w:rPr>
        <w:t>签字或加盖人名章</w:t>
      </w:r>
      <w:r>
        <w:rPr>
          <w:color w:val="auto"/>
        </w:rPr>
        <w:t>）</w:t>
      </w:r>
    </w:p>
    <w:p>
      <w:pPr>
        <w:pageBreakBefore w:val="0"/>
        <w:kinsoku/>
        <w:overflowPunct/>
        <w:topLinePunct w:val="0"/>
        <w:bidi w:val="0"/>
        <w:spacing w:before="156" w:beforeLines="50"/>
        <w:ind w:left="-103" w:leftChars="-49" w:firstLine="224" w:firstLineChars="107"/>
        <w:outlineLvl w:val="9"/>
        <w:rPr>
          <w:color w:val="auto"/>
        </w:rPr>
      </w:pPr>
      <w:r>
        <w:rPr>
          <w:color w:val="auto"/>
        </w:rPr>
        <w:t>日期：</w:t>
      </w:r>
    </w:p>
    <w:p>
      <w:pPr>
        <w:pageBreakBefore w:val="0"/>
        <w:kinsoku/>
        <w:overflowPunct/>
        <w:topLinePunct w:val="0"/>
        <w:bidi w:val="0"/>
        <w:spacing w:line="360" w:lineRule="auto"/>
        <w:outlineLvl w:val="9"/>
        <w:rPr>
          <w:color w:val="auto"/>
        </w:rPr>
      </w:pPr>
    </w:p>
    <w:p>
      <w:pPr>
        <w:pageBreakBefore w:val="0"/>
        <w:kinsoku/>
        <w:overflowPunct/>
        <w:topLinePunct w:val="0"/>
        <w:bidi w:val="0"/>
        <w:outlineLvl w:val="9"/>
        <w:rPr>
          <w:b/>
          <w:color w:val="auto"/>
          <w:sz w:val="32"/>
          <w:szCs w:val="32"/>
        </w:rPr>
      </w:pPr>
      <w:r>
        <w:rPr>
          <w:rFonts w:hint="eastAsia"/>
          <w:color w:val="auto"/>
        </w:rPr>
        <w:t>注：投标人递交的响应文件中与谈判文件的技术部分的要求有不同时，应逐条列在技术偏差表中，否则将认为供应商接受谈判文件的要求。</w:t>
      </w:r>
      <w:r>
        <w:rPr>
          <w:b/>
          <w:color w:val="auto"/>
          <w:sz w:val="32"/>
          <w:szCs w:val="32"/>
        </w:rPr>
        <w:br w:type="page"/>
      </w: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bookmarkStart w:id="226" w:name="_Toc157759075"/>
      <w:r>
        <w:rPr>
          <w:rFonts w:hint="eastAsia"/>
          <w:b/>
          <w:color w:val="auto"/>
          <w:sz w:val="24"/>
        </w:rPr>
        <w:t>服务（/或货物）的技术规格、数量、服务标准、验收等要求的响应</w:t>
      </w:r>
    </w:p>
    <w:p>
      <w:pPr>
        <w:pageBreakBefore w:val="0"/>
        <w:kinsoku/>
        <w:overflowPunct/>
        <w:topLinePunct w:val="0"/>
        <w:bidi w:val="0"/>
        <w:spacing w:line="360" w:lineRule="auto"/>
        <w:outlineLvl w:val="9"/>
        <w:rPr>
          <w:rFonts w:asciiTheme="minorEastAsia" w:hAnsiTheme="minorEastAsia" w:eastAsiaTheme="minorEastAsia"/>
          <w:color w:val="auto"/>
          <w:sz w:val="24"/>
        </w:rPr>
      </w:pPr>
    </w:p>
    <w:p>
      <w:pPr>
        <w:pageBreakBefore w:val="0"/>
        <w:kinsoku/>
        <w:overflowPunct/>
        <w:topLinePunct w:val="0"/>
        <w:bidi w:val="0"/>
        <w:spacing w:line="360" w:lineRule="auto"/>
        <w:outlineLvl w:val="9"/>
        <w:rPr>
          <w:rFonts w:asciiTheme="minorEastAsia" w:hAnsiTheme="minorEastAsia" w:eastAsiaTheme="minorEastAsia"/>
          <w:color w:val="auto"/>
          <w:sz w:val="24"/>
        </w:rPr>
      </w:pPr>
      <w:r>
        <w:rPr>
          <w:rFonts w:hint="eastAsia" w:asciiTheme="minorEastAsia" w:hAnsiTheme="minorEastAsia" w:eastAsiaTheme="minorEastAsia"/>
          <w:color w:val="auto"/>
          <w:sz w:val="24"/>
        </w:rPr>
        <w:t>包括：货物（/服务）</w:t>
      </w:r>
      <w:bookmarkEnd w:id="226"/>
      <w:r>
        <w:rPr>
          <w:rFonts w:hint="eastAsia" w:ascii="宋体" w:hAnsi="宋体" w:cs="黑体"/>
          <w:color w:val="auto"/>
          <w:kern w:val="0"/>
          <w:sz w:val="24"/>
        </w:rPr>
        <w:t>的先进性和可靠性、主要技术指标和性能、运行费和维护费，备品备件，运输、保险、安装、培训等服务的组织及保证措施等；或服务方案、服务措施及标准等</w:t>
      </w:r>
    </w:p>
    <w:p>
      <w:pPr>
        <w:pageBreakBefore w:val="0"/>
        <w:kinsoku/>
        <w:overflowPunct/>
        <w:topLinePunct w:val="0"/>
        <w:bidi w:val="0"/>
        <w:spacing w:before="156" w:beforeLines="50" w:line="440" w:lineRule="exact"/>
        <w:ind w:left="-103" w:leftChars="-49" w:firstLine="1169" w:firstLineChars="557"/>
        <w:outlineLvl w:val="9"/>
        <w:rPr>
          <w:color w:val="auto"/>
        </w:rPr>
      </w:pPr>
    </w:p>
    <w:p>
      <w:pPr>
        <w:pageBreakBefore w:val="0"/>
        <w:kinsoku/>
        <w:overflowPunct/>
        <w:topLinePunct w:val="0"/>
        <w:bidi w:val="0"/>
        <w:spacing w:before="156" w:beforeLines="50" w:line="440" w:lineRule="exact"/>
        <w:outlineLvl w:val="9"/>
        <w:rPr>
          <w:color w:val="auto"/>
        </w:rPr>
      </w:pPr>
      <w:r>
        <w:rPr>
          <w:rFonts w:hint="eastAsia"/>
          <w:color w:val="auto"/>
        </w:rPr>
        <w:t>供应商：（公章）</w:t>
      </w:r>
    </w:p>
    <w:p>
      <w:pPr>
        <w:pageBreakBefore w:val="0"/>
        <w:kinsoku/>
        <w:overflowPunct/>
        <w:topLinePunct w:val="0"/>
        <w:bidi w:val="0"/>
        <w:spacing w:before="156" w:beforeLines="50" w:line="440" w:lineRule="exact"/>
        <w:outlineLvl w:val="9"/>
        <w:rPr>
          <w:color w:val="auto"/>
        </w:rPr>
      </w:pPr>
      <w:r>
        <w:rPr>
          <w:color w:val="auto"/>
        </w:rPr>
        <w:t>法定代表人或其授权代表：（</w:t>
      </w:r>
      <w:r>
        <w:rPr>
          <w:rFonts w:hint="eastAsia"/>
          <w:color w:val="auto"/>
        </w:rPr>
        <w:t>签字或加盖人名章</w:t>
      </w:r>
      <w:r>
        <w:rPr>
          <w:color w:val="auto"/>
        </w:rPr>
        <w:t>）</w:t>
      </w:r>
    </w:p>
    <w:p>
      <w:pPr>
        <w:pageBreakBefore w:val="0"/>
        <w:kinsoku/>
        <w:overflowPunct/>
        <w:topLinePunct w:val="0"/>
        <w:bidi w:val="0"/>
        <w:spacing w:before="156" w:beforeLines="50" w:line="440" w:lineRule="exact"/>
        <w:outlineLvl w:val="9"/>
        <w:rPr>
          <w:color w:val="auto"/>
        </w:rPr>
      </w:pPr>
      <w:r>
        <w:rPr>
          <w:color w:val="auto"/>
        </w:rPr>
        <w:t>日期：</w:t>
      </w:r>
    </w:p>
    <w:p>
      <w:pPr>
        <w:pageBreakBefore w:val="0"/>
        <w:kinsoku/>
        <w:overflowPunct/>
        <w:topLinePunct w:val="0"/>
        <w:bidi w:val="0"/>
        <w:spacing w:before="156" w:beforeLines="50" w:line="440" w:lineRule="exact"/>
        <w:ind w:left="1105" w:leftChars="526" w:firstLine="15"/>
        <w:outlineLvl w:val="9"/>
        <w:rPr>
          <w:color w:val="auto"/>
        </w:rPr>
      </w:pPr>
      <w:r>
        <w:rPr>
          <w:color w:val="auto"/>
        </w:rPr>
        <w:br w:type="page"/>
      </w:r>
    </w:p>
    <w:bookmarkEnd w:id="210"/>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r>
        <w:rPr>
          <w:b/>
          <w:color w:val="auto"/>
          <w:sz w:val="24"/>
        </w:rPr>
        <w:t>售后服务支持能力</w:t>
      </w:r>
    </w:p>
    <w:p>
      <w:pPr>
        <w:pageBreakBefore w:val="0"/>
        <w:kinsoku/>
        <w:overflowPunct/>
        <w:topLinePunct w:val="0"/>
        <w:bidi w:val="0"/>
        <w:spacing w:line="360" w:lineRule="auto"/>
        <w:ind w:left="283" w:leftChars="135" w:firstLine="420" w:firstLineChars="200"/>
        <w:outlineLvl w:val="9"/>
        <w:rPr>
          <w:bCs/>
          <w:color w:val="auto"/>
          <w:szCs w:val="21"/>
        </w:rPr>
      </w:pPr>
      <w:r>
        <w:rPr>
          <w:rFonts w:hAnsi="宋体"/>
          <w:bCs/>
          <w:color w:val="auto"/>
          <w:szCs w:val="21"/>
        </w:rPr>
        <w:t>详细说明提供售后服务支持的能力，包括服务机构</w:t>
      </w:r>
      <w:r>
        <w:rPr>
          <w:rFonts w:hint="eastAsia" w:hAnsi="宋体"/>
          <w:bCs/>
          <w:color w:val="auto"/>
          <w:szCs w:val="21"/>
        </w:rPr>
        <w:t>（名称、地址、联系人和联系方式）</w:t>
      </w:r>
      <w:r>
        <w:rPr>
          <w:rFonts w:hAnsi="宋体"/>
          <w:bCs/>
          <w:color w:val="auto"/>
          <w:szCs w:val="21"/>
        </w:rPr>
        <w:t>、人员</w:t>
      </w:r>
      <w:r>
        <w:rPr>
          <w:rFonts w:hint="eastAsia" w:hAnsi="宋体"/>
          <w:bCs/>
          <w:color w:val="auto"/>
          <w:szCs w:val="21"/>
        </w:rPr>
        <w:t>情况</w:t>
      </w:r>
      <w:r>
        <w:rPr>
          <w:rFonts w:hAnsi="宋体"/>
          <w:bCs/>
          <w:color w:val="auto"/>
          <w:szCs w:val="21"/>
        </w:rPr>
        <w:t>，对项目故障反应时间、售后服务时间等具体描述并提供相关数据和辅助资料供核实。</w:t>
      </w:r>
    </w:p>
    <w:p>
      <w:pPr>
        <w:pageBreakBefore w:val="0"/>
        <w:kinsoku/>
        <w:overflowPunct/>
        <w:topLinePunct w:val="0"/>
        <w:bidi w:val="0"/>
        <w:outlineLvl w:val="9"/>
        <w:rPr>
          <w:bCs/>
          <w:color w:val="auto"/>
          <w:szCs w:val="21"/>
        </w:rPr>
      </w:pPr>
    </w:p>
    <w:p>
      <w:pPr>
        <w:pageBreakBefore w:val="0"/>
        <w:kinsoku/>
        <w:overflowPunct/>
        <w:topLinePunct w:val="0"/>
        <w:bidi w:val="0"/>
        <w:spacing w:before="156" w:beforeLines="50" w:line="440" w:lineRule="exact"/>
        <w:outlineLvl w:val="9"/>
        <w:rPr>
          <w:color w:val="auto"/>
        </w:rPr>
      </w:pPr>
      <w:r>
        <w:rPr>
          <w:rFonts w:hint="eastAsia"/>
          <w:color w:val="auto"/>
        </w:rPr>
        <w:t>供应商：（公章）</w:t>
      </w:r>
    </w:p>
    <w:p>
      <w:pPr>
        <w:pageBreakBefore w:val="0"/>
        <w:kinsoku/>
        <w:overflowPunct/>
        <w:topLinePunct w:val="0"/>
        <w:bidi w:val="0"/>
        <w:spacing w:before="156" w:beforeLines="50" w:line="440" w:lineRule="exact"/>
        <w:outlineLvl w:val="9"/>
        <w:rPr>
          <w:color w:val="auto"/>
        </w:rPr>
      </w:pPr>
      <w:r>
        <w:rPr>
          <w:color w:val="auto"/>
        </w:rPr>
        <w:t>法定代表人或其授权代表：（</w:t>
      </w:r>
      <w:r>
        <w:rPr>
          <w:rFonts w:hint="eastAsia"/>
          <w:color w:val="auto"/>
        </w:rPr>
        <w:t>签字或加盖人名章</w:t>
      </w:r>
      <w:r>
        <w:rPr>
          <w:color w:val="auto"/>
        </w:rPr>
        <w:t>）</w:t>
      </w:r>
    </w:p>
    <w:p>
      <w:pPr>
        <w:pageBreakBefore w:val="0"/>
        <w:kinsoku/>
        <w:overflowPunct/>
        <w:topLinePunct w:val="0"/>
        <w:bidi w:val="0"/>
        <w:spacing w:before="156" w:beforeLines="50" w:line="440" w:lineRule="exact"/>
        <w:outlineLvl w:val="9"/>
        <w:rPr>
          <w:color w:val="auto"/>
        </w:rPr>
      </w:pPr>
      <w:r>
        <w:rPr>
          <w:color w:val="auto"/>
        </w:rPr>
        <w:t>日期：</w:t>
      </w:r>
    </w:p>
    <w:p>
      <w:pPr>
        <w:pageBreakBefore w:val="0"/>
        <w:kinsoku/>
        <w:overflowPunct/>
        <w:topLinePunct w:val="0"/>
        <w:bidi w:val="0"/>
        <w:spacing w:line="360" w:lineRule="auto"/>
        <w:outlineLvl w:val="9"/>
        <w:rPr>
          <w:color w:val="auto"/>
          <w:szCs w:val="21"/>
        </w:rPr>
      </w:pPr>
    </w:p>
    <w:p>
      <w:pPr>
        <w:pageBreakBefore w:val="0"/>
        <w:kinsoku/>
        <w:overflowPunct/>
        <w:topLinePunct w:val="0"/>
        <w:bidi w:val="0"/>
        <w:spacing w:line="360" w:lineRule="auto"/>
        <w:outlineLvl w:val="9"/>
        <w:rPr>
          <w:rFonts w:hAnsi="宋体"/>
          <w:color w:val="auto"/>
          <w:szCs w:val="21"/>
        </w:rPr>
      </w:pPr>
      <w:r>
        <w:rPr>
          <w:rFonts w:hAnsi="宋体"/>
          <w:color w:val="auto"/>
          <w:szCs w:val="21"/>
        </w:rPr>
        <w:t>说明：附相关证明文件，并加盖公章。</w:t>
      </w:r>
    </w:p>
    <w:p>
      <w:pPr>
        <w:pageBreakBefore w:val="0"/>
        <w:kinsoku/>
        <w:overflowPunct/>
        <w:topLinePunct w:val="0"/>
        <w:bidi w:val="0"/>
        <w:spacing w:line="360" w:lineRule="auto"/>
        <w:outlineLvl w:val="9"/>
        <w:rPr>
          <w:color w:val="auto"/>
        </w:rPr>
      </w:pPr>
      <w:r>
        <w:rPr>
          <w:color w:val="auto"/>
        </w:rPr>
        <w:br w:type="page"/>
      </w: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r>
        <w:rPr>
          <w:rFonts w:hint="eastAsia"/>
          <w:b/>
          <w:color w:val="auto"/>
          <w:sz w:val="24"/>
        </w:rPr>
        <w:t>供应商其他承诺（如有）</w:t>
      </w:r>
      <w:r>
        <w:rPr>
          <w:rFonts w:hint="eastAsia"/>
          <w:b/>
          <w:color w:val="auto"/>
          <w:sz w:val="24"/>
        </w:rPr>
        <w:br w:type="page"/>
      </w:r>
    </w:p>
    <w:p>
      <w:pPr>
        <w:pStyle w:val="427"/>
        <w:pageBreakBefore w:val="0"/>
        <w:numPr>
          <w:ilvl w:val="0"/>
          <w:numId w:val="17"/>
        </w:numPr>
        <w:kinsoku/>
        <w:overflowPunct/>
        <w:topLinePunct w:val="0"/>
        <w:bidi w:val="0"/>
        <w:spacing w:line="360" w:lineRule="auto"/>
        <w:ind w:left="1276" w:hanging="1276" w:firstLineChars="0"/>
        <w:outlineLvl w:val="9"/>
        <w:rPr>
          <w:b/>
          <w:color w:val="auto"/>
          <w:sz w:val="24"/>
        </w:rPr>
      </w:pPr>
      <w:r>
        <w:rPr>
          <w:rFonts w:hint="eastAsia"/>
          <w:b/>
          <w:color w:val="auto"/>
          <w:sz w:val="24"/>
        </w:rPr>
        <w:t>最后报价函</w:t>
      </w:r>
    </w:p>
    <w:p>
      <w:pPr>
        <w:pageBreakBefore w:val="0"/>
        <w:kinsoku/>
        <w:overflowPunct/>
        <w:topLinePunct w:val="0"/>
        <w:bidi w:val="0"/>
        <w:spacing w:line="360" w:lineRule="auto"/>
        <w:jc w:val="center"/>
        <w:outlineLvl w:val="9"/>
        <w:rPr>
          <w:rFonts w:ascii="宋体" w:hAnsi="宋体"/>
          <w:color w:val="auto"/>
          <w:sz w:val="24"/>
        </w:rPr>
      </w:pPr>
    </w:p>
    <w:p>
      <w:pPr>
        <w:pageBreakBefore w:val="0"/>
        <w:kinsoku/>
        <w:overflowPunct/>
        <w:topLinePunct w:val="0"/>
        <w:bidi w:val="0"/>
        <w:spacing w:line="360" w:lineRule="auto"/>
        <w:jc w:val="center"/>
        <w:outlineLvl w:val="9"/>
        <w:rPr>
          <w:rFonts w:ascii="宋体" w:hAnsi="宋体"/>
          <w:b/>
          <w:bCs/>
          <w:color w:val="auto"/>
          <w:sz w:val="24"/>
        </w:rPr>
      </w:pPr>
      <w:r>
        <w:rPr>
          <w:rFonts w:hint="eastAsia" w:ascii="宋体" w:hAnsi="宋体"/>
          <w:b/>
          <w:bCs/>
          <w:color w:val="auto"/>
          <w:sz w:val="24"/>
        </w:rPr>
        <w:t>最后报价函</w:t>
      </w:r>
    </w:p>
    <w:p>
      <w:pPr>
        <w:pStyle w:val="29"/>
        <w:pageBreakBefore w:val="0"/>
        <w:kinsoku/>
        <w:overflowPunct/>
        <w:topLinePunct w:val="0"/>
        <w:bidi w:val="0"/>
        <w:jc w:val="center"/>
        <w:outlineLvl w:val="9"/>
        <w:rPr>
          <w:color w:val="auto"/>
        </w:rPr>
      </w:pPr>
      <w:r>
        <w:rPr>
          <w:rFonts w:hint="eastAsia" w:ascii="宋体" w:hAnsi="宋体"/>
          <w:b/>
          <w:bCs/>
          <w:color w:val="auto"/>
        </w:rPr>
        <w:t>（格式自拟）</w:t>
      </w:r>
    </w:p>
    <w:tbl>
      <w:tblPr>
        <w:tblStyle w:val="73"/>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pageBreakBefore w:val="0"/>
              <w:kinsoku/>
              <w:overflowPunct/>
              <w:topLinePunct w:val="0"/>
              <w:bidi w:val="0"/>
              <w:ind w:left="141" w:leftChars="67" w:right="103" w:rightChars="49"/>
              <w:jc w:val="center"/>
              <w:outlineLvl w:val="9"/>
              <w:rPr>
                <w:rFonts w:ascii="仿宋_GB2312" w:hAnsi="宋体" w:eastAsia="仿宋_GB2312"/>
                <w:b/>
                <w:color w:val="auto"/>
                <w:sz w:val="24"/>
              </w:rPr>
            </w:pPr>
            <w:r>
              <w:rPr>
                <w:rFonts w:hint="eastAsia" w:ascii="仿宋_GB2312" w:hAnsi="宋体" w:eastAsia="仿宋_GB2312"/>
                <w:b/>
                <w:color w:val="auto"/>
                <w:sz w:val="24"/>
              </w:rPr>
              <w:t>项目编号及谈判文件名称</w:t>
            </w:r>
          </w:p>
        </w:tc>
        <w:tc>
          <w:tcPr>
            <w:tcW w:w="6329" w:type="dxa"/>
            <w:vAlign w:val="center"/>
          </w:tcPr>
          <w:p>
            <w:pPr>
              <w:pageBreakBefore w:val="0"/>
              <w:kinsoku/>
              <w:overflowPunct/>
              <w:topLinePunct w:val="0"/>
              <w:bidi w:val="0"/>
              <w:ind w:left="189" w:leftChars="90" w:firstLine="1"/>
              <w:outlineLvl w:val="9"/>
              <w:rPr>
                <w:rFonts w:ascii="仿宋_GB2312" w:hAnsi="宋体" w:eastAsia="仿宋_GB2312"/>
                <w:color w:val="auto"/>
                <w:sz w:val="24"/>
              </w:rPr>
            </w:pPr>
            <w:r>
              <w:rPr>
                <w:rFonts w:hint="eastAsia" w:ascii="仿宋_GB2312" w:hAnsi="宋体" w:eastAsia="仿宋_GB2312"/>
                <w:color w:val="auto"/>
                <w:sz w:val="24"/>
              </w:rPr>
              <w:t>项目编号：</w:t>
            </w:r>
          </w:p>
          <w:p>
            <w:pPr>
              <w:pageBreakBefore w:val="0"/>
              <w:kinsoku/>
              <w:overflowPunct/>
              <w:topLinePunct w:val="0"/>
              <w:bidi w:val="0"/>
              <w:ind w:left="189" w:leftChars="90" w:firstLine="1"/>
              <w:outlineLvl w:val="9"/>
              <w:rPr>
                <w:rFonts w:ascii="仿宋_GB2312" w:hAnsi="宋体" w:eastAsia="仿宋_GB2312"/>
                <w:color w:val="auto"/>
                <w:sz w:val="24"/>
              </w:rPr>
            </w:pPr>
          </w:p>
          <w:p>
            <w:pPr>
              <w:pageBreakBefore w:val="0"/>
              <w:kinsoku/>
              <w:overflowPunct/>
              <w:topLinePunct w:val="0"/>
              <w:bidi w:val="0"/>
              <w:ind w:left="189" w:leftChars="90" w:firstLine="1"/>
              <w:outlineLvl w:val="9"/>
              <w:rPr>
                <w:rFonts w:ascii="仿宋_GB2312" w:hAnsi="宋体" w:eastAsia="仿宋_GB2312"/>
                <w:color w:val="auto"/>
                <w:sz w:val="24"/>
              </w:rPr>
            </w:pPr>
            <w:r>
              <w:rPr>
                <w:rFonts w:hint="eastAsia" w:ascii="仿宋_GB2312" w:hAnsi="宋体" w:eastAsia="仿宋_GB2312"/>
                <w:color w:val="auto"/>
                <w:sz w:val="24"/>
              </w:rPr>
              <w:t>谈判项目名称：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pageBreakBefore w:val="0"/>
              <w:kinsoku/>
              <w:overflowPunct/>
              <w:topLinePunct w:val="0"/>
              <w:bidi w:val="0"/>
              <w:ind w:left="-13" w:leftChars="-6"/>
              <w:jc w:val="center"/>
              <w:outlineLvl w:val="9"/>
              <w:rPr>
                <w:rFonts w:ascii="仿宋_GB2312" w:hAnsi="宋体" w:eastAsia="仿宋_GB2312"/>
                <w:b/>
                <w:color w:val="auto"/>
                <w:sz w:val="24"/>
              </w:rPr>
            </w:pPr>
            <w:r>
              <w:rPr>
                <w:rFonts w:hint="eastAsia" w:ascii="仿宋_GB2312" w:hAnsi="宋体" w:eastAsia="仿宋_GB2312"/>
                <w:b/>
                <w:color w:val="auto"/>
                <w:sz w:val="24"/>
              </w:rPr>
              <w:t>响应文件总价</w:t>
            </w:r>
          </w:p>
        </w:tc>
        <w:tc>
          <w:tcPr>
            <w:tcW w:w="6329" w:type="dxa"/>
            <w:vAlign w:val="center"/>
          </w:tcPr>
          <w:p>
            <w:pPr>
              <w:pageBreakBefore w:val="0"/>
              <w:kinsoku/>
              <w:overflowPunct/>
              <w:topLinePunct w:val="0"/>
              <w:bidi w:val="0"/>
              <w:ind w:left="189" w:leftChars="90" w:firstLine="1"/>
              <w:outlineLvl w:val="9"/>
              <w:rPr>
                <w:rFonts w:ascii="仿宋_GB2312" w:hAnsi="宋体" w:eastAsia="仿宋_GB2312"/>
                <w:color w:val="auto"/>
                <w:sz w:val="24"/>
              </w:rPr>
            </w:pPr>
            <w:r>
              <w:rPr>
                <w:rFonts w:hint="eastAsia" w:ascii="仿宋_GB2312" w:hAnsi="宋体" w:eastAsia="仿宋_GB2312"/>
                <w:color w:val="auto"/>
                <w:sz w:val="24"/>
              </w:rPr>
              <w:t>人民币（小写金额）：</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元</w:t>
            </w:r>
          </w:p>
          <w:p>
            <w:pPr>
              <w:pageBreakBefore w:val="0"/>
              <w:kinsoku/>
              <w:overflowPunct/>
              <w:topLinePunct w:val="0"/>
              <w:bidi w:val="0"/>
              <w:ind w:left="189" w:leftChars="90" w:firstLine="1"/>
              <w:outlineLvl w:val="9"/>
              <w:rPr>
                <w:rFonts w:ascii="仿宋_GB2312" w:hAnsi="宋体" w:eastAsia="仿宋_GB2312"/>
                <w:color w:val="auto"/>
                <w:sz w:val="24"/>
                <w:u w:val="single"/>
              </w:rPr>
            </w:pPr>
            <w:r>
              <w:rPr>
                <w:rFonts w:hint="eastAsia" w:ascii="仿宋_GB2312" w:hAnsi="宋体" w:eastAsia="仿宋_GB2312"/>
                <w:color w:val="auto"/>
                <w:sz w:val="24"/>
              </w:rPr>
              <w:t>人民币（大写金额）：</w:t>
            </w:r>
            <w:r>
              <w:rPr>
                <w:rFonts w:hint="eastAsia" w:ascii="仿宋_GB2312" w:hAnsi="宋体" w:eastAsia="仿宋_GB2312"/>
                <w:color w:val="auto"/>
                <w:sz w:val="24"/>
                <w:u w:val="single"/>
              </w:rPr>
              <w:t xml:space="preserve">                        整</w:t>
            </w:r>
          </w:p>
          <w:p>
            <w:pPr>
              <w:pageBreakBefore w:val="0"/>
              <w:kinsoku/>
              <w:overflowPunct/>
              <w:topLinePunct w:val="0"/>
              <w:bidi w:val="0"/>
              <w:ind w:left="189" w:leftChars="90" w:firstLine="1"/>
              <w:outlineLvl w:val="9"/>
              <w:rPr>
                <w:rFonts w:ascii="仿宋_GB2312" w:hAnsi="宋体" w:eastAsia="仿宋_GB2312"/>
                <w:color w:val="auto"/>
                <w:sz w:val="24"/>
              </w:rPr>
            </w:pPr>
            <w:r>
              <w:rPr>
                <w:rFonts w:hint="eastAsia" w:ascii="仿宋_GB2312" w:hAnsi="宋体" w:eastAsia="仿宋_GB2312"/>
                <w:color w:val="auto"/>
                <w:sz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pageBreakBefore w:val="0"/>
              <w:kinsoku/>
              <w:overflowPunct/>
              <w:topLinePunct w:val="0"/>
              <w:bidi w:val="0"/>
              <w:ind w:left="-13" w:leftChars="-6"/>
              <w:jc w:val="center"/>
              <w:outlineLvl w:val="9"/>
              <w:rPr>
                <w:rFonts w:ascii="仿宋_GB2312" w:hAnsi="宋体" w:eastAsia="仿宋_GB2312"/>
                <w:b/>
                <w:color w:val="auto"/>
                <w:sz w:val="24"/>
              </w:rPr>
            </w:pPr>
            <w:r>
              <w:rPr>
                <w:rFonts w:hint="eastAsia" w:ascii="仿宋_GB2312" w:hAnsi="宋体" w:eastAsia="仿宋_GB2312"/>
                <w:b/>
                <w:color w:val="auto"/>
                <w:sz w:val="24"/>
              </w:rPr>
              <w:t>交货期/服务期</w:t>
            </w:r>
          </w:p>
        </w:tc>
        <w:tc>
          <w:tcPr>
            <w:tcW w:w="6329" w:type="dxa"/>
            <w:vAlign w:val="center"/>
          </w:tcPr>
          <w:p>
            <w:pPr>
              <w:pageBreakBefore w:val="0"/>
              <w:kinsoku/>
              <w:overflowPunct/>
              <w:topLinePunct w:val="0"/>
              <w:bidi w:val="0"/>
              <w:ind w:left="189" w:leftChars="90" w:firstLine="1"/>
              <w:outlineLvl w:val="9"/>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pageBreakBefore w:val="0"/>
              <w:kinsoku/>
              <w:overflowPunct/>
              <w:topLinePunct w:val="0"/>
              <w:bidi w:val="0"/>
              <w:ind w:left="-13" w:leftChars="-6"/>
              <w:jc w:val="center"/>
              <w:outlineLvl w:val="9"/>
              <w:rPr>
                <w:rFonts w:ascii="仿宋_GB2312" w:hAnsi="宋体" w:eastAsia="仿宋_GB2312"/>
                <w:b/>
                <w:color w:val="auto"/>
                <w:sz w:val="24"/>
              </w:rPr>
            </w:pPr>
            <w:r>
              <w:rPr>
                <w:rFonts w:hint="eastAsia" w:ascii="仿宋_GB2312" w:hAnsi="宋体" w:eastAsia="仿宋_GB2312"/>
                <w:b/>
                <w:color w:val="auto"/>
                <w:sz w:val="24"/>
              </w:rPr>
              <w:t>交货/服务地点</w:t>
            </w:r>
          </w:p>
        </w:tc>
        <w:tc>
          <w:tcPr>
            <w:tcW w:w="6329" w:type="dxa"/>
            <w:vAlign w:val="center"/>
          </w:tcPr>
          <w:p>
            <w:pPr>
              <w:pageBreakBefore w:val="0"/>
              <w:kinsoku/>
              <w:overflowPunct/>
              <w:topLinePunct w:val="0"/>
              <w:bidi w:val="0"/>
              <w:ind w:left="899" w:leftChars="428" w:firstLine="1"/>
              <w:outlineLvl w:val="9"/>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pageBreakBefore w:val="0"/>
              <w:kinsoku/>
              <w:overflowPunct/>
              <w:topLinePunct w:val="0"/>
              <w:bidi w:val="0"/>
              <w:jc w:val="center"/>
              <w:outlineLvl w:val="9"/>
              <w:rPr>
                <w:rFonts w:ascii="仿宋_GB2312" w:hAnsi="宋体" w:eastAsia="仿宋_GB2312"/>
                <w:b/>
                <w:color w:val="auto"/>
                <w:sz w:val="24"/>
              </w:rPr>
            </w:pPr>
            <w:r>
              <w:rPr>
                <w:rFonts w:hint="eastAsia" w:ascii="仿宋_GB2312" w:hAnsi="宋体" w:eastAsia="仿宋_GB2312"/>
                <w:b/>
                <w:color w:val="auto"/>
                <w:sz w:val="24"/>
              </w:rPr>
              <w:t>其他变化（如有）</w:t>
            </w:r>
          </w:p>
        </w:tc>
        <w:tc>
          <w:tcPr>
            <w:tcW w:w="6329" w:type="dxa"/>
            <w:vAlign w:val="center"/>
          </w:tcPr>
          <w:p>
            <w:pPr>
              <w:pageBreakBefore w:val="0"/>
              <w:kinsoku/>
              <w:overflowPunct/>
              <w:topLinePunct w:val="0"/>
              <w:bidi w:val="0"/>
              <w:ind w:left="899" w:leftChars="428" w:firstLine="1"/>
              <w:outlineLvl w:val="9"/>
              <w:rPr>
                <w:rFonts w:ascii="仿宋_GB2312" w:hAnsi="宋体" w:eastAsia="仿宋_GB2312"/>
                <w:color w:val="auto"/>
                <w:sz w:val="24"/>
              </w:rPr>
            </w:pPr>
          </w:p>
          <w:p>
            <w:pPr>
              <w:pageBreakBefore w:val="0"/>
              <w:kinsoku/>
              <w:overflowPunct/>
              <w:topLinePunct w:val="0"/>
              <w:bidi w:val="0"/>
              <w:ind w:left="899" w:leftChars="428" w:firstLine="1"/>
              <w:outlineLvl w:val="9"/>
              <w:rPr>
                <w:rFonts w:ascii="仿宋_GB2312" w:hAnsi="宋体" w:eastAsia="仿宋_GB2312"/>
                <w:color w:val="auto"/>
                <w:sz w:val="24"/>
              </w:rPr>
            </w:pPr>
          </w:p>
          <w:p>
            <w:pPr>
              <w:pageBreakBefore w:val="0"/>
              <w:kinsoku/>
              <w:overflowPunct/>
              <w:topLinePunct w:val="0"/>
              <w:bidi w:val="0"/>
              <w:ind w:left="899" w:leftChars="428" w:firstLine="1"/>
              <w:outlineLvl w:val="9"/>
              <w:rPr>
                <w:rFonts w:ascii="仿宋_GB2312" w:hAnsi="宋体" w:eastAsia="仿宋_GB2312"/>
                <w:color w:val="auto"/>
                <w:sz w:val="24"/>
              </w:rPr>
            </w:pPr>
          </w:p>
          <w:p>
            <w:pPr>
              <w:pageBreakBefore w:val="0"/>
              <w:kinsoku/>
              <w:overflowPunct/>
              <w:topLinePunct w:val="0"/>
              <w:bidi w:val="0"/>
              <w:ind w:left="899" w:leftChars="428" w:firstLine="1"/>
              <w:outlineLvl w:val="9"/>
              <w:rPr>
                <w:rFonts w:ascii="仿宋_GB2312" w:hAnsi="宋体" w:eastAsia="仿宋_GB2312"/>
                <w:color w:val="auto"/>
                <w:sz w:val="24"/>
              </w:rPr>
            </w:pPr>
          </w:p>
          <w:p>
            <w:pPr>
              <w:pageBreakBefore w:val="0"/>
              <w:kinsoku/>
              <w:overflowPunct/>
              <w:topLinePunct w:val="0"/>
              <w:bidi w:val="0"/>
              <w:ind w:left="899" w:leftChars="428" w:firstLine="1"/>
              <w:outlineLvl w:val="9"/>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pageBreakBefore w:val="0"/>
              <w:kinsoku/>
              <w:overflowPunct/>
              <w:topLinePunct w:val="0"/>
              <w:bidi w:val="0"/>
              <w:jc w:val="center"/>
              <w:outlineLvl w:val="9"/>
              <w:rPr>
                <w:rFonts w:ascii="仿宋_GB2312" w:hAnsi="宋体" w:eastAsia="仿宋_GB2312"/>
                <w:b/>
                <w:color w:val="auto"/>
                <w:sz w:val="24"/>
              </w:rPr>
            </w:pPr>
            <w:r>
              <w:rPr>
                <w:rFonts w:hint="eastAsia" w:ascii="仿宋_GB2312" w:hAnsi="宋体" w:eastAsia="仿宋_GB2312"/>
                <w:b/>
                <w:color w:val="auto"/>
                <w:sz w:val="24"/>
              </w:rPr>
              <w:t>声明</w:t>
            </w:r>
          </w:p>
        </w:tc>
        <w:tc>
          <w:tcPr>
            <w:tcW w:w="6329" w:type="dxa"/>
            <w:vAlign w:val="center"/>
          </w:tcPr>
          <w:p>
            <w:pPr>
              <w:pStyle w:val="39"/>
              <w:pageBreakBefore w:val="0"/>
              <w:tabs>
                <w:tab w:val="left" w:pos="38"/>
              </w:tabs>
              <w:kinsoku/>
              <w:overflowPunct/>
              <w:topLinePunct w:val="0"/>
              <w:bidi w:val="0"/>
              <w:spacing w:before="120"/>
              <w:ind w:left="36" w:leftChars="17" w:firstLine="2"/>
              <w:outlineLvl w:val="9"/>
              <w:rPr>
                <w:rFonts w:ascii="仿宋_GB2312" w:hAnsi="宋体" w:eastAsia="仿宋_GB2312"/>
                <w:color w:val="auto"/>
                <w:sz w:val="24"/>
              </w:rPr>
            </w:pPr>
            <w:r>
              <w:rPr>
                <w:rFonts w:hint="eastAsia" w:ascii="仿宋_GB2312" w:hAnsi="宋体" w:eastAsia="仿宋_GB2312"/>
                <w:color w:val="auto"/>
                <w:sz w:val="24"/>
              </w:rPr>
              <w:t>1、若本最后报价函与我方首次递交的报价函及报价函附录的内容有差异，以本最后报价函内容为准。</w:t>
            </w:r>
          </w:p>
          <w:p>
            <w:pPr>
              <w:pStyle w:val="39"/>
              <w:pageBreakBefore w:val="0"/>
              <w:tabs>
                <w:tab w:val="left" w:pos="38"/>
              </w:tabs>
              <w:kinsoku/>
              <w:overflowPunct/>
              <w:topLinePunct w:val="0"/>
              <w:bidi w:val="0"/>
              <w:spacing w:before="120"/>
              <w:ind w:left="36" w:leftChars="17" w:firstLine="2"/>
              <w:outlineLvl w:val="9"/>
              <w:rPr>
                <w:rFonts w:ascii="仿宋_GB2312" w:hAnsi="宋体" w:eastAsia="仿宋_GB2312"/>
                <w:color w:val="auto"/>
                <w:sz w:val="24"/>
              </w:rPr>
            </w:pPr>
            <w:r>
              <w:rPr>
                <w:rFonts w:hint="eastAsia" w:ascii="仿宋_GB2312" w:hAnsi="宋体" w:eastAsia="仿宋_GB2312"/>
                <w:color w:val="auto"/>
                <w:sz w:val="24"/>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pPr>
        <w:pStyle w:val="39"/>
        <w:pageBreakBefore w:val="0"/>
        <w:tabs>
          <w:tab w:val="left" w:pos="5340"/>
        </w:tabs>
        <w:kinsoku/>
        <w:overflowPunct/>
        <w:topLinePunct w:val="0"/>
        <w:bidi w:val="0"/>
        <w:spacing w:before="120"/>
        <w:ind w:firstLine="720" w:firstLineChars="300"/>
        <w:outlineLvl w:val="9"/>
        <w:rPr>
          <w:rFonts w:ascii="仿宋_GB2312" w:hAnsi="宋体" w:eastAsia="仿宋_GB2312"/>
          <w:color w:val="auto"/>
          <w:sz w:val="24"/>
        </w:rPr>
      </w:pPr>
      <w:r>
        <w:rPr>
          <w:rFonts w:hint="eastAsia" w:ascii="仿宋_GB2312" w:hAnsi="宋体" w:eastAsia="仿宋_GB2312"/>
          <w:color w:val="auto"/>
          <w:sz w:val="24"/>
        </w:rPr>
        <w:t>供应商名称：</w:t>
      </w:r>
      <w:r>
        <w:rPr>
          <w:rFonts w:hint="eastAsia" w:ascii="仿宋_GB2312" w:hAnsi="宋体" w:eastAsia="仿宋_GB2312"/>
          <w:color w:val="auto"/>
          <w:sz w:val="24"/>
          <w:u w:val="single"/>
        </w:rPr>
        <w:t xml:space="preserve">                          </w:t>
      </w:r>
    </w:p>
    <w:p>
      <w:pPr>
        <w:pStyle w:val="39"/>
        <w:pageBreakBefore w:val="0"/>
        <w:tabs>
          <w:tab w:val="left" w:pos="5340"/>
        </w:tabs>
        <w:kinsoku/>
        <w:overflowPunct/>
        <w:topLinePunct w:val="0"/>
        <w:bidi w:val="0"/>
        <w:spacing w:before="120"/>
        <w:ind w:firstLine="720" w:firstLineChars="300"/>
        <w:outlineLvl w:val="9"/>
        <w:rPr>
          <w:rFonts w:ascii="仿宋_GB2312" w:hAnsi="宋体" w:eastAsia="仿宋_GB2312"/>
          <w:color w:val="auto"/>
          <w:sz w:val="24"/>
          <w:u w:val="single"/>
        </w:rPr>
      </w:pPr>
      <w:r>
        <w:rPr>
          <w:rFonts w:hint="eastAsia" w:ascii="仿宋_GB2312" w:hAnsi="宋体" w:eastAsia="仿宋_GB2312"/>
          <w:color w:val="auto"/>
          <w:sz w:val="24"/>
        </w:rPr>
        <w:t>供应商法人代表或授权代表(签字)：</w:t>
      </w:r>
      <w:r>
        <w:rPr>
          <w:rFonts w:ascii="仿宋_GB2312" w:hAnsi="宋体" w:eastAsia="仿宋_GB2312"/>
          <w:color w:val="auto"/>
          <w:sz w:val="24"/>
          <w:u w:val="single"/>
        </w:rPr>
        <w:tab/>
      </w:r>
    </w:p>
    <w:p>
      <w:pPr>
        <w:pStyle w:val="39"/>
        <w:pageBreakBefore w:val="0"/>
        <w:tabs>
          <w:tab w:val="left" w:pos="5580"/>
        </w:tabs>
        <w:kinsoku/>
        <w:overflowPunct/>
        <w:topLinePunct w:val="0"/>
        <w:bidi w:val="0"/>
        <w:spacing w:before="120"/>
        <w:ind w:firstLine="720" w:firstLineChars="300"/>
        <w:outlineLvl w:val="9"/>
        <w:rPr>
          <w:rFonts w:ascii="仿宋_GB2312" w:hAnsi="宋体" w:eastAsia="仿宋_GB2312"/>
          <w:color w:val="auto"/>
          <w:sz w:val="24"/>
          <w:u w:val="single"/>
        </w:rPr>
      </w:pPr>
      <w:r>
        <w:rPr>
          <w:rFonts w:hint="eastAsia" w:ascii="仿宋_GB2312" w:hAnsi="宋体" w:eastAsia="仿宋_GB2312"/>
          <w:color w:val="auto"/>
          <w:sz w:val="24"/>
        </w:rPr>
        <w:t>日期：</w:t>
      </w:r>
      <w:r>
        <w:rPr>
          <w:rFonts w:hint="eastAsia" w:ascii="仿宋_GB2312" w:hAnsi="宋体" w:eastAsia="仿宋_GB2312"/>
          <w:color w:val="auto"/>
          <w:sz w:val="24"/>
          <w:u w:val="single"/>
        </w:rPr>
        <w:t xml:space="preserve">                                </w:t>
      </w:r>
    </w:p>
    <w:p>
      <w:pPr>
        <w:pageBreakBefore w:val="0"/>
        <w:widowControl/>
        <w:kinsoku/>
        <w:overflowPunct/>
        <w:topLinePunct w:val="0"/>
        <w:bidi w:val="0"/>
        <w:jc w:val="left"/>
        <w:outlineLvl w:val="9"/>
        <w:rPr>
          <w:b/>
          <w:color w:val="auto"/>
          <w:sz w:val="24"/>
        </w:rPr>
      </w:pPr>
      <w:r>
        <w:rPr>
          <w:b/>
          <w:color w:val="auto"/>
          <w:sz w:val="24"/>
        </w:rPr>
        <w:br w:type="page"/>
      </w:r>
    </w:p>
    <w:bookmarkEnd w:id="207"/>
    <w:p>
      <w:pPr>
        <w:pageBreakBefore w:val="0"/>
        <w:kinsoku/>
        <w:overflowPunct/>
        <w:topLinePunct w:val="0"/>
        <w:bidi w:val="0"/>
        <w:spacing w:line="360" w:lineRule="auto"/>
        <w:jc w:val="center"/>
        <w:outlineLvl w:val="9"/>
        <w:rPr>
          <w:rFonts w:ascii="宋体" w:hAnsi="宋体" w:cs="黑体"/>
          <w:b/>
          <w:bCs/>
          <w:color w:val="auto"/>
          <w:kern w:val="0"/>
          <w:sz w:val="32"/>
          <w:szCs w:val="32"/>
        </w:rPr>
      </w:pPr>
      <w:r>
        <w:rPr>
          <w:rFonts w:hint="eastAsia" w:ascii="宋体" w:hAnsi="宋体" w:cs="黑体"/>
          <w:b/>
          <w:bCs/>
          <w:color w:val="auto"/>
          <w:kern w:val="0"/>
          <w:sz w:val="32"/>
          <w:szCs w:val="32"/>
        </w:rPr>
        <w:t xml:space="preserve">第七章  其它 </w:t>
      </w:r>
    </w:p>
    <w:p>
      <w:pPr>
        <w:pageBreakBefore w:val="0"/>
        <w:kinsoku/>
        <w:overflowPunct/>
        <w:topLinePunct w:val="0"/>
        <w:bidi w:val="0"/>
        <w:snapToGrid w:val="0"/>
        <w:spacing w:after="156" w:afterLines="50"/>
        <w:outlineLvl w:val="9"/>
        <w:rPr>
          <w:color w:val="auto"/>
        </w:rPr>
      </w:pPr>
    </w:p>
    <w:p>
      <w:pPr>
        <w:pageBreakBefore w:val="0"/>
        <w:kinsoku/>
        <w:overflowPunct/>
        <w:topLinePunct w:val="0"/>
        <w:bidi w:val="0"/>
        <w:jc w:val="center"/>
        <w:outlineLvl w:val="9"/>
        <w:rPr>
          <w:rFonts w:ascii="宋体" w:hAnsi="宋体" w:cs="宋体"/>
          <w:b/>
          <w:bCs/>
          <w:color w:val="auto"/>
          <w:sz w:val="28"/>
          <w:szCs w:val="28"/>
        </w:rPr>
      </w:pPr>
      <w:r>
        <w:rPr>
          <w:rFonts w:hint="eastAsia" w:ascii="宋体" w:hAnsi="宋体" w:cs="宋体"/>
          <w:b/>
          <w:bCs/>
          <w:color w:val="auto"/>
          <w:sz w:val="28"/>
          <w:szCs w:val="28"/>
        </w:rPr>
        <w:t>质疑函范本</w:t>
      </w:r>
    </w:p>
    <w:p>
      <w:pPr>
        <w:pageBreakBefore w:val="0"/>
        <w:kinsoku/>
        <w:overflowPunct/>
        <w:topLinePunct w:val="0"/>
        <w:bidi w:val="0"/>
        <w:adjustRightInd w:val="0"/>
        <w:snapToGrid w:val="0"/>
        <w:spacing w:before="312" w:beforeLines="100" w:line="360" w:lineRule="auto"/>
        <w:outlineLvl w:val="9"/>
        <w:rPr>
          <w:rFonts w:ascii="宋体" w:hAnsi="宋体" w:cs="宋体"/>
          <w:bCs/>
          <w:color w:val="auto"/>
          <w:sz w:val="24"/>
        </w:rPr>
      </w:pPr>
      <w:r>
        <w:rPr>
          <w:rFonts w:hint="eastAsia" w:ascii="宋体" w:hAnsi="宋体" w:cs="宋体"/>
          <w:bCs/>
          <w:color w:val="auto"/>
          <w:sz w:val="24"/>
        </w:rPr>
        <w:t>一、质疑供应商基本信息</w:t>
      </w:r>
    </w:p>
    <w:p>
      <w:pPr>
        <w:pageBreakBefore w:val="0"/>
        <w:kinsoku/>
        <w:overflowPunct/>
        <w:topLinePunct w:val="0"/>
        <w:bidi w:val="0"/>
        <w:adjustRightInd w:val="0"/>
        <w:snapToGrid w:val="0"/>
        <w:spacing w:line="360" w:lineRule="auto"/>
        <w:outlineLvl w:val="9"/>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bCs/>
          <w:color w:val="auto"/>
          <w:sz w:val="24"/>
        </w:rPr>
      </w:pPr>
      <w:r>
        <w:rPr>
          <w:rFonts w:hint="eastAsia" w:ascii="宋体" w:hAnsi="宋体" w:cs="宋体"/>
          <w:bCs/>
          <w:color w:val="auto"/>
          <w:sz w:val="24"/>
        </w:rPr>
        <w:t>二、质疑项目基本情况</w:t>
      </w:r>
    </w:p>
    <w:p>
      <w:pPr>
        <w:pageBreakBefore w:val="0"/>
        <w:kinsoku/>
        <w:overflowPunct/>
        <w:topLinePunct w:val="0"/>
        <w:bidi w:val="0"/>
        <w:adjustRightInd w:val="0"/>
        <w:snapToGrid w:val="0"/>
        <w:spacing w:line="360" w:lineRule="auto"/>
        <w:outlineLvl w:val="9"/>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bCs/>
          <w:color w:val="auto"/>
          <w:sz w:val="24"/>
        </w:rPr>
      </w:pPr>
      <w:r>
        <w:rPr>
          <w:rFonts w:hint="eastAsia" w:ascii="宋体" w:hAnsi="宋体" w:cs="宋体"/>
          <w:bCs/>
          <w:color w:val="auto"/>
          <w:sz w:val="24"/>
        </w:rPr>
        <w:t>三、质疑事项具体内容</w:t>
      </w:r>
    </w:p>
    <w:p>
      <w:pPr>
        <w:pageBreakBefore w:val="0"/>
        <w:kinsoku/>
        <w:overflowPunct/>
        <w:topLinePunct w:val="0"/>
        <w:bidi w:val="0"/>
        <w:adjustRightInd w:val="0"/>
        <w:snapToGrid w:val="0"/>
        <w:spacing w:line="360" w:lineRule="auto"/>
        <w:outlineLvl w:val="9"/>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rPr>
      </w:pP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u w:val="dotted"/>
        </w:rPr>
      </w:pPr>
      <w:r>
        <w:rPr>
          <w:rFonts w:hint="eastAsia" w:ascii="宋体" w:hAnsi="宋体" w:cs="宋体"/>
          <w:color w:val="auto"/>
          <w:sz w:val="24"/>
          <w:u w:val="dotted"/>
        </w:rPr>
        <w:t xml:space="preserve">                                                     </w:t>
      </w:r>
    </w:p>
    <w:p>
      <w:pPr>
        <w:pageBreakBefore w:val="0"/>
        <w:kinsoku/>
        <w:overflowPunct/>
        <w:topLinePunct w:val="0"/>
        <w:bidi w:val="0"/>
        <w:adjustRightInd w:val="0"/>
        <w:snapToGrid w:val="0"/>
        <w:spacing w:line="360" w:lineRule="auto"/>
        <w:outlineLvl w:val="9"/>
        <w:rPr>
          <w:rFonts w:ascii="宋体" w:hAnsi="宋体" w:cs="宋体"/>
          <w:color w:val="auto"/>
          <w:sz w:val="24"/>
          <w:u w:val="dotted"/>
        </w:rPr>
      </w:pPr>
      <w:r>
        <w:rPr>
          <w:rFonts w:hint="eastAsia" w:ascii="宋体" w:hAnsi="宋体" w:cs="宋体"/>
          <w:color w:val="auto"/>
          <w:sz w:val="24"/>
        </w:rPr>
        <w:t>质疑事项2</w:t>
      </w:r>
    </w:p>
    <w:p>
      <w:pPr>
        <w:pageBreakBefore w:val="0"/>
        <w:kinsoku/>
        <w:overflowPunct/>
        <w:topLinePunct w:val="0"/>
        <w:bidi w:val="0"/>
        <w:adjustRightInd w:val="0"/>
        <w:snapToGrid w:val="0"/>
        <w:spacing w:line="360" w:lineRule="auto"/>
        <w:outlineLvl w:val="9"/>
        <w:rPr>
          <w:rFonts w:ascii="宋体" w:hAnsi="宋体" w:cs="宋体"/>
          <w:color w:val="auto"/>
          <w:sz w:val="24"/>
        </w:rPr>
      </w:pPr>
      <w:r>
        <w:rPr>
          <w:rFonts w:hint="eastAsia" w:ascii="宋体" w:hAnsi="宋体" w:cs="宋体"/>
          <w:color w:val="auto"/>
          <w:sz w:val="24"/>
        </w:rPr>
        <w:t>……</w:t>
      </w:r>
    </w:p>
    <w:p>
      <w:pPr>
        <w:pageBreakBefore w:val="0"/>
        <w:kinsoku/>
        <w:overflowPunct/>
        <w:topLinePunct w:val="0"/>
        <w:bidi w:val="0"/>
        <w:snapToGrid w:val="0"/>
        <w:spacing w:after="156" w:afterLines="50"/>
        <w:outlineLvl w:val="9"/>
        <w:rPr>
          <w:rFonts w:ascii="宋体" w:hAnsi="宋体" w:cs="宋体"/>
          <w:color w:val="auto"/>
          <w:sz w:val="24"/>
        </w:rPr>
      </w:pPr>
      <w:r>
        <w:rPr>
          <w:rFonts w:hint="eastAsia" w:ascii="宋体" w:hAnsi="宋体" w:cs="宋体"/>
          <w:bCs/>
          <w:color w:val="auto"/>
          <w:sz w:val="24"/>
        </w:rPr>
        <w:t>四、与质疑事项相关的质疑请求</w:t>
      </w:r>
    </w:p>
    <w:p>
      <w:pPr>
        <w:pageBreakBefore w:val="0"/>
        <w:kinsoku/>
        <w:overflowPunct/>
        <w:topLinePunct w:val="0"/>
        <w:bidi w:val="0"/>
        <w:adjustRightInd w:val="0"/>
        <w:snapToGrid w:val="0"/>
        <w:spacing w:line="360" w:lineRule="auto"/>
        <w:outlineLvl w:val="9"/>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pageBreakBefore w:val="0"/>
        <w:kinsoku/>
        <w:overflowPunct/>
        <w:topLinePunct w:val="0"/>
        <w:bidi w:val="0"/>
        <w:outlineLvl w:val="9"/>
        <w:rPr>
          <w:rFonts w:ascii="宋体" w:hAnsi="宋体" w:cs="宋体"/>
          <w:color w:val="auto"/>
          <w:sz w:val="24"/>
        </w:rPr>
      </w:pPr>
      <w:r>
        <w:rPr>
          <w:rFonts w:hint="eastAsia" w:ascii="宋体" w:hAnsi="宋体" w:cs="宋体"/>
          <w:color w:val="auto"/>
          <w:sz w:val="24"/>
        </w:rPr>
        <w:t xml:space="preserve">签字(签章)：                   公章：                      </w:t>
      </w:r>
    </w:p>
    <w:p>
      <w:pPr>
        <w:pageBreakBefore w:val="0"/>
        <w:kinsoku/>
        <w:overflowPunct/>
        <w:topLinePunct w:val="0"/>
        <w:bidi w:val="0"/>
        <w:outlineLvl w:val="9"/>
        <w:rPr>
          <w:rFonts w:ascii="宋体" w:hAnsi="宋体" w:cs="宋体"/>
          <w:color w:val="auto"/>
          <w:sz w:val="24"/>
        </w:rPr>
      </w:pPr>
      <w:r>
        <w:rPr>
          <w:rFonts w:hint="eastAsia" w:ascii="宋体" w:hAnsi="宋体" w:cs="宋体"/>
          <w:color w:val="auto"/>
          <w:sz w:val="24"/>
        </w:rPr>
        <w:t xml:space="preserve">日期：    </w:t>
      </w:r>
    </w:p>
    <w:p>
      <w:pPr>
        <w:pageBreakBefore w:val="0"/>
        <w:kinsoku/>
        <w:overflowPunct/>
        <w:topLinePunct w:val="0"/>
        <w:bidi w:val="0"/>
        <w:adjustRightInd w:val="0"/>
        <w:snapToGrid w:val="0"/>
        <w:spacing w:line="360" w:lineRule="auto"/>
        <w:outlineLvl w:val="9"/>
        <w:rPr>
          <w:rFonts w:ascii="宋体" w:hAnsi="宋体" w:cs="宋体"/>
          <w:color w:val="auto"/>
          <w:sz w:val="24"/>
        </w:rPr>
      </w:pPr>
    </w:p>
    <w:p>
      <w:pPr>
        <w:pageBreakBefore w:val="0"/>
        <w:kinsoku/>
        <w:overflowPunct/>
        <w:topLinePunct w:val="0"/>
        <w:bidi w:val="0"/>
        <w:spacing w:line="720" w:lineRule="auto"/>
        <w:outlineLvl w:val="9"/>
        <w:rPr>
          <w:rFonts w:ascii="宋体" w:hAnsi="宋体" w:cs="宋体"/>
          <w:bCs/>
          <w:color w:val="auto"/>
          <w:sz w:val="24"/>
        </w:rPr>
      </w:pPr>
      <w:r>
        <w:rPr>
          <w:rFonts w:hint="eastAsia" w:ascii="宋体" w:hAnsi="宋体" w:cs="宋体"/>
          <w:color w:val="auto"/>
          <w:sz w:val="24"/>
        </w:rPr>
        <w:br w:type="page"/>
      </w:r>
      <w:r>
        <w:rPr>
          <w:rFonts w:hint="eastAsia" w:ascii="宋体" w:hAnsi="宋体" w:cs="宋体"/>
          <w:bCs/>
          <w:color w:val="auto"/>
          <w:sz w:val="24"/>
        </w:rPr>
        <w:t>质疑函制作说明：</w:t>
      </w:r>
    </w:p>
    <w:p>
      <w:pPr>
        <w:pageBreakBefore w:val="0"/>
        <w:widowControl/>
        <w:kinsoku/>
        <w:overflowPunct/>
        <w:topLinePunct w:val="0"/>
        <w:bidi w:val="0"/>
        <w:spacing w:line="720" w:lineRule="auto"/>
        <w:ind w:firstLine="480" w:firstLineChars="200"/>
        <w:jc w:val="left"/>
        <w:outlineLvl w:val="9"/>
        <w:rPr>
          <w:rFonts w:ascii="宋体" w:hAnsi="宋体" w:cs="宋体"/>
          <w:bCs/>
          <w:color w:val="auto"/>
          <w:sz w:val="24"/>
        </w:rPr>
      </w:pPr>
      <w:r>
        <w:rPr>
          <w:rFonts w:hint="eastAsia" w:ascii="宋体" w:hAnsi="宋体" w:cs="宋体"/>
          <w:bCs/>
          <w:color w:val="auto"/>
          <w:sz w:val="24"/>
        </w:rPr>
        <w:t>1.供应商提出质疑时，应提交质疑函和必要的证明材料。</w:t>
      </w:r>
    </w:p>
    <w:p>
      <w:pPr>
        <w:pageBreakBefore w:val="0"/>
        <w:widowControl/>
        <w:kinsoku/>
        <w:overflowPunct/>
        <w:topLinePunct w:val="0"/>
        <w:bidi w:val="0"/>
        <w:spacing w:line="720" w:lineRule="auto"/>
        <w:ind w:firstLine="480" w:firstLineChars="200"/>
        <w:jc w:val="left"/>
        <w:outlineLvl w:val="9"/>
        <w:rPr>
          <w:rFonts w:ascii="宋体" w:hAnsi="宋体" w:cs="宋体"/>
          <w:bCs/>
          <w:color w:val="auto"/>
          <w:sz w:val="24"/>
        </w:rPr>
      </w:pPr>
      <w:r>
        <w:rPr>
          <w:rFonts w:hint="eastAsia" w:ascii="宋体" w:hAnsi="宋体" w:cs="宋体"/>
          <w:bCs/>
          <w:color w:val="auto"/>
          <w:sz w:val="24"/>
        </w:rPr>
        <w:t>2.质疑供应商若委托代理人进行质疑的，质疑函应按要求列明“授权代表”的有关内容，并在附件中提交由质疑</w:t>
      </w:r>
      <w:r>
        <w:rPr>
          <w:rFonts w:hint="eastAsia" w:ascii="宋体" w:hAnsi="宋体" w:cs="宋体"/>
          <w:bCs/>
          <w:color w:val="auto"/>
          <w:kern w:val="0"/>
          <w:sz w:val="24"/>
        </w:rPr>
        <w:t>供应商签署的授权委托书。授权委托书应载明代理人的姓名或者名称、代理事项、具体权限、期限和相关事项。</w:t>
      </w:r>
    </w:p>
    <w:p>
      <w:pPr>
        <w:pageBreakBefore w:val="0"/>
        <w:widowControl/>
        <w:kinsoku/>
        <w:overflowPunct/>
        <w:topLinePunct w:val="0"/>
        <w:bidi w:val="0"/>
        <w:spacing w:line="720" w:lineRule="auto"/>
        <w:ind w:firstLine="480" w:firstLineChars="200"/>
        <w:jc w:val="left"/>
        <w:outlineLvl w:val="9"/>
        <w:rPr>
          <w:rFonts w:ascii="宋体" w:hAnsi="宋体" w:cs="宋体"/>
          <w:bCs/>
          <w:color w:val="auto"/>
          <w:sz w:val="24"/>
        </w:rPr>
      </w:pPr>
      <w:r>
        <w:rPr>
          <w:rFonts w:hint="eastAsia" w:ascii="宋体" w:hAnsi="宋体" w:cs="宋体"/>
          <w:bCs/>
          <w:color w:val="auto"/>
          <w:sz w:val="24"/>
        </w:rPr>
        <w:t>3.质疑供应商若对项目的某一分包进行质疑，质疑函中应列明具体分包号。</w:t>
      </w:r>
    </w:p>
    <w:p>
      <w:pPr>
        <w:pageBreakBefore w:val="0"/>
        <w:widowControl/>
        <w:kinsoku/>
        <w:overflowPunct/>
        <w:topLinePunct w:val="0"/>
        <w:bidi w:val="0"/>
        <w:spacing w:line="720" w:lineRule="auto"/>
        <w:ind w:firstLine="480" w:firstLineChars="200"/>
        <w:jc w:val="left"/>
        <w:outlineLvl w:val="9"/>
        <w:rPr>
          <w:rFonts w:ascii="宋体" w:hAnsi="宋体" w:cs="宋体"/>
          <w:bCs/>
          <w:color w:val="auto"/>
          <w:sz w:val="24"/>
        </w:rPr>
      </w:pPr>
      <w:r>
        <w:rPr>
          <w:rFonts w:hint="eastAsia" w:ascii="宋体" w:hAnsi="宋体" w:cs="宋体"/>
          <w:bCs/>
          <w:color w:val="auto"/>
          <w:sz w:val="24"/>
        </w:rPr>
        <w:t>4.质疑函的质疑事项应具体、明确，并有必要的事实依据和法律依据。</w:t>
      </w:r>
    </w:p>
    <w:p>
      <w:pPr>
        <w:pageBreakBefore w:val="0"/>
        <w:widowControl/>
        <w:kinsoku/>
        <w:overflowPunct/>
        <w:topLinePunct w:val="0"/>
        <w:bidi w:val="0"/>
        <w:spacing w:line="720" w:lineRule="auto"/>
        <w:ind w:firstLine="480" w:firstLineChars="200"/>
        <w:jc w:val="left"/>
        <w:outlineLvl w:val="9"/>
        <w:rPr>
          <w:rFonts w:ascii="宋体" w:hAnsi="宋体" w:cs="宋体"/>
          <w:bCs/>
          <w:color w:val="auto"/>
          <w:sz w:val="24"/>
        </w:rPr>
      </w:pPr>
      <w:r>
        <w:rPr>
          <w:rFonts w:hint="eastAsia" w:ascii="宋体" w:hAnsi="宋体" w:cs="宋体"/>
          <w:bCs/>
          <w:color w:val="auto"/>
          <w:sz w:val="24"/>
        </w:rPr>
        <w:t>5.质疑函的质疑请求应与质疑事项相关。</w:t>
      </w:r>
    </w:p>
    <w:p>
      <w:pPr>
        <w:pageBreakBefore w:val="0"/>
        <w:widowControl/>
        <w:kinsoku/>
        <w:overflowPunct/>
        <w:topLinePunct w:val="0"/>
        <w:bidi w:val="0"/>
        <w:spacing w:line="720" w:lineRule="auto"/>
        <w:ind w:firstLine="480" w:firstLineChars="200"/>
        <w:jc w:val="left"/>
        <w:outlineLvl w:val="9"/>
        <w:rPr>
          <w:rFonts w:ascii="宋体" w:hAnsi="宋体" w:cs="宋体"/>
          <w:bCs/>
          <w:color w:val="auto"/>
          <w:sz w:val="24"/>
        </w:rPr>
      </w:pPr>
      <w:r>
        <w:rPr>
          <w:rFonts w:hint="eastAsia" w:ascii="宋体" w:hAnsi="宋体" w:cs="宋体"/>
          <w:bCs/>
          <w:color w:val="auto"/>
          <w:sz w:val="24"/>
        </w:rPr>
        <w:t>6.质疑供应商为自然人的，质疑函应由本人签字；质疑供应商为法人或者其他组织的，质疑函应由法定代表人、主要负责人，或者其授权代表签字或者盖章，并加盖公章。</w:t>
      </w:r>
    </w:p>
    <w:p>
      <w:pPr>
        <w:pStyle w:val="29"/>
        <w:pageBreakBefore w:val="0"/>
        <w:kinsoku/>
        <w:overflowPunct/>
        <w:topLinePunct w:val="0"/>
        <w:bidi w:val="0"/>
        <w:outlineLvl w:val="9"/>
        <w:rPr>
          <w:color w:val="auto"/>
        </w:rPr>
      </w:pPr>
    </w:p>
    <w:p>
      <w:pPr>
        <w:pageBreakBefore w:val="0"/>
        <w:kinsoku/>
        <w:overflowPunct/>
        <w:topLinePunct w:val="0"/>
        <w:bidi w:val="0"/>
        <w:adjustRightInd w:val="0"/>
        <w:snapToGrid w:val="0"/>
        <w:spacing w:line="360" w:lineRule="auto"/>
        <w:outlineLvl w:val="9"/>
        <w:rPr>
          <w:rFonts w:eastAsia="仿宋"/>
          <w:color w:val="auto"/>
          <w:sz w:val="24"/>
        </w:rPr>
      </w:pPr>
    </w:p>
    <w:p>
      <w:pPr>
        <w:pageBreakBefore w:val="0"/>
        <w:kinsoku/>
        <w:overflowPunct/>
        <w:topLinePunct w:val="0"/>
        <w:bidi w:val="0"/>
        <w:snapToGrid w:val="0"/>
        <w:spacing w:after="156" w:afterLines="50"/>
        <w:outlineLvl w:val="9"/>
        <w:rPr>
          <w:color w:val="auto"/>
        </w:rPr>
      </w:pPr>
    </w:p>
    <w:p>
      <w:pPr>
        <w:pageBreakBefore w:val="0"/>
        <w:kinsoku/>
        <w:overflowPunct/>
        <w:topLinePunct w:val="0"/>
        <w:bidi w:val="0"/>
        <w:snapToGrid w:val="0"/>
        <w:spacing w:after="156" w:afterLines="50"/>
        <w:outlineLvl w:val="9"/>
        <w:rPr>
          <w:color w:val="auto"/>
        </w:rPr>
      </w:pPr>
    </w:p>
    <w:p>
      <w:pPr>
        <w:pStyle w:val="29"/>
        <w:pageBreakBefore w:val="0"/>
        <w:tabs>
          <w:tab w:val="left" w:pos="567"/>
        </w:tabs>
        <w:kinsoku/>
        <w:overflowPunct/>
        <w:topLinePunct w:val="0"/>
        <w:bidi w:val="0"/>
        <w:outlineLvl w:val="9"/>
        <w:rPr>
          <w:rFonts w:ascii="黑体" w:hAnsi="黑体" w:eastAsia="黑体"/>
          <w:i/>
          <w:color w:val="auto"/>
        </w:rPr>
      </w:pPr>
    </w:p>
    <w:p>
      <w:pPr>
        <w:pageBreakBefore w:val="0"/>
        <w:kinsoku/>
        <w:overflowPunct/>
        <w:topLinePunct w:val="0"/>
        <w:bidi w:val="0"/>
        <w:snapToGrid w:val="0"/>
        <w:spacing w:after="156" w:afterLines="50"/>
        <w:outlineLvl w:val="9"/>
        <w:rPr>
          <w:color w:val="auto"/>
        </w:rPr>
      </w:pPr>
    </w:p>
    <w:sectPr>
      <w:headerReference r:id="rId8" w:type="default"/>
      <w:footerReference r:id="rId9" w:type="default"/>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rif">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Univers">
    <w:altName w:val="AMGDT"/>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MingLiU_HKSCS">
    <w:altName w:val="MingLiU-ExtB"/>
    <w:panose1 w:val="00000000000000000000"/>
    <w:charset w:val="88"/>
    <w:family w:val="roman"/>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AMGDT">
    <w:panose1 w:val="02000400000000000000"/>
    <w:charset w:val="00"/>
    <w:family w:val="auto"/>
    <w:pitch w:val="default"/>
    <w:sig w:usb0="80000003" w:usb1="1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书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GNqlXwwEAAJADAAAOAAAAAAAAAAEAIAAAAB4BAABkcnMvZTJvRG9jLnhtbFBL&#10;BQYAAAAABgAGAFkBAABTBQAAAAA=&#10;">
              <v:fill on="f" focussize="0,0"/>
              <v:stroke on="f"/>
              <v:imagedata o:title=""/>
              <o:lock v:ext="edit" aspectratio="f"/>
              <v:textbox inset="0mm,0mm,0mm,0mm" style="mso-fit-shape-to-text:t;">
                <w:txbxContent>
                  <w:p>
                    <w:pPr>
                      <w:pStyle w:val="4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8"/>
                          </w:pP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p>
                      </w:txbxContent>
                    </wps:txbx>
                    <wps:bodyPr wrap="none" lIns="0" tIns="0" rIns="0" bIns="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sF1MQBAACQ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tQsF1MQBAACQAwAADgAAAAAAAAABACAAAAAeAQAAZHJzL2Uyb0RvYy54bWxQ&#10;SwUGAAAAAAYABgBZAQAAVAUAAAAA&#10;">
              <v:fill on="f" focussize="0,0"/>
              <v:stroke on="f"/>
              <v:imagedata o:title=""/>
              <o:lock v:ext="edit" aspectratio="f"/>
              <v:textbox inset="0mm,0mm,0mm,0mm" style="mso-fit-shape-to-text:t;">
                <w:txbxContent>
                  <w:p>
                    <w:pPr>
                      <w:pStyle w:val="48"/>
                    </w:pP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8"/>
                          </w:pP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p>
                      </w:txbxContent>
                    </wps:txbx>
                    <wps:bodyPr wrap="none" lIns="0" tIns="0" rIns="0" bIns="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JZreMQBAACQAwAADgAAAGRycy9lMm9Eb2MueG1srVPNjtMwEL4j8Q6W&#10;79RpV1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JYSxy0O/PL92+XHr8vPr2RZ&#10;3dxkhfoANSY+BExNwxs/4N7MfkBnJj6oaPMXKRGMo77nq75ySETkR+vVel1hSGBsviA+e3weIqS3&#10;0luSjYZGHGDRlZ/eQxpT55Rczfl7bUwZonF/ORAze1jufewxW2nYDxOhvW/PyKfH2TfU4apTYt45&#10;lDavyWzE2dhPRq4B4fUxYeHST0YdoaZiOKjCaFqqvAl/3kvW4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JZreMQBAACQAwAADgAAAAAAAAABACAAAAAeAQAAZHJzL2Uyb0RvYy54bWxQ&#10;SwUGAAAAAAYABgBZAQAAVAUAAAAA&#10;">
              <v:fill on="f" focussize="0,0"/>
              <v:stroke on="f"/>
              <v:imagedata o:title=""/>
              <o:lock v:ext="edit" aspectratio="f"/>
              <v:textbox inset="0mm,0mm,0mm,0mm" style="mso-fit-shape-to-text:t;">
                <w:txbxContent>
                  <w:p>
                    <w:pPr>
                      <w:pStyle w:val="48"/>
                    </w:pP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hint="default"/>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D5364"/>
    <w:multiLevelType w:val="singleLevel"/>
    <w:tmpl w:val="EB7D5364"/>
    <w:lvl w:ilvl="0" w:tentative="0">
      <w:start w:val="3"/>
      <w:numFmt w:val="decimal"/>
      <w:suff w:val="nothing"/>
      <w:lvlText w:val="%1、"/>
      <w:lvlJc w:val="left"/>
    </w:lvl>
  </w:abstractNum>
  <w:abstractNum w:abstractNumId="1">
    <w:nsid w:val="FFFFFFFB"/>
    <w:multiLevelType w:val="multilevel"/>
    <w:tmpl w:val="FFFFFFFB"/>
    <w:lvl w:ilvl="0" w:tentative="0">
      <w:start w:val="1"/>
      <w:numFmt w:val="decimal"/>
      <w:pStyle w:val="447"/>
      <w:lvlText w:val="%1."/>
      <w:legacy w:legacy="1" w:legacySpace="0" w:legacyIndent="0"/>
      <w:lvlJc w:val="left"/>
      <w:pPr>
        <w:textAlignment w:val="baseline"/>
      </w:pPr>
    </w:lvl>
    <w:lvl w:ilvl="1" w:tentative="0">
      <w:start w:val="1"/>
      <w:numFmt w:val="decimal"/>
      <w:pStyle w:val="446"/>
      <w:lvlText w:val="%1.%2"/>
      <w:legacy w:legacy="1" w:legacySpace="0" w:legacyIndent="0"/>
      <w:lvlJc w:val="left"/>
      <w:pPr>
        <w:textAlignment w:val="baseline"/>
      </w:pPr>
      <w:rPr>
        <w:lang w:val="en-US"/>
      </w:rPr>
    </w:lvl>
    <w:lvl w:ilvl="2" w:tentative="0">
      <w:start w:val="1"/>
      <w:numFmt w:val="decimal"/>
      <w:lvlText w:val="%1.%2.%3"/>
      <w:legacy w:legacy="1" w:legacySpace="0" w:legacyIndent="0"/>
      <w:lvlJc w:val="left"/>
      <w:pPr>
        <w:textAlignment w:val="baseline"/>
      </w:pPr>
      <w:rPr>
        <w:b w:val="0"/>
        <w:bCs w:val="0"/>
        <w:i w:val="0"/>
        <w:iCs w:val="0"/>
        <w:caps w:val="0"/>
        <w:smallCaps w:val="0"/>
        <w:strike w:val="0"/>
        <w:dstrike w:val="0"/>
        <w:vanish w:val="0"/>
        <w:position w:val="0"/>
      </w:rPr>
    </w:lvl>
    <w:lvl w:ilvl="3" w:tentative="0">
      <w:start w:val="1"/>
      <w:numFmt w:val="decimal"/>
      <w:lvlText w:val="%1.%2.%3.%4"/>
      <w:legacy w:legacy="1" w:legacySpace="0" w:legacyIndent="0"/>
      <w:lvlJc w:val="left"/>
      <w:pPr>
        <w:textAlignment w:val="baseline"/>
      </w:pPr>
    </w:lvl>
    <w:lvl w:ilvl="4" w:tentative="0">
      <w:start w:val="1"/>
      <w:numFmt w:val="decimal"/>
      <w:lvlText w:val="%1.%2.%3.%4.%5"/>
      <w:legacy w:legacy="1" w:legacySpace="0" w:legacyIndent="0"/>
      <w:lvlJc w:val="left"/>
      <w:pPr>
        <w:textAlignment w:val="baseline"/>
      </w:pPr>
    </w:lvl>
    <w:lvl w:ilvl="5" w:tentative="0">
      <w:start w:val="1"/>
      <w:numFmt w:val="decimal"/>
      <w:lvlText w:val="%1.%2.%3.%4.%5.%6"/>
      <w:legacy w:legacy="1" w:legacySpace="0" w:legacyIndent="0"/>
      <w:lvlJc w:val="left"/>
      <w:pPr>
        <w:textAlignment w:val="baseline"/>
      </w:pPr>
    </w:lvl>
    <w:lvl w:ilvl="6" w:tentative="0">
      <w:start w:val="1"/>
      <w:numFmt w:val="decimal"/>
      <w:lvlText w:val="%1.%2.%3.%4.%5.%6.%7"/>
      <w:legacy w:legacy="1" w:legacySpace="0" w:legacyIndent="0"/>
      <w:lvlJc w:val="left"/>
      <w:pPr>
        <w:textAlignment w:val="baseline"/>
      </w:pPr>
    </w:lvl>
    <w:lvl w:ilvl="7" w:tentative="0">
      <w:start w:val="1"/>
      <w:numFmt w:val="decimal"/>
      <w:lvlText w:val="%1.%2.%3.%4.%5.%6.%7.%8"/>
      <w:legacy w:legacy="1" w:legacySpace="0" w:legacyIndent="0"/>
      <w:lvlJc w:val="left"/>
      <w:pPr>
        <w:textAlignment w:val="baseline"/>
      </w:pPr>
    </w:lvl>
    <w:lvl w:ilvl="8" w:tentative="0">
      <w:start w:val="1"/>
      <w:numFmt w:val="decimal"/>
      <w:lvlText w:val="%1.%2.%3.%4.%5.%6.%7.%8.%9"/>
      <w:legacy w:legacy="1" w:legacySpace="0" w:legacyIndent="0"/>
      <w:lvlJc w:val="left"/>
      <w:pPr>
        <w:textAlignment w:val="baseline"/>
      </w:pPr>
    </w:lvl>
  </w:abstractNum>
  <w:abstractNum w:abstractNumId="2">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3C"/>
    <w:multiLevelType w:val="multilevel"/>
    <w:tmpl w:val="0000003C"/>
    <w:lvl w:ilvl="0" w:tentative="0">
      <w:start w:val="1"/>
      <w:numFmt w:val="decimal"/>
      <w:lvlText w:val="（%1）"/>
      <w:lvlJc w:val="left"/>
      <w:pPr>
        <w:tabs>
          <w:tab w:val="left" w:pos="1122"/>
        </w:tabs>
        <w:ind w:left="112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767068"/>
    <w:multiLevelType w:val="multilevel"/>
    <w:tmpl w:val="00767068"/>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5">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6">
    <w:nsid w:val="0FDF0889"/>
    <w:multiLevelType w:val="multilevel"/>
    <w:tmpl w:val="0FDF0889"/>
    <w:lvl w:ilvl="0" w:tentative="0">
      <w:start w:val="1"/>
      <w:numFmt w:val="decimal"/>
      <w:lvlText w:val="附件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1B46AF"/>
    <w:multiLevelType w:val="multilevel"/>
    <w:tmpl w:val="121B46AF"/>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EA2E38"/>
    <w:multiLevelType w:val="multilevel"/>
    <w:tmpl w:val="13EA2E38"/>
    <w:lvl w:ilvl="0" w:tentative="0">
      <w:start w:val="2"/>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0">
    <w:nsid w:val="1ECA5CAF"/>
    <w:multiLevelType w:val="multilevel"/>
    <w:tmpl w:val="1ECA5CAF"/>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3)"/>
      <w:lvlJc w:val="left"/>
      <w:pPr>
        <w:tabs>
          <w:tab w:val="left" w:pos="1134"/>
        </w:tabs>
        <w:ind w:left="1134" w:hanging="1134"/>
      </w:pPr>
      <w:rPr>
        <w:rFonts w:hint="eastAsia"/>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1">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12">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3">
    <w:nsid w:val="5AA8DCB0"/>
    <w:multiLevelType w:val="singleLevel"/>
    <w:tmpl w:val="5AA8DCB0"/>
    <w:lvl w:ilvl="0" w:tentative="0">
      <w:start w:val="1"/>
      <w:numFmt w:val="decimal"/>
      <w:suff w:val="nothing"/>
      <w:lvlText w:val="%1、"/>
      <w:lvlJc w:val="left"/>
    </w:lvl>
  </w:abstractNum>
  <w:abstractNum w:abstractNumId="14">
    <w:nsid w:val="5AAB3475"/>
    <w:multiLevelType w:val="singleLevel"/>
    <w:tmpl w:val="5AAB3475"/>
    <w:lvl w:ilvl="0" w:tentative="0">
      <w:start w:val="1"/>
      <w:numFmt w:val="decimal"/>
      <w:lvlText w:val="%1."/>
      <w:lvlJc w:val="left"/>
      <w:pPr>
        <w:ind w:left="425" w:hanging="425"/>
      </w:pPr>
      <w:rPr>
        <w:rFonts w:hint="default"/>
      </w:rPr>
    </w:lvl>
  </w:abstractNum>
  <w:abstractNum w:abstractNumId="15">
    <w:nsid w:val="5AAB3487"/>
    <w:multiLevelType w:val="singleLevel"/>
    <w:tmpl w:val="5AAB3487"/>
    <w:lvl w:ilvl="0" w:tentative="0">
      <w:start w:val="1"/>
      <w:numFmt w:val="decimal"/>
      <w:lvlText w:val="%1)"/>
      <w:lvlJc w:val="left"/>
      <w:pPr>
        <w:ind w:left="425" w:hanging="425"/>
      </w:pPr>
      <w:rPr>
        <w:rFonts w:hint="default"/>
      </w:rPr>
    </w:lvl>
  </w:abstractNum>
  <w:abstractNum w:abstractNumId="16">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7">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8">
    <w:nsid w:val="6391782E"/>
    <w:multiLevelType w:val="multilevel"/>
    <w:tmpl w:val="6391782E"/>
    <w:lvl w:ilvl="0" w:tentative="0">
      <w:start w:val="1"/>
      <w:numFmt w:val="decimal"/>
      <w:lvlText w:val="%1)"/>
      <w:lvlJc w:val="left"/>
      <w:pPr>
        <w:ind w:left="1554" w:hanging="420"/>
      </w:pPr>
    </w:lvl>
    <w:lvl w:ilvl="1" w:tentative="0">
      <w:start w:val="1"/>
      <w:numFmt w:val="lowerLetter"/>
      <w:lvlText w:val="%2)"/>
      <w:lvlJc w:val="left"/>
      <w:pPr>
        <w:ind w:left="1974" w:hanging="420"/>
      </w:pPr>
    </w:lvl>
    <w:lvl w:ilvl="2" w:tentative="0">
      <w:start w:val="1"/>
      <w:numFmt w:val="decimal"/>
      <w:lvlText w:val="%3)"/>
      <w:lvlJc w:val="lef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9">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0">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77303B58"/>
    <w:multiLevelType w:val="multilevel"/>
    <w:tmpl w:val="77303B58"/>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num w:numId="1">
    <w:abstractNumId w:val="1"/>
  </w:num>
  <w:num w:numId="2">
    <w:abstractNumId w:val="0"/>
  </w:num>
  <w:num w:numId="3">
    <w:abstractNumId w:val="12"/>
  </w:num>
  <w:num w:numId="4">
    <w:abstractNumId w:val="16"/>
  </w:num>
  <w:num w:numId="5">
    <w:abstractNumId w:val="9"/>
  </w:num>
  <w:num w:numId="6">
    <w:abstractNumId w:val="5"/>
  </w:num>
  <w:num w:numId="7">
    <w:abstractNumId w:val="21"/>
  </w:num>
  <w:num w:numId="8">
    <w:abstractNumId w:val="19"/>
  </w:num>
  <w:num w:numId="9">
    <w:abstractNumId w:val="17"/>
  </w:num>
  <w:num w:numId="10">
    <w:abstractNumId w:val="11"/>
  </w:num>
  <w:num w:numId="11">
    <w:abstractNumId w:val="20"/>
  </w:num>
  <w:num w:numId="12">
    <w:abstractNumId w:val="14"/>
  </w:num>
  <w:num w:numId="13">
    <w:abstractNumId w:val="15"/>
  </w:num>
  <w:num w:numId="14">
    <w:abstractNumId w:val="4"/>
  </w:num>
  <w:num w:numId="15">
    <w:abstractNumId w:val="10"/>
  </w:num>
  <w:num w:numId="16">
    <w:abstractNumId w:val="18"/>
  </w:num>
  <w:num w:numId="17">
    <w:abstractNumId w:val="6"/>
  </w:num>
  <w:num w:numId="18">
    <w:abstractNumId w:val="2"/>
  </w:num>
  <w:num w:numId="19">
    <w:abstractNumId w:val="7"/>
  </w:num>
  <w:num w:numId="20">
    <w:abstractNumId w:val="8"/>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ODgwMzk1NjZmYmUxNjk5ODIwZWIzODU0MTQ0OWMifQ=="/>
  </w:docVars>
  <w:rsids>
    <w:rsidRoot w:val="00172A27"/>
    <w:rsid w:val="00000884"/>
    <w:rsid w:val="000064FD"/>
    <w:rsid w:val="00014886"/>
    <w:rsid w:val="00021791"/>
    <w:rsid w:val="0002420B"/>
    <w:rsid w:val="00024B32"/>
    <w:rsid w:val="0002749B"/>
    <w:rsid w:val="00032E55"/>
    <w:rsid w:val="000360C5"/>
    <w:rsid w:val="00045687"/>
    <w:rsid w:val="000466B9"/>
    <w:rsid w:val="000545A6"/>
    <w:rsid w:val="00056D81"/>
    <w:rsid w:val="00060B63"/>
    <w:rsid w:val="00061794"/>
    <w:rsid w:val="000806BE"/>
    <w:rsid w:val="000877D3"/>
    <w:rsid w:val="00090700"/>
    <w:rsid w:val="000910B5"/>
    <w:rsid w:val="000A1B43"/>
    <w:rsid w:val="000A77EC"/>
    <w:rsid w:val="000B2ECE"/>
    <w:rsid w:val="000D24F2"/>
    <w:rsid w:val="000D44DC"/>
    <w:rsid w:val="000D7CC3"/>
    <w:rsid w:val="000E0668"/>
    <w:rsid w:val="000E5225"/>
    <w:rsid w:val="000F0F18"/>
    <w:rsid w:val="000F14CF"/>
    <w:rsid w:val="000F19F9"/>
    <w:rsid w:val="000F6008"/>
    <w:rsid w:val="00115BF3"/>
    <w:rsid w:val="00116E9F"/>
    <w:rsid w:val="00117E1C"/>
    <w:rsid w:val="00122931"/>
    <w:rsid w:val="0013271C"/>
    <w:rsid w:val="00132B46"/>
    <w:rsid w:val="001356FC"/>
    <w:rsid w:val="001449F1"/>
    <w:rsid w:val="00150148"/>
    <w:rsid w:val="00155AC7"/>
    <w:rsid w:val="00161B23"/>
    <w:rsid w:val="001647DE"/>
    <w:rsid w:val="001657F0"/>
    <w:rsid w:val="00170AE9"/>
    <w:rsid w:val="0017154F"/>
    <w:rsid w:val="00172691"/>
    <w:rsid w:val="00172A27"/>
    <w:rsid w:val="001736E5"/>
    <w:rsid w:val="00173BDC"/>
    <w:rsid w:val="001807A4"/>
    <w:rsid w:val="00183A91"/>
    <w:rsid w:val="00184A9E"/>
    <w:rsid w:val="00186EFC"/>
    <w:rsid w:val="0018791C"/>
    <w:rsid w:val="00190A97"/>
    <w:rsid w:val="001A478E"/>
    <w:rsid w:val="001A720A"/>
    <w:rsid w:val="001B28C3"/>
    <w:rsid w:val="001B352F"/>
    <w:rsid w:val="001B37EE"/>
    <w:rsid w:val="001B42FF"/>
    <w:rsid w:val="001C3BE4"/>
    <w:rsid w:val="001D345D"/>
    <w:rsid w:val="001E2C0B"/>
    <w:rsid w:val="001F59AF"/>
    <w:rsid w:val="001F64A2"/>
    <w:rsid w:val="001F6B92"/>
    <w:rsid w:val="00210701"/>
    <w:rsid w:val="002145D4"/>
    <w:rsid w:val="002164B3"/>
    <w:rsid w:val="0022741B"/>
    <w:rsid w:val="00230EA9"/>
    <w:rsid w:val="002314E3"/>
    <w:rsid w:val="002361D2"/>
    <w:rsid w:val="00240844"/>
    <w:rsid w:val="002475A0"/>
    <w:rsid w:val="00254724"/>
    <w:rsid w:val="00254AC3"/>
    <w:rsid w:val="00255879"/>
    <w:rsid w:val="00256710"/>
    <w:rsid w:val="00256B42"/>
    <w:rsid w:val="00261ED6"/>
    <w:rsid w:val="00262494"/>
    <w:rsid w:val="00263BCC"/>
    <w:rsid w:val="002647A9"/>
    <w:rsid w:val="00267FF2"/>
    <w:rsid w:val="0028131F"/>
    <w:rsid w:val="00285B68"/>
    <w:rsid w:val="00286A86"/>
    <w:rsid w:val="002921C8"/>
    <w:rsid w:val="00292C54"/>
    <w:rsid w:val="002953B8"/>
    <w:rsid w:val="002A0103"/>
    <w:rsid w:val="002B1649"/>
    <w:rsid w:val="002B5DE9"/>
    <w:rsid w:val="002C644D"/>
    <w:rsid w:val="002D3747"/>
    <w:rsid w:val="002D5449"/>
    <w:rsid w:val="002D5D5A"/>
    <w:rsid w:val="002D778A"/>
    <w:rsid w:val="002E1DE9"/>
    <w:rsid w:val="002E2BFC"/>
    <w:rsid w:val="002E367E"/>
    <w:rsid w:val="002E41DD"/>
    <w:rsid w:val="002E762F"/>
    <w:rsid w:val="002F0728"/>
    <w:rsid w:val="003026FB"/>
    <w:rsid w:val="0030500F"/>
    <w:rsid w:val="0030546E"/>
    <w:rsid w:val="003146EF"/>
    <w:rsid w:val="00315889"/>
    <w:rsid w:val="00321174"/>
    <w:rsid w:val="00324E94"/>
    <w:rsid w:val="0033158D"/>
    <w:rsid w:val="00335F69"/>
    <w:rsid w:val="00341DBA"/>
    <w:rsid w:val="0034523B"/>
    <w:rsid w:val="003477BC"/>
    <w:rsid w:val="0035229C"/>
    <w:rsid w:val="003530E1"/>
    <w:rsid w:val="00362543"/>
    <w:rsid w:val="003643BD"/>
    <w:rsid w:val="00364917"/>
    <w:rsid w:val="00370506"/>
    <w:rsid w:val="0037384E"/>
    <w:rsid w:val="00376E5D"/>
    <w:rsid w:val="00376F15"/>
    <w:rsid w:val="00385A09"/>
    <w:rsid w:val="00387CEA"/>
    <w:rsid w:val="003A1957"/>
    <w:rsid w:val="003A7586"/>
    <w:rsid w:val="003B011B"/>
    <w:rsid w:val="003B2E5F"/>
    <w:rsid w:val="003B3C2D"/>
    <w:rsid w:val="003B5B75"/>
    <w:rsid w:val="003C559E"/>
    <w:rsid w:val="003C6299"/>
    <w:rsid w:val="003D2717"/>
    <w:rsid w:val="003D42CA"/>
    <w:rsid w:val="003D7379"/>
    <w:rsid w:val="003D7E26"/>
    <w:rsid w:val="003E3951"/>
    <w:rsid w:val="003E4381"/>
    <w:rsid w:val="003E58A3"/>
    <w:rsid w:val="003E7706"/>
    <w:rsid w:val="003F4D90"/>
    <w:rsid w:val="00402CD3"/>
    <w:rsid w:val="00402EC9"/>
    <w:rsid w:val="00405E36"/>
    <w:rsid w:val="0040775F"/>
    <w:rsid w:val="00412FBA"/>
    <w:rsid w:val="004138F8"/>
    <w:rsid w:val="0041455B"/>
    <w:rsid w:val="00414DB9"/>
    <w:rsid w:val="0041555B"/>
    <w:rsid w:val="004241BD"/>
    <w:rsid w:val="0043042B"/>
    <w:rsid w:val="004359C5"/>
    <w:rsid w:val="00444ED8"/>
    <w:rsid w:val="00445963"/>
    <w:rsid w:val="00445AE8"/>
    <w:rsid w:val="0044650A"/>
    <w:rsid w:val="004467FF"/>
    <w:rsid w:val="004472AC"/>
    <w:rsid w:val="004525D2"/>
    <w:rsid w:val="004547CA"/>
    <w:rsid w:val="004553F2"/>
    <w:rsid w:val="00465147"/>
    <w:rsid w:val="00470B99"/>
    <w:rsid w:val="00473845"/>
    <w:rsid w:val="00475291"/>
    <w:rsid w:val="00481A8C"/>
    <w:rsid w:val="0048376F"/>
    <w:rsid w:val="00485494"/>
    <w:rsid w:val="004914C5"/>
    <w:rsid w:val="004A012A"/>
    <w:rsid w:val="004A0EB4"/>
    <w:rsid w:val="004A7870"/>
    <w:rsid w:val="004B1642"/>
    <w:rsid w:val="004B3C41"/>
    <w:rsid w:val="004B59D8"/>
    <w:rsid w:val="004C1AE3"/>
    <w:rsid w:val="004C41AC"/>
    <w:rsid w:val="004C5EAD"/>
    <w:rsid w:val="004D1631"/>
    <w:rsid w:val="004D53C3"/>
    <w:rsid w:val="004D6328"/>
    <w:rsid w:val="004D79AC"/>
    <w:rsid w:val="004E0CCF"/>
    <w:rsid w:val="004F0462"/>
    <w:rsid w:val="004F0B03"/>
    <w:rsid w:val="004F6577"/>
    <w:rsid w:val="00501DEC"/>
    <w:rsid w:val="005023D0"/>
    <w:rsid w:val="005032E0"/>
    <w:rsid w:val="00503B66"/>
    <w:rsid w:val="00503F84"/>
    <w:rsid w:val="00512853"/>
    <w:rsid w:val="0051758A"/>
    <w:rsid w:val="00527F7E"/>
    <w:rsid w:val="00530448"/>
    <w:rsid w:val="00532483"/>
    <w:rsid w:val="0053370E"/>
    <w:rsid w:val="005356D7"/>
    <w:rsid w:val="00540A78"/>
    <w:rsid w:val="005567FA"/>
    <w:rsid w:val="00557B4D"/>
    <w:rsid w:val="00557F7C"/>
    <w:rsid w:val="0056055B"/>
    <w:rsid w:val="00567F8D"/>
    <w:rsid w:val="00571DA4"/>
    <w:rsid w:val="0057225A"/>
    <w:rsid w:val="00572980"/>
    <w:rsid w:val="00574CFF"/>
    <w:rsid w:val="0058142C"/>
    <w:rsid w:val="005845A6"/>
    <w:rsid w:val="00584A9B"/>
    <w:rsid w:val="00585202"/>
    <w:rsid w:val="00587A18"/>
    <w:rsid w:val="00595777"/>
    <w:rsid w:val="00597881"/>
    <w:rsid w:val="005A073A"/>
    <w:rsid w:val="005A2EA4"/>
    <w:rsid w:val="005B011A"/>
    <w:rsid w:val="005D32F6"/>
    <w:rsid w:val="005D36A5"/>
    <w:rsid w:val="005D60C8"/>
    <w:rsid w:val="005D671C"/>
    <w:rsid w:val="005D6FC5"/>
    <w:rsid w:val="005E2EFD"/>
    <w:rsid w:val="005E44EB"/>
    <w:rsid w:val="005E74A5"/>
    <w:rsid w:val="005F0A6A"/>
    <w:rsid w:val="005F651A"/>
    <w:rsid w:val="005F766E"/>
    <w:rsid w:val="005F7C90"/>
    <w:rsid w:val="0060764E"/>
    <w:rsid w:val="0061430F"/>
    <w:rsid w:val="006154D3"/>
    <w:rsid w:val="00624FF4"/>
    <w:rsid w:val="006301AB"/>
    <w:rsid w:val="00633CED"/>
    <w:rsid w:val="00635D6B"/>
    <w:rsid w:val="00641DE7"/>
    <w:rsid w:val="00645F95"/>
    <w:rsid w:val="00646C38"/>
    <w:rsid w:val="0065208E"/>
    <w:rsid w:val="006528C5"/>
    <w:rsid w:val="00657773"/>
    <w:rsid w:val="00657A80"/>
    <w:rsid w:val="00661BFE"/>
    <w:rsid w:val="00663896"/>
    <w:rsid w:val="00663A13"/>
    <w:rsid w:val="00670196"/>
    <w:rsid w:val="0067205F"/>
    <w:rsid w:val="0068272A"/>
    <w:rsid w:val="006847C3"/>
    <w:rsid w:val="00693047"/>
    <w:rsid w:val="006A0E65"/>
    <w:rsid w:val="006A5F5A"/>
    <w:rsid w:val="006B577B"/>
    <w:rsid w:val="006B6AF5"/>
    <w:rsid w:val="006C27AD"/>
    <w:rsid w:val="006D0422"/>
    <w:rsid w:val="006D1382"/>
    <w:rsid w:val="006D1C14"/>
    <w:rsid w:val="006D232D"/>
    <w:rsid w:val="006D64D7"/>
    <w:rsid w:val="006E2FD9"/>
    <w:rsid w:val="006E577A"/>
    <w:rsid w:val="006E630A"/>
    <w:rsid w:val="006F07C3"/>
    <w:rsid w:val="006F3CBF"/>
    <w:rsid w:val="006F3E30"/>
    <w:rsid w:val="006F5A25"/>
    <w:rsid w:val="006F7B34"/>
    <w:rsid w:val="00706A0A"/>
    <w:rsid w:val="00706FF6"/>
    <w:rsid w:val="007137B9"/>
    <w:rsid w:val="00713928"/>
    <w:rsid w:val="00725E09"/>
    <w:rsid w:val="00727E8C"/>
    <w:rsid w:val="00730C20"/>
    <w:rsid w:val="00734699"/>
    <w:rsid w:val="00740F39"/>
    <w:rsid w:val="00744393"/>
    <w:rsid w:val="007444D9"/>
    <w:rsid w:val="00747FC1"/>
    <w:rsid w:val="00755DC7"/>
    <w:rsid w:val="0076061D"/>
    <w:rsid w:val="00761467"/>
    <w:rsid w:val="00762BF0"/>
    <w:rsid w:val="0076345B"/>
    <w:rsid w:val="0076507C"/>
    <w:rsid w:val="00774D25"/>
    <w:rsid w:val="00787114"/>
    <w:rsid w:val="00787A20"/>
    <w:rsid w:val="00792AB3"/>
    <w:rsid w:val="0079468E"/>
    <w:rsid w:val="00795054"/>
    <w:rsid w:val="007A405D"/>
    <w:rsid w:val="007A5DEA"/>
    <w:rsid w:val="007A6F33"/>
    <w:rsid w:val="007B60FE"/>
    <w:rsid w:val="007B7AF8"/>
    <w:rsid w:val="007C434F"/>
    <w:rsid w:val="007F08AB"/>
    <w:rsid w:val="007F1231"/>
    <w:rsid w:val="007F1258"/>
    <w:rsid w:val="007F26F7"/>
    <w:rsid w:val="007F5B21"/>
    <w:rsid w:val="0080140B"/>
    <w:rsid w:val="00801A79"/>
    <w:rsid w:val="00806CF8"/>
    <w:rsid w:val="008116C7"/>
    <w:rsid w:val="00815537"/>
    <w:rsid w:val="008175F7"/>
    <w:rsid w:val="008218D0"/>
    <w:rsid w:val="008222C2"/>
    <w:rsid w:val="00824A82"/>
    <w:rsid w:val="00826C5B"/>
    <w:rsid w:val="00837259"/>
    <w:rsid w:val="008445DA"/>
    <w:rsid w:val="00844B16"/>
    <w:rsid w:val="00845EAD"/>
    <w:rsid w:val="008464C4"/>
    <w:rsid w:val="00847D2D"/>
    <w:rsid w:val="008514F0"/>
    <w:rsid w:val="00851861"/>
    <w:rsid w:val="00853476"/>
    <w:rsid w:val="00853970"/>
    <w:rsid w:val="00855864"/>
    <w:rsid w:val="00861FC7"/>
    <w:rsid w:val="00864D82"/>
    <w:rsid w:val="00865D98"/>
    <w:rsid w:val="00870DD3"/>
    <w:rsid w:val="0087299B"/>
    <w:rsid w:val="0087315C"/>
    <w:rsid w:val="0088489A"/>
    <w:rsid w:val="008906D3"/>
    <w:rsid w:val="008A4F57"/>
    <w:rsid w:val="008A61E2"/>
    <w:rsid w:val="008A66B7"/>
    <w:rsid w:val="008A7D69"/>
    <w:rsid w:val="008B2CDA"/>
    <w:rsid w:val="008B7B9D"/>
    <w:rsid w:val="008D1218"/>
    <w:rsid w:val="008D3815"/>
    <w:rsid w:val="008E57B6"/>
    <w:rsid w:val="008F3617"/>
    <w:rsid w:val="00901867"/>
    <w:rsid w:val="00902040"/>
    <w:rsid w:val="00912594"/>
    <w:rsid w:val="00916661"/>
    <w:rsid w:val="009172F0"/>
    <w:rsid w:val="009202DF"/>
    <w:rsid w:val="00930644"/>
    <w:rsid w:val="009306D6"/>
    <w:rsid w:val="0094089B"/>
    <w:rsid w:val="00953299"/>
    <w:rsid w:val="00956770"/>
    <w:rsid w:val="009609A9"/>
    <w:rsid w:val="00965F51"/>
    <w:rsid w:val="0097094A"/>
    <w:rsid w:val="0098620D"/>
    <w:rsid w:val="009A124F"/>
    <w:rsid w:val="009B4589"/>
    <w:rsid w:val="009B7283"/>
    <w:rsid w:val="009C156F"/>
    <w:rsid w:val="009C23F4"/>
    <w:rsid w:val="009C390D"/>
    <w:rsid w:val="009C602B"/>
    <w:rsid w:val="009D01BE"/>
    <w:rsid w:val="009D04B9"/>
    <w:rsid w:val="009D349B"/>
    <w:rsid w:val="009D3B3A"/>
    <w:rsid w:val="009E2B37"/>
    <w:rsid w:val="009E7388"/>
    <w:rsid w:val="009F0F30"/>
    <w:rsid w:val="009F2521"/>
    <w:rsid w:val="009F633A"/>
    <w:rsid w:val="009F78D6"/>
    <w:rsid w:val="00A002C0"/>
    <w:rsid w:val="00A01E60"/>
    <w:rsid w:val="00A06D14"/>
    <w:rsid w:val="00A07089"/>
    <w:rsid w:val="00A07A53"/>
    <w:rsid w:val="00A113B5"/>
    <w:rsid w:val="00A12699"/>
    <w:rsid w:val="00A4308A"/>
    <w:rsid w:val="00A43B9C"/>
    <w:rsid w:val="00A47EBB"/>
    <w:rsid w:val="00A531B7"/>
    <w:rsid w:val="00A55A30"/>
    <w:rsid w:val="00A55C35"/>
    <w:rsid w:val="00A606B2"/>
    <w:rsid w:val="00A6253E"/>
    <w:rsid w:val="00A70EEC"/>
    <w:rsid w:val="00A75654"/>
    <w:rsid w:val="00A80B8C"/>
    <w:rsid w:val="00A840FB"/>
    <w:rsid w:val="00A84A37"/>
    <w:rsid w:val="00A84F16"/>
    <w:rsid w:val="00A86FCA"/>
    <w:rsid w:val="00A904C3"/>
    <w:rsid w:val="00A91328"/>
    <w:rsid w:val="00AA19B1"/>
    <w:rsid w:val="00AA36C9"/>
    <w:rsid w:val="00AB20C1"/>
    <w:rsid w:val="00AC4125"/>
    <w:rsid w:val="00AC519C"/>
    <w:rsid w:val="00AC5837"/>
    <w:rsid w:val="00AC627B"/>
    <w:rsid w:val="00AD27B8"/>
    <w:rsid w:val="00AD5C18"/>
    <w:rsid w:val="00AE5E31"/>
    <w:rsid w:val="00AF1C34"/>
    <w:rsid w:val="00AF66A3"/>
    <w:rsid w:val="00B1356E"/>
    <w:rsid w:val="00B25B25"/>
    <w:rsid w:val="00B368BA"/>
    <w:rsid w:val="00B40FD3"/>
    <w:rsid w:val="00B41CB9"/>
    <w:rsid w:val="00B454DE"/>
    <w:rsid w:val="00B46CCC"/>
    <w:rsid w:val="00B54455"/>
    <w:rsid w:val="00B5767D"/>
    <w:rsid w:val="00B6070D"/>
    <w:rsid w:val="00B61D54"/>
    <w:rsid w:val="00B661A9"/>
    <w:rsid w:val="00B66CF2"/>
    <w:rsid w:val="00B673AC"/>
    <w:rsid w:val="00B70947"/>
    <w:rsid w:val="00B71A20"/>
    <w:rsid w:val="00B735A7"/>
    <w:rsid w:val="00B7531E"/>
    <w:rsid w:val="00B9545A"/>
    <w:rsid w:val="00B95F53"/>
    <w:rsid w:val="00BA12A1"/>
    <w:rsid w:val="00BA2B41"/>
    <w:rsid w:val="00BA77A1"/>
    <w:rsid w:val="00BB20C4"/>
    <w:rsid w:val="00BB225B"/>
    <w:rsid w:val="00BC1DC7"/>
    <w:rsid w:val="00BC47BB"/>
    <w:rsid w:val="00BD5210"/>
    <w:rsid w:val="00BD5734"/>
    <w:rsid w:val="00BD6718"/>
    <w:rsid w:val="00BE191E"/>
    <w:rsid w:val="00BE50D2"/>
    <w:rsid w:val="00BE7B7B"/>
    <w:rsid w:val="00BF23A6"/>
    <w:rsid w:val="00BF3032"/>
    <w:rsid w:val="00C00AC9"/>
    <w:rsid w:val="00C015E0"/>
    <w:rsid w:val="00C034D2"/>
    <w:rsid w:val="00C1279D"/>
    <w:rsid w:val="00C16D85"/>
    <w:rsid w:val="00C16F94"/>
    <w:rsid w:val="00C230F1"/>
    <w:rsid w:val="00C24023"/>
    <w:rsid w:val="00C25007"/>
    <w:rsid w:val="00C25C7F"/>
    <w:rsid w:val="00C33517"/>
    <w:rsid w:val="00C404F6"/>
    <w:rsid w:val="00C4298C"/>
    <w:rsid w:val="00C56397"/>
    <w:rsid w:val="00C574A0"/>
    <w:rsid w:val="00C64A9A"/>
    <w:rsid w:val="00C650D2"/>
    <w:rsid w:val="00C73A13"/>
    <w:rsid w:val="00C76996"/>
    <w:rsid w:val="00C80C92"/>
    <w:rsid w:val="00C83714"/>
    <w:rsid w:val="00C96CCC"/>
    <w:rsid w:val="00CA01D6"/>
    <w:rsid w:val="00CA1752"/>
    <w:rsid w:val="00CA557C"/>
    <w:rsid w:val="00CB1791"/>
    <w:rsid w:val="00CB3D19"/>
    <w:rsid w:val="00CB7930"/>
    <w:rsid w:val="00CC6211"/>
    <w:rsid w:val="00CC6FA7"/>
    <w:rsid w:val="00CD18AA"/>
    <w:rsid w:val="00CD21DE"/>
    <w:rsid w:val="00CD3574"/>
    <w:rsid w:val="00CE1572"/>
    <w:rsid w:val="00CE5BE8"/>
    <w:rsid w:val="00CE798B"/>
    <w:rsid w:val="00CF22AE"/>
    <w:rsid w:val="00CF3913"/>
    <w:rsid w:val="00CF4339"/>
    <w:rsid w:val="00CF453B"/>
    <w:rsid w:val="00CF70C4"/>
    <w:rsid w:val="00CF73BE"/>
    <w:rsid w:val="00D02C54"/>
    <w:rsid w:val="00D06A07"/>
    <w:rsid w:val="00D076D6"/>
    <w:rsid w:val="00D10026"/>
    <w:rsid w:val="00D1284E"/>
    <w:rsid w:val="00D146BA"/>
    <w:rsid w:val="00D17D59"/>
    <w:rsid w:val="00D20508"/>
    <w:rsid w:val="00D21540"/>
    <w:rsid w:val="00D22CA2"/>
    <w:rsid w:val="00D24308"/>
    <w:rsid w:val="00D24418"/>
    <w:rsid w:val="00D249CD"/>
    <w:rsid w:val="00D25B63"/>
    <w:rsid w:val="00D269B1"/>
    <w:rsid w:val="00D27CA4"/>
    <w:rsid w:val="00D332EE"/>
    <w:rsid w:val="00D41F14"/>
    <w:rsid w:val="00D46EA1"/>
    <w:rsid w:val="00D50CA3"/>
    <w:rsid w:val="00D61A90"/>
    <w:rsid w:val="00D62E75"/>
    <w:rsid w:val="00D7120A"/>
    <w:rsid w:val="00D72A58"/>
    <w:rsid w:val="00D7355D"/>
    <w:rsid w:val="00D84359"/>
    <w:rsid w:val="00D91613"/>
    <w:rsid w:val="00D92AE3"/>
    <w:rsid w:val="00D932A5"/>
    <w:rsid w:val="00D94122"/>
    <w:rsid w:val="00DA075A"/>
    <w:rsid w:val="00DA172F"/>
    <w:rsid w:val="00DA2AC8"/>
    <w:rsid w:val="00DA3654"/>
    <w:rsid w:val="00DA6739"/>
    <w:rsid w:val="00DB13AE"/>
    <w:rsid w:val="00DC5D25"/>
    <w:rsid w:val="00DD0085"/>
    <w:rsid w:val="00DD4785"/>
    <w:rsid w:val="00DE0050"/>
    <w:rsid w:val="00DE186A"/>
    <w:rsid w:val="00DE34F5"/>
    <w:rsid w:val="00DE3C1C"/>
    <w:rsid w:val="00DE411B"/>
    <w:rsid w:val="00DF432E"/>
    <w:rsid w:val="00DF4DA7"/>
    <w:rsid w:val="00E051B1"/>
    <w:rsid w:val="00E056C2"/>
    <w:rsid w:val="00E07992"/>
    <w:rsid w:val="00E135BD"/>
    <w:rsid w:val="00E13BA0"/>
    <w:rsid w:val="00E161EE"/>
    <w:rsid w:val="00E20B60"/>
    <w:rsid w:val="00E26F83"/>
    <w:rsid w:val="00E30B8D"/>
    <w:rsid w:val="00E311BA"/>
    <w:rsid w:val="00E33153"/>
    <w:rsid w:val="00E40F13"/>
    <w:rsid w:val="00E40FC9"/>
    <w:rsid w:val="00E4541C"/>
    <w:rsid w:val="00E51BA1"/>
    <w:rsid w:val="00E64685"/>
    <w:rsid w:val="00E87CE8"/>
    <w:rsid w:val="00E96363"/>
    <w:rsid w:val="00EA03E7"/>
    <w:rsid w:val="00EB0E51"/>
    <w:rsid w:val="00EC3C29"/>
    <w:rsid w:val="00EC5B6A"/>
    <w:rsid w:val="00ED0A15"/>
    <w:rsid w:val="00EF0832"/>
    <w:rsid w:val="00EF34F8"/>
    <w:rsid w:val="00F01449"/>
    <w:rsid w:val="00F0246F"/>
    <w:rsid w:val="00F06583"/>
    <w:rsid w:val="00F13E4D"/>
    <w:rsid w:val="00F20729"/>
    <w:rsid w:val="00F2127B"/>
    <w:rsid w:val="00F22778"/>
    <w:rsid w:val="00F22E3C"/>
    <w:rsid w:val="00F349C5"/>
    <w:rsid w:val="00F356EC"/>
    <w:rsid w:val="00F37220"/>
    <w:rsid w:val="00F41CE7"/>
    <w:rsid w:val="00F4365D"/>
    <w:rsid w:val="00F439E4"/>
    <w:rsid w:val="00F53174"/>
    <w:rsid w:val="00F612A4"/>
    <w:rsid w:val="00F70A5E"/>
    <w:rsid w:val="00F72804"/>
    <w:rsid w:val="00F74DC8"/>
    <w:rsid w:val="00F77937"/>
    <w:rsid w:val="00F77D36"/>
    <w:rsid w:val="00F90AD8"/>
    <w:rsid w:val="00F90F19"/>
    <w:rsid w:val="00F9435F"/>
    <w:rsid w:val="00F9508E"/>
    <w:rsid w:val="00FA3592"/>
    <w:rsid w:val="00FA361C"/>
    <w:rsid w:val="00FA7B40"/>
    <w:rsid w:val="00FB284D"/>
    <w:rsid w:val="00FB2CE5"/>
    <w:rsid w:val="00FB5470"/>
    <w:rsid w:val="00FC1180"/>
    <w:rsid w:val="00FC2B0A"/>
    <w:rsid w:val="00FC43AF"/>
    <w:rsid w:val="00FC7EAA"/>
    <w:rsid w:val="00FD02E9"/>
    <w:rsid w:val="00FD13E9"/>
    <w:rsid w:val="00FD144A"/>
    <w:rsid w:val="00FD7A7D"/>
    <w:rsid w:val="00FE40FD"/>
    <w:rsid w:val="00FE6AA0"/>
    <w:rsid w:val="00FF556C"/>
    <w:rsid w:val="01406AD4"/>
    <w:rsid w:val="01553AB3"/>
    <w:rsid w:val="015E1842"/>
    <w:rsid w:val="017E498D"/>
    <w:rsid w:val="01A844AC"/>
    <w:rsid w:val="01C11962"/>
    <w:rsid w:val="01D54981"/>
    <w:rsid w:val="01DB2C70"/>
    <w:rsid w:val="02007F1A"/>
    <w:rsid w:val="02022B34"/>
    <w:rsid w:val="020C044F"/>
    <w:rsid w:val="02210625"/>
    <w:rsid w:val="025121D8"/>
    <w:rsid w:val="025B633C"/>
    <w:rsid w:val="0261662C"/>
    <w:rsid w:val="027B056A"/>
    <w:rsid w:val="02D30283"/>
    <w:rsid w:val="02D87371"/>
    <w:rsid w:val="02E42C47"/>
    <w:rsid w:val="02E66AE4"/>
    <w:rsid w:val="03535D6B"/>
    <w:rsid w:val="037930D8"/>
    <w:rsid w:val="03AA617A"/>
    <w:rsid w:val="03F418A9"/>
    <w:rsid w:val="044522B5"/>
    <w:rsid w:val="046A114E"/>
    <w:rsid w:val="04802386"/>
    <w:rsid w:val="04A54EA9"/>
    <w:rsid w:val="04B4386F"/>
    <w:rsid w:val="04C55C3E"/>
    <w:rsid w:val="04D10C4D"/>
    <w:rsid w:val="04E12295"/>
    <w:rsid w:val="05101A2C"/>
    <w:rsid w:val="051516FC"/>
    <w:rsid w:val="054A5E82"/>
    <w:rsid w:val="05914119"/>
    <w:rsid w:val="05984AD4"/>
    <w:rsid w:val="05991D0E"/>
    <w:rsid w:val="05DB3009"/>
    <w:rsid w:val="05E77556"/>
    <w:rsid w:val="06034FEC"/>
    <w:rsid w:val="061031A2"/>
    <w:rsid w:val="06310BF6"/>
    <w:rsid w:val="0660581C"/>
    <w:rsid w:val="06CB0B96"/>
    <w:rsid w:val="06E06C32"/>
    <w:rsid w:val="06FF0454"/>
    <w:rsid w:val="071E6137"/>
    <w:rsid w:val="07317797"/>
    <w:rsid w:val="073C1E0E"/>
    <w:rsid w:val="0750482F"/>
    <w:rsid w:val="075D3DD1"/>
    <w:rsid w:val="07630B0B"/>
    <w:rsid w:val="079E3C62"/>
    <w:rsid w:val="07D54E36"/>
    <w:rsid w:val="082868EF"/>
    <w:rsid w:val="0877325B"/>
    <w:rsid w:val="08A26338"/>
    <w:rsid w:val="08B90EB7"/>
    <w:rsid w:val="08C4413A"/>
    <w:rsid w:val="08D315E7"/>
    <w:rsid w:val="090C7DF6"/>
    <w:rsid w:val="09B72FD5"/>
    <w:rsid w:val="09CB7265"/>
    <w:rsid w:val="09D33D3E"/>
    <w:rsid w:val="09EE6CA0"/>
    <w:rsid w:val="0AE53C51"/>
    <w:rsid w:val="0AEC39F9"/>
    <w:rsid w:val="0B655759"/>
    <w:rsid w:val="0BD835EB"/>
    <w:rsid w:val="0BE94180"/>
    <w:rsid w:val="0BEF00E2"/>
    <w:rsid w:val="0C1564DE"/>
    <w:rsid w:val="0C4E0A35"/>
    <w:rsid w:val="0C9A42A2"/>
    <w:rsid w:val="0CB0685E"/>
    <w:rsid w:val="0CB67E34"/>
    <w:rsid w:val="0CBB1CC9"/>
    <w:rsid w:val="0CC44307"/>
    <w:rsid w:val="0CC63A71"/>
    <w:rsid w:val="0CD27D85"/>
    <w:rsid w:val="0D446E6A"/>
    <w:rsid w:val="0D492E9A"/>
    <w:rsid w:val="0D4B40E0"/>
    <w:rsid w:val="0D7A094F"/>
    <w:rsid w:val="0D832B66"/>
    <w:rsid w:val="0DD525C4"/>
    <w:rsid w:val="0DED02B5"/>
    <w:rsid w:val="0E0841F0"/>
    <w:rsid w:val="0E3620CB"/>
    <w:rsid w:val="0E8970F5"/>
    <w:rsid w:val="0EC41CD1"/>
    <w:rsid w:val="0EED14A4"/>
    <w:rsid w:val="0F5A07C3"/>
    <w:rsid w:val="0F614886"/>
    <w:rsid w:val="0F6621B7"/>
    <w:rsid w:val="0F8C4FD8"/>
    <w:rsid w:val="0F8E3E7A"/>
    <w:rsid w:val="0FBF7B30"/>
    <w:rsid w:val="0FC348F6"/>
    <w:rsid w:val="0FE4264A"/>
    <w:rsid w:val="100A32A9"/>
    <w:rsid w:val="10521945"/>
    <w:rsid w:val="10542ED5"/>
    <w:rsid w:val="109035CD"/>
    <w:rsid w:val="10F5107D"/>
    <w:rsid w:val="1103254A"/>
    <w:rsid w:val="11134E75"/>
    <w:rsid w:val="112A25B3"/>
    <w:rsid w:val="11904D9F"/>
    <w:rsid w:val="11942CAE"/>
    <w:rsid w:val="119B033F"/>
    <w:rsid w:val="11E13002"/>
    <w:rsid w:val="11F61F18"/>
    <w:rsid w:val="1216178E"/>
    <w:rsid w:val="12213FA8"/>
    <w:rsid w:val="126D4C03"/>
    <w:rsid w:val="12767FDF"/>
    <w:rsid w:val="129D2049"/>
    <w:rsid w:val="12FB03D7"/>
    <w:rsid w:val="12FE42CB"/>
    <w:rsid w:val="133079EA"/>
    <w:rsid w:val="13390624"/>
    <w:rsid w:val="1346562E"/>
    <w:rsid w:val="13531662"/>
    <w:rsid w:val="137D33C2"/>
    <w:rsid w:val="139B4BA1"/>
    <w:rsid w:val="13A749C1"/>
    <w:rsid w:val="13B60C45"/>
    <w:rsid w:val="140A36A5"/>
    <w:rsid w:val="143D62A9"/>
    <w:rsid w:val="14526CA0"/>
    <w:rsid w:val="14686DBC"/>
    <w:rsid w:val="148D59EC"/>
    <w:rsid w:val="14AB3737"/>
    <w:rsid w:val="14BA3182"/>
    <w:rsid w:val="14C202D4"/>
    <w:rsid w:val="150D5A54"/>
    <w:rsid w:val="153C0730"/>
    <w:rsid w:val="155C7FA9"/>
    <w:rsid w:val="15D65657"/>
    <w:rsid w:val="15EF09E0"/>
    <w:rsid w:val="16142F4A"/>
    <w:rsid w:val="163D3CF0"/>
    <w:rsid w:val="164F36DB"/>
    <w:rsid w:val="16CE4D95"/>
    <w:rsid w:val="16E17C6A"/>
    <w:rsid w:val="17182FAF"/>
    <w:rsid w:val="17193671"/>
    <w:rsid w:val="173B68A8"/>
    <w:rsid w:val="174760A0"/>
    <w:rsid w:val="176570EF"/>
    <w:rsid w:val="17A84812"/>
    <w:rsid w:val="17AE1491"/>
    <w:rsid w:val="17CC2250"/>
    <w:rsid w:val="17D6045E"/>
    <w:rsid w:val="18191C1A"/>
    <w:rsid w:val="182A4620"/>
    <w:rsid w:val="184B2871"/>
    <w:rsid w:val="185F6F6C"/>
    <w:rsid w:val="18674BEA"/>
    <w:rsid w:val="18B23B4B"/>
    <w:rsid w:val="195F0425"/>
    <w:rsid w:val="197679BA"/>
    <w:rsid w:val="19ED1E6D"/>
    <w:rsid w:val="1A6A2A42"/>
    <w:rsid w:val="1A775962"/>
    <w:rsid w:val="1A926303"/>
    <w:rsid w:val="1ABB7036"/>
    <w:rsid w:val="1B1D6DFB"/>
    <w:rsid w:val="1BED1B2F"/>
    <w:rsid w:val="1C5172BA"/>
    <w:rsid w:val="1C7D00AF"/>
    <w:rsid w:val="1C956C89"/>
    <w:rsid w:val="1C993C27"/>
    <w:rsid w:val="1CC464A6"/>
    <w:rsid w:val="1D0A3E6C"/>
    <w:rsid w:val="1D751AB3"/>
    <w:rsid w:val="1D77042D"/>
    <w:rsid w:val="1D7B2840"/>
    <w:rsid w:val="1D7D5C87"/>
    <w:rsid w:val="1DAB4BEA"/>
    <w:rsid w:val="1DAB5082"/>
    <w:rsid w:val="1DAE62D7"/>
    <w:rsid w:val="1E294B47"/>
    <w:rsid w:val="1E4E240A"/>
    <w:rsid w:val="1E6E4B92"/>
    <w:rsid w:val="1E7772C1"/>
    <w:rsid w:val="1E913133"/>
    <w:rsid w:val="1EA3032D"/>
    <w:rsid w:val="1FD830C9"/>
    <w:rsid w:val="20384A05"/>
    <w:rsid w:val="204D6FD1"/>
    <w:rsid w:val="204F6ABB"/>
    <w:rsid w:val="207B5116"/>
    <w:rsid w:val="20AC6D2D"/>
    <w:rsid w:val="20E23B37"/>
    <w:rsid w:val="210A194F"/>
    <w:rsid w:val="21496422"/>
    <w:rsid w:val="21692DBB"/>
    <w:rsid w:val="21D46375"/>
    <w:rsid w:val="221E13BA"/>
    <w:rsid w:val="22515B77"/>
    <w:rsid w:val="227C5CCD"/>
    <w:rsid w:val="22810AAC"/>
    <w:rsid w:val="22873ED4"/>
    <w:rsid w:val="22AA195E"/>
    <w:rsid w:val="22B2303C"/>
    <w:rsid w:val="22D42617"/>
    <w:rsid w:val="232325EC"/>
    <w:rsid w:val="23676734"/>
    <w:rsid w:val="23706DFA"/>
    <w:rsid w:val="23E46A88"/>
    <w:rsid w:val="23EA427B"/>
    <w:rsid w:val="24276FED"/>
    <w:rsid w:val="242D2FD9"/>
    <w:rsid w:val="243F0CC4"/>
    <w:rsid w:val="246E52F4"/>
    <w:rsid w:val="248B0B65"/>
    <w:rsid w:val="2495308C"/>
    <w:rsid w:val="24AA4B04"/>
    <w:rsid w:val="24B3203C"/>
    <w:rsid w:val="24BE0DAC"/>
    <w:rsid w:val="24FE3ADA"/>
    <w:rsid w:val="252E0F74"/>
    <w:rsid w:val="252E2C1E"/>
    <w:rsid w:val="254C3461"/>
    <w:rsid w:val="255A71E1"/>
    <w:rsid w:val="256F2F49"/>
    <w:rsid w:val="25A736E1"/>
    <w:rsid w:val="25C21801"/>
    <w:rsid w:val="25C935E9"/>
    <w:rsid w:val="262D7099"/>
    <w:rsid w:val="263F58E3"/>
    <w:rsid w:val="26436AD7"/>
    <w:rsid w:val="26753D83"/>
    <w:rsid w:val="269C5203"/>
    <w:rsid w:val="26B24E55"/>
    <w:rsid w:val="26BA09DA"/>
    <w:rsid w:val="26BF31BB"/>
    <w:rsid w:val="26EA350C"/>
    <w:rsid w:val="27412D27"/>
    <w:rsid w:val="2784418D"/>
    <w:rsid w:val="27B01859"/>
    <w:rsid w:val="28021C96"/>
    <w:rsid w:val="282347C1"/>
    <w:rsid w:val="2829083D"/>
    <w:rsid w:val="285615C0"/>
    <w:rsid w:val="286B6A3F"/>
    <w:rsid w:val="28C96D9A"/>
    <w:rsid w:val="29256442"/>
    <w:rsid w:val="29346D40"/>
    <w:rsid w:val="29390226"/>
    <w:rsid w:val="2949223A"/>
    <w:rsid w:val="29506AFF"/>
    <w:rsid w:val="297206A8"/>
    <w:rsid w:val="29AE7BDB"/>
    <w:rsid w:val="2A7E1AFD"/>
    <w:rsid w:val="2A8E2B9D"/>
    <w:rsid w:val="2A9330C3"/>
    <w:rsid w:val="2AEF5716"/>
    <w:rsid w:val="2B172FD6"/>
    <w:rsid w:val="2B827067"/>
    <w:rsid w:val="2BC82960"/>
    <w:rsid w:val="2BEE432F"/>
    <w:rsid w:val="2BF71624"/>
    <w:rsid w:val="2BFD0B28"/>
    <w:rsid w:val="2C00277A"/>
    <w:rsid w:val="2C0D6055"/>
    <w:rsid w:val="2C6601AF"/>
    <w:rsid w:val="2CA40008"/>
    <w:rsid w:val="2CB86D8A"/>
    <w:rsid w:val="2CDC7634"/>
    <w:rsid w:val="2D1C200F"/>
    <w:rsid w:val="2D385F14"/>
    <w:rsid w:val="2D816A6E"/>
    <w:rsid w:val="2DA43E81"/>
    <w:rsid w:val="2DB2389D"/>
    <w:rsid w:val="2E7858E0"/>
    <w:rsid w:val="2E861E37"/>
    <w:rsid w:val="2EC9229A"/>
    <w:rsid w:val="2ECA572A"/>
    <w:rsid w:val="2ECC5BDE"/>
    <w:rsid w:val="2ECD0DFE"/>
    <w:rsid w:val="2F0E2D5B"/>
    <w:rsid w:val="2F287757"/>
    <w:rsid w:val="2F835584"/>
    <w:rsid w:val="30523374"/>
    <w:rsid w:val="30775A6B"/>
    <w:rsid w:val="307B5451"/>
    <w:rsid w:val="30A67F07"/>
    <w:rsid w:val="30D0123C"/>
    <w:rsid w:val="30DA77E5"/>
    <w:rsid w:val="30E1401A"/>
    <w:rsid w:val="30EF34DA"/>
    <w:rsid w:val="310D3A9D"/>
    <w:rsid w:val="31347C3B"/>
    <w:rsid w:val="318F2878"/>
    <w:rsid w:val="31EC54B1"/>
    <w:rsid w:val="32117A21"/>
    <w:rsid w:val="32345BE4"/>
    <w:rsid w:val="32400B72"/>
    <w:rsid w:val="3250479F"/>
    <w:rsid w:val="327C4C46"/>
    <w:rsid w:val="32852070"/>
    <w:rsid w:val="32B31C95"/>
    <w:rsid w:val="33B2188D"/>
    <w:rsid w:val="33CF0220"/>
    <w:rsid w:val="33D53A3F"/>
    <w:rsid w:val="3499540B"/>
    <w:rsid w:val="34A02DE7"/>
    <w:rsid w:val="34B33629"/>
    <w:rsid w:val="34DB61A9"/>
    <w:rsid w:val="34F540A1"/>
    <w:rsid w:val="352B6AFF"/>
    <w:rsid w:val="355C5894"/>
    <w:rsid w:val="356137EB"/>
    <w:rsid w:val="35870BE8"/>
    <w:rsid w:val="35A2506B"/>
    <w:rsid w:val="35AA236B"/>
    <w:rsid w:val="35B93612"/>
    <w:rsid w:val="35D71179"/>
    <w:rsid w:val="35DE3540"/>
    <w:rsid w:val="360A4CDA"/>
    <w:rsid w:val="360B0512"/>
    <w:rsid w:val="36391900"/>
    <w:rsid w:val="36481B97"/>
    <w:rsid w:val="365C7002"/>
    <w:rsid w:val="369F695F"/>
    <w:rsid w:val="36E57DBE"/>
    <w:rsid w:val="36F4148B"/>
    <w:rsid w:val="36F61237"/>
    <w:rsid w:val="37097F0D"/>
    <w:rsid w:val="370A0339"/>
    <w:rsid w:val="370A236E"/>
    <w:rsid w:val="371B0FE8"/>
    <w:rsid w:val="37825187"/>
    <w:rsid w:val="37861E0D"/>
    <w:rsid w:val="37E42B4E"/>
    <w:rsid w:val="380A06C3"/>
    <w:rsid w:val="383E746D"/>
    <w:rsid w:val="384C71FE"/>
    <w:rsid w:val="389C5B17"/>
    <w:rsid w:val="39056F29"/>
    <w:rsid w:val="390600CC"/>
    <w:rsid w:val="39125869"/>
    <w:rsid w:val="39513B82"/>
    <w:rsid w:val="39A1053E"/>
    <w:rsid w:val="39CF76B6"/>
    <w:rsid w:val="39DE024E"/>
    <w:rsid w:val="3ABB2C9B"/>
    <w:rsid w:val="3AFE1FE4"/>
    <w:rsid w:val="3B52265C"/>
    <w:rsid w:val="3B9711C2"/>
    <w:rsid w:val="3BC901B9"/>
    <w:rsid w:val="3C252E1A"/>
    <w:rsid w:val="3C4A619D"/>
    <w:rsid w:val="3CA80FD7"/>
    <w:rsid w:val="3CAF21B5"/>
    <w:rsid w:val="3CE16532"/>
    <w:rsid w:val="3D4462AD"/>
    <w:rsid w:val="3D5458EA"/>
    <w:rsid w:val="3D553CDF"/>
    <w:rsid w:val="3D9A2D6D"/>
    <w:rsid w:val="3DC97ABD"/>
    <w:rsid w:val="3DE07133"/>
    <w:rsid w:val="3E0067E0"/>
    <w:rsid w:val="3E234B53"/>
    <w:rsid w:val="3E3254E5"/>
    <w:rsid w:val="3E911D77"/>
    <w:rsid w:val="3EDF5244"/>
    <w:rsid w:val="3F0C25E6"/>
    <w:rsid w:val="3F413DC4"/>
    <w:rsid w:val="3F5756D8"/>
    <w:rsid w:val="3F76595D"/>
    <w:rsid w:val="3FD15FB3"/>
    <w:rsid w:val="3FF35387"/>
    <w:rsid w:val="400E1DBC"/>
    <w:rsid w:val="40724DEB"/>
    <w:rsid w:val="40754ED7"/>
    <w:rsid w:val="408952E9"/>
    <w:rsid w:val="408E714D"/>
    <w:rsid w:val="40A6333C"/>
    <w:rsid w:val="40BF2F13"/>
    <w:rsid w:val="414E378C"/>
    <w:rsid w:val="41636DBB"/>
    <w:rsid w:val="41710552"/>
    <w:rsid w:val="41901A52"/>
    <w:rsid w:val="419B3FAC"/>
    <w:rsid w:val="41CF2B4D"/>
    <w:rsid w:val="42266802"/>
    <w:rsid w:val="427822F8"/>
    <w:rsid w:val="428D19EA"/>
    <w:rsid w:val="431C3C2D"/>
    <w:rsid w:val="434002AA"/>
    <w:rsid w:val="43707FA6"/>
    <w:rsid w:val="4374652E"/>
    <w:rsid w:val="43EB78AE"/>
    <w:rsid w:val="43EC5387"/>
    <w:rsid w:val="43FE5B4C"/>
    <w:rsid w:val="43FE6444"/>
    <w:rsid w:val="44001296"/>
    <w:rsid w:val="4434181A"/>
    <w:rsid w:val="44442D36"/>
    <w:rsid w:val="4458089F"/>
    <w:rsid w:val="44845D06"/>
    <w:rsid w:val="448839E2"/>
    <w:rsid w:val="453801BB"/>
    <w:rsid w:val="455C12FA"/>
    <w:rsid w:val="456113D5"/>
    <w:rsid w:val="45AC7537"/>
    <w:rsid w:val="45D067C7"/>
    <w:rsid w:val="45F3312A"/>
    <w:rsid w:val="46592B17"/>
    <w:rsid w:val="46654D47"/>
    <w:rsid w:val="468C5B8C"/>
    <w:rsid w:val="468E5594"/>
    <w:rsid w:val="46911BAA"/>
    <w:rsid w:val="46CA599C"/>
    <w:rsid w:val="46D26302"/>
    <w:rsid w:val="46D77DC5"/>
    <w:rsid w:val="46F30651"/>
    <w:rsid w:val="46F36414"/>
    <w:rsid w:val="471168D1"/>
    <w:rsid w:val="47417E82"/>
    <w:rsid w:val="4773177B"/>
    <w:rsid w:val="4777455B"/>
    <w:rsid w:val="4783160B"/>
    <w:rsid w:val="47977E9A"/>
    <w:rsid w:val="47D33671"/>
    <w:rsid w:val="47E84FBF"/>
    <w:rsid w:val="47E94F28"/>
    <w:rsid w:val="48042368"/>
    <w:rsid w:val="480C0B2A"/>
    <w:rsid w:val="485F5610"/>
    <w:rsid w:val="486A730C"/>
    <w:rsid w:val="48B001DF"/>
    <w:rsid w:val="48C51BBF"/>
    <w:rsid w:val="48CF4605"/>
    <w:rsid w:val="48FD1AAC"/>
    <w:rsid w:val="49296625"/>
    <w:rsid w:val="494973B9"/>
    <w:rsid w:val="494A184C"/>
    <w:rsid w:val="49BA61E0"/>
    <w:rsid w:val="49EA4939"/>
    <w:rsid w:val="49EE00F2"/>
    <w:rsid w:val="49F836FA"/>
    <w:rsid w:val="4A236F35"/>
    <w:rsid w:val="4A384AB1"/>
    <w:rsid w:val="4A4B0BDD"/>
    <w:rsid w:val="4A5D78A0"/>
    <w:rsid w:val="4A8B5EA6"/>
    <w:rsid w:val="4A922C20"/>
    <w:rsid w:val="4AD819EF"/>
    <w:rsid w:val="4AE75153"/>
    <w:rsid w:val="4B081E7E"/>
    <w:rsid w:val="4B4B553C"/>
    <w:rsid w:val="4B6B33C6"/>
    <w:rsid w:val="4BD542B2"/>
    <w:rsid w:val="4BE82694"/>
    <w:rsid w:val="4BF36495"/>
    <w:rsid w:val="4BFA5AE7"/>
    <w:rsid w:val="4C30090B"/>
    <w:rsid w:val="4C9A6388"/>
    <w:rsid w:val="4CA314AB"/>
    <w:rsid w:val="4CB97229"/>
    <w:rsid w:val="4CBF400C"/>
    <w:rsid w:val="4D0635FB"/>
    <w:rsid w:val="4D4D5796"/>
    <w:rsid w:val="4D4F7D5E"/>
    <w:rsid w:val="4D5E0CAC"/>
    <w:rsid w:val="4D656B87"/>
    <w:rsid w:val="4D6C2D05"/>
    <w:rsid w:val="4D753CB7"/>
    <w:rsid w:val="4DA231F0"/>
    <w:rsid w:val="4DDD094A"/>
    <w:rsid w:val="4E235986"/>
    <w:rsid w:val="4E2A6EFD"/>
    <w:rsid w:val="4E6D2BB6"/>
    <w:rsid w:val="4EAF79B8"/>
    <w:rsid w:val="4EC66A03"/>
    <w:rsid w:val="4ED1389E"/>
    <w:rsid w:val="4EEE1E2A"/>
    <w:rsid w:val="4F1A51FC"/>
    <w:rsid w:val="4F336D74"/>
    <w:rsid w:val="4F745C45"/>
    <w:rsid w:val="4FC53F0C"/>
    <w:rsid w:val="4FCB0696"/>
    <w:rsid w:val="4FE355E6"/>
    <w:rsid w:val="4FF21938"/>
    <w:rsid w:val="5011414B"/>
    <w:rsid w:val="507D1D25"/>
    <w:rsid w:val="508C61A1"/>
    <w:rsid w:val="50BE4FFC"/>
    <w:rsid w:val="5117278C"/>
    <w:rsid w:val="513B5C76"/>
    <w:rsid w:val="51694599"/>
    <w:rsid w:val="52096481"/>
    <w:rsid w:val="521E0CAE"/>
    <w:rsid w:val="52654C76"/>
    <w:rsid w:val="52A6300A"/>
    <w:rsid w:val="52FE12EF"/>
    <w:rsid w:val="53847231"/>
    <w:rsid w:val="5394276A"/>
    <w:rsid w:val="53A37386"/>
    <w:rsid w:val="53E168E4"/>
    <w:rsid w:val="54043D65"/>
    <w:rsid w:val="544F1D93"/>
    <w:rsid w:val="54786441"/>
    <w:rsid w:val="54A37382"/>
    <w:rsid w:val="54A67B02"/>
    <w:rsid w:val="54AE54C7"/>
    <w:rsid w:val="54BB3E9C"/>
    <w:rsid w:val="54BD10F9"/>
    <w:rsid w:val="54C3527C"/>
    <w:rsid w:val="55BD052C"/>
    <w:rsid w:val="55EC026D"/>
    <w:rsid w:val="56872A22"/>
    <w:rsid w:val="5690485E"/>
    <w:rsid w:val="56C066C6"/>
    <w:rsid w:val="56ED2CCE"/>
    <w:rsid w:val="57014CA6"/>
    <w:rsid w:val="579748CE"/>
    <w:rsid w:val="57A34451"/>
    <w:rsid w:val="57C11CAC"/>
    <w:rsid w:val="57CE1BAB"/>
    <w:rsid w:val="57D26D20"/>
    <w:rsid w:val="58305AE4"/>
    <w:rsid w:val="586C2416"/>
    <w:rsid w:val="588D5227"/>
    <w:rsid w:val="58A904F4"/>
    <w:rsid w:val="58C61E79"/>
    <w:rsid w:val="58FA3F25"/>
    <w:rsid w:val="595D1A38"/>
    <w:rsid w:val="596F40E4"/>
    <w:rsid w:val="5988361B"/>
    <w:rsid w:val="59C36EE0"/>
    <w:rsid w:val="59CF042F"/>
    <w:rsid w:val="59EF4AFA"/>
    <w:rsid w:val="5A3431DE"/>
    <w:rsid w:val="5A3F302F"/>
    <w:rsid w:val="5A9063D9"/>
    <w:rsid w:val="5AAB5107"/>
    <w:rsid w:val="5AC16B3B"/>
    <w:rsid w:val="5AFD2297"/>
    <w:rsid w:val="5B104E24"/>
    <w:rsid w:val="5B591ACF"/>
    <w:rsid w:val="5B730CA8"/>
    <w:rsid w:val="5B7761B0"/>
    <w:rsid w:val="5B7D6BBC"/>
    <w:rsid w:val="5B9A7B7E"/>
    <w:rsid w:val="5BCA283A"/>
    <w:rsid w:val="5BF3322A"/>
    <w:rsid w:val="5BF75AF9"/>
    <w:rsid w:val="5C1A0834"/>
    <w:rsid w:val="5C4C4804"/>
    <w:rsid w:val="5C65291D"/>
    <w:rsid w:val="5C942044"/>
    <w:rsid w:val="5CBB7893"/>
    <w:rsid w:val="5CBF07AB"/>
    <w:rsid w:val="5CCE2A56"/>
    <w:rsid w:val="5D1168F7"/>
    <w:rsid w:val="5D176D43"/>
    <w:rsid w:val="5D2548E6"/>
    <w:rsid w:val="5D452F43"/>
    <w:rsid w:val="5D532CC7"/>
    <w:rsid w:val="5D8F3CC2"/>
    <w:rsid w:val="5D97175F"/>
    <w:rsid w:val="5DB13A08"/>
    <w:rsid w:val="5DC002AB"/>
    <w:rsid w:val="5E051FA2"/>
    <w:rsid w:val="5E691D50"/>
    <w:rsid w:val="5EC87B6E"/>
    <w:rsid w:val="5EFB3029"/>
    <w:rsid w:val="5F2160F0"/>
    <w:rsid w:val="5F3C5A9F"/>
    <w:rsid w:val="5F3C6DA4"/>
    <w:rsid w:val="5F43024C"/>
    <w:rsid w:val="5F790C56"/>
    <w:rsid w:val="5FB03A40"/>
    <w:rsid w:val="5FF453E9"/>
    <w:rsid w:val="602F54B4"/>
    <w:rsid w:val="60514C1B"/>
    <w:rsid w:val="60817B6A"/>
    <w:rsid w:val="608F7716"/>
    <w:rsid w:val="60A96B43"/>
    <w:rsid w:val="60C26423"/>
    <w:rsid w:val="60DA0877"/>
    <w:rsid w:val="60EC6DF3"/>
    <w:rsid w:val="60EF5890"/>
    <w:rsid w:val="60F80D37"/>
    <w:rsid w:val="60FE78E0"/>
    <w:rsid w:val="61151372"/>
    <w:rsid w:val="611C493C"/>
    <w:rsid w:val="617E52E2"/>
    <w:rsid w:val="61B800DA"/>
    <w:rsid w:val="61B85164"/>
    <w:rsid w:val="62291BAC"/>
    <w:rsid w:val="62293E6D"/>
    <w:rsid w:val="628A0248"/>
    <w:rsid w:val="62993A7C"/>
    <w:rsid w:val="62BA5F1C"/>
    <w:rsid w:val="62C76F4D"/>
    <w:rsid w:val="62D95522"/>
    <w:rsid w:val="62FD36ED"/>
    <w:rsid w:val="631C2899"/>
    <w:rsid w:val="63276B7D"/>
    <w:rsid w:val="63585C6B"/>
    <w:rsid w:val="637555FC"/>
    <w:rsid w:val="63837DF9"/>
    <w:rsid w:val="63CE4462"/>
    <w:rsid w:val="63F77BCE"/>
    <w:rsid w:val="640B62BF"/>
    <w:rsid w:val="641064CD"/>
    <w:rsid w:val="645417EB"/>
    <w:rsid w:val="64AB5CF7"/>
    <w:rsid w:val="64FE169B"/>
    <w:rsid w:val="64FE4A1C"/>
    <w:rsid w:val="65160B9B"/>
    <w:rsid w:val="65165661"/>
    <w:rsid w:val="65355F22"/>
    <w:rsid w:val="654904A1"/>
    <w:rsid w:val="655637FF"/>
    <w:rsid w:val="65661426"/>
    <w:rsid w:val="65A93961"/>
    <w:rsid w:val="65AD4609"/>
    <w:rsid w:val="65B42C46"/>
    <w:rsid w:val="65D4204B"/>
    <w:rsid w:val="65F31C6A"/>
    <w:rsid w:val="666A6D8A"/>
    <w:rsid w:val="666E4E7C"/>
    <w:rsid w:val="66B27310"/>
    <w:rsid w:val="66DD304F"/>
    <w:rsid w:val="66E97FF0"/>
    <w:rsid w:val="675C10A8"/>
    <w:rsid w:val="67600F2D"/>
    <w:rsid w:val="676A4B59"/>
    <w:rsid w:val="67932537"/>
    <w:rsid w:val="67DF0A57"/>
    <w:rsid w:val="68186BC2"/>
    <w:rsid w:val="68411900"/>
    <w:rsid w:val="68C161FA"/>
    <w:rsid w:val="68CE54C2"/>
    <w:rsid w:val="68F46440"/>
    <w:rsid w:val="68F94709"/>
    <w:rsid w:val="69274557"/>
    <w:rsid w:val="69A81316"/>
    <w:rsid w:val="69A9413F"/>
    <w:rsid w:val="6A2C6513"/>
    <w:rsid w:val="6A682879"/>
    <w:rsid w:val="6A696279"/>
    <w:rsid w:val="6A8955C1"/>
    <w:rsid w:val="6AA329B7"/>
    <w:rsid w:val="6AB94177"/>
    <w:rsid w:val="6AB944C6"/>
    <w:rsid w:val="6AF440F9"/>
    <w:rsid w:val="6BA35B72"/>
    <w:rsid w:val="6BCB694A"/>
    <w:rsid w:val="6C083424"/>
    <w:rsid w:val="6C1A634D"/>
    <w:rsid w:val="6C353067"/>
    <w:rsid w:val="6C532C0C"/>
    <w:rsid w:val="6C7C0681"/>
    <w:rsid w:val="6C9E4FC7"/>
    <w:rsid w:val="6D2B74B3"/>
    <w:rsid w:val="6D605D29"/>
    <w:rsid w:val="6D6A7118"/>
    <w:rsid w:val="6D9B381A"/>
    <w:rsid w:val="6DEB438C"/>
    <w:rsid w:val="6E343FC5"/>
    <w:rsid w:val="6E761835"/>
    <w:rsid w:val="6E7F019A"/>
    <w:rsid w:val="6E8505CD"/>
    <w:rsid w:val="6EAC6522"/>
    <w:rsid w:val="6EC33E9E"/>
    <w:rsid w:val="6EE45779"/>
    <w:rsid w:val="6EEC0419"/>
    <w:rsid w:val="6F32193D"/>
    <w:rsid w:val="6F5F366D"/>
    <w:rsid w:val="6F995746"/>
    <w:rsid w:val="6FB414F9"/>
    <w:rsid w:val="6FD1536B"/>
    <w:rsid w:val="701A451E"/>
    <w:rsid w:val="7020137A"/>
    <w:rsid w:val="702E7DC4"/>
    <w:rsid w:val="7034042A"/>
    <w:rsid w:val="708631CA"/>
    <w:rsid w:val="709E730E"/>
    <w:rsid w:val="70A46C07"/>
    <w:rsid w:val="70DB5380"/>
    <w:rsid w:val="71484198"/>
    <w:rsid w:val="71484277"/>
    <w:rsid w:val="71624570"/>
    <w:rsid w:val="716B0910"/>
    <w:rsid w:val="717763E0"/>
    <w:rsid w:val="719F67A9"/>
    <w:rsid w:val="71A039CA"/>
    <w:rsid w:val="71BD1DE3"/>
    <w:rsid w:val="72276DCD"/>
    <w:rsid w:val="72720DA8"/>
    <w:rsid w:val="728237ED"/>
    <w:rsid w:val="729F3474"/>
    <w:rsid w:val="72D23346"/>
    <w:rsid w:val="73557961"/>
    <w:rsid w:val="73CE5112"/>
    <w:rsid w:val="74104FD4"/>
    <w:rsid w:val="745D7C5D"/>
    <w:rsid w:val="749D5EB7"/>
    <w:rsid w:val="74CD3649"/>
    <w:rsid w:val="74EC1C42"/>
    <w:rsid w:val="751A48A4"/>
    <w:rsid w:val="752D2605"/>
    <w:rsid w:val="75762C1E"/>
    <w:rsid w:val="75BA3133"/>
    <w:rsid w:val="75FB5D48"/>
    <w:rsid w:val="76037B74"/>
    <w:rsid w:val="761D13E4"/>
    <w:rsid w:val="76262730"/>
    <w:rsid w:val="76C45FAC"/>
    <w:rsid w:val="76FB735C"/>
    <w:rsid w:val="777F2FFA"/>
    <w:rsid w:val="77F036B1"/>
    <w:rsid w:val="781F71ED"/>
    <w:rsid w:val="78390B8A"/>
    <w:rsid w:val="78587613"/>
    <w:rsid w:val="78650DEF"/>
    <w:rsid w:val="78662368"/>
    <w:rsid w:val="787B6F48"/>
    <w:rsid w:val="788D09B3"/>
    <w:rsid w:val="788E737B"/>
    <w:rsid w:val="78C92AC7"/>
    <w:rsid w:val="78D5056E"/>
    <w:rsid w:val="78D55489"/>
    <w:rsid w:val="78D93E53"/>
    <w:rsid w:val="797826E7"/>
    <w:rsid w:val="79D305F5"/>
    <w:rsid w:val="7A152AE9"/>
    <w:rsid w:val="7A2F1F91"/>
    <w:rsid w:val="7A3331F8"/>
    <w:rsid w:val="7A415AC9"/>
    <w:rsid w:val="7AB325F4"/>
    <w:rsid w:val="7AF156D3"/>
    <w:rsid w:val="7B23748E"/>
    <w:rsid w:val="7B270DD1"/>
    <w:rsid w:val="7B793006"/>
    <w:rsid w:val="7BA12669"/>
    <w:rsid w:val="7BBB053C"/>
    <w:rsid w:val="7BD35234"/>
    <w:rsid w:val="7C1D42AA"/>
    <w:rsid w:val="7C4161AE"/>
    <w:rsid w:val="7CB3257E"/>
    <w:rsid w:val="7CCD0AEB"/>
    <w:rsid w:val="7CDF7B05"/>
    <w:rsid w:val="7D054D74"/>
    <w:rsid w:val="7D0A054E"/>
    <w:rsid w:val="7D4A641F"/>
    <w:rsid w:val="7D907F10"/>
    <w:rsid w:val="7D994AF3"/>
    <w:rsid w:val="7DB6029F"/>
    <w:rsid w:val="7DBA02A2"/>
    <w:rsid w:val="7DE57991"/>
    <w:rsid w:val="7DE87E65"/>
    <w:rsid w:val="7DF72A58"/>
    <w:rsid w:val="7E2A21C6"/>
    <w:rsid w:val="7E2D2649"/>
    <w:rsid w:val="7E3E05B1"/>
    <w:rsid w:val="7EE96562"/>
    <w:rsid w:val="7F0432B3"/>
    <w:rsid w:val="7F113592"/>
    <w:rsid w:val="7F2E1E88"/>
    <w:rsid w:val="7F4339B5"/>
    <w:rsid w:val="7F55681A"/>
    <w:rsid w:val="7F8E2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nhideWhenUsed="0" w:uiPriority="0" w:semiHidden="0"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2"/>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4">
    <w:name w:val="heading 2"/>
    <w:basedOn w:val="1"/>
    <w:next w:val="1"/>
    <w:link w:val="127"/>
    <w:qFormat/>
    <w:uiPriority w:val="0"/>
    <w:pPr>
      <w:keepNext/>
      <w:keepLines/>
      <w:tabs>
        <w:tab w:val="left" w:pos="1440"/>
      </w:tabs>
      <w:spacing w:before="260" w:after="260" w:line="413" w:lineRule="auto"/>
      <w:outlineLvl w:val="1"/>
    </w:pPr>
    <w:rPr>
      <w:rFonts w:ascii="Arial" w:hAnsi="Arial" w:eastAsia="黑体"/>
      <w:sz w:val="32"/>
      <w:szCs w:val="32"/>
    </w:rPr>
  </w:style>
  <w:style w:type="paragraph" w:styleId="5">
    <w:name w:val="heading 3"/>
    <w:basedOn w:val="1"/>
    <w:next w:val="1"/>
    <w:link w:val="191"/>
    <w:qFormat/>
    <w:uiPriority w:val="0"/>
    <w:pPr>
      <w:keepNext/>
      <w:keepLines/>
      <w:spacing w:before="260" w:after="260" w:line="416" w:lineRule="auto"/>
      <w:outlineLvl w:val="2"/>
    </w:pPr>
    <w:rPr>
      <w:b/>
      <w:bCs/>
      <w:sz w:val="32"/>
      <w:szCs w:val="32"/>
    </w:rPr>
  </w:style>
  <w:style w:type="paragraph" w:styleId="6">
    <w:name w:val="heading 4"/>
    <w:basedOn w:val="1"/>
    <w:next w:val="1"/>
    <w:link w:val="117"/>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47"/>
    <w:qFormat/>
    <w:uiPriority w:val="0"/>
    <w:pPr>
      <w:keepNext/>
      <w:keepLines/>
      <w:tabs>
        <w:tab w:val="left" w:pos="1008"/>
      </w:tabs>
      <w:spacing w:before="280" w:after="290" w:line="372" w:lineRule="auto"/>
      <w:ind w:left="1008" w:hanging="1008"/>
      <w:outlineLvl w:val="4"/>
    </w:pPr>
    <w:rPr>
      <w:b/>
      <w:sz w:val="28"/>
      <w:szCs w:val="20"/>
    </w:rPr>
  </w:style>
  <w:style w:type="paragraph" w:styleId="8">
    <w:name w:val="heading 6"/>
    <w:basedOn w:val="1"/>
    <w:next w:val="1"/>
    <w:link w:val="193"/>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174"/>
    <w:qFormat/>
    <w:uiPriority w:val="0"/>
    <w:pPr>
      <w:keepNext/>
      <w:keepLines/>
      <w:tabs>
        <w:tab w:val="left" w:pos="1296"/>
      </w:tabs>
      <w:spacing w:before="240" w:after="64" w:line="317" w:lineRule="auto"/>
      <w:ind w:left="1296" w:hanging="1296"/>
      <w:outlineLvl w:val="6"/>
    </w:pPr>
    <w:rPr>
      <w:b/>
      <w:sz w:val="24"/>
      <w:szCs w:val="20"/>
    </w:rPr>
  </w:style>
  <w:style w:type="paragraph" w:styleId="10">
    <w:name w:val="heading 8"/>
    <w:basedOn w:val="1"/>
    <w:next w:val="1"/>
    <w:link w:val="160"/>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95"/>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5">
    <w:name w:val="Default Paragraph Font"/>
    <w:semiHidden/>
    <w:unhideWhenUsed/>
    <w:qFormat/>
    <w:uiPriority w:val="1"/>
  </w:style>
  <w:style w:type="table" w:default="1" w:styleId="73">
    <w:name w:val="Normal Table"/>
    <w:semiHidden/>
    <w:unhideWhenUsed/>
    <w:qFormat/>
    <w:uiPriority w:val="99"/>
    <w:tblPr>
      <w:tblCellMar>
        <w:top w:w="0" w:type="dxa"/>
        <w:left w:w="108" w:type="dxa"/>
        <w:bottom w:w="0" w:type="dxa"/>
        <w:right w:w="108" w:type="dxa"/>
      </w:tblCellMar>
    </w:tblPr>
  </w:style>
  <w:style w:type="paragraph" w:styleId="2">
    <w:name w:val="macro"/>
    <w:link w:val="124"/>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qFormat/>
    <w:uiPriority w:val="39"/>
    <w:pPr>
      <w:ind w:left="1260"/>
      <w:jc w:val="left"/>
    </w:pPr>
    <w:rPr>
      <w:sz w:val="18"/>
      <w:szCs w:val="18"/>
    </w:rPr>
  </w:style>
  <w:style w:type="paragraph" w:styleId="13">
    <w:name w:val="List Number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14">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15">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6">
    <w:name w:val="index 8"/>
    <w:basedOn w:val="1"/>
    <w:next w:val="1"/>
    <w:semiHidden/>
    <w:qFormat/>
    <w:uiPriority w:val="0"/>
    <w:pPr>
      <w:spacing w:line="480" w:lineRule="exact"/>
      <w:ind w:left="1400" w:leftChars="1400" w:firstLine="200" w:firstLineChars="200"/>
      <w:jc w:val="left"/>
    </w:pPr>
    <w:rPr>
      <w:color w:val="7030A0"/>
      <w:sz w:val="24"/>
    </w:rPr>
  </w:style>
  <w:style w:type="paragraph" w:styleId="17">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8">
    <w:name w:val="Normal Indent"/>
    <w:basedOn w:val="1"/>
    <w:link w:val="113"/>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19">
    <w:name w:val="caption"/>
    <w:basedOn w:val="1"/>
    <w:next w:val="1"/>
    <w:link w:val="145"/>
    <w:qFormat/>
    <w:uiPriority w:val="0"/>
    <w:pPr>
      <w:ind w:firstLine="6290" w:firstLineChars="2282"/>
    </w:pPr>
    <w:rPr>
      <w:b/>
      <w:bCs/>
      <w:color w:val="000080"/>
      <w:sz w:val="28"/>
    </w:rPr>
  </w:style>
  <w:style w:type="paragraph" w:styleId="20">
    <w:name w:val="index 5"/>
    <w:basedOn w:val="1"/>
    <w:next w:val="1"/>
    <w:semiHidden/>
    <w:qFormat/>
    <w:uiPriority w:val="0"/>
    <w:pPr>
      <w:spacing w:line="480" w:lineRule="exact"/>
      <w:ind w:left="800" w:leftChars="800" w:firstLine="200" w:firstLineChars="200"/>
      <w:jc w:val="left"/>
    </w:pPr>
    <w:rPr>
      <w:color w:val="7030A0"/>
      <w:sz w:val="24"/>
    </w:rPr>
  </w:style>
  <w:style w:type="paragraph" w:styleId="21">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22">
    <w:name w:val="Document Map"/>
    <w:basedOn w:val="1"/>
    <w:link w:val="194"/>
    <w:unhideWhenUsed/>
    <w:qFormat/>
    <w:uiPriority w:val="0"/>
    <w:rPr>
      <w:rFonts w:ascii="宋体"/>
      <w:sz w:val="18"/>
      <w:szCs w:val="18"/>
    </w:rPr>
  </w:style>
  <w:style w:type="paragraph" w:styleId="23">
    <w:name w:val="toa heading"/>
    <w:basedOn w:val="1"/>
    <w:next w:val="1"/>
    <w:qFormat/>
    <w:uiPriority w:val="0"/>
    <w:pPr>
      <w:spacing w:before="120"/>
    </w:pPr>
    <w:rPr>
      <w:rFonts w:ascii="Arial" w:hAnsi="Arial" w:cs="Arial"/>
      <w:sz w:val="24"/>
    </w:rPr>
  </w:style>
  <w:style w:type="paragraph" w:styleId="24">
    <w:name w:val="annotation text"/>
    <w:basedOn w:val="1"/>
    <w:link w:val="103"/>
    <w:qFormat/>
    <w:uiPriority w:val="99"/>
    <w:pPr>
      <w:jc w:val="left"/>
    </w:pPr>
  </w:style>
  <w:style w:type="paragraph" w:styleId="25">
    <w:name w:val="index 6"/>
    <w:basedOn w:val="1"/>
    <w:next w:val="1"/>
    <w:semiHidden/>
    <w:qFormat/>
    <w:uiPriority w:val="0"/>
    <w:pPr>
      <w:spacing w:line="480" w:lineRule="exact"/>
      <w:ind w:left="1000" w:leftChars="1000" w:firstLine="200" w:firstLineChars="200"/>
      <w:jc w:val="left"/>
    </w:pPr>
    <w:rPr>
      <w:color w:val="7030A0"/>
      <w:sz w:val="24"/>
    </w:rPr>
  </w:style>
  <w:style w:type="paragraph" w:styleId="26">
    <w:name w:val="Salutation"/>
    <w:basedOn w:val="1"/>
    <w:next w:val="1"/>
    <w:link w:val="96"/>
    <w:qFormat/>
    <w:uiPriority w:val="0"/>
    <w:rPr>
      <w:sz w:val="24"/>
      <w:szCs w:val="20"/>
    </w:rPr>
  </w:style>
  <w:style w:type="paragraph" w:styleId="27">
    <w:name w:val="Body Text 3"/>
    <w:basedOn w:val="1"/>
    <w:link w:val="110"/>
    <w:qFormat/>
    <w:uiPriority w:val="0"/>
    <w:pPr>
      <w:spacing w:after="120"/>
    </w:pPr>
    <w:rPr>
      <w:sz w:val="16"/>
      <w:szCs w:val="16"/>
    </w:rPr>
  </w:style>
  <w:style w:type="paragraph" w:styleId="28">
    <w:name w:val="List Bullet 3"/>
    <w:basedOn w:val="1"/>
    <w:qFormat/>
    <w:uiPriority w:val="0"/>
    <w:pPr>
      <w:tabs>
        <w:tab w:val="left" w:pos="775"/>
      </w:tabs>
      <w:spacing w:line="360" w:lineRule="auto"/>
      <w:ind w:left="775" w:hanging="360"/>
    </w:pPr>
    <w:rPr>
      <w:kern w:val="0"/>
    </w:rPr>
  </w:style>
  <w:style w:type="paragraph" w:styleId="29">
    <w:name w:val="Body Text"/>
    <w:basedOn w:val="1"/>
    <w:next w:val="30"/>
    <w:link w:val="163"/>
    <w:qFormat/>
    <w:uiPriority w:val="0"/>
    <w:pPr>
      <w:spacing w:line="360" w:lineRule="auto"/>
    </w:pPr>
    <w:rPr>
      <w:sz w:val="24"/>
      <w:szCs w:val="20"/>
    </w:rPr>
  </w:style>
  <w:style w:type="paragraph" w:styleId="30">
    <w:name w:val="toc 3"/>
    <w:basedOn w:val="1"/>
    <w:next w:val="1"/>
    <w:qFormat/>
    <w:uiPriority w:val="39"/>
    <w:pPr>
      <w:tabs>
        <w:tab w:val="left" w:pos="400"/>
        <w:tab w:val="left" w:pos="576"/>
        <w:tab w:val="right" w:leader="dot" w:pos="8778"/>
      </w:tabs>
      <w:ind w:left="10"/>
      <w:jc w:val="center"/>
    </w:pPr>
    <w:rPr>
      <w:rFonts w:ascii="宋体" w:hAnsi="宋体"/>
      <w:b/>
      <w:iCs/>
      <w:sz w:val="24"/>
    </w:rPr>
  </w:style>
  <w:style w:type="paragraph" w:styleId="31">
    <w:name w:val="Body Text Indent"/>
    <w:basedOn w:val="1"/>
    <w:link w:val="182"/>
    <w:qFormat/>
    <w:uiPriority w:val="0"/>
    <w:pPr>
      <w:spacing w:line="360" w:lineRule="auto"/>
    </w:pPr>
    <w:rPr>
      <w:rFonts w:ascii="宋体"/>
      <w:szCs w:val="20"/>
    </w:rPr>
  </w:style>
  <w:style w:type="paragraph" w:styleId="32">
    <w:name w:val="List Number 3"/>
    <w:basedOn w:val="1"/>
    <w:qFormat/>
    <w:uiPriority w:val="0"/>
    <w:pPr>
      <w:tabs>
        <w:tab w:val="left" w:pos="1200"/>
      </w:tabs>
      <w:spacing w:line="360" w:lineRule="auto"/>
      <w:ind w:left="1200" w:hanging="360"/>
      <w:jc w:val="left"/>
    </w:pPr>
    <w:rPr>
      <w:rFonts w:ascii="宋体" w:hAnsi="宋体"/>
      <w:color w:val="7030A0"/>
      <w:sz w:val="24"/>
      <w:szCs w:val="20"/>
    </w:rPr>
  </w:style>
  <w:style w:type="paragraph" w:styleId="33">
    <w:name w:val="List 2"/>
    <w:basedOn w:val="1"/>
    <w:qFormat/>
    <w:uiPriority w:val="0"/>
    <w:pPr>
      <w:widowControl/>
      <w:ind w:left="840" w:hanging="420"/>
      <w:jc w:val="left"/>
    </w:pPr>
    <w:rPr>
      <w:rFonts w:ascii="宋体"/>
      <w:kern w:val="0"/>
      <w:sz w:val="22"/>
      <w:szCs w:val="20"/>
    </w:rPr>
  </w:style>
  <w:style w:type="paragraph" w:styleId="34">
    <w:name w:val="List Continue"/>
    <w:basedOn w:val="1"/>
    <w:qFormat/>
    <w:uiPriority w:val="0"/>
    <w:pPr>
      <w:widowControl/>
      <w:spacing w:after="120"/>
      <w:ind w:left="420"/>
      <w:jc w:val="left"/>
    </w:pPr>
    <w:rPr>
      <w:rFonts w:ascii="宋体"/>
      <w:kern w:val="0"/>
      <w:sz w:val="22"/>
      <w:szCs w:val="20"/>
    </w:rPr>
  </w:style>
  <w:style w:type="paragraph" w:styleId="35">
    <w:name w:val="Block Text"/>
    <w:basedOn w:val="1"/>
    <w:qFormat/>
    <w:uiPriority w:val="0"/>
    <w:pPr>
      <w:tabs>
        <w:tab w:val="left" w:pos="8364"/>
      </w:tabs>
      <w:ind w:left="840" w:right="-57" w:hanging="300"/>
    </w:pPr>
    <w:rPr>
      <w:rFonts w:ascii="宋体"/>
      <w:szCs w:val="20"/>
    </w:rPr>
  </w:style>
  <w:style w:type="paragraph" w:styleId="36">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37">
    <w:name w:val="index 4"/>
    <w:basedOn w:val="1"/>
    <w:next w:val="1"/>
    <w:qFormat/>
    <w:uiPriority w:val="0"/>
    <w:pPr>
      <w:spacing w:line="480" w:lineRule="exact"/>
      <w:ind w:left="600" w:leftChars="600" w:firstLine="200" w:firstLineChars="200"/>
      <w:jc w:val="left"/>
    </w:pPr>
    <w:rPr>
      <w:color w:val="7030A0"/>
      <w:sz w:val="24"/>
    </w:rPr>
  </w:style>
  <w:style w:type="paragraph" w:styleId="38">
    <w:name w:val="toc 5"/>
    <w:basedOn w:val="1"/>
    <w:next w:val="1"/>
    <w:qFormat/>
    <w:uiPriority w:val="39"/>
    <w:pPr>
      <w:ind w:left="840"/>
      <w:jc w:val="left"/>
    </w:pPr>
    <w:rPr>
      <w:sz w:val="18"/>
      <w:szCs w:val="18"/>
    </w:rPr>
  </w:style>
  <w:style w:type="paragraph" w:styleId="39">
    <w:name w:val="Plain Text"/>
    <w:basedOn w:val="1"/>
    <w:link w:val="134"/>
    <w:unhideWhenUsed/>
    <w:qFormat/>
    <w:uiPriority w:val="99"/>
    <w:rPr>
      <w:rFonts w:ascii="宋体" w:hAnsi="Courier New" w:cs="Courier New"/>
      <w:szCs w:val="21"/>
    </w:rPr>
  </w:style>
  <w:style w:type="paragraph" w:styleId="40">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qFormat/>
    <w:uiPriority w:val="39"/>
    <w:pPr>
      <w:ind w:left="1470"/>
      <w:jc w:val="left"/>
    </w:pPr>
    <w:rPr>
      <w:sz w:val="18"/>
      <w:szCs w:val="18"/>
    </w:rPr>
  </w:style>
  <w:style w:type="paragraph" w:styleId="43">
    <w:name w:val="index 3"/>
    <w:basedOn w:val="1"/>
    <w:next w:val="1"/>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44"/>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40"/>
    <w:qFormat/>
    <w:uiPriority w:val="0"/>
    <w:pPr>
      <w:spacing w:after="120" w:line="480" w:lineRule="auto"/>
      <w:ind w:left="420" w:leftChars="200"/>
    </w:pPr>
    <w:rPr>
      <w:szCs w:val="20"/>
    </w:rPr>
  </w:style>
  <w:style w:type="paragraph" w:styleId="46">
    <w:name w:val="endnote text"/>
    <w:basedOn w:val="1"/>
    <w:link w:val="125"/>
    <w:qFormat/>
    <w:uiPriority w:val="0"/>
    <w:pPr>
      <w:snapToGrid w:val="0"/>
      <w:spacing w:line="500" w:lineRule="exact"/>
      <w:jc w:val="left"/>
    </w:pPr>
    <w:rPr>
      <w:kern w:val="0"/>
    </w:rPr>
  </w:style>
  <w:style w:type="paragraph" w:styleId="47">
    <w:name w:val="Balloon Text"/>
    <w:basedOn w:val="1"/>
    <w:link w:val="186"/>
    <w:unhideWhenUsed/>
    <w:qFormat/>
    <w:uiPriority w:val="0"/>
    <w:rPr>
      <w:sz w:val="18"/>
      <w:szCs w:val="18"/>
    </w:rPr>
  </w:style>
  <w:style w:type="paragraph" w:styleId="48">
    <w:name w:val="footer"/>
    <w:basedOn w:val="1"/>
    <w:link w:val="188"/>
    <w:unhideWhenUsed/>
    <w:qFormat/>
    <w:uiPriority w:val="99"/>
    <w:pPr>
      <w:tabs>
        <w:tab w:val="center" w:pos="4153"/>
        <w:tab w:val="right" w:pos="8306"/>
      </w:tabs>
      <w:snapToGrid w:val="0"/>
      <w:jc w:val="left"/>
    </w:pPr>
    <w:rPr>
      <w:sz w:val="18"/>
      <w:szCs w:val="18"/>
    </w:rPr>
  </w:style>
  <w:style w:type="paragraph" w:styleId="49">
    <w:name w:val="header"/>
    <w:basedOn w:val="1"/>
    <w:link w:val="157"/>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qFormat/>
    <w:uiPriority w:val="39"/>
    <w:pPr>
      <w:tabs>
        <w:tab w:val="right" w:leader="dot" w:pos="8778"/>
      </w:tabs>
      <w:snapToGrid w:val="0"/>
      <w:spacing w:line="360" w:lineRule="auto"/>
      <w:jc w:val="center"/>
    </w:pPr>
    <w:rPr>
      <w:b/>
      <w:bCs/>
      <w:iCs/>
      <w:caps/>
      <w:kern w:val="0"/>
      <w:sz w:val="36"/>
      <w:szCs w:val="36"/>
    </w:rPr>
  </w:style>
  <w:style w:type="paragraph" w:styleId="51">
    <w:name w:val="toc 4"/>
    <w:basedOn w:val="1"/>
    <w:next w:val="1"/>
    <w:qFormat/>
    <w:uiPriority w:val="39"/>
    <w:pPr>
      <w:ind w:left="630"/>
      <w:jc w:val="left"/>
    </w:pPr>
    <w:rPr>
      <w:sz w:val="18"/>
      <w:szCs w:val="18"/>
    </w:rPr>
  </w:style>
  <w:style w:type="paragraph" w:styleId="52">
    <w:name w:val="index heading"/>
    <w:basedOn w:val="1"/>
    <w:next w:val="53"/>
    <w:qFormat/>
    <w:uiPriority w:val="0"/>
  </w:style>
  <w:style w:type="paragraph" w:styleId="53">
    <w:name w:val="index 1"/>
    <w:basedOn w:val="1"/>
    <w:next w:val="1"/>
    <w:qFormat/>
    <w:uiPriority w:val="0"/>
    <w:pPr>
      <w:spacing w:line="360" w:lineRule="auto"/>
      <w:ind w:left="1149" w:leftChars="547"/>
    </w:pPr>
    <w:rPr>
      <w:szCs w:val="20"/>
    </w:rPr>
  </w:style>
  <w:style w:type="paragraph" w:styleId="54">
    <w:name w:val="List Number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55">
    <w:name w:val="List"/>
    <w:basedOn w:val="1"/>
    <w:qFormat/>
    <w:uiPriority w:val="0"/>
    <w:pPr>
      <w:ind w:left="200" w:hanging="200" w:hangingChars="200"/>
    </w:pPr>
    <w:rPr>
      <w:szCs w:val="20"/>
    </w:rPr>
  </w:style>
  <w:style w:type="paragraph" w:styleId="56">
    <w:name w:val="footnote text"/>
    <w:basedOn w:val="1"/>
    <w:link w:val="97"/>
    <w:qFormat/>
    <w:uiPriority w:val="0"/>
    <w:pPr>
      <w:adjustRightInd w:val="0"/>
      <w:spacing w:line="312" w:lineRule="atLeast"/>
      <w:jc w:val="left"/>
      <w:textAlignment w:val="baseline"/>
    </w:pPr>
    <w:rPr>
      <w:kern w:val="0"/>
      <w:sz w:val="18"/>
      <w:szCs w:val="20"/>
    </w:rPr>
  </w:style>
  <w:style w:type="paragraph" w:styleId="57">
    <w:name w:val="toc 6"/>
    <w:basedOn w:val="1"/>
    <w:next w:val="1"/>
    <w:qFormat/>
    <w:uiPriority w:val="39"/>
    <w:pPr>
      <w:ind w:left="1050"/>
      <w:jc w:val="left"/>
    </w:pPr>
    <w:rPr>
      <w:sz w:val="18"/>
      <w:szCs w:val="18"/>
    </w:rPr>
  </w:style>
  <w:style w:type="paragraph" w:styleId="58">
    <w:name w:val="Body Text Indent 3"/>
    <w:basedOn w:val="1"/>
    <w:link w:val="120"/>
    <w:qFormat/>
    <w:uiPriority w:val="0"/>
    <w:pPr>
      <w:ind w:left="1260" w:leftChars="600"/>
    </w:pPr>
    <w:rPr>
      <w:szCs w:val="20"/>
    </w:rPr>
  </w:style>
  <w:style w:type="paragraph" w:styleId="59">
    <w:name w:val="index 7"/>
    <w:basedOn w:val="1"/>
    <w:next w:val="1"/>
    <w:semiHidden/>
    <w:qFormat/>
    <w:uiPriority w:val="0"/>
    <w:pPr>
      <w:spacing w:line="480" w:lineRule="exact"/>
      <w:ind w:left="1200" w:leftChars="1200" w:firstLine="200" w:firstLineChars="200"/>
      <w:jc w:val="left"/>
    </w:pPr>
    <w:rPr>
      <w:color w:val="7030A0"/>
      <w:sz w:val="24"/>
    </w:rPr>
  </w:style>
  <w:style w:type="paragraph" w:styleId="60">
    <w:name w:val="index 9"/>
    <w:basedOn w:val="1"/>
    <w:next w:val="1"/>
    <w:semiHidden/>
    <w:qFormat/>
    <w:uiPriority w:val="0"/>
    <w:pPr>
      <w:spacing w:line="480" w:lineRule="exact"/>
      <w:ind w:left="1600" w:leftChars="1600" w:firstLine="200" w:firstLineChars="200"/>
      <w:jc w:val="left"/>
    </w:pPr>
    <w:rPr>
      <w:color w:val="7030A0"/>
      <w:sz w:val="24"/>
    </w:rPr>
  </w:style>
  <w:style w:type="paragraph" w:styleId="61">
    <w:name w:val="table of figures"/>
    <w:basedOn w:val="1"/>
    <w:next w:val="1"/>
    <w:qFormat/>
    <w:uiPriority w:val="0"/>
    <w:pPr>
      <w:spacing w:line="480" w:lineRule="exact"/>
      <w:ind w:left="200" w:leftChars="200" w:hanging="200" w:hangingChars="200"/>
      <w:jc w:val="left"/>
    </w:pPr>
    <w:rPr>
      <w:color w:val="7030A0"/>
      <w:sz w:val="24"/>
    </w:rPr>
  </w:style>
  <w:style w:type="paragraph" w:styleId="62">
    <w:name w:val="toc 2"/>
    <w:basedOn w:val="1"/>
    <w:next w:val="1"/>
    <w:qFormat/>
    <w:uiPriority w:val="39"/>
    <w:pPr>
      <w:tabs>
        <w:tab w:val="right" w:leader="dot" w:pos="8778"/>
      </w:tabs>
      <w:ind w:left="23" w:leftChars="9" w:hanging="4" w:hangingChars="2"/>
      <w:jc w:val="left"/>
    </w:pPr>
    <w:rPr>
      <w:smallCaps/>
      <w:sz w:val="20"/>
      <w:szCs w:val="20"/>
    </w:rPr>
  </w:style>
  <w:style w:type="paragraph" w:styleId="63">
    <w:name w:val="toc 9"/>
    <w:basedOn w:val="1"/>
    <w:next w:val="1"/>
    <w:qFormat/>
    <w:uiPriority w:val="39"/>
    <w:pPr>
      <w:ind w:left="1680"/>
      <w:jc w:val="left"/>
    </w:pPr>
    <w:rPr>
      <w:sz w:val="18"/>
      <w:szCs w:val="18"/>
    </w:rPr>
  </w:style>
  <w:style w:type="paragraph" w:styleId="64">
    <w:name w:val="Body Text 2"/>
    <w:basedOn w:val="1"/>
    <w:link w:val="128"/>
    <w:qFormat/>
    <w:uiPriority w:val="0"/>
    <w:pPr>
      <w:spacing w:after="120" w:line="480" w:lineRule="auto"/>
    </w:pPr>
    <w:rPr>
      <w:szCs w:val="20"/>
    </w:rPr>
  </w:style>
  <w:style w:type="paragraph" w:styleId="65">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6">
    <w:name w:val="HTML Preformatted"/>
    <w:basedOn w:val="1"/>
    <w:link w:val="18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8">
    <w:name w:val="index 2"/>
    <w:basedOn w:val="1"/>
    <w:next w:val="1"/>
    <w:semiHidden/>
    <w:qFormat/>
    <w:uiPriority w:val="0"/>
    <w:pPr>
      <w:spacing w:line="480" w:lineRule="exact"/>
      <w:ind w:left="200" w:leftChars="200" w:firstLine="200" w:firstLineChars="200"/>
      <w:jc w:val="left"/>
    </w:pPr>
    <w:rPr>
      <w:color w:val="7030A0"/>
      <w:sz w:val="24"/>
    </w:rPr>
  </w:style>
  <w:style w:type="paragraph" w:styleId="69">
    <w:name w:val="Title"/>
    <w:basedOn w:val="1"/>
    <w:link w:val="142"/>
    <w:qFormat/>
    <w:uiPriority w:val="0"/>
    <w:pPr>
      <w:widowControl/>
      <w:spacing w:before="240" w:after="60"/>
      <w:jc w:val="center"/>
      <w:outlineLvl w:val="0"/>
    </w:pPr>
    <w:rPr>
      <w:rFonts w:ascii="Arial" w:hAnsi="Arial" w:eastAsia="楷体_GB2312"/>
      <w:b/>
      <w:kern w:val="0"/>
      <w:sz w:val="32"/>
      <w:szCs w:val="20"/>
    </w:rPr>
  </w:style>
  <w:style w:type="paragraph" w:styleId="70">
    <w:name w:val="annotation subject"/>
    <w:basedOn w:val="24"/>
    <w:next w:val="24"/>
    <w:link w:val="102"/>
    <w:unhideWhenUsed/>
    <w:qFormat/>
    <w:uiPriority w:val="0"/>
    <w:rPr>
      <w:b/>
      <w:bCs/>
    </w:rPr>
  </w:style>
  <w:style w:type="paragraph" w:styleId="71">
    <w:name w:val="Body Text First Indent"/>
    <w:basedOn w:val="1"/>
    <w:link w:val="162"/>
    <w:qFormat/>
    <w:uiPriority w:val="0"/>
    <w:pPr>
      <w:tabs>
        <w:tab w:val="left" w:pos="360"/>
      </w:tabs>
      <w:spacing w:line="220" w:lineRule="exact"/>
      <w:ind w:left="360" w:hanging="360" w:firstLineChars="200"/>
      <w:jc w:val="left"/>
    </w:pPr>
    <w:rPr>
      <w:color w:val="7030A0"/>
    </w:rPr>
  </w:style>
  <w:style w:type="paragraph" w:styleId="72">
    <w:name w:val="Body Text First Indent 2"/>
    <w:basedOn w:val="31"/>
    <w:link w:val="153"/>
    <w:qFormat/>
    <w:uiPriority w:val="0"/>
    <w:pPr>
      <w:spacing w:after="120" w:line="240" w:lineRule="auto"/>
      <w:ind w:left="420" w:leftChars="200" w:firstLine="200" w:firstLineChars="200"/>
      <w:jc w:val="left"/>
    </w:pPr>
    <w:rPr>
      <w:rFonts w:hAnsi="宋体"/>
      <w:szCs w:val="24"/>
    </w:rPr>
  </w:style>
  <w:style w:type="table" w:styleId="74">
    <w:name w:val="Table Grid"/>
    <w:basedOn w:val="7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6">
    <w:name w:val="Strong"/>
    <w:qFormat/>
    <w:uiPriority w:val="0"/>
    <w:rPr>
      <w:b/>
      <w:bCs/>
    </w:rPr>
  </w:style>
  <w:style w:type="character" w:styleId="77">
    <w:name w:val="endnote reference"/>
    <w:qFormat/>
    <w:uiPriority w:val="0"/>
    <w:rPr>
      <w:vertAlign w:val="superscript"/>
    </w:rPr>
  </w:style>
  <w:style w:type="character" w:styleId="78">
    <w:name w:val="page number"/>
    <w:basedOn w:val="75"/>
    <w:qFormat/>
    <w:uiPriority w:val="0"/>
  </w:style>
  <w:style w:type="character" w:styleId="79">
    <w:name w:val="FollowedHyperlink"/>
    <w:basedOn w:val="75"/>
    <w:unhideWhenUsed/>
    <w:qFormat/>
    <w:uiPriority w:val="99"/>
    <w:rPr>
      <w:color w:val="338DE6"/>
      <w:u w:val="none"/>
    </w:rPr>
  </w:style>
  <w:style w:type="character" w:styleId="80">
    <w:name w:val="Emphasis"/>
    <w:basedOn w:val="75"/>
    <w:qFormat/>
    <w:uiPriority w:val="20"/>
  </w:style>
  <w:style w:type="character" w:styleId="81">
    <w:name w:val="HTML Definition"/>
    <w:basedOn w:val="75"/>
    <w:semiHidden/>
    <w:unhideWhenUsed/>
    <w:qFormat/>
    <w:uiPriority w:val="99"/>
  </w:style>
  <w:style w:type="character" w:styleId="82">
    <w:name w:val="HTML Typewriter"/>
    <w:qFormat/>
    <w:uiPriority w:val="0"/>
    <w:rPr>
      <w:rFonts w:ascii="黑体" w:hAnsi="Courier New" w:eastAsia="黑体" w:cs="Courier New"/>
      <w:sz w:val="20"/>
      <w:szCs w:val="20"/>
    </w:rPr>
  </w:style>
  <w:style w:type="character" w:styleId="83">
    <w:name w:val="HTML Variable"/>
    <w:basedOn w:val="75"/>
    <w:semiHidden/>
    <w:unhideWhenUsed/>
    <w:qFormat/>
    <w:uiPriority w:val="99"/>
  </w:style>
  <w:style w:type="character" w:styleId="84">
    <w:name w:val="Hyperlink"/>
    <w:basedOn w:val="75"/>
    <w:unhideWhenUsed/>
    <w:qFormat/>
    <w:uiPriority w:val="99"/>
    <w:rPr>
      <w:color w:val="338DE6"/>
      <w:u w:val="none"/>
    </w:rPr>
  </w:style>
  <w:style w:type="character" w:styleId="85">
    <w:name w:val="HTML Code"/>
    <w:basedOn w:val="75"/>
    <w:semiHidden/>
    <w:unhideWhenUsed/>
    <w:qFormat/>
    <w:uiPriority w:val="99"/>
    <w:rPr>
      <w:rFonts w:ascii="serif" w:hAnsi="serif" w:eastAsia="serif" w:cs="serif"/>
      <w:sz w:val="21"/>
      <w:szCs w:val="21"/>
    </w:rPr>
  </w:style>
  <w:style w:type="character" w:styleId="86">
    <w:name w:val="annotation reference"/>
    <w:basedOn w:val="75"/>
    <w:qFormat/>
    <w:uiPriority w:val="99"/>
    <w:rPr>
      <w:sz w:val="21"/>
      <w:szCs w:val="21"/>
    </w:rPr>
  </w:style>
  <w:style w:type="character" w:styleId="87">
    <w:name w:val="HTML Cite"/>
    <w:basedOn w:val="75"/>
    <w:semiHidden/>
    <w:unhideWhenUsed/>
    <w:qFormat/>
    <w:uiPriority w:val="99"/>
  </w:style>
  <w:style w:type="character" w:styleId="88">
    <w:name w:val="footnote reference"/>
    <w:qFormat/>
    <w:uiPriority w:val="0"/>
    <w:rPr>
      <w:vertAlign w:val="superscript"/>
    </w:rPr>
  </w:style>
  <w:style w:type="character" w:styleId="89">
    <w:name w:val="HTML Keyboard"/>
    <w:basedOn w:val="75"/>
    <w:semiHidden/>
    <w:unhideWhenUsed/>
    <w:qFormat/>
    <w:uiPriority w:val="99"/>
    <w:rPr>
      <w:rFonts w:hint="default" w:ascii="serif" w:hAnsi="serif" w:eastAsia="serif" w:cs="serif"/>
      <w:sz w:val="21"/>
      <w:szCs w:val="21"/>
    </w:rPr>
  </w:style>
  <w:style w:type="character" w:styleId="90">
    <w:name w:val="HTML Sample"/>
    <w:basedOn w:val="75"/>
    <w:semiHidden/>
    <w:unhideWhenUsed/>
    <w:qFormat/>
    <w:uiPriority w:val="99"/>
    <w:rPr>
      <w:rFonts w:hint="default" w:ascii="serif" w:hAnsi="serif" w:eastAsia="serif" w:cs="serif"/>
      <w:sz w:val="21"/>
      <w:szCs w:val="21"/>
    </w:rPr>
  </w:style>
  <w:style w:type="paragraph" w:customStyle="1" w:styleId="91">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92">
    <w:name w:val="标题4"/>
    <w:basedOn w:val="1"/>
    <w:next w:val="1"/>
    <w:qFormat/>
    <w:uiPriority w:val="0"/>
    <w:pPr>
      <w:keepNext/>
      <w:spacing w:line="360" w:lineRule="auto"/>
      <w:ind w:firstLine="200" w:firstLineChars="200"/>
      <w:jc w:val="left"/>
      <w:outlineLvl w:val="3"/>
    </w:pPr>
    <w:rPr>
      <w:b/>
      <w:kern w:val="0"/>
      <w:sz w:val="30"/>
    </w:rPr>
  </w:style>
  <w:style w:type="character" w:customStyle="1" w:styleId="93">
    <w:name w:val="四级标题格式 Char"/>
    <w:link w:val="94"/>
    <w:qFormat/>
    <w:uiPriority w:val="0"/>
    <w:rPr>
      <w:rFonts w:ascii="Times New Roman" w:hAnsi="Times New Roman" w:eastAsia="黑体"/>
      <w:bCs/>
      <w:kern w:val="2"/>
      <w:sz w:val="28"/>
      <w:szCs w:val="28"/>
    </w:rPr>
  </w:style>
  <w:style w:type="paragraph" w:customStyle="1" w:styleId="94">
    <w:name w:val="四级标题格式"/>
    <w:basedOn w:val="6"/>
    <w:link w:val="93"/>
    <w:qFormat/>
    <w:uiPriority w:val="0"/>
    <w:pPr>
      <w:keepNext w:val="0"/>
      <w:keepLines w:val="0"/>
      <w:spacing w:before="0" w:afterLines="100" w:line="240" w:lineRule="auto"/>
      <w:jc w:val="left"/>
    </w:pPr>
    <w:rPr>
      <w:rFonts w:ascii="Times New Roman" w:hAnsi="Times New Roman" w:eastAsia="黑体"/>
      <w:b w:val="0"/>
    </w:rPr>
  </w:style>
  <w:style w:type="character" w:customStyle="1" w:styleId="95">
    <w:name w:val="标题 9 字符"/>
    <w:basedOn w:val="75"/>
    <w:link w:val="11"/>
    <w:qFormat/>
    <w:uiPriority w:val="0"/>
    <w:rPr>
      <w:rFonts w:ascii="Arial" w:hAnsi="Arial" w:eastAsia="黑体"/>
      <w:kern w:val="2"/>
      <w:sz w:val="21"/>
    </w:rPr>
  </w:style>
  <w:style w:type="character" w:customStyle="1" w:styleId="96">
    <w:name w:val="称呼 字符"/>
    <w:basedOn w:val="75"/>
    <w:link w:val="26"/>
    <w:qFormat/>
    <w:uiPriority w:val="0"/>
    <w:rPr>
      <w:rFonts w:ascii="Times New Roman" w:hAnsi="Times New Roman"/>
      <w:kern w:val="2"/>
      <w:sz w:val="24"/>
    </w:rPr>
  </w:style>
  <w:style w:type="character" w:customStyle="1" w:styleId="97">
    <w:name w:val="脚注文本 字符"/>
    <w:basedOn w:val="75"/>
    <w:link w:val="56"/>
    <w:qFormat/>
    <w:uiPriority w:val="0"/>
    <w:rPr>
      <w:rFonts w:ascii="Times New Roman" w:hAnsi="Times New Roman"/>
      <w:sz w:val="18"/>
    </w:rPr>
  </w:style>
  <w:style w:type="character" w:customStyle="1" w:styleId="98">
    <w:name w:val="标题 5 Char1"/>
    <w:qFormat/>
    <w:uiPriority w:val="0"/>
    <w:rPr>
      <w:rFonts w:ascii="Times New Roman" w:hAnsi="Times New Roman"/>
      <w:b/>
      <w:kern w:val="2"/>
      <w:sz w:val="28"/>
    </w:rPr>
  </w:style>
  <w:style w:type="character" w:customStyle="1" w:styleId="99">
    <w:name w:val="样式 标题 31.1条标题1.1.1二级节名h3Heading 3 - oldheading 3H3H31H3... Char Char"/>
    <w:qFormat/>
    <w:uiPriority w:val="0"/>
    <w:rPr>
      <w:rFonts w:ascii="宋体" w:hAnsi="宋体" w:eastAsia="黑体"/>
      <w:kern w:val="2"/>
      <w:sz w:val="24"/>
      <w:szCs w:val="21"/>
    </w:rPr>
  </w:style>
  <w:style w:type="character" w:customStyle="1" w:styleId="100">
    <w:name w:val="标题3 Char"/>
    <w:link w:val="101"/>
    <w:qFormat/>
    <w:uiPriority w:val="0"/>
    <w:rPr>
      <w:rFonts w:ascii="Times New Roman" w:hAnsi="Times New Roman"/>
      <w:sz w:val="24"/>
    </w:rPr>
  </w:style>
  <w:style w:type="paragraph" w:customStyle="1" w:styleId="101">
    <w:name w:val="标题3"/>
    <w:basedOn w:val="5"/>
    <w:link w:val="100"/>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102">
    <w:name w:val="批注主题 字符"/>
    <w:basedOn w:val="103"/>
    <w:link w:val="70"/>
    <w:qFormat/>
    <w:uiPriority w:val="0"/>
    <w:rPr>
      <w:rFonts w:ascii="Times New Roman" w:hAnsi="Times New Roman" w:eastAsia="宋体" w:cs="Times New Roman"/>
      <w:b/>
      <w:bCs/>
      <w:kern w:val="2"/>
      <w:sz w:val="21"/>
      <w:szCs w:val="24"/>
    </w:rPr>
  </w:style>
  <w:style w:type="character" w:customStyle="1" w:styleId="103">
    <w:name w:val="批注文字 字符"/>
    <w:basedOn w:val="75"/>
    <w:link w:val="24"/>
    <w:qFormat/>
    <w:uiPriority w:val="99"/>
    <w:rPr>
      <w:rFonts w:ascii="Times New Roman" w:hAnsi="Times New Roman" w:eastAsia="宋体" w:cs="Times New Roman"/>
      <w:szCs w:val="24"/>
    </w:rPr>
  </w:style>
  <w:style w:type="character" w:customStyle="1" w:styleId="104">
    <w:name w:val="selected"/>
    <w:basedOn w:val="75"/>
    <w:qFormat/>
    <w:uiPriority w:val="0"/>
    <w:rPr>
      <w:shd w:val="clear" w:color="auto" w:fill="B00006"/>
    </w:rPr>
  </w:style>
  <w:style w:type="character" w:customStyle="1" w:styleId="105">
    <w:name w:val="样式 宋体 行距: 固定值 24 磅 Char"/>
    <w:link w:val="106"/>
    <w:qFormat/>
    <w:uiPriority w:val="0"/>
    <w:rPr>
      <w:rFonts w:ascii="宋体" w:hAnsi="Times New Roman"/>
      <w:color w:val="7030A0"/>
      <w:kern w:val="2"/>
      <w:sz w:val="28"/>
    </w:rPr>
  </w:style>
  <w:style w:type="paragraph" w:customStyle="1" w:styleId="106">
    <w:name w:val="样式 宋体 行距: 固定值 24 磅"/>
    <w:basedOn w:val="1"/>
    <w:link w:val="105"/>
    <w:qFormat/>
    <w:uiPriority w:val="0"/>
    <w:pPr>
      <w:spacing w:line="480" w:lineRule="exact"/>
      <w:ind w:firstLine="585" w:firstLineChars="200"/>
      <w:jc w:val="left"/>
    </w:pPr>
    <w:rPr>
      <w:rFonts w:ascii="宋体"/>
      <w:color w:val="7030A0"/>
      <w:sz w:val="28"/>
      <w:szCs w:val="20"/>
    </w:rPr>
  </w:style>
  <w:style w:type="character" w:customStyle="1" w:styleId="107">
    <w:name w:val="样式 首行缩进:  2 字符 Char1"/>
    <w:link w:val="108"/>
    <w:qFormat/>
    <w:uiPriority w:val="0"/>
    <w:rPr>
      <w:rFonts w:ascii="Times New Roman" w:hAnsi="Times New Roman"/>
      <w:color w:val="7030A0"/>
      <w:kern w:val="2"/>
      <w:sz w:val="24"/>
    </w:rPr>
  </w:style>
  <w:style w:type="paragraph" w:customStyle="1" w:styleId="108">
    <w:name w:val="样式 首行缩进:  2 字符"/>
    <w:basedOn w:val="1"/>
    <w:link w:val="107"/>
    <w:qFormat/>
    <w:uiPriority w:val="0"/>
    <w:pPr>
      <w:spacing w:line="480" w:lineRule="exact"/>
      <w:ind w:firstLine="480" w:firstLineChars="200"/>
      <w:jc w:val="left"/>
    </w:pPr>
    <w:rPr>
      <w:color w:val="7030A0"/>
      <w:sz w:val="24"/>
      <w:szCs w:val="20"/>
    </w:rPr>
  </w:style>
  <w:style w:type="character" w:customStyle="1" w:styleId="109">
    <w:name w:val="日期 Char1"/>
    <w:basedOn w:val="75"/>
    <w:semiHidden/>
    <w:qFormat/>
    <w:uiPriority w:val="99"/>
    <w:rPr>
      <w:rFonts w:ascii="Times New Roman" w:hAnsi="Times New Roman"/>
      <w:kern w:val="2"/>
      <w:sz w:val="21"/>
      <w:szCs w:val="24"/>
    </w:rPr>
  </w:style>
  <w:style w:type="character" w:customStyle="1" w:styleId="110">
    <w:name w:val="正文文本 3 字符"/>
    <w:basedOn w:val="75"/>
    <w:link w:val="27"/>
    <w:qFormat/>
    <w:uiPriority w:val="0"/>
    <w:rPr>
      <w:rFonts w:ascii="Times New Roman" w:hAnsi="Times New Roman"/>
      <w:kern w:val="2"/>
      <w:sz w:val="16"/>
      <w:szCs w:val="16"/>
    </w:rPr>
  </w:style>
  <w:style w:type="character" w:customStyle="1" w:styleId="111">
    <w:name w:val="正文－wjnew Char Char"/>
    <w:link w:val="112"/>
    <w:qFormat/>
    <w:uiPriority w:val="0"/>
    <w:rPr>
      <w:rFonts w:ascii="宋体" w:cs="宋体"/>
      <w:kern w:val="2"/>
      <w:sz w:val="21"/>
      <w:szCs w:val="21"/>
    </w:rPr>
  </w:style>
  <w:style w:type="paragraph" w:customStyle="1" w:styleId="112">
    <w:name w:val="正文－wjnew"/>
    <w:basedOn w:val="1"/>
    <w:link w:val="111"/>
    <w:qFormat/>
    <w:uiPriority w:val="0"/>
    <w:pPr>
      <w:adjustRightInd w:val="0"/>
      <w:snapToGrid w:val="0"/>
      <w:spacing w:line="360" w:lineRule="auto"/>
      <w:ind w:firstLine="420"/>
    </w:pPr>
    <w:rPr>
      <w:rFonts w:ascii="宋体"/>
      <w:szCs w:val="21"/>
    </w:rPr>
  </w:style>
  <w:style w:type="character" w:customStyle="1" w:styleId="113">
    <w:name w:val="正文缩进 字符"/>
    <w:link w:val="18"/>
    <w:qFormat/>
    <w:uiPriority w:val="0"/>
    <w:rPr>
      <w:rFonts w:ascii="宋体" w:hAnsi="Times New Roman"/>
      <w:sz w:val="24"/>
    </w:rPr>
  </w:style>
  <w:style w:type="character" w:customStyle="1" w:styleId="114">
    <w:name w:val="标题 4 Char1"/>
    <w:qFormat/>
    <w:uiPriority w:val="0"/>
    <w:rPr>
      <w:rFonts w:ascii="宋体" w:hAnsi="宋体"/>
      <w:b/>
      <w:bCs/>
      <w:kern w:val="2"/>
      <w:sz w:val="21"/>
    </w:rPr>
  </w:style>
  <w:style w:type="character" w:customStyle="1" w:styleId="115">
    <w:name w:val="(1) Char Char"/>
    <w:link w:val="116"/>
    <w:qFormat/>
    <w:uiPriority w:val="0"/>
    <w:rPr>
      <w:rFonts w:ascii="宋体" w:hAnsi="宋体"/>
      <w:kern w:val="2"/>
      <w:sz w:val="24"/>
      <w:szCs w:val="24"/>
    </w:rPr>
  </w:style>
  <w:style w:type="paragraph" w:customStyle="1" w:styleId="116">
    <w:name w:val="(1)"/>
    <w:basedOn w:val="1"/>
    <w:next w:val="1"/>
    <w:link w:val="115"/>
    <w:qFormat/>
    <w:uiPriority w:val="0"/>
    <w:pPr>
      <w:tabs>
        <w:tab w:val="left" w:pos="813"/>
      </w:tabs>
      <w:spacing w:line="360" w:lineRule="auto"/>
      <w:ind w:left="813" w:hanging="567"/>
    </w:pPr>
    <w:rPr>
      <w:rFonts w:ascii="宋体" w:hAnsi="宋体"/>
      <w:sz w:val="24"/>
    </w:rPr>
  </w:style>
  <w:style w:type="character" w:customStyle="1" w:styleId="117">
    <w:name w:val="标题 4 字符"/>
    <w:basedOn w:val="75"/>
    <w:link w:val="6"/>
    <w:qFormat/>
    <w:uiPriority w:val="0"/>
    <w:rPr>
      <w:rFonts w:ascii="Cambria" w:hAnsi="Cambria" w:eastAsia="宋体" w:cs="Times New Roman"/>
      <w:b/>
      <w:bCs/>
      <w:kern w:val="2"/>
      <w:sz w:val="28"/>
      <w:szCs w:val="28"/>
    </w:rPr>
  </w:style>
  <w:style w:type="character" w:customStyle="1" w:styleId="118">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119">
    <w:name w:val="樣式 標題 3 + (中文) MS Gothic 10.5 點 Char Char Char Char Char Char Char Char"/>
    <w:qFormat/>
    <w:uiPriority w:val="0"/>
    <w:rPr>
      <w:rFonts w:hAnsi="PMingLiU" w:eastAsia="MS Gothic"/>
      <w:snapToGrid w:val="0"/>
      <w:kern w:val="2"/>
      <w:sz w:val="24"/>
      <w:lang w:val="en-AU" w:eastAsia="zh-TW"/>
    </w:rPr>
  </w:style>
  <w:style w:type="character" w:customStyle="1" w:styleId="120">
    <w:name w:val="正文文本缩进 3 字符"/>
    <w:basedOn w:val="75"/>
    <w:link w:val="58"/>
    <w:qFormat/>
    <w:uiPriority w:val="0"/>
    <w:rPr>
      <w:rFonts w:ascii="Times New Roman" w:hAnsi="Times New Roman"/>
      <w:kern w:val="2"/>
      <w:sz w:val="21"/>
    </w:rPr>
  </w:style>
  <w:style w:type="character" w:customStyle="1" w:styleId="121">
    <w:name w:val="正文 BJ15 Char Char"/>
    <w:link w:val="122"/>
    <w:qFormat/>
    <w:uiPriority w:val="0"/>
    <w:rPr>
      <w:rFonts w:ascii="Times New Roman" w:hAnsi="Times New Roman"/>
      <w:kern w:val="2"/>
      <w:sz w:val="24"/>
      <w:szCs w:val="24"/>
    </w:rPr>
  </w:style>
  <w:style w:type="paragraph" w:customStyle="1" w:styleId="122">
    <w:name w:val="正文 BJ15"/>
    <w:basedOn w:val="1"/>
    <w:link w:val="121"/>
    <w:qFormat/>
    <w:uiPriority w:val="0"/>
    <w:pPr>
      <w:adjustRightInd w:val="0"/>
      <w:snapToGrid w:val="0"/>
      <w:spacing w:line="360" w:lineRule="auto"/>
      <w:ind w:firstLine="200" w:firstLineChars="200"/>
      <w:jc w:val="left"/>
    </w:pPr>
    <w:rPr>
      <w:sz w:val="24"/>
    </w:rPr>
  </w:style>
  <w:style w:type="character" w:customStyle="1" w:styleId="123">
    <w:name w:val="纯文本 Char Char"/>
    <w:qFormat/>
    <w:uiPriority w:val="0"/>
    <w:rPr>
      <w:rFonts w:ascii="宋体" w:hAnsi="Courier New" w:eastAsia="宋体" w:cs="Century"/>
      <w:kern w:val="2"/>
      <w:sz w:val="21"/>
      <w:szCs w:val="21"/>
      <w:lang w:val="en-US" w:eastAsia="zh-CN" w:bidi="ar-SA"/>
    </w:rPr>
  </w:style>
  <w:style w:type="character" w:customStyle="1" w:styleId="124">
    <w:name w:val="宏文本 字符"/>
    <w:basedOn w:val="75"/>
    <w:link w:val="2"/>
    <w:semiHidden/>
    <w:qFormat/>
    <w:uiPriority w:val="0"/>
    <w:rPr>
      <w:rFonts w:ascii="Courier New" w:hAnsi="Courier New" w:cs="Courier New"/>
      <w:kern w:val="2"/>
      <w:sz w:val="24"/>
      <w:szCs w:val="24"/>
      <w:lang w:val="en-US" w:eastAsia="zh-CN" w:bidi="ar-SA"/>
    </w:rPr>
  </w:style>
  <w:style w:type="character" w:customStyle="1" w:styleId="125">
    <w:name w:val="尾注文本 字符"/>
    <w:basedOn w:val="75"/>
    <w:link w:val="46"/>
    <w:qFormat/>
    <w:uiPriority w:val="0"/>
    <w:rPr>
      <w:rFonts w:ascii="Times New Roman" w:hAnsi="Times New Roman"/>
      <w:sz w:val="21"/>
      <w:szCs w:val="24"/>
    </w:rPr>
  </w:style>
  <w:style w:type="character" w:customStyle="1" w:styleId="126">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27">
    <w:name w:val="标题 2 字符"/>
    <w:basedOn w:val="75"/>
    <w:link w:val="4"/>
    <w:qFormat/>
    <w:uiPriority w:val="0"/>
    <w:rPr>
      <w:rFonts w:ascii="Arial" w:hAnsi="Arial" w:eastAsia="黑体"/>
      <w:b/>
      <w:bCs/>
      <w:kern w:val="2"/>
      <w:sz w:val="32"/>
      <w:szCs w:val="32"/>
    </w:rPr>
  </w:style>
  <w:style w:type="character" w:customStyle="1" w:styleId="128">
    <w:name w:val="正文文本 2 字符"/>
    <w:basedOn w:val="75"/>
    <w:link w:val="64"/>
    <w:qFormat/>
    <w:uiPriority w:val="0"/>
    <w:rPr>
      <w:rFonts w:ascii="Times New Roman" w:hAnsi="Times New Roman"/>
      <w:kern w:val="2"/>
      <w:sz w:val="21"/>
    </w:rPr>
  </w:style>
  <w:style w:type="character" w:customStyle="1" w:styleId="129">
    <w:name w:val="1.1 Char"/>
    <w:qFormat/>
    <w:uiPriority w:val="0"/>
    <w:rPr>
      <w:rFonts w:ascii="宋体" w:eastAsia="宋体"/>
      <w:b/>
      <w:bCs/>
      <w:kern w:val="2"/>
      <w:sz w:val="24"/>
      <w:szCs w:val="32"/>
      <w:lang w:val="en-US" w:eastAsia="zh-CN" w:bidi="ar-SA"/>
    </w:rPr>
  </w:style>
  <w:style w:type="character" w:customStyle="1" w:styleId="130">
    <w:name w:val="正文文本 Char1"/>
    <w:qFormat/>
    <w:uiPriority w:val="0"/>
    <w:rPr>
      <w:rFonts w:ascii="Times New Roman" w:hAnsi="Times New Roman"/>
      <w:kern w:val="2"/>
      <w:sz w:val="24"/>
    </w:rPr>
  </w:style>
  <w:style w:type="character" w:customStyle="1" w:styleId="131">
    <w:name w:val="普通文字 Char Char"/>
    <w:qFormat/>
    <w:uiPriority w:val="0"/>
    <w:rPr>
      <w:rFonts w:ascii="宋体" w:hAnsi="Courier New" w:eastAsia="宋体"/>
      <w:kern w:val="2"/>
      <w:sz w:val="21"/>
      <w:lang w:val="en-US" w:eastAsia="zh-CN" w:bidi="ar-SA"/>
    </w:rPr>
  </w:style>
  <w:style w:type="character" w:customStyle="1" w:styleId="132">
    <w:name w:val="信息标题 字符"/>
    <w:basedOn w:val="75"/>
    <w:link w:val="65"/>
    <w:qFormat/>
    <w:uiPriority w:val="0"/>
    <w:rPr>
      <w:rFonts w:ascii="Arial" w:hAnsi="Arial" w:cs="Arial"/>
      <w:color w:val="7030A0"/>
      <w:kern w:val="2"/>
      <w:sz w:val="24"/>
      <w:szCs w:val="24"/>
      <w:shd w:val="pct20" w:color="auto" w:fill="auto"/>
    </w:rPr>
  </w:style>
  <w:style w:type="character" w:customStyle="1" w:styleId="133">
    <w:name w:val="样式 二号 红色 边框:: (单实线 自动设置  0.5 磅 行宽)"/>
    <w:qFormat/>
    <w:uiPriority w:val="0"/>
    <w:rPr>
      <w:rFonts w:eastAsia="宋体"/>
      <w:color w:val="0000FF"/>
      <w:sz w:val="44"/>
      <w:bdr w:val="single" w:color="0000FF" w:sz="4" w:space="0"/>
    </w:rPr>
  </w:style>
  <w:style w:type="character" w:customStyle="1" w:styleId="134">
    <w:name w:val="纯文本 字符"/>
    <w:basedOn w:val="75"/>
    <w:link w:val="39"/>
    <w:qFormat/>
    <w:uiPriority w:val="99"/>
    <w:rPr>
      <w:rFonts w:ascii="宋体" w:hAnsi="Courier New" w:cs="Courier New"/>
      <w:kern w:val="2"/>
      <w:sz w:val="21"/>
      <w:szCs w:val="21"/>
    </w:rPr>
  </w:style>
  <w:style w:type="character" w:customStyle="1" w:styleId="135">
    <w:name w:val="displayarti"/>
    <w:basedOn w:val="75"/>
    <w:qFormat/>
    <w:uiPriority w:val="0"/>
    <w:rPr>
      <w:color w:val="FFFFFF"/>
      <w:shd w:val="clear" w:color="auto" w:fill="A00000"/>
    </w:rPr>
  </w:style>
  <w:style w:type="character" w:customStyle="1" w:styleId="136">
    <w:name w:val="正文－zlb Char Char"/>
    <w:link w:val="137"/>
    <w:qFormat/>
    <w:uiPriority w:val="0"/>
    <w:rPr>
      <w:rFonts w:ascii="宋体" w:cs="宋体"/>
      <w:kern w:val="2"/>
      <w:sz w:val="24"/>
      <w:szCs w:val="24"/>
    </w:rPr>
  </w:style>
  <w:style w:type="paragraph" w:customStyle="1" w:styleId="137">
    <w:name w:val="正文－zlb"/>
    <w:basedOn w:val="1"/>
    <w:link w:val="136"/>
    <w:qFormat/>
    <w:uiPriority w:val="0"/>
    <w:pPr>
      <w:adjustRightInd w:val="0"/>
      <w:snapToGrid w:val="0"/>
      <w:spacing w:line="360" w:lineRule="auto"/>
      <w:ind w:firstLine="420"/>
    </w:pPr>
    <w:rPr>
      <w:rFonts w:ascii="宋体"/>
      <w:sz w:val="24"/>
    </w:rPr>
  </w:style>
  <w:style w:type="character" w:customStyle="1" w:styleId="138">
    <w:name w:val="Char Char11"/>
    <w:qFormat/>
    <w:uiPriority w:val="0"/>
    <w:rPr>
      <w:rFonts w:eastAsia="宋体"/>
      <w:b/>
      <w:bCs/>
      <w:kern w:val="2"/>
      <w:sz w:val="24"/>
      <w:szCs w:val="24"/>
      <w:lang w:val="en-US" w:eastAsia="zh-CN" w:bidi="ar-SA"/>
    </w:rPr>
  </w:style>
  <w:style w:type="character" w:customStyle="1" w:styleId="139">
    <w:name w:val="正文（首行缩进两字） Char"/>
    <w:qFormat/>
    <w:uiPriority w:val="0"/>
    <w:rPr>
      <w:rFonts w:eastAsia="宋体"/>
      <w:sz w:val="32"/>
      <w:lang w:val="en-US" w:eastAsia="zh-CN" w:bidi="ar-SA"/>
    </w:rPr>
  </w:style>
  <w:style w:type="character" w:customStyle="1" w:styleId="140">
    <w:name w:val="正文文本缩进 2 字符"/>
    <w:basedOn w:val="75"/>
    <w:link w:val="45"/>
    <w:qFormat/>
    <w:uiPriority w:val="0"/>
    <w:rPr>
      <w:rFonts w:ascii="Times New Roman" w:hAnsi="Times New Roman"/>
      <w:kern w:val="2"/>
      <w:sz w:val="21"/>
    </w:rPr>
  </w:style>
  <w:style w:type="character" w:customStyle="1" w:styleId="141">
    <w:name w:val="正文文本缩进 Char"/>
    <w:basedOn w:val="75"/>
    <w:qFormat/>
    <w:uiPriority w:val="0"/>
    <w:rPr>
      <w:rFonts w:ascii="Times New Roman" w:hAnsi="Times New Roman"/>
      <w:kern w:val="2"/>
      <w:sz w:val="21"/>
      <w:szCs w:val="24"/>
    </w:rPr>
  </w:style>
  <w:style w:type="character" w:customStyle="1" w:styleId="142">
    <w:name w:val="标题 字符"/>
    <w:basedOn w:val="75"/>
    <w:link w:val="69"/>
    <w:qFormat/>
    <w:uiPriority w:val="0"/>
    <w:rPr>
      <w:rFonts w:ascii="Arial" w:hAnsi="Arial" w:eastAsia="楷体_GB2312"/>
      <w:b/>
      <w:sz w:val="32"/>
    </w:rPr>
  </w:style>
  <w:style w:type="character" w:customStyle="1" w:styleId="143">
    <w:name w:val="b Char"/>
    <w:qFormat/>
    <w:uiPriority w:val="0"/>
    <w:rPr>
      <w:rFonts w:eastAsia="宋体"/>
      <w:b/>
      <w:bCs/>
      <w:kern w:val="2"/>
      <w:sz w:val="28"/>
      <w:szCs w:val="28"/>
      <w:lang w:val="en-US" w:eastAsia="zh-CN" w:bidi="ar-SA"/>
    </w:rPr>
  </w:style>
  <w:style w:type="character" w:customStyle="1" w:styleId="144">
    <w:name w:val="日期 字符"/>
    <w:link w:val="44"/>
    <w:qFormat/>
    <w:uiPriority w:val="0"/>
    <w:rPr>
      <w:rFonts w:eastAsia="楷体_GB2312"/>
      <w:kern w:val="2"/>
      <w:sz w:val="30"/>
    </w:rPr>
  </w:style>
  <w:style w:type="character" w:customStyle="1" w:styleId="145">
    <w:name w:val="题注 字符"/>
    <w:link w:val="19"/>
    <w:qFormat/>
    <w:uiPriority w:val="0"/>
    <w:rPr>
      <w:rFonts w:ascii="Times New Roman" w:hAnsi="Times New Roman"/>
      <w:b/>
      <w:bCs/>
      <w:color w:val="000080"/>
      <w:kern w:val="2"/>
      <w:sz w:val="28"/>
      <w:szCs w:val="24"/>
    </w:rPr>
  </w:style>
  <w:style w:type="character" w:customStyle="1" w:styleId="146">
    <w:name w:val="正文段落格式 Char Char"/>
    <w:qFormat/>
    <w:uiPriority w:val="0"/>
    <w:rPr>
      <w:rFonts w:cs="宋体"/>
      <w:color w:val="7030A0"/>
      <w:kern w:val="2"/>
      <w:sz w:val="24"/>
    </w:rPr>
  </w:style>
  <w:style w:type="character" w:customStyle="1" w:styleId="147">
    <w:name w:val="标题 5 字符"/>
    <w:basedOn w:val="75"/>
    <w:link w:val="7"/>
    <w:semiHidden/>
    <w:qFormat/>
    <w:uiPriority w:val="9"/>
    <w:rPr>
      <w:rFonts w:ascii="Times New Roman" w:hAnsi="Times New Roman"/>
      <w:b/>
      <w:bCs/>
      <w:kern w:val="2"/>
      <w:sz w:val="28"/>
      <w:szCs w:val="28"/>
    </w:rPr>
  </w:style>
  <w:style w:type="character" w:customStyle="1" w:styleId="148">
    <w:name w:val="图表标题 BJ8 Char Char"/>
    <w:link w:val="149"/>
    <w:qFormat/>
    <w:uiPriority w:val="0"/>
    <w:rPr>
      <w:rFonts w:ascii="Times New Roman" w:hAnsi="Times New Roman" w:eastAsia="黑体"/>
      <w:kern w:val="2"/>
      <w:sz w:val="24"/>
    </w:rPr>
  </w:style>
  <w:style w:type="paragraph" w:customStyle="1" w:styleId="149">
    <w:name w:val="图表标题 BJ8"/>
    <w:basedOn w:val="1"/>
    <w:link w:val="148"/>
    <w:qFormat/>
    <w:uiPriority w:val="0"/>
    <w:pPr>
      <w:adjustRightInd w:val="0"/>
      <w:snapToGrid w:val="0"/>
      <w:ind w:firstLine="200" w:firstLineChars="200"/>
      <w:jc w:val="center"/>
    </w:pPr>
    <w:rPr>
      <w:rFonts w:eastAsia="黑体"/>
      <w:sz w:val="24"/>
      <w:szCs w:val="20"/>
    </w:rPr>
  </w:style>
  <w:style w:type="character" w:customStyle="1" w:styleId="150">
    <w:name w:val="应答文本 Char Char"/>
    <w:qFormat/>
    <w:uiPriority w:val="0"/>
    <w:rPr>
      <w:rFonts w:ascii="Arial" w:hAnsi="Arial" w:eastAsia="楷体_GB2312" w:cs="宋体"/>
      <w:spacing w:val="10"/>
      <w:sz w:val="21"/>
      <w:lang w:val="en-US" w:eastAsia="zh-CN" w:bidi="ar-SA"/>
    </w:rPr>
  </w:style>
  <w:style w:type="character" w:customStyle="1" w:styleId="151">
    <w:name w:val="列表框2 Char"/>
    <w:link w:val="152"/>
    <w:qFormat/>
    <w:uiPriority w:val="0"/>
    <w:rPr>
      <w:snapToGrid w:val="0"/>
      <w:color w:val="7030A0"/>
      <w:spacing w:val="10"/>
      <w:sz w:val="24"/>
      <w:szCs w:val="24"/>
    </w:rPr>
  </w:style>
  <w:style w:type="paragraph" w:customStyle="1" w:styleId="152">
    <w:name w:val="列表框2"/>
    <w:basedOn w:val="1"/>
    <w:link w:val="151"/>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53">
    <w:name w:val="正文文本首行缩进 2 字符"/>
    <w:basedOn w:val="141"/>
    <w:link w:val="72"/>
    <w:qFormat/>
    <w:uiPriority w:val="0"/>
    <w:rPr>
      <w:rFonts w:ascii="宋体" w:hAnsi="宋体"/>
      <w:kern w:val="2"/>
      <w:sz w:val="21"/>
      <w:szCs w:val="24"/>
    </w:rPr>
  </w:style>
  <w:style w:type="character" w:customStyle="1" w:styleId="154">
    <w:name w:val="sub-dash Char"/>
    <w:qFormat/>
    <w:uiPriority w:val="0"/>
    <w:rPr>
      <w:rFonts w:ascii="Arial" w:hAnsi="Arial" w:eastAsia="黑体"/>
      <w:b/>
      <w:bCs/>
      <w:kern w:val="2"/>
      <w:sz w:val="24"/>
      <w:szCs w:val="24"/>
      <w:lang w:val="en-US" w:eastAsia="zh-CN" w:bidi="ar-SA"/>
    </w:rPr>
  </w:style>
  <w:style w:type="character" w:customStyle="1" w:styleId="155">
    <w:name w:val="五级标题格式 Char"/>
    <w:link w:val="156"/>
    <w:qFormat/>
    <w:uiPriority w:val="0"/>
    <w:rPr>
      <w:rFonts w:ascii="Times New Roman" w:hAnsi="Times New Roman"/>
      <w:b/>
      <w:bCs/>
      <w:kern w:val="2"/>
      <w:sz w:val="24"/>
      <w:szCs w:val="28"/>
    </w:rPr>
  </w:style>
  <w:style w:type="paragraph" w:customStyle="1" w:styleId="156">
    <w:name w:val="五级标题格式"/>
    <w:basedOn w:val="7"/>
    <w:link w:val="155"/>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57">
    <w:name w:val="页眉 字符"/>
    <w:basedOn w:val="75"/>
    <w:link w:val="49"/>
    <w:qFormat/>
    <w:uiPriority w:val="0"/>
    <w:rPr>
      <w:rFonts w:ascii="Times New Roman" w:hAnsi="Times New Roman"/>
      <w:kern w:val="2"/>
      <w:sz w:val="18"/>
      <w:szCs w:val="18"/>
    </w:rPr>
  </w:style>
  <w:style w:type="character" w:customStyle="1" w:styleId="158">
    <w:name w:val="Char Char111"/>
    <w:qFormat/>
    <w:uiPriority w:val="0"/>
    <w:rPr>
      <w:rFonts w:eastAsia="宋体"/>
      <w:b/>
      <w:bCs/>
      <w:kern w:val="2"/>
      <w:sz w:val="24"/>
      <w:szCs w:val="24"/>
      <w:lang w:val="en-US" w:eastAsia="zh-CN" w:bidi="ar-SA"/>
    </w:rPr>
  </w:style>
  <w:style w:type="character" w:customStyle="1" w:styleId="159">
    <w:name w:val="表格文字图表文字 Char Char"/>
    <w:qFormat/>
    <w:uiPriority w:val="0"/>
    <w:rPr>
      <w:color w:val="7030A0"/>
      <w:kern w:val="2"/>
      <w:sz w:val="21"/>
    </w:rPr>
  </w:style>
  <w:style w:type="character" w:customStyle="1" w:styleId="160">
    <w:name w:val="标题 8 字符"/>
    <w:basedOn w:val="75"/>
    <w:link w:val="10"/>
    <w:qFormat/>
    <w:uiPriority w:val="0"/>
    <w:rPr>
      <w:rFonts w:ascii="Arial" w:hAnsi="Arial" w:eastAsia="黑体"/>
      <w:kern w:val="2"/>
      <w:sz w:val="24"/>
    </w:rPr>
  </w:style>
  <w:style w:type="character" w:customStyle="1" w:styleId="161">
    <w:name w:val="占位符文本1"/>
    <w:basedOn w:val="75"/>
    <w:semiHidden/>
    <w:qFormat/>
    <w:uiPriority w:val="99"/>
    <w:rPr>
      <w:color w:val="808080"/>
    </w:rPr>
  </w:style>
  <w:style w:type="character" w:customStyle="1" w:styleId="162">
    <w:name w:val="正文文本首行缩进 字符"/>
    <w:basedOn w:val="163"/>
    <w:link w:val="71"/>
    <w:qFormat/>
    <w:uiPriority w:val="0"/>
    <w:rPr>
      <w:rFonts w:ascii="Times New Roman" w:hAnsi="Times New Roman"/>
      <w:color w:val="7030A0"/>
      <w:kern w:val="2"/>
      <w:sz w:val="21"/>
      <w:szCs w:val="24"/>
    </w:rPr>
  </w:style>
  <w:style w:type="character" w:customStyle="1" w:styleId="163">
    <w:name w:val="正文文本 字符"/>
    <w:basedOn w:val="75"/>
    <w:link w:val="29"/>
    <w:qFormat/>
    <w:uiPriority w:val="0"/>
    <w:rPr>
      <w:rFonts w:ascii="Times New Roman" w:hAnsi="Times New Roman"/>
      <w:kern w:val="2"/>
      <w:sz w:val="21"/>
      <w:szCs w:val="24"/>
    </w:rPr>
  </w:style>
  <w:style w:type="character" w:customStyle="1" w:styleId="164">
    <w:name w:val="正文段落格式 Char"/>
    <w:link w:val="165"/>
    <w:qFormat/>
    <w:uiPriority w:val="0"/>
    <w:rPr>
      <w:rFonts w:ascii="Times New Roman" w:hAnsi="Times New Roman"/>
      <w:color w:val="7030A0"/>
      <w:kern w:val="2"/>
      <w:sz w:val="24"/>
    </w:rPr>
  </w:style>
  <w:style w:type="paragraph" w:customStyle="1" w:styleId="165">
    <w:name w:val="正文段落格式"/>
    <w:basedOn w:val="108"/>
    <w:link w:val="164"/>
    <w:qFormat/>
    <w:uiPriority w:val="0"/>
    <w:pPr>
      <w:spacing w:afterLines="50" w:line="336" w:lineRule="auto"/>
    </w:pPr>
  </w:style>
  <w:style w:type="character" w:customStyle="1" w:styleId="166">
    <w:name w:val="表格文字 BJ8 Char Char"/>
    <w:link w:val="167"/>
    <w:qFormat/>
    <w:uiPriority w:val="0"/>
    <w:rPr>
      <w:rFonts w:ascii="Times New Roman" w:hAnsi="Times New Roman"/>
      <w:kern w:val="2"/>
      <w:sz w:val="21"/>
      <w:szCs w:val="21"/>
    </w:rPr>
  </w:style>
  <w:style w:type="paragraph" w:customStyle="1" w:styleId="167">
    <w:name w:val="表格文字 BJ8"/>
    <w:basedOn w:val="1"/>
    <w:link w:val="166"/>
    <w:qFormat/>
    <w:uiPriority w:val="0"/>
    <w:pPr>
      <w:adjustRightInd w:val="0"/>
      <w:snapToGrid w:val="0"/>
      <w:spacing w:line="400" w:lineRule="exact"/>
      <w:ind w:firstLine="200" w:firstLineChars="200"/>
      <w:jc w:val="center"/>
    </w:pPr>
    <w:rPr>
      <w:szCs w:val="21"/>
    </w:rPr>
  </w:style>
  <w:style w:type="character" w:customStyle="1" w:styleId="168">
    <w:name w:val="gpa"/>
    <w:basedOn w:val="75"/>
    <w:qFormat/>
    <w:uiPriority w:val="0"/>
    <w:rPr>
      <w:rFonts w:ascii="Arial" w:hAnsi="Arial" w:cs="Arial"/>
      <w:sz w:val="12"/>
      <w:szCs w:val="12"/>
    </w:rPr>
  </w:style>
  <w:style w:type="character" w:customStyle="1" w:styleId="169">
    <w:name w:val="样式 标题 31.1条标题1.1.1二级节名h3Heading 3 - oldheading 3H3H31H3... Char"/>
    <w:link w:val="170"/>
    <w:qFormat/>
    <w:uiPriority w:val="0"/>
    <w:rPr>
      <w:rFonts w:ascii="宋体" w:hAnsi="宋体" w:eastAsia="黑体"/>
      <w:kern w:val="2"/>
      <w:sz w:val="24"/>
      <w:szCs w:val="21"/>
    </w:rPr>
  </w:style>
  <w:style w:type="paragraph" w:customStyle="1" w:styleId="170">
    <w:name w:val="样式 标题 31.1条标题1.1.1二级节名h3Heading 3 - oldheading 3H3H31H3..."/>
    <w:basedOn w:val="5"/>
    <w:link w:val="169"/>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71">
    <w:name w:val="标题2 Char Char"/>
    <w:link w:val="172"/>
    <w:qFormat/>
    <w:uiPriority w:val="0"/>
    <w:rPr>
      <w:rFonts w:ascii="宋体" w:hAnsi="Times New Roman"/>
      <w:b/>
      <w:color w:val="92D050"/>
      <w:kern w:val="44"/>
      <w:sz w:val="30"/>
    </w:rPr>
  </w:style>
  <w:style w:type="paragraph" w:customStyle="1" w:styleId="172">
    <w:name w:val="标题2"/>
    <w:basedOn w:val="3"/>
    <w:link w:val="171"/>
    <w:qFormat/>
    <w:uiPriority w:val="0"/>
    <w:pPr>
      <w:spacing w:before="0" w:after="0" w:line="312" w:lineRule="auto"/>
      <w:ind w:left="0" w:firstLine="0"/>
      <w:jc w:val="center"/>
    </w:pPr>
    <w:rPr>
      <w:rFonts w:ascii="宋体"/>
      <w:bCs w:val="0"/>
      <w:color w:val="92D050"/>
      <w:sz w:val="30"/>
      <w:szCs w:val="20"/>
    </w:rPr>
  </w:style>
  <w:style w:type="character" w:customStyle="1" w:styleId="173">
    <w:name w:val="Char Char2"/>
    <w:qFormat/>
    <w:uiPriority w:val="0"/>
    <w:rPr>
      <w:rFonts w:eastAsia="仿宋_GB2312"/>
      <w:kern w:val="2"/>
      <w:sz w:val="28"/>
      <w:lang w:val="en-US" w:eastAsia="zh-CN" w:bidi="ar-SA"/>
    </w:rPr>
  </w:style>
  <w:style w:type="character" w:customStyle="1" w:styleId="174">
    <w:name w:val="标题 7 字符"/>
    <w:basedOn w:val="75"/>
    <w:link w:val="9"/>
    <w:qFormat/>
    <w:uiPriority w:val="0"/>
    <w:rPr>
      <w:rFonts w:ascii="Times New Roman" w:hAnsi="Times New Roman"/>
      <w:b/>
      <w:kern w:val="2"/>
      <w:sz w:val="24"/>
    </w:rPr>
  </w:style>
  <w:style w:type="character" w:customStyle="1" w:styleId="175">
    <w:name w:val="2 headline Char Char"/>
    <w:qFormat/>
    <w:uiPriority w:val="0"/>
    <w:rPr>
      <w:rFonts w:eastAsia="黑体"/>
      <w:bCs/>
      <w:kern w:val="2"/>
      <w:sz w:val="28"/>
      <w:szCs w:val="28"/>
      <w:lang w:val="en-US" w:eastAsia="zh-CN" w:bidi="ar-SA"/>
    </w:rPr>
  </w:style>
  <w:style w:type="character" w:customStyle="1" w:styleId="176">
    <w:name w:val="正文 QD3 Char Char"/>
    <w:link w:val="177"/>
    <w:qFormat/>
    <w:uiPriority w:val="0"/>
    <w:rPr>
      <w:rFonts w:ascii="Times New Roman" w:hAnsi="Times New Roman"/>
      <w:kern w:val="2"/>
      <w:sz w:val="24"/>
      <w:szCs w:val="24"/>
    </w:rPr>
  </w:style>
  <w:style w:type="paragraph" w:customStyle="1" w:styleId="177">
    <w:name w:val="正文 QD3"/>
    <w:basedOn w:val="1"/>
    <w:link w:val="176"/>
    <w:qFormat/>
    <w:uiPriority w:val="0"/>
    <w:pPr>
      <w:adjustRightInd w:val="0"/>
      <w:snapToGrid w:val="0"/>
      <w:spacing w:line="360" w:lineRule="auto"/>
      <w:ind w:firstLine="200" w:firstLineChars="200"/>
      <w:jc w:val="left"/>
    </w:pPr>
    <w:rPr>
      <w:sz w:val="24"/>
    </w:rPr>
  </w:style>
  <w:style w:type="character" w:customStyle="1" w:styleId="178">
    <w:name w:val="正文 BJ8 Char Char"/>
    <w:link w:val="179"/>
    <w:qFormat/>
    <w:uiPriority w:val="0"/>
    <w:rPr>
      <w:rFonts w:ascii="Times New Roman" w:hAnsi="Times New Roman"/>
      <w:color w:val="7030A0"/>
      <w:kern w:val="2"/>
      <w:sz w:val="24"/>
      <w:szCs w:val="24"/>
    </w:rPr>
  </w:style>
  <w:style w:type="paragraph" w:customStyle="1" w:styleId="179">
    <w:name w:val="正文 BJ8"/>
    <w:basedOn w:val="1"/>
    <w:link w:val="178"/>
    <w:qFormat/>
    <w:uiPriority w:val="0"/>
    <w:pPr>
      <w:adjustRightInd w:val="0"/>
      <w:snapToGrid w:val="0"/>
      <w:spacing w:line="360" w:lineRule="auto"/>
      <w:ind w:firstLine="200" w:firstLineChars="200"/>
      <w:jc w:val="left"/>
    </w:pPr>
    <w:rPr>
      <w:color w:val="7030A0"/>
      <w:sz w:val="24"/>
    </w:rPr>
  </w:style>
  <w:style w:type="character" w:customStyle="1" w:styleId="180">
    <w:name w:val="书籍标题1"/>
    <w:qFormat/>
    <w:uiPriority w:val="33"/>
    <w:rPr>
      <w:b/>
      <w:bCs/>
      <w:smallCaps/>
      <w:spacing w:val="5"/>
    </w:rPr>
  </w:style>
  <w:style w:type="character" w:customStyle="1" w:styleId="181">
    <w:name w:val="Char Char8"/>
    <w:qFormat/>
    <w:uiPriority w:val="0"/>
    <w:rPr>
      <w:rFonts w:eastAsia="宋体"/>
      <w:kern w:val="2"/>
      <w:sz w:val="21"/>
      <w:lang w:val="en-US" w:eastAsia="zh-CN" w:bidi="ar-SA"/>
    </w:rPr>
  </w:style>
  <w:style w:type="character" w:customStyle="1" w:styleId="182">
    <w:name w:val="正文文本缩进 字符"/>
    <w:link w:val="31"/>
    <w:qFormat/>
    <w:uiPriority w:val="0"/>
    <w:rPr>
      <w:rFonts w:ascii="宋体" w:hAnsi="Times New Roman"/>
      <w:kern w:val="2"/>
      <w:sz w:val="21"/>
    </w:rPr>
  </w:style>
  <w:style w:type="character" w:customStyle="1" w:styleId="183">
    <w:name w:val="正文1 Char"/>
    <w:link w:val="184"/>
    <w:qFormat/>
    <w:uiPriority w:val="0"/>
    <w:rPr>
      <w:rFonts w:ascii="Times New Roman" w:hAnsi="Times New Roman"/>
      <w:kern w:val="2"/>
      <w:sz w:val="24"/>
    </w:rPr>
  </w:style>
  <w:style w:type="paragraph" w:customStyle="1" w:styleId="184">
    <w:name w:val="正文1"/>
    <w:basedOn w:val="1"/>
    <w:link w:val="183"/>
    <w:qFormat/>
    <w:uiPriority w:val="0"/>
    <w:pPr>
      <w:tabs>
        <w:tab w:val="left" w:pos="720"/>
        <w:tab w:val="right" w:pos="1191"/>
      </w:tabs>
      <w:spacing w:line="360" w:lineRule="auto"/>
      <w:ind w:left="720" w:hanging="360"/>
    </w:pPr>
    <w:rPr>
      <w:sz w:val="24"/>
      <w:szCs w:val="20"/>
    </w:rPr>
  </w:style>
  <w:style w:type="character" w:customStyle="1" w:styleId="185">
    <w:name w:val="HTML 预设格式 字符"/>
    <w:basedOn w:val="75"/>
    <w:link w:val="66"/>
    <w:qFormat/>
    <w:uiPriority w:val="99"/>
    <w:rPr>
      <w:rFonts w:ascii="Arial" w:hAnsi="Arial"/>
      <w:sz w:val="21"/>
      <w:szCs w:val="21"/>
    </w:rPr>
  </w:style>
  <w:style w:type="character" w:customStyle="1" w:styleId="186">
    <w:name w:val="批注框文本 字符"/>
    <w:basedOn w:val="75"/>
    <w:link w:val="47"/>
    <w:qFormat/>
    <w:uiPriority w:val="0"/>
    <w:rPr>
      <w:rFonts w:ascii="Times New Roman" w:hAnsi="Times New Roman" w:eastAsia="宋体" w:cs="Times New Roman"/>
      <w:sz w:val="18"/>
      <w:szCs w:val="18"/>
    </w:rPr>
  </w:style>
  <w:style w:type="character" w:customStyle="1" w:styleId="187">
    <w:name w:val="正文1 Char Char"/>
    <w:qFormat/>
    <w:uiPriority w:val="0"/>
    <w:rPr>
      <w:rFonts w:ascii="宋体" w:hAnsi="宋体"/>
      <w:kern w:val="10"/>
      <w:sz w:val="21"/>
      <w:szCs w:val="24"/>
    </w:rPr>
  </w:style>
  <w:style w:type="character" w:customStyle="1" w:styleId="188">
    <w:name w:val="页脚 字符"/>
    <w:basedOn w:val="75"/>
    <w:link w:val="48"/>
    <w:qFormat/>
    <w:uiPriority w:val="99"/>
    <w:rPr>
      <w:rFonts w:ascii="Times New Roman" w:hAnsi="Times New Roman"/>
      <w:kern w:val="2"/>
      <w:sz w:val="18"/>
      <w:szCs w:val="18"/>
    </w:rPr>
  </w:style>
  <w:style w:type="character" w:customStyle="1" w:styleId="189">
    <w:name w:val="列表框2 Char Char"/>
    <w:qFormat/>
    <w:uiPriority w:val="0"/>
    <w:rPr>
      <w:snapToGrid/>
      <w:color w:val="7030A0"/>
      <w:spacing w:val="10"/>
      <w:sz w:val="24"/>
      <w:szCs w:val="24"/>
    </w:rPr>
  </w:style>
  <w:style w:type="character" w:customStyle="1" w:styleId="190">
    <w:name w:val="标题3 Char Char"/>
    <w:qFormat/>
    <w:uiPriority w:val="0"/>
    <w:rPr>
      <w:rFonts w:ascii="宋体" w:hAnsi="宋体"/>
      <w:b/>
      <w:bCs/>
      <w:color w:val="92D050"/>
      <w:kern w:val="44"/>
      <w:sz w:val="24"/>
      <w:szCs w:val="21"/>
    </w:rPr>
  </w:style>
  <w:style w:type="character" w:customStyle="1" w:styleId="191">
    <w:name w:val="标题 3 字符"/>
    <w:basedOn w:val="75"/>
    <w:link w:val="5"/>
    <w:qFormat/>
    <w:uiPriority w:val="0"/>
    <w:rPr>
      <w:rFonts w:ascii="Times New Roman" w:hAnsi="Times New Roman"/>
      <w:b/>
      <w:bCs/>
      <w:kern w:val="2"/>
      <w:sz w:val="32"/>
      <w:szCs w:val="32"/>
    </w:rPr>
  </w:style>
  <w:style w:type="character" w:customStyle="1" w:styleId="192">
    <w:name w:val="标题 1 字符"/>
    <w:basedOn w:val="75"/>
    <w:link w:val="3"/>
    <w:qFormat/>
    <w:uiPriority w:val="0"/>
    <w:rPr>
      <w:rFonts w:ascii="Times New Roman" w:hAnsi="Times New Roman"/>
      <w:b/>
      <w:bCs/>
      <w:kern w:val="44"/>
      <w:sz w:val="44"/>
      <w:szCs w:val="44"/>
    </w:rPr>
  </w:style>
  <w:style w:type="character" w:customStyle="1" w:styleId="193">
    <w:name w:val="标题 6 字符"/>
    <w:basedOn w:val="75"/>
    <w:link w:val="8"/>
    <w:qFormat/>
    <w:uiPriority w:val="0"/>
    <w:rPr>
      <w:rFonts w:ascii="Arial" w:hAnsi="Arial" w:eastAsia="黑体"/>
      <w:b/>
      <w:kern w:val="2"/>
      <w:sz w:val="24"/>
    </w:rPr>
  </w:style>
  <w:style w:type="character" w:customStyle="1" w:styleId="194">
    <w:name w:val="文档结构图 字符"/>
    <w:basedOn w:val="75"/>
    <w:link w:val="22"/>
    <w:qFormat/>
    <w:uiPriority w:val="0"/>
    <w:rPr>
      <w:rFonts w:ascii="宋体" w:hAnsi="Times New Roman" w:eastAsia="宋体" w:cs="Times New Roman"/>
      <w:sz w:val="18"/>
      <w:szCs w:val="18"/>
    </w:rPr>
  </w:style>
  <w:style w:type="character" w:customStyle="1" w:styleId="195">
    <w:name w:val="样式 宋体 行距: 固定值 24 磅 Char Char"/>
    <w:qFormat/>
    <w:uiPriority w:val="0"/>
    <w:rPr>
      <w:rFonts w:ascii="宋体" w:cs="宋体"/>
      <w:color w:val="7030A0"/>
      <w:kern w:val="2"/>
      <w:sz w:val="28"/>
    </w:rPr>
  </w:style>
  <w:style w:type="character" w:customStyle="1" w:styleId="196">
    <w:name w:val="样式 Char Char"/>
    <w:link w:val="197"/>
    <w:qFormat/>
    <w:uiPriority w:val="0"/>
    <w:rPr>
      <w:rFonts w:ascii="宋体" w:hAnsi="宋体" w:cs="宋体"/>
      <w:sz w:val="24"/>
      <w:szCs w:val="24"/>
      <w:lang w:val="en-US" w:eastAsia="zh-CN" w:bidi="ar-SA"/>
    </w:rPr>
  </w:style>
  <w:style w:type="paragraph" w:customStyle="1" w:styleId="197">
    <w:name w:val="样式"/>
    <w:link w:val="196"/>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8">
    <w:name w:val="无编号正文 Char Char"/>
    <w:link w:val="199"/>
    <w:qFormat/>
    <w:uiPriority w:val="0"/>
    <w:rPr>
      <w:rFonts w:ascii="宋体" w:hAnsi="宋体"/>
      <w:sz w:val="24"/>
      <w:szCs w:val="24"/>
    </w:rPr>
  </w:style>
  <w:style w:type="paragraph" w:customStyle="1" w:styleId="199">
    <w:name w:val="无编号正文"/>
    <w:basedOn w:val="29"/>
    <w:next w:val="1"/>
    <w:link w:val="198"/>
    <w:qFormat/>
    <w:uiPriority w:val="0"/>
    <w:pPr>
      <w:ind w:left="200" w:leftChars="200" w:firstLine="200" w:firstLineChars="200"/>
    </w:pPr>
    <w:rPr>
      <w:rFonts w:ascii="宋体" w:hAnsi="宋体"/>
      <w:kern w:val="0"/>
      <w:szCs w:val="24"/>
    </w:rPr>
  </w:style>
  <w:style w:type="character" w:customStyle="1" w:styleId="200">
    <w:name w:val="表图名称 Char Char"/>
    <w:link w:val="201"/>
    <w:qFormat/>
    <w:uiPriority w:val="0"/>
    <w:rPr>
      <w:rFonts w:ascii="黑体" w:hAnsi="宋体" w:eastAsia="黑体"/>
      <w:kern w:val="2"/>
      <w:sz w:val="24"/>
      <w:szCs w:val="24"/>
      <w:lang w:val="en-US" w:eastAsia="zh-CN" w:bidi="ar-SA"/>
    </w:rPr>
  </w:style>
  <w:style w:type="paragraph" w:customStyle="1" w:styleId="201">
    <w:name w:val="表图名称"/>
    <w:link w:val="200"/>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202">
    <w:name w:val="列表框1 Char Char"/>
    <w:qFormat/>
    <w:uiPriority w:val="0"/>
    <w:rPr>
      <w:rFonts w:ascii="Arial" w:hAnsi="Arial" w:eastAsia="楷体_GB2312" w:cs="Arial"/>
      <w:spacing w:val="10"/>
      <w:sz w:val="21"/>
      <w:lang w:val="en-US" w:eastAsia="zh-CN" w:bidi="ar-SA"/>
    </w:rPr>
  </w:style>
  <w:style w:type="character" w:customStyle="1" w:styleId="203">
    <w:name w:val="表格文字图表文字 Char"/>
    <w:link w:val="204"/>
    <w:qFormat/>
    <w:uiPriority w:val="0"/>
    <w:rPr>
      <w:rFonts w:ascii="Times New Roman" w:hAnsi="Times New Roman"/>
      <w:color w:val="7030A0"/>
      <w:kern w:val="2"/>
      <w:sz w:val="21"/>
    </w:rPr>
  </w:style>
  <w:style w:type="paragraph" w:customStyle="1" w:styleId="204">
    <w:name w:val="表格文字图表文字"/>
    <w:basedOn w:val="1"/>
    <w:link w:val="203"/>
    <w:qFormat/>
    <w:uiPriority w:val="0"/>
    <w:pPr>
      <w:snapToGrid w:val="0"/>
      <w:ind w:firstLine="200" w:firstLineChars="200"/>
      <w:jc w:val="center"/>
    </w:pPr>
    <w:rPr>
      <w:color w:val="7030A0"/>
      <w:szCs w:val="20"/>
    </w:rPr>
  </w:style>
  <w:style w:type="character" w:customStyle="1" w:styleId="205">
    <w:name w:val="批注文字 Char1"/>
    <w:semiHidden/>
    <w:qFormat/>
    <w:uiPriority w:val="0"/>
    <w:rPr>
      <w:kern w:val="2"/>
      <w:sz w:val="24"/>
      <w:szCs w:val="24"/>
    </w:rPr>
  </w:style>
  <w:style w:type="paragraph" w:customStyle="1" w:styleId="206">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07">
    <w:name w:val="通用"/>
    <w:basedOn w:val="1"/>
    <w:qFormat/>
    <w:uiPriority w:val="0"/>
    <w:pPr>
      <w:spacing w:line="360" w:lineRule="auto"/>
      <w:ind w:left="840" w:leftChars="400"/>
    </w:pPr>
    <w:rPr>
      <w:rFonts w:ascii="宋体" w:hAnsi="宋体"/>
      <w:szCs w:val="20"/>
    </w:rPr>
  </w:style>
  <w:style w:type="paragraph" w:customStyle="1" w:styleId="208">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09">
    <w:name w:val="1"/>
    <w:basedOn w:val="1"/>
    <w:next w:val="64"/>
    <w:qFormat/>
    <w:uiPriority w:val="0"/>
    <w:pPr>
      <w:spacing w:after="120" w:line="480" w:lineRule="auto"/>
      <w:ind w:firstLine="200" w:firstLineChars="200"/>
      <w:jc w:val="left"/>
    </w:pPr>
    <w:rPr>
      <w:color w:val="7030A0"/>
    </w:rPr>
  </w:style>
  <w:style w:type="paragraph" w:customStyle="1" w:styleId="2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11">
    <w:name w:val="Footer First"/>
    <w:basedOn w:val="4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12">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13">
    <w:name w:val="样式 宋体 行距: 1.5 倍行距"/>
    <w:basedOn w:val="1"/>
    <w:qFormat/>
    <w:uiPriority w:val="0"/>
    <w:pPr>
      <w:ind w:firstLine="200" w:firstLineChars="200"/>
      <w:jc w:val="left"/>
    </w:pPr>
    <w:rPr>
      <w:rFonts w:ascii="宋体" w:hAnsi="宋体"/>
      <w:color w:val="7030A0"/>
      <w:szCs w:val="20"/>
    </w:rPr>
  </w:style>
  <w:style w:type="paragraph" w:customStyle="1" w:styleId="214">
    <w:name w:val="样式 左侧:  2 字符 段前: 0.5 行"/>
    <w:basedOn w:val="1"/>
    <w:qFormat/>
    <w:uiPriority w:val="0"/>
    <w:pPr>
      <w:spacing w:beforeLines="50"/>
      <w:ind w:firstLine="200" w:firstLineChars="200"/>
    </w:pPr>
    <w:rPr>
      <w:rFonts w:ascii="宋体" w:cs="宋体"/>
      <w:sz w:val="24"/>
      <w:szCs w:val="20"/>
    </w:rPr>
  </w:style>
  <w:style w:type="paragraph" w:customStyle="1" w:styleId="215">
    <w:name w:val="八级正文格式"/>
    <w:basedOn w:val="165"/>
    <w:qFormat/>
    <w:uiPriority w:val="0"/>
    <w:pPr>
      <w:spacing w:after="120"/>
      <w:ind w:firstLine="0" w:firstLineChars="0"/>
    </w:pPr>
  </w:style>
  <w:style w:type="paragraph" w:customStyle="1" w:styleId="2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17">
    <w:name w:val="样式 样式 列表框 Char Char Char Char Char + 段后: 0.5 行 + 左侧:  6 字符 首行缩进..."/>
    <w:basedOn w:val="218"/>
    <w:qFormat/>
    <w:uiPriority w:val="0"/>
    <w:pPr>
      <w:tabs>
        <w:tab w:val="left" w:pos="420"/>
        <w:tab w:val="left" w:pos="2297"/>
      </w:tabs>
      <w:ind w:left="2297" w:leftChars="0" w:hanging="420" w:firstLineChars="0"/>
    </w:pPr>
  </w:style>
  <w:style w:type="paragraph" w:customStyle="1" w:styleId="218">
    <w:name w:val="样式 列表框 Char Char Char Char Char + 段后: 0.5 行"/>
    <w:basedOn w:val="219"/>
    <w:qFormat/>
    <w:uiPriority w:val="0"/>
    <w:pPr>
      <w:tabs>
        <w:tab w:val="left" w:pos="420"/>
      </w:tabs>
      <w:spacing w:after="156"/>
    </w:pPr>
    <w:rPr>
      <w:szCs w:val="20"/>
    </w:rPr>
  </w:style>
  <w:style w:type="paragraph" w:customStyle="1" w:styleId="219">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2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1">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2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23">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24">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225">
    <w:name w:val="正文文本缩进 2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26">
    <w:name w:val="批注框文本1"/>
    <w:basedOn w:val="1"/>
    <w:qFormat/>
    <w:uiPriority w:val="0"/>
    <w:rPr>
      <w:sz w:val="16"/>
      <w:szCs w:val="16"/>
    </w:rPr>
  </w:style>
  <w:style w:type="paragraph" w:customStyle="1" w:styleId="227">
    <w:name w:val="*"/>
    <w:basedOn w:val="1"/>
    <w:qFormat/>
    <w:uiPriority w:val="0"/>
    <w:pPr>
      <w:spacing w:line="360" w:lineRule="auto"/>
    </w:pPr>
    <w:rPr>
      <w:rFonts w:ascii="宋体" w:hAnsi="宋体"/>
      <w:kern w:val="0"/>
      <w:sz w:val="24"/>
    </w:rPr>
  </w:style>
  <w:style w:type="paragraph" w:customStyle="1" w:styleId="22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9">
    <w:name w:val="表格标题"/>
    <w:basedOn w:val="7"/>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30">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231">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32">
    <w:name w:val="表格文字"/>
    <w:basedOn w:val="204"/>
    <w:qFormat/>
    <w:uiPriority w:val="0"/>
  </w:style>
  <w:style w:type="paragraph" w:customStyle="1" w:styleId="233">
    <w:name w:val="二级标题格式"/>
    <w:basedOn w:val="4"/>
    <w:qFormat/>
    <w:uiPriority w:val="0"/>
    <w:pPr>
      <w:keepNext w:val="0"/>
      <w:keepLines w:val="0"/>
      <w:spacing w:before="0" w:afterLines="100" w:line="240" w:lineRule="auto"/>
      <w:jc w:val="left"/>
    </w:pPr>
    <w:rPr>
      <w:rFonts w:ascii="Times New Roman" w:hAnsi="Times New Roman"/>
      <w:color w:val="C00000"/>
      <w:sz w:val="28"/>
      <w:szCs w:val="28"/>
    </w:rPr>
  </w:style>
  <w:style w:type="paragraph" w:customStyle="1" w:styleId="234">
    <w:name w:val="样式 标题 1标题 1 1编号标题1标题1 + 宋体 加粗"/>
    <w:basedOn w:val="3"/>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35">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6">
    <w:name w:val="列表框 Char Char Char Char Char"/>
    <w:basedOn w:val="219"/>
    <w:next w:val="219"/>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7">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38">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0">
    <w:name w:val="Sprechblasentext"/>
    <w:basedOn w:val="1"/>
    <w:qFormat/>
    <w:uiPriority w:val="0"/>
    <w:pPr>
      <w:spacing w:line="300" w:lineRule="atLeast"/>
      <w:ind w:firstLine="709"/>
    </w:pPr>
    <w:rPr>
      <w:rFonts w:ascii="Tahoma" w:hAnsi="Tahoma" w:cs="Tahoma"/>
      <w:sz w:val="16"/>
      <w:szCs w:val="16"/>
    </w:rPr>
  </w:style>
  <w:style w:type="paragraph" w:customStyle="1" w:styleId="241">
    <w:name w:val="p0"/>
    <w:basedOn w:val="1"/>
    <w:qFormat/>
    <w:uiPriority w:val="0"/>
    <w:pPr>
      <w:widowControl/>
    </w:pPr>
    <w:rPr>
      <w:kern w:val="0"/>
      <w:szCs w:val="21"/>
    </w:rPr>
  </w:style>
  <w:style w:type="paragraph" w:customStyle="1" w:styleId="242">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43">
    <w:name w:val="表格正文"/>
    <w:basedOn w:val="1"/>
    <w:next w:val="1"/>
    <w:qFormat/>
    <w:uiPriority w:val="0"/>
    <w:pPr>
      <w:adjustRightInd w:val="0"/>
      <w:snapToGrid w:val="0"/>
      <w:jc w:val="center"/>
    </w:pPr>
    <w:rPr>
      <w:color w:val="548DD4"/>
    </w:rPr>
  </w:style>
  <w:style w:type="paragraph" w:customStyle="1" w:styleId="244">
    <w:name w:val="样式1"/>
    <w:basedOn w:val="49"/>
    <w:next w:val="1"/>
    <w:qFormat/>
    <w:uiPriority w:val="0"/>
    <w:pPr>
      <w:jc w:val="left"/>
    </w:pPr>
  </w:style>
  <w:style w:type="paragraph" w:customStyle="1" w:styleId="245">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8">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4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0">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5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52">
    <w:name w:val="默认段落字体 Para Char Char Char Char Char Char Char"/>
    <w:basedOn w:val="1"/>
    <w:qFormat/>
    <w:uiPriority w:val="0"/>
    <w:pPr>
      <w:tabs>
        <w:tab w:val="left" w:pos="4665"/>
        <w:tab w:val="left" w:pos="8970"/>
      </w:tabs>
      <w:ind w:firstLine="400"/>
    </w:pPr>
    <w:rPr>
      <w:szCs w:val="20"/>
    </w:rPr>
  </w:style>
  <w:style w:type="paragraph" w:customStyle="1" w:styleId="25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54">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55">
    <w:name w:val="招标文件》"/>
    <w:basedOn w:val="256"/>
    <w:qFormat/>
    <w:uiPriority w:val="0"/>
    <w:pPr>
      <w:tabs>
        <w:tab w:val="left" w:pos="560"/>
      </w:tabs>
      <w:ind w:left="200" w:firstLine="0" w:firstLineChars="0"/>
    </w:pPr>
  </w:style>
  <w:style w:type="paragraph" w:customStyle="1" w:styleId="256">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57">
    <w:name w:val="Numbered List"/>
    <w:basedOn w:val="4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58">
    <w:name w:val="列出段落1"/>
    <w:basedOn w:val="1"/>
    <w:qFormat/>
    <w:uiPriority w:val="34"/>
    <w:pPr>
      <w:ind w:firstLine="420" w:firstLineChars="200"/>
    </w:pPr>
    <w:rPr>
      <w:szCs w:val="20"/>
    </w:rPr>
  </w:style>
  <w:style w:type="paragraph" w:customStyle="1" w:styleId="259">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60">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61">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62">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63">
    <w:name w:val="Char1 Char Char1 Char Char Char Char Char Char"/>
    <w:basedOn w:val="1"/>
    <w:qFormat/>
    <w:uiPriority w:val="0"/>
  </w:style>
  <w:style w:type="paragraph" w:customStyle="1" w:styleId="264">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65">
    <w:name w:val="样式 标题 5 + 右侧:  -0.18 字符"/>
    <w:basedOn w:val="1"/>
    <w:qFormat/>
    <w:uiPriority w:val="0"/>
    <w:pPr>
      <w:tabs>
        <w:tab w:val="left" w:pos="1008"/>
      </w:tabs>
      <w:ind w:left="1134" w:hanging="1134"/>
    </w:pPr>
  </w:style>
  <w:style w:type="paragraph" w:customStyle="1" w:styleId="266">
    <w:name w:val="xl24"/>
    <w:basedOn w:val="1"/>
    <w:qFormat/>
    <w:uiPriority w:val="0"/>
    <w:pPr>
      <w:widowControl/>
      <w:spacing w:before="100" w:beforeAutospacing="1" w:after="100" w:afterAutospacing="1"/>
      <w:jc w:val="left"/>
    </w:pPr>
    <w:rPr>
      <w:kern w:val="0"/>
      <w:sz w:val="24"/>
    </w:rPr>
  </w:style>
  <w:style w:type="paragraph" w:customStyle="1" w:styleId="267">
    <w:name w:val="xl28"/>
    <w:basedOn w:val="1"/>
    <w:qFormat/>
    <w:uiPriority w:val="0"/>
    <w:pPr>
      <w:widowControl/>
      <w:spacing w:before="100" w:beforeAutospacing="1" w:after="100" w:afterAutospacing="1"/>
      <w:jc w:val="center"/>
    </w:pPr>
    <w:rPr>
      <w:kern w:val="0"/>
      <w:sz w:val="24"/>
    </w:rPr>
  </w:style>
  <w:style w:type="paragraph" w:customStyle="1" w:styleId="268">
    <w:name w:val="默认段落字体 Para Char Char Char Char"/>
    <w:basedOn w:val="1"/>
    <w:qFormat/>
    <w:uiPriority w:val="0"/>
    <w:rPr>
      <w:szCs w:val="20"/>
    </w:rPr>
  </w:style>
  <w:style w:type="paragraph" w:customStyle="1" w:styleId="269">
    <w:name w:val="註解方塊文字"/>
    <w:basedOn w:val="1"/>
    <w:qFormat/>
    <w:uiPriority w:val="0"/>
    <w:pPr>
      <w:widowControl/>
      <w:jc w:val="left"/>
    </w:pPr>
    <w:rPr>
      <w:rFonts w:ascii="Arial" w:hAnsi="Arial" w:eastAsia="PMingLiU"/>
      <w:kern w:val="0"/>
      <w:sz w:val="18"/>
      <w:szCs w:val="18"/>
      <w:lang w:eastAsia="zh-HK"/>
    </w:rPr>
  </w:style>
  <w:style w:type="paragraph" w:customStyle="1" w:styleId="270">
    <w:name w:val="标题四"/>
    <w:basedOn w:val="271"/>
    <w:semiHidden/>
    <w:qFormat/>
    <w:uiPriority w:val="0"/>
    <w:pPr>
      <w:tabs>
        <w:tab w:val="left" w:pos="0"/>
      </w:tabs>
      <w:spacing w:line="360" w:lineRule="auto"/>
      <w:ind w:left="0"/>
    </w:pPr>
    <w:rPr>
      <w:rFonts w:ascii="Tahoma" w:hAnsi="Tahoma"/>
      <w:sz w:val="24"/>
      <w:szCs w:val="24"/>
    </w:rPr>
  </w:style>
  <w:style w:type="paragraph" w:customStyle="1" w:styleId="271">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2">
    <w:name w:val="font5"/>
    <w:basedOn w:val="1"/>
    <w:qFormat/>
    <w:uiPriority w:val="0"/>
    <w:pPr>
      <w:widowControl/>
      <w:spacing w:before="100" w:beforeAutospacing="1" w:after="100" w:afterAutospacing="1"/>
      <w:jc w:val="left"/>
    </w:pPr>
    <w:rPr>
      <w:b/>
      <w:bCs/>
      <w:kern w:val="0"/>
      <w:sz w:val="22"/>
      <w:szCs w:val="22"/>
    </w:rPr>
  </w:style>
  <w:style w:type="paragraph" w:customStyle="1" w:styleId="273">
    <w:name w:val="Char Char Char Char Char"/>
    <w:basedOn w:val="1"/>
    <w:qFormat/>
    <w:uiPriority w:val="0"/>
    <w:pPr>
      <w:ind w:firstLine="200" w:firstLineChars="200"/>
      <w:jc w:val="left"/>
    </w:pPr>
    <w:rPr>
      <w:rFonts w:ascii="Tahoma" w:hAnsi="Tahoma"/>
      <w:color w:val="7030A0"/>
      <w:sz w:val="24"/>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5">
    <w:name w:val="样式 标题 4 + 段前: 自动"/>
    <w:basedOn w:val="6"/>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76">
    <w:name w:val="顺序编号-zlb"/>
    <w:basedOn w:val="277"/>
    <w:qFormat/>
    <w:uiPriority w:val="0"/>
    <w:pPr>
      <w:tabs>
        <w:tab w:val="left" w:pos="0"/>
      </w:tabs>
      <w:ind w:firstLine="425"/>
      <w:outlineLvl w:val="8"/>
    </w:pPr>
  </w:style>
  <w:style w:type="paragraph" w:customStyle="1" w:styleId="277">
    <w:name w:val="级别4"/>
    <w:basedOn w:val="278"/>
    <w:qFormat/>
    <w:uiPriority w:val="0"/>
    <w:pPr>
      <w:tabs>
        <w:tab w:val="left" w:pos="0"/>
      </w:tabs>
      <w:outlineLvl w:val="3"/>
    </w:pPr>
    <w:rPr>
      <w:b w:val="0"/>
      <w:kern w:val="0"/>
    </w:rPr>
  </w:style>
  <w:style w:type="paragraph" w:customStyle="1" w:styleId="278">
    <w:name w:val="级别2"/>
    <w:basedOn w:val="3"/>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0">
    <w:name w:val="专用"/>
    <w:basedOn w:val="1"/>
    <w:qFormat/>
    <w:uiPriority w:val="0"/>
    <w:pPr>
      <w:spacing w:afterLines="100"/>
      <w:ind w:left="838" w:hanging="838" w:hangingChars="262"/>
    </w:pPr>
    <w:rPr>
      <w:rFonts w:ascii="宋体"/>
      <w:b/>
      <w:color w:val="000000"/>
      <w:sz w:val="32"/>
      <w:szCs w:val="20"/>
    </w:rPr>
  </w:style>
  <w:style w:type="paragraph" w:customStyle="1" w:styleId="281">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2">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83">
    <w:name w:val="Sub title 1"/>
    <w:basedOn w:val="264"/>
    <w:qFormat/>
    <w:uiPriority w:val="0"/>
    <w:pPr>
      <w:tabs>
        <w:tab w:val="left" w:pos="1304"/>
      </w:tabs>
      <w:ind w:left="1304" w:hanging="170"/>
    </w:pPr>
    <w:rPr>
      <w:color w:val="auto"/>
    </w:rPr>
  </w:style>
  <w:style w:type="paragraph" w:customStyle="1" w:styleId="284">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5">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86">
    <w:name w:val="正缩2字符"/>
    <w:basedOn w:val="1"/>
    <w:qFormat/>
    <w:uiPriority w:val="0"/>
    <w:pPr>
      <w:spacing w:line="480" w:lineRule="exact"/>
      <w:ind w:firstLine="200" w:firstLineChars="200"/>
    </w:pPr>
    <w:rPr>
      <w:sz w:val="24"/>
    </w:rPr>
  </w:style>
  <w:style w:type="paragraph" w:customStyle="1" w:styleId="287">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88">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89">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9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1">
    <w:name w:val="级别3"/>
    <w:basedOn w:val="278"/>
    <w:qFormat/>
    <w:uiPriority w:val="0"/>
    <w:pPr>
      <w:ind w:firstLine="425"/>
      <w:outlineLvl w:val="2"/>
    </w:pPr>
    <w:rPr>
      <w:b w:val="0"/>
    </w:rPr>
  </w:style>
  <w:style w:type="paragraph" w:customStyle="1" w:styleId="292">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93">
    <w:name w:val="样式 标题 3列表编号33 bulletb23 bullet1b1213 bullet2b2223 bul...2"/>
    <w:basedOn w:val="1"/>
    <w:qFormat/>
    <w:uiPriority w:val="0"/>
    <w:pPr>
      <w:ind w:left="1320" w:hanging="420" w:firstLineChars="200"/>
      <w:jc w:val="left"/>
    </w:pPr>
    <w:rPr>
      <w:color w:val="7030A0"/>
    </w:rPr>
  </w:style>
  <w:style w:type="paragraph" w:customStyle="1" w:styleId="294">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5">
    <w:name w:val="附图 BJ8"/>
    <w:basedOn w:val="1"/>
    <w:qFormat/>
    <w:uiPriority w:val="0"/>
    <w:pPr>
      <w:adjustRightInd w:val="0"/>
      <w:snapToGrid w:val="0"/>
      <w:ind w:firstLine="200" w:firstLineChars="200"/>
      <w:jc w:val="center"/>
    </w:pPr>
    <w:rPr>
      <w:rFonts w:hAnsi="Arial"/>
      <w:color w:val="7030A0"/>
      <w:kern w:val="0"/>
    </w:rPr>
  </w:style>
  <w:style w:type="paragraph" w:customStyle="1" w:styleId="296">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7">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98">
    <w:name w:val="Report Level 1"/>
    <w:basedOn w:val="1"/>
    <w:next w:val="299"/>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99">
    <w:name w:val="Report Text"/>
    <w:basedOn w:val="1"/>
    <w:qFormat/>
    <w:uiPriority w:val="0"/>
    <w:pPr>
      <w:widowControl/>
      <w:spacing w:after="138"/>
      <w:ind w:left="1080" w:firstLine="200" w:firstLineChars="200"/>
      <w:jc w:val="left"/>
    </w:pPr>
    <w:rPr>
      <w:color w:val="7030A0"/>
      <w:kern w:val="0"/>
      <w:sz w:val="22"/>
      <w:szCs w:val="20"/>
      <w:lang w:val="en-GB" w:eastAsia="en-US"/>
    </w:rPr>
  </w:style>
  <w:style w:type="paragraph" w:customStyle="1" w:styleId="300">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01">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30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3">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04">
    <w:name w:val="级别5"/>
    <w:basedOn w:val="277"/>
    <w:qFormat/>
    <w:uiPriority w:val="0"/>
    <w:pPr>
      <w:outlineLvl w:val="4"/>
    </w:pPr>
  </w:style>
  <w:style w:type="paragraph" w:customStyle="1" w:styleId="305">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06">
    <w:name w:val="级别1"/>
    <w:basedOn w:val="3"/>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07">
    <w:name w:val="纯文本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08">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9">
    <w:name w:val="标准"/>
    <w:basedOn w:val="1"/>
    <w:qFormat/>
    <w:uiPriority w:val="0"/>
    <w:pPr>
      <w:adjustRightInd w:val="0"/>
      <w:spacing w:line="312" w:lineRule="atLeast"/>
      <w:jc w:val="center"/>
      <w:textAlignment w:val="baseline"/>
    </w:pPr>
    <w:rPr>
      <w:kern w:val="24"/>
      <w:sz w:val="24"/>
    </w:rPr>
  </w:style>
  <w:style w:type="paragraph" w:customStyle="1" w:styleId="310">
    <w:name w:val="1.1"/>
    <w:basedOn w:val="4"/>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kern w:val="0"/>
      <w:sz w:val="21"/>
      <w:szCs w:val="20"/>
    </w:rPr>
  </w:style>
  <w:style w:type="paragraph" w:customStyle="1" w:styleId="311">
    <w:name w:val="Char Char Char Char"/>
    <w:basedOn w:val="22"/>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12">
    <w:name w:val="标题2 Char"/>
    <w:basedOn w:val="4"/>
    <w:qFormat/>
    <w:uiPriority w:val="0"/>
    <w:pPr>
      <w:tabs>
        <w:tab w:val="left" w:pos="709"/>
      </w:tabs>
      <w:adjustRightInd w:val="0"/>
      <w:spacing w:before="0" w:after="0" w:line="360" w:lineRule="auto"/>
      <w:ind w:left="709" w:hanging="709"/>
      <w:textAlignment w:val="baseline"/>
    </w:pPr>
    <w:rPr>
      <w:rFonts w:eastAsia="仿宋_GB2312" w:cs="Arial"/>
      <w:kern w:val="0"/>
      <w:sz w:val="21"/>
      <w:szCs w:val="24"/>
    </w:rPr>
  </w:style>
  <w:style w:type="paragraph" w:customStyle="1" w:styleId="313">
    <w:name w:val="样式 标题2 + 字距调整8 磅"/>
    <w:basedOn w:val="312"/>
    <w:qFormat/>
    <w:uiPriority w:val="0"/>
    <w:pPr>
      <w:tabs>
        <w:tab w:val="clear" w:pos="709"/>
      </w:tabs>
    </w:pPr>
    <w:rPr>
      <w:kern w:val="16"/>
    </w:rPr>
  </w:style>
  <w:style w:type="paragraph" w:customStyle="1" w:styleId="314">
    <w:name w:val="Char Char Char Char Char Char1 Char Char Char Char"/>
    <w:basedOn w:val="1"/>
    <w:qFormat/>
    <w:uiPriority w:val="0"/>
    <w:rPr>
      <w:rFonts w:ascii="仿宋_GB2312" w:eastAsia="仿宋_GB2312"/>
      <w:b/>
      <w:sz w:val="32"/>
      <w:szCs w:val="32"/>
    </w:rPr>
  </w:style>
  <w:style w:type="paragraph" w:customStyle="1" w:styleId="315">
    <w:name w:val="xl32"/>
    <w:basedOn w:val="1"/>
    <w:qFormat/>
    <w:uiPriority w:val="0"/>
    <w:pPr>
      <w:widowControl/>
      <w:spacing w:before="100" w:beforeAutospacing="1" w:after="100" w:afterAutospacing="1"/>
      <w:jc w:val="center"/>
    </w:pPr>
    <w:rPr>
      <w:b/>
      <w:bCs/>
      <w:kern w:val="0"/>
      <w:sz w:val="24"/>
      <w:u w:val="single"/>
    </w:rPr>
  </w:style>
  <w:style w:type="paragraph" w:customStyle="1" w:styleId="3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7">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318">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9">
    <w:name w:val="级别6"/>
    <w:basedOn w:val="304"/>
    <w:qFormat/>
    <w:uiPriority w:val="0"/>
    <w:pPr>
      <w:tabs>
        <w:tab w:val="left" w:pos="405"/>
        <w:tab w:val="clear" w:pos="0"/>
      </w:tabs>
      <w:ind w:left="409" w:hanging="23"/>
      <w:outlineLvl w:val="5"/>
    </w:pPr>
  </w:style>
  <w:style w:type="paragraph" w:customStyle="1" w:styleId="320">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2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2">
    <w:name w:val="样式 标题 2标题 1.1head:2#2 headlinehheadlineS&amp;R2ERMH2Head 2 +..."/>
    <w:basedOn w:val="4"/>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4">
    <w:name w:val="样式4"/>
    <w:basedOn w:val="1"/>
    <w:next w:val="4"/>
    <w:qFormat/>
    <w:uiPriority w:val="0"/>
    <w:pPr>
      <w:tabs>
        <w:tab w:val="left" w:pos="360"/>
      </w:tabs>
      <w:spacing w:line="360" w:lineRule="auto"/>
      <w:ind w:left="360" w:hanging="360"/>
    </w:pPr>
    <w:rPr>
      <w:rFonts w:ascii="宋体" w:hAnsi="宋体"/>
      <w:b/>
      <w:sz w:val="28"/>
      <w:szCs w:val="20"/>
    </w:rPr>
  </w:style>
  <w:style w:type="paragraph" w:customStyle="1" w:styleId="325">
    <w:name w:val="一"/>
    <w:basedOn w:val="3"/>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6">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7">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8">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29">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30">
    <w:name w:val="三点段 Char"/>
    <w:basedOn w:val="1"/>
    <w:qFormat/>
    <w:uiPriority w:val="0"/>
    <w:pPr>
      <w:spacing w:line="360" w:lineRule="auto"/>
      <w:ind w:left="1200" w:hanging="1200" w:hangingChars="500"/>
    </w:pPr>
    <w:rPr>
      <w:rFonts w:hint="eastAsia" w:ascii="宋体"/>
      <w:sz w:val="24"/>
    </w:rPr>
  </w:style>
  <w:style w:type="paragraph" w:customStyle="1" w:styleId="331">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332">
    <w:name w:val="小标题一"/>
    <w:basedOn w:val="1"/>
    <w:next w:val="1"/>
    <w:qFormat/>
    <w:uiPriority w:val="0"/>
    <w:pPr>
      <w:tabs>
        <w:tab w:val="left" w:pos="1080"/>
      </w:tabs>
      <w:spacing w:line="500" w:lineRule="exact"/>
      <w:ind w:left="1080" w:hanging="1080"/>
    </w:pPr>
    <w:rPr>
      <w:sz w:val="28"/>
      <w:szCs w:val="20"/>
    </w:rPr>
  </w:style>
  <w:style w:type="paragraph" w:customStyle="1" w:styleId="333">
    <w:name w:val="Char"/>
    <w:basedOn w:val="1"/>
    <w:qFormat/>
    <w:uiPriority w:val="0"/>
    <w:rPr>
      <w:rFonts w:ascii="仿宋_GB2312" w:eastAsia="仿宋_GB2312"/>
      <w:b/>
      <w:sz w:val="32"/>
      <w:szCs w:val="32"/>
    </w:rPr>
  </w:style>
  <w:style w:type="paragraph" w:customStyle="1" w:styleId="334">
    <w:name w:val="文档正文"/>
    <w:basedOn w:val="1"/>
    <w:qFormat/>
    <w:uiPriority w:val="0"/>
    <w:pPr>
      <w:spacing w:line="360" w:lineRule="auto"/>
      <w:ind w:firstLine="200" w:firstLineChars="200"/>
    </w:pPr>
    <w:rPr>
      <w:rFonts w:ascii="宋体" w:hAnsi="宋体"/>
      <w:sz w:val="24"/>
    </w:rPr>
  </w:style>
  <w:style w:type="paragraph" w:customStyle="1" w:styleId="335">
    <w:name w:val="标题1"/>
    <w:basedOn w:val="3"/>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36">
    <w:name w:val="合同书"/>
    <w:basedOn w:val="1"/>
    <w:qFormat/>
    <w:uiPriority w:val="0"/>
    <w:pPr>
      <w:spacing w:afterLines="100"/>
      <w:jc w:val="center"/>
    </w:pPr>
    <w:rPr>
      <w:rFonts w:hAnsi="宋体"/>
      <w:b/>
      <w:color w:val="000000"/>
      <w:sz w:val="44"/>
      <w:szCs w:val="44"/>
    </w:rPr>
  </w:style>
  <w:style w:type="paragraph" w:customStyle="1" w:styleId="337">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338">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39">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40">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41">
    <w:name w:val="Char Char Char Char Char Char Char"/>
    <w:basedOn w:val="1"/>
    <w:qFormat/>
    <w:uiPriority w:val="0"/>
    <w:rPr>
      <w:rFonts w:ascii="仿宋_GB2312" w:eastAsia="仿宋_GB2312"/>
      <w:b/>
      <w:sz w:val="32"/>
      <w:szCs w:val="32"/>
    </w:rPr>
  </w:style>
  <w:style w:type="paragraph" w:customStyle="1" w:styleId="342">
    <w:name w:val="样式 目录 1 + 左侧:  3 字符"/>
    <w:basedOn w:val="50"/>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43">
    <w:name w:val="章节标题 BJ8"/>
    <w:basedOn w:val="179"/>
    <w:next w:val="179"/>
    <w:qFormat/>
    <w:uiPriority w:val="0"/>
    <w:pPr>
      <w:ind w:firstLine="0" w:firstLineChars="0"/>
      <w:jc w:val="center"/>
    </w:pPr>
    <w:rPr>
      <w:rFonts w:eastAsia="黑体"/>
      <w:b/>
      <w:sz w:val="44"/>
      <w:szCs w:val="84"/>
    </w:rPr>
  </w:style>
  <w:style w:type="paragraph" w:customStyle="1" w:styleId="344">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45">
    <w:name w:val="表格"/>
    <w:basedOn w:val="1"/>
    <w:qFormat/>
    <w:uiPriority w:val="0"/>
    <w:pPr>
      <w:widowControl/>
      <w:snapToGrid w:val="0"/>
      <w:spacing w:before="60" w:after="60"/>
      <w:jc w:val="left"/>
    </w:pPr>
    <w:rPr>
      <w:rFonts w:ascii="宋体"/>
      <w:sz w:val="20"/>
      <w:szCs w:val="20"/>
    </w:rPr>
  </w:style>
  <w:style w:type="paragraph" w:customStyle="1" w:styleId="346">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9">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350">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51">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52">
    <w:name w:val="青岛正文"/>
    <w:basedOn w:val="1"/>
    <w:qFormat/>
    <w:uiPriority w:val="0"/>
    <w:pPr>
      <w:spacing w:line="360" w:lineRule="auto"/>
    </w:pPr>
    <w:rPr>
      <w:sz w:val="28"/>
    </w:rPr>
  </w:style>
  <w:style w:type="paragraph" w:customStyle="1" w:styleId="353">
    <w:name w:val="样式 样式 列表框 Char Char Char Char Char + 右侧:  -0.05 字符 段后: 0.5 行 + 右..."/>
    <w:basedOn w:val="354"/>
    <w:qFormat/>
    <w:uiPriority w:val="0"/>
    <w:pPr>
      <w:tabs>
        <w:tab w:val="left" w:pos="375"/>
        <w:tab w:val="left" w:pos="630"/>
      </w:tabs>
    </w:pPr>
  </w:style>
  <w:style w:type="paragraph" w:customStyle="1" w:styleId="354">
    <w:name w:val="样式 列表框 Char Char Char Char Char + 右侧:  -0.05 字符 段后: 0.5 行"/>
    <w:basedOn w:val="236"/>
    <w:qFormat/>
    <w:uiPriority w:val="0"/>
    <w:pPr>
      <w:tabs>
        <w:tab w:val="left" w:pos="375"/>
        <w:tab w:val="clear" w:pos="450"/>
        <w:tab w:val="clear" w:pos="874"/>
      </w:tabs>
      <w:ind w:left="0" w:firstLine="0"/>
    </w:pPr>
    <w:rPr>
      <w:szCs w:val="20"/>
    </w:rPr>
  </w:style>
  <w:style w:type="paragraph" w:customStyle="1" w:styleId="355">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56">
    <w:name w:val="正文文本 2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7">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9">
    <w:name w:val="修订1"/>
    <w:qFormat/>
    <w:uiPriority w:val="0"/>
    <w:rPr>
      <w:rFonts w:ascii="Times New Roman" w:hAnsi="Times New Roman" w:eastAsia="宋体" w:cs="Times New Roman"/>
      <w:kern w:val="2"/>
      <w:sz w:val="21"/>
      <w:lang w:val="en-US" w:eastAsia="zh-CN" w:bidi="ar-SA"/>
    </w:rPr>
  </w:style>
  <w:style w:type="paragraph" w:customStyle="1" w:styleId="360">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61">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62">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63">
    <w:name w:val="样式 标题 2标题 1.1编号标题2head:2#2 headlinehheadlineS&amp;R2ERMH2He..."/>
    <w:basedOn w:val="4"/>
    <w:qFormat/>
    <w:uiPriority w:val="0"/>
    <w:pPr>
      <w:keepNext w:val="0"/>
      <w:keepLines w:val="0"/>
      <w:spacing w:before="120" w:after="120" w:line="500" w:lineRule="exact"/>
      <w:jc w:val="left"/>
    </w:pPr>
    <w:rPr>
      <w:rFonts w:cs="宋体"/>
      <w:color w:val="C00000"/>
      <w:kern w:val="44"/>
      <w:sz w:val="28"/>
      <w:szCs w:val="20"/>
    </w:rPr>
  </w:style>
  <w:style w:type="paragraph" w:customStyle="1" w:styleId="364">
    <w:name w:val="章节标题 QD3"/>
    <w:basedOn w:val="177"/>
    <w:next w:val="177"/>
    <w:qFormat/>
    <w:uiPriority w:val="0"/>
    <w:pPr>
      <w:ind w:firstLine="0" w:firstLineChars="0"/>
      <w:jc w:val="center"/>
    </w:pPr>
    <w:rPr>
      <w:rFonts w:eastAsia="黑体"/>
      <w:b/>
      <w:sz w:val="44"/>
      <w:szCs w:val="84"/>
    </w:rPr>
  </w:style>
  <w:style w:type="paragraph" w:customStyle="1" w:styleId="365">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66">
    <w:name w:val="xiao b"/>
    <w:basedOn w:val="1"/>
    <w:qFormat/>
    <w:uiPriority w:val="0"/>
    <w:pPr>
      <w:ind w:firstLine="200" w:firstLineChars="200"/>
      <w:jc w:val="center"/>
    </w:pPr>
    <w:rPr>
      <w:rFonts w:eastAsia="黑体"/>
      <w:color w:val="7030A0"/>
      <w:sz w:val="24"/>
      <w:szCs w:val="20"/>
    </w:rPr>
  </w:style>
  <w:style w:type="paragraph" w:customStyle="1" w:styleId="367">
    <w:name w:val="样式 标题 4 + 加粗"/>
    <w:basedOn w:val="6"/>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68">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9">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70">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71">
    <w:name w:val="正文2"/>
    <w:basedOn w:val="29"/>
    <w:qFormat/>
    <w:uiPriority w:val="0"/>
    <w:pPr>
      <w:ind w:firstLine="480" w:firstLineChars="200"/>
      <w:jc w:val="left"/>
    </w:pPr>
    <w:rPr>
      <w:rFonts w:ascii="宋体"/>
      <w:color w:val="7030A0"/>
      <w:szCs w:val="24"/>
    </w:rPr>
  </w:style>
  <w:style w:type="paragraph" w:customStyle="1" w:styleId="372">
    <w:name w:val="列表框1"/>
    <w:basedOn w:val="308"/>
    <w:next w:val="308"/>
    <w:qFormat/>
    <w:uiPriority w:val="0"/>
    <w:pPr>
      <w:tabs>
        <w:tab w:val="left" w:pos="960"/>
        <w:tab w:val="left" w:pos="1314"/>
      </w:tabs>
      <w:snapToGrid w:val="0"/>
      <w:ind w:left="1328" w:leftChars="397" w:hanging="375" w:hangingChars="163"/>
    </w:pPr>
    <w:rPr>
      <w:rFonts w:cs="Arial"/>
    </w:rPr>
  </w:style>
  <w:style w:type="paragraph" w:customStyle="1" w:styleId="373">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74">
    <w:name w:val="五级"/>
    <w:basedOn w:val="4"/>
    <w:qFormat/>
    <w:uiPriority w:val="0"/>
    <w:pPr>
      <w:keepNext w:val="0"/>
      <w:keepLines w:val="0"/>
      <w:tabs>
        <w:tab w:val="left" w:pos="851"/>
      </w:tabs>
      <w:spacing w:before="0" w:after="0" w:line="360" w:lineRule="auto"/>
      <w:ind w:left="851" w:hanging="851"/>
      <w:jc w:val="left"/>
    </w:pPr>
    <w:rPr>
      <w:rFonts w:ascii="宋体" w:hAnsi="宋体" w:eastAsia="宋体"/>
      <w:color w:val="C00000"/>
      <w:sz w:val="24"/>
    </w:rPr>
  </w:style>
  <w:style w:type="paragraph" w:customStyle="1" w:styleId="375">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76">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7">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78">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79">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80">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1">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82">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83">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84">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85">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86">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7">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88">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9">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0">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1">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92">
    <w:name w:val="样式 目录 1"/>
    <w:basedOn w:val="50"/>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93">
    <w:name w:val="A-12"/>
    <w:basedOn w:val="1"/>
    <w:qFormat/>
    <w:uiPriority w:val="0"/>
    <w:pPr>
      <w:widowControl/>
      <w:ind w:firstLine="200" w:firstLineChars="200"/>
      <w:jc w:val="left"/>
    </w:pPr>
    <w:rPr>
      <w:rFonts w:ascii="Arial" w:hAnsi="Arial"/>
      <w:color w:val="7030A0"/>
      <w:kern w:val="0"/>
      <w:sz w:val="24"/>
      <w:szCs w:val="20"/>
      <w:lang w:val="en-GB"/>
    </w:rPr>
  </w:style>
  <w:style w:type="paragraph" w:customStyle="1" w:styleId="394">
    <w:name w:val="样式 样式 样式 宋体 小四 左侧:  1.85 厘米 段前: 11.15 磅 段后: 11.15 磅 + 图案: 清除 (白色..."/>
    <w:basedOn w:val="288"/>
    <w:qFormat/>
    <w:uiPriority w:val="0"/>
    <w:pPr>
      <w:spacing w:beforeLines="50" w:afterLines="50"/>
      <w:ind w:left="318"/>
    </w:pPr>
    <w:rPr>
      <w:szCs w:val="20"/>
    </w:rPr>
  </w:style>
  <w:style w:type="paragraph" w:customStyle="1" w:styleId="395">
    <w:name w:val="无间隔1"/>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96">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7">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98">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9">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400">
    <w:name w:val="三级条标题"/>
    <w:basedOn w:val="401"/>
    <w:next w:val="1"/>
    <w:qFormat/>
    <w:uiPriority w:val="0"/>
    <w:pPr>
      <w:tabs>
        <w:tab w:val="left" w:pos="425"/>
      </w:tabs>
      <w:outlineLvl w:val="4"/>
    </w:pPr>
  </w:style>
  <w:style w:type="paragraph" w:customStyle="1" w:styleId="401">
    <w:name w:val="二级条标题"/>
    <w:basedOn w:val="397"/>
    <w:next w:val="1"/>
    <w:qFormat/>
    <w:uiPriority w:val="0"/>
    <w:pPr>
      <w:tabs>
        <w:tab w:val="clear" w:pos="525"/>
      </w:tabs>
      <w:ind w:firstLine="0" w:firstLineChars="0"/>
      <w:outlineLvl w:val="3"/>
    </w:pPr>
  </w:style>
  <w:style w:type="paragraph" w:customStyle="1" w:styleId="402">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403">
    <w:name w:val="四级条标题"/>
    <w:basedOn w:val="400"/>
    <w:next w:val="1"/>
    <w:qFormat/>
    <w:uiPriority w:val="0"/>
    <w:pPr>
      <w:outlineLvl w:val="5"/>
    </w:pPr>
  </w:style>
  <w:style w:type="paragraph" w:customStyle="1" w:styleId="404">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405">
    <w:name w:val="附图 BJ15"/>
    <w:basedOn w:val="1"/>
    <w:qFormat/>
    <w:uiPriority w:val="0"/>
    <w:pPr>
      <w:adjustRightInd w:val="0"/>
      <w:snapToGrid w:val="0"/>
      <w:ind w:firstLine="200" w:firstLineChars="200"/>
      <w:jc w:val="center"/>
    </w:pPr>
    <w:rPr>
      <w:rFonts w:hAnsi="Arial"/>
      <w:color w:val="7030A0"/>
      <w:kern w:val="0"/>
    </w:rPr>
  </w:style>
  <w:style w:type="paragraph" w:customStyle="1" w:styleId="406">
    <w:name w:val="正文文本缩进 3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7">
    <w:name w:val="TOC 标题1"/>
    <w:basedOn w:val="3"/>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08">
    <w:name w:val="Report Level 2"/>
    <w:basedOn w:val="298"/>
    <w:next w:val="299"/>
    <w:qFormat/>
    <w:uiPriority w:val="0"/>
    <w:pPr>
      <w:tabs>
        <w:tab w:val="left" w:pos="1500"/>
        <w:tab w:val="clear" w:pos="1080"/>
      </w:tabs>
      <w:ind w:left="1500"/>
      <w:outlineLvl w:val="1"/>
    </w:pPr>
    <w:rPr>
      <w:caps w:val="0"/>
    </w:rPr>
  </w:style>
  <w:style w:type="paragraph" w:customStyle="1" w:styleId="409">
    <w:name w:val="Report Level 3"/>
    <w:basedOn w:val="298"/>
    <w:next w:val="299"/>
    <w:qFormat/>
    <w:uiPriority w:val="0"/>
    <w:pPr>
      <w:tabs>
        <w:tab w:val="left" w:pos="1889"/>
        <w:tab w:val="clear" w:pos="1080"/>
      </w:tabs>
      <w:spacing w:before="120"/>
      <w:ind w:left="1889" w:hanging="420"/>
      <w:outlineLvl w:val="2"/>
    </w:pPr>
    <w:rPr>
      <w:caps w:val="0"/>
      <w:sz w:val="20"/>
    </w:rPr>
  </w:style>
  <w:style w:type="paragraph" w:customStyle="1" w:styleId="410">
    <w:name w:val="Report Level 4"/>
    <w:basedOn w:val="409"/>
    <w:next w:val="299"/>
    <w:qFormat/>
    <w:uiPriority w:val="0"/>
    <w:pPr>
      <w:tabs>
        <w:tab w:val="left" w:pos="720"/>
        <w:tab w:val="left" w:pos="2309"/>
        <w:tab w:val="clear" w:pos="1889"/>
      </w:tabs>
      <w:ind w:left="720" w:hanging="720"/>
      <w:outlineLvl w:val="3"/>
    </w:pPr>
    <w:rPr>
      <w:rFonts w:ascii="Times New Roman" w:hAnsi="Times New Roman"/>
    </w:rPr>
  </w:style>
  <w:style w:type="paragraph" w:customStyle="1" w:styleId="411">
    <w:name w:val="样式3"/>
    <w:basedOn w:val="5"/>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12">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13">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14">
    <w:name w:val="表格文字格式"/>
    <w:basedOn w:val="1"/>
    <w:qFormat/>
    <w:uiPriority w:val="0"/>
    <w:pPr>
      <w:snapToGrid w:val="0"/>
      <w:jc w:val="center"/>
    </w:pPr>
    <w:rPr>
      <w:rFonts w:cs="宋体"/>
      <w:szCs w:val="20"/>
    </w:rPr>
  </w:style>
  <w:style w:type="paragraph" w:customStyle="1" w:styleId="415">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6">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417">
    <w:name w:val="五级条标题"/>
    <w:basedOn w:val="403"/>
    <w:next w:val="1"/>
    <w:qFormat/>
    <w:uiPriority w:val="0"/>
    <w:pPr>
      <w:outlineLvl w:val="6"/>
    </w:pPr>
  </w:style>
  <w:style w:type="paragraph" w:customStyle="1" w:styleId="418">
    <w:name w:val="文档结构图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19">
    <w:name w:val="註解方塊文字2"/>
    <w:basedOn w:val="1"/>
    <w:semiHidden/>
    <w:qFormat/>
    <w:uiPriority w:val="0"/>
    <w:rPr>
      <w:rFonts w:ascii="Arial" w:hAnsi="Arial" w:eastAsia="PMingLiU"/>
      <w:color w:val="7030A0"/>
      <w:sz w:val="18"/>
      <w:szCs w:val="18"/>
    </w:rPr>
  </w:style>
  <w:style w:type="paragraph" w:customStyle="1" w:styleId="420">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421">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22">
    <w:name w:val="三级标题格式"/>
    <w:basedOn w:val="5"/>
    <w:qFormat/>
    <w:uiPriority w:val="0"/>
    <w:pPr>
      <w:keepNext w:val="0"/>
      <w:keepLines w:val="0"/>
      <w:spacing w:before="0" w:afterLines="100" w:line="240" w:lineRule="auto"/>
      <w:jc w:val="left"/>
    </w:pPr>
    <w:rPr>
      <w:rFonts w:eastAsia="黑体"/>
      <w:b w:val="0"/>
      <w:sz w:val="28"/>
      <w:szCs w:val="28"/>
    </w:rPr>
  </w:style>
  <w:style w:type="table" w:customStyle="1" w:styleId="423">
    <w:name w:val="样式-表格"/>
    <w:basedOn w:val="73"/>
    <w:qFormat/>
    <w:uiPriority w:val="0"/>
    <w:rPr>
      <w:sz w:val="21"/>
    </w:rPr>
    <w:tblPr>
      <w:jc w:val="center"/>
    </w:tblPr>
    <w:trPr>
      <w:jc w:val="center"/>
    </w:trPr>
    <w:tcPr>
      <w:vAlign w:val="center"/>
    </w:tcPr>
  </w:style>
  <w:style w:type="character" w:customStyle="1" w:styleId="424">
    <w:name w:val="正文缩进 Char Char"/>
    <w:link w:val="425"/>
    <w:qFormat/>
    <w:uiPriority w:val="0"/>
    <w:rPr>
      <w:kern w:val="2"/>
      <w:sz w:val="21"/>
      <w:szCs w:val="24"/>
    </w:rPr>
  </w:style>
  <w:style w:type="paragraph" w:customStyle="1" w:styleId="425">
    <w:name w:val="正文缩进1"/>
    <w:basedOn w:val="1"/>
    <w:link w:val="424"/>
    <w:qFormat/>
    <w:uiPriority w:val="0"/>
    <w:pPr>
      <w:spacing w:line="360" w:lineRule="auto"/>
      <w:ind w:firstLine="420"/>
    </w:pPr>
  </w:style>
  <w:style w:type="paragraph" w:customStyle="1" w:styleId="426">
    <w:name w:val="图文"/>
    <w:basedOn w:val="1"/>
    <w:qFormat/>
    <w:uiPriority w:val="0"/>
    <w:pPr>
      <w:adjustRightInd w:val="0"/>
      <w:snapToGrid w:val="0"/>
      <w:spacing w:after="50" w:line="360" w:lineRule="auto"/>
    </w:pPr>
    <w:rPr>
      <w:sz w:val="24"/>
    </w:rPr>
  </w:style>
  <w:style w:type="paragraph" w:styleId="427">
    <w:name w:val="List Paragraph"/>
    <w:basedOn w:val="1"/>
    <w:unhideWhenUsed/>
    <w:qFormat/>
    <w:uiPriority w:val="34"/>
    <w:pPr>
      <w:ind w:firstLine="420" w:firstLineChars="200"/>
    </w:pPr>
  </w:style>
  <w:style w:type="character" w:customStyle="1" w:styleId="428">
    <w:name w:val="Char Char"/>
    <w:basedOn w:val="75"/>
    <w:qFormat/>
    <w:uiPriority w:val="0"/>
    <w:rPr>
      <w:rFonts w:ascii="Arial" w:hAnsi="Arial" w:eastAsia="黑体"/>
      <w:b/>
      <w:bCs/>
      <w:kern w:val="2"/>
      <w:sz w:val="32"/>
      <w:szCs w:val="32"/>
      <w:lang w:val="en-US" w:eastAsia="zh-CN" w:bidi="ar-SA"/>
    </w:rPr>
  </w:style>
  <w:style w:type="character" w:customStyle="1" w:styleId="429">
    <w:name w:val="font161"/>
    <w:basedOn w:val="75"/>
    <w:qFormat/>
    <w:uiPriority w:val="0"/>
    <w:rPr>
      <w:b/>
      <w:bCs/>
      <w:sz w:val="32"/>
      <w:szCs w:val="32"/>
    </w:rPr>
  </w:style>
  <w:style w:type="character" w:customStyle="1" w:styleId="430">
    <w:name w:val="Char Char7"/>
    <w:basedOn w:val="75"/>
    <w:qFormat/>
    <w:uiPriority w:val="0"/>
    <w:rPr>
      <w:rFonts w:ascii="Arial" w:hAnsi="Arial" w:eastAsia="黑体"/>
      <w:b/>
      <w:bCs/>
      <w:kern w:val="2"/>
      <w:sz w:val="32"/>
      <w:szCs w:val="32"/>
      <w:lang w:val="en-US" w:eastAsia="zh-CN" w:bidi="ar-SA"/>
    </w:rPr>
  </w:style>
  <w:style w:type="paragraph" w:customStyle="1" w:styleId="4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32">
    <w:name w:val="样式 标题 1 + 黑体 三号 非加粗 居中 段前: 6 磅 段后: 6 磅 行距: 固定值 20 磅"/>
    <w:basedOn w:val="3"/>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33">
    <w:name w:val="样式 标题 3 + (中文) 黑体 小四 非加粗 段前: 7.8 磅 段后: 0 磅 行距: 固定值 20 磅"/>
    <w:basedOn w:val="5"/>
    <w:link w:val="435"/>
    <w:qFormat/>
    <w:uiPriority w:val="0"/>
    <w:pPr>
      <w:spacing w:before="0" w:after="0" w:line="400" w:lineRule="exact"/>
    </w:pPr>
    <w:rPr>
      <w:rFonts w:eastAsia="黑体" w:cs="宋体"/>
      <w:b w:val="0"/>
      <w:bCs w:val="0"/>
      <w:sz w:val="24"/>
      <w:szCs w:val="20"/>
    </w:rPr>
  </w:style>
  <w:style w:type="paragraph" w:customStyle="1" w:styleId="43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sz w:val="28"/>
      <w:szCs w:val="20"/>
    </w:rPr>
  </w:style>
  <w:style w:type="character" w:customStyle="1" w:styleId="435">
    <w:name w:val="样式 标题 3 + (中文) 黑体 小四 非加粗 段前: 7.8 磅 段后: 0 磅 行距: 固定值 20 磅 Char Char"/>
    <w:link w:val="433"/>
    <w:qFormat/>
    <w:uiPriority w:val="0"/>
    <w:rPr>
      <w:rFonts w:eastAsia="黑体" w:cs="宋体"/>
      <w:kern w:val="2"/>
      <w:sz w:val="24"/>
    </w:rPr>
  </w:style>
  <w:style w:type="character" w:customStyle="1" w:styleId="436">
    <w:name w:val="明显参考1"/>
    <w:basedOn w:val="75"/>
    <w:qFormat/>
    <w:uiPriority w:val="32"/>
    <w:rPr>
      <w:b/>
      <w:bCs/>
      <w:smallCaps/>
      <w:color w:val="C0504D" w:themeColor="accent2"/>
      <w:spacing w:val="5"/>
      <w:u w:val="single"/>
      <w14:textFill>
        <w14:solidFill>
          <w14:schemeClr w14:val="accent2"/>
        </w14:solidFill>
      </w14:textFill>
    </w:rPr>
  </w:style>
  <w:style w:type="paragraph" w:customStyle="1" w:styleId="437">
    <w:name w:val="TOC 标题2"/>
    <w:basedOn w:val="3"/>
    <w:next w:val="1"/>
    <w:unhideWhenUsed/>
    <w:qFormat/>
    <w:uiPriority w:val="39"/>
    <w:pPr>
      <w:widowControl/>
      <w:tabs>
        <w:tab w:val="clear" w:pos="1440"/>
      </w:tabs>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8">
    <w:name w:val="font41"/>
    <w:basedOn w:val="75"/>
    <w:qFormat/>
    <w:uiPriority w:val="0"/>
    <w:rPr>
      <w:rFonts w:hint="eastAsia" w:ascii="宋体" w:hAnsi="宋体" w:eastAsia="宋体" w:cs="宋体"/>
      <w:color w:val="000000"/>
      <w:sz w:val="20"/>
      <w:szCs w:val="20"/>
      <w:u w:val="none"/>
    </w:rPr>
  </w:style>
  <w:style w:type="character" w:customStyle="1" w:styleId="439">
    <w:name w:val="font01"/>
    <w:basedOn w:val="75"/>
    <w:qFormat/>
    <w:uiPriority w:val="0"/>
    <w:rPr>
      <w:rFonts w:hint="eastAsia" w:ascii="宋体" w:hAnsi="宋体" w:eastAsia="宋体" w:cs="宋体"/>
      <w:color w:val="000000"/>
      <w:sz w:val="20"/>
      <w:szCs w:val="20"/>
      <w:u w:val="none"/>
    </w:rPr>
  </w:style>
  <w:style w:type="character" w:customStyle="1" w:styleId="440">
    <w:name w:val="font31"/>
    <w:basedOn w:val="75"/>
    <w:qFormat/>
    <w:uiPriority w:val="0"/>
    <w:rPr>
      <w:rFonts w:hint="default" w:ascii="Times New Roman" w:hAnsi="Times New Roman" w:cs="Times New Roman"/>
      <w:color w:val="000000"/>
      <w:sz w:val="40"/>
      <w:szCs w:val="40"/>
      <w:u w:val="none"/>
    </w:rPr>
  </w:style>
  <w:style w:type="character" w:customStyle="1" w:styleId="441">
    <w:name w:val="font141"/>
    <w:basedOn w:val="75"/>
    <w:qFormat/>
    <w:uiPriority w:val="0"/>
    <w:rPr>
      <w:rFonts w:ascii="方正小标宋简体" w:hAnsi="方正小标宋简体" w:eastAsia="方正小标宋简体" w:cs="方正小标宋简体"/>
      <w:color w:val="000000"/>
      <w:sz w:val="40"/>
      <w:szCs w:val="40"/>
      <w:u w:val="none"/>
    </w:rPr>
  </w:style>
  <w:style w:type="character" w:customStyle="1" w:styleId="442">
    <w:name w:val="font91"/>
    <w:basedOn w:val="75"/>
    <w:qFormat/>
    <w:uiPriority w:val="0"/>
    <w:rPr>
      <w:rFonts w:hint="eastAsia" w:ascii="宋体" w:hAnsi="宋体" w:eastAsia="宋体" w:cs="宋体"/>
      <w:color w:val="000000"/>
      <w:sz w:val="20"/>
      <w:szCs w:val="20"/>
      <w:u w:val="none"/>
    </w:rPr>
  </w:style>
  <w:style w:type="character" w:customStyle="1" w:styleId="443">
    <w:name w:val="font81"/>
    <w:basedOn w:val="75"/>
    <w:qFormat/>
    <w:uiPriority w:val="0"/>
    <w:rPr>
      <w:rFonts w:hint="default" w:ascii="Times New Roman" w:hAnsi="Times New Roman" w:cs="Times New Roman"/>
      <w:color w:val="000000"/>
      <w:sz w:val="20"/>
      <w:szCs w:val="20"/>
      <w:u w:val="none"/>
    </w:rPr>
  </w:style>
  <w:style w:type="character" w:customStyle="1" w:styleId="444">
    <w:name w:val="font61"/>
    <w:basedOn w:val="75"/>
    <w:qFormat/>
    <w:uiPriority w:val="0"/>
    <w:rPr>
      <w:rFonts w:hint="eastAsia" w:ascii="宋体" w:hAnsi="宋体" w:eastAsia="宋体" w:cs="宋体"/>
      <w:color w:val="000000"/>
      <w:sz w:val="22"/>
      <w:szCs w:val="22"/>
      <w:u w:val="none"/>
    </w:rPr>
  </w:style>
  <w:style w:type="character" w:customStyle="1" w:styleId="445">
    <w:name w:val="NormalCharacter"/>
    <w:semiHidden/>
    <w:qFormat/>
    <w:uiPriority w:val="0"/>
    <w:rPr>
      <w:rFonts w:ascii="Calibri" w:hAnsi="Calibri" w:eastAsia="宋体" w:cs="Times New Roman"/>
      <w:kern w:val="2"/>
      <w:sz w:val="21"/>
      <w:szCs w:val="24"/>
      <w:lang w:val="en-US" w:eastAsia="zh-CN" w:bidi="ar-SA"/>
    </w:rPr>
  </w:style>
  <w:style w:type="paragraph" w:customStyle="1" w:styleId="446">
    <w:name w:val="Heading2"/>
    <w:basedOn w:val="447"/>
    <w:next w:val="1"/>
    <w:qFormat/>
    <w:uiPriority w:val="0"/>
    <w:pPr>
      <w:numPr>
        <w:ilvl w:val="1"/>
      </w:numPr>
    </w:pPr>
    <w:rPr>
      <w:sz w:val="20"/>
    </w:rPr>
  </w:style>
  <w:style w:type="paragraph" w:customStyle="1" w:styleId="447">
    <w:name w:val="Heading1"/>
    <w:basedOn w:val="1"/>
    <w:next w:val="1"/>
    <w:qFormat/>
    <w:uiPriority w:val="0"/>
    <w:pPr>
      <w:keepNext/>
      <w:numPr>
        <w:ilvl w:val="0"/>
        <w:numId w:val="1"/>
      </w:numPr>
      <w:spacing w:before="120" w:after="60" w:line="240" w:lineRule="atLeast"/>
    </w:pPr>
    <w:rPr>
      <w:rFonts w:ascii="Arial" w:hAnsi="Arial"/>
      <w:b/>
      <w:sz w:val="24"/>
      <w:szCs w:val="20"/>
      <w:lang w:eastAsia="en-US"/>
    </w:rPr>
  </w:style>
  <w:style w:type="character" w:customStyle="1" w:styleId="448">
    <w:name w:val="fontborder"/>
    <w:basedOn w:val="75"/>
    <w:qFormat/>
    <w:uiPriority w:val="0"/>
    <w:rPr>
      <w:bdr w:val="single" w:color="000000" w:sz="2" w:space="0"/>
    </w:rPr>
  </w:style>
  <w:style w:type="character" w:customStyle="1" w:styleId="449">
    <w:name w:val="fontstrikethrough"/>
    <w:basedOn w:val="75"/>
    <w:qFormat/>
    <w:uiPriority w:val="0"/>
    <w:rPr>
      <w:strike/>
    </w:rPr>
  </w:style>
  <w:style w:type="character" w:customStyle="1" w:styleId="450">
    <w:name w:val="font21"/>
    <w:basedOn w:val="75"/>
    <w:qFormat/>
    <w:uiPriority w:val="0"/>
    <w:rPr>
      <w:rFonts w:hint="eastAsia" w:ascii="宋体" w:hAnsi="宋体" w:eastAsia="宋体" w:cs="宋体"/>
      <w:color w:val="000000"/>
      <w:sz w:val="20"/>
      <w:szCs w:val="20"/>
      <w:u w:val="none"/>
    </w:rPr>
  </w:style>
  <w:style w:type="character" w:customStyle="1" w:styleId="451">
    <w:name w:val="font121"/>
    <w:basedOn w:val="75"/>
    <w:qFormat/>
    <w:uiPriority w:val="0"/>
    <w:rPr>
      <w:rFonts w:hint="eastAsia" w:ascii="宋体" w:hAnsi="宋体" w:eastAsia="宋体" w:cs="宋体"/>
      <w:color w:val="000000"/>
      <w:sz w:val="20"/>
      <w:szCs w:val="20"/>
      <w:u w:val="none"/>
    </w:rPr>
  </w:style>
  <w:style w:type="paragraph" w:customStyle="1" w:styleId="452">
    <w:name w:val="UserStyle_309"/>
    <w:basedOn w:val="1"/>
    <w:semiHidden/>
    <w:qFormat/>
    <w:uiPriority w:val="0"/>
    <w:pPr>
      <w:spacing w:before="40" w:after="160"/>
      <w:ind w:firstLine="420" w:firstLineChars="200"/>
    </w:pPr>
    <w:rPr>
      <w:rFonts w:ascii="Cambria" w:hAnsi="Cambria" w:eastAsia="微软雅黑"/>
      <w:color w:val="565656"/>
      <w:kern w:val="20"/>
      <w:szCs w:val="21"/>
      <w:lang w:val="zh-CN"/>
    </w:rPr>
  </w:style>
  <w:style w:type="paragraph" w:customStyle="1" w:styleId="453">
    <w:name w:val="列出段落11"/>
    <w:basedOn w:val="1"/>
    <w:qFormat/>
    <w:uiPriority w:val="0"/>
    <w:pPr>
      <w:widowControl/>
      <w:spacing w:before="40" w:after="160"/>
      <w:ind w:firstLine="420" w:firstLineChars="200"/>
    </w:pPr>
    <w:rPr>
      <w:rFonts w:ascii="Cambria" w:hAnsi="Cambria" w:eastAsia="微软雅黑" w:cs="Cambria"/>
      <w:color w:val="565656"/>
      <w:kern w:val="20"/>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AA337-FCB3-43F2-93E5-4064AFCCFB22}">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69</Pages>
  <Words>26811</Words>
  <Characters>27840</Characters>
  <Lines>269</Lines>
  <Paragraphs>75</Paragraphs>
  <TotalTime>5</TotalTime>
  <ScaleCrop>false</ScaleCrop>
  <LinksUpToDate>false</LinksUpToDate>
  <CharactersWithSpaces>30195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2020-12-28T03:00:00Z</dcterms:created>
  <dc:creator>wmq</dc:creator>
  <cp:lastModifiedBy>码头渔人</cp:lastModifiedBy>
  <cp:lastPrinted>2023-03-27T07:52:00Z</cp:lastPrinted>
  <dcterms:modified xsi:type="dcterms:W3CDTF">2023-10-23T06:07:06Z</dcterms:modified>
  <dc:title>适用一般货物采购/非建筑设备货物采购含安装等伴随服务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57578B065BF74082B07260A280FCF85E_13</vt:lpwstr>
  </property>
</Properties>
</file>