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jc w:val="center"/>
        <w:rPr>
          <w:rFonts w:hint="default" w:asciiTheme="minorHAnsi" w:hAnsiTheme="minorHAnsi" w:eastAsiaTheme="minorEastAsia" w:cstheme="minorBidi"/>
          <w:highlight w:val="none"/>
          <w:lang w:val="en-US" w:eastAsia="zh-CN"/>
        </w:rPr>
      </w:pPr>
      <w:r>
        <w:rPr>
          <w:rFonts w:hint="eastAsia" w:ascii="宋体" w:hAnsi="宋体" w:eastAsia="宋体" w:cs="宋体"/>
          <w:b/>
          <w:bCs/>
          <w:sz w:val="44"/>
          <w:szCs w:val="44"/>
          <w:highlight w:val="none"/>
          <w:lang w:val="en-US" w:eastAsia="zh-CN"/>
        </w:rPr>
        <w:t>西藏自治区2023年三标合一追溯体系和常规疫苗政府采购</w:t>
      </w:r>
      <w:r>
        <w:rPr>
          <w:rFonts w:hint="eastAsia" w:cs="宋体"/>
          <w:b/>
          <w:bCs/>
          <w:sz w:val="44"/>
          <w:szCs w:val="44"/>
          <w:highlight w:val="none"/>
          <w:lang w:val="en-US" w:eastAsia="zh-CN"/>
        </w:rPr>
        <w:t>（第一标段至第四标段）</w:t>
      </w: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jc w:val="center"/>
        <w:rPr>
          <w:rFonts w:ascii="方正小标宋简体" w:hAnsi="方正小标宋简体" w:eastAsia="方正小标宋简体" w:cstheme="minorBidi"/>
          <w:sz w:val="84"/>
          <w:szCs w:val="84"/>
          <w:highlight w:val="none"/>
        </w:rPr>
      </w:pPr>
      <w:r>
        <w:rPr>
          <w:rFonts w:hint="eastAsia" w:ascii="方正小标宋简体" w:hAnsi="方正小标宋简体" w:eastAsia="方正小标宋简体" w:cstheme="minorBidi"/>
          <w:sz w:val="84"/>
          <w:szCs w:val="84"/>
          <w:highlight w:val="none"/>
        </w:rPr>
        <w:t>招 标 文 件</w:t>
      </w: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pPr>
    </w:p>
    <w:tbl>
      <w:tblPr>
        <w:tblStyle w:val="10"/>
        <w:tblW w:w="599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95"/>
        <w:gridCol w:w="35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1" w:hRule="atLeast"/>
          <w:jc w:val="center"/>
        </w:trPr>
        <w:tc>
          <w:tcPr>
            <w:tcW w:w="2395" w:type="dxa"/>
            <w:vAlign w:val="center"/>
          </w:tcPr>
          <w:p>
            <w:pPr>
              <w:jc w:val="distribute"/>
              <w:rPr>
                <w:rFonts w:ascii="仿宋" w:hAnsi="仿宋" w:eastAsia="仿宋" w:cstheme="minorBidi"/>
                <w:sz w:val="32"/>
                <w:szCs w:val="32"/>
                <w:highlight w:val="none"/>
              </w:rPr>
            </w:pPr>
            <w:r>
              <w:rPr>
                <w:rFonts w:hint="eastAsia" w:ascii="仿宋" w:hAnsi="仿宋" w:eastAsia="仿宋" w:cstheme="minorBidi"/>
                <w:sz w:val="32"/>
                <w:szCs w:val="32"/>
                <w:highlight w:val="none"/>
              </w:rPr>
              <w:t>采购人：</w:t>
            </w:r>
          </w:p>
        </w:tc>
        <w:tc>
          <w:tcPr>
            <w:tcW w:w="3596" w:type="dxa"/>
            <w:vAlign w:val="center"/>
          </w:tcPr>
          <w:p>
            <w:pPr>
              <w:jc w:val="center"/>
              <w:rPr>
                <w:rFonts w:ascii="仿宋" w:hAnsi="仿宋" w:eastAsia="仿宋" w:cstheme="minorBidi"/>
                <w:sz w:val="32"/>
                <w:szCs w:val="32"/>
                <w:highlight w:val="none"/>
              </w:rPr>
            </w:pPr>
            <w:r>
              <w:rPr>
                <w:rFonts w:hint="eastAsia" w:ascii="仿宋" w:hAnsi="仿宋" w:eastAsia="仿宋" w:cstheme="minorBidi"/>
                <w:sz w:val="32"/>
                <w:szCs w:val="32"/>
                <w:highlight w:val="none"/>
              </w:rPr>
              <w:t>西藏自治区农业农村厅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2395" w:type="dxa"/>
            <w:vAlign w:val="center"/>
          </w:tcPr>
          <w:p>
            <w:pPr>
              <w:jc w:val="distribute"/>
              <w:rPr>
                <w:rFonts w:ascii="仿宋" w:hAnsi="仿宋" w:eastAsia="仿宋" w:cstheme="minorBidi"/>
                <w:sz w:val="32"/>
                <w:szCs w:val="32"/>
                <w:highlight w:val="none"/>
              </w:rPr>
            </w:pPr>
            <w:r>
              <w:rPr>
                <w:rFonts w:hint="eastAsia" w:ascii="仿宋" w:hAnsi="仿宋" w:eastAsia="仿宋" w:cstheme="minorBidi"/>
                <w:sz w:val="32"/>
                <w:szCs w:val="32"/>
                <w:highlight w:val="none"/>
              </w:rPr>
              <w:t>采购代理机构：</w:t>
            </w:r>
          </w:p>
        </w:tc>
        <w:tc>
          <w:tcPr>
            <w:tcW w:w="3596" w:type="dxa"/>
            <w:vAlign w:val="center"/>
          </w:tcPr>
          <w:p>
            <w:pPr>
              <w:jc w:val="center"/>
              <w:rPr>
                <w:rFonts w:hint="eastAsia" w:ascii="仿宋" w:hAnsi="仿宋" w:eastAsia="仿宋" w:cstheme="minorBidi"/>
                <w:sz w:val="32"/>
                <w:szCs w:val="32"/>
                <w:highlight w:val="none"/>
                <w:lang w:eastAsia="zh-CN"/>
              </w:rPr>
            </w:pPr>
            <w:r>
              <w:rPr>
                <w:rFonts w:hint="eastAsia" w:ascii="仿宋" w:hAnsi="仿宋" w:eastAsia="仿宋" w:cstheme="minorBidi"/>
                <w:sz w:val="32"/>
                <w:szCs w:val="32"/>
                <w:highlight w:val="none"/>
                <w:lang w:eastAsia="zh-CN"/>
              </w:rPr>
              <w:t>重庆信科设计有限公司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1" w:hRule="atLeast"/>
          <w:jc w:val="center"/>
        </w:trPr>
        <w:tc>
          <w:tcPr>
            <w:tcW w:w="5991" w:type="dxa"/>
            <w:gridSpan w:val="2"/>
            <w:vAlign w:val="center"/>
          </w:tcPr>
          <w:p>
            <w:pPr>
              <w:jc w:val="center"/>
              <w:rPr>
                <w:rFonts w:ascii="仿宋" w:hAnsi="仿宋" w:eastAsia="仿宋" w:cstheme="minorBidi"/>
                <w:sz w:val="32"/>
                <w:szCs w:val="32"/>
                <w:highlight w:val="none"/>
              </w:rPr>
            </w:pPr>
            <w:r>
              <w:rPr>
                <w:rFonts w:hint="eastAsia" w:ascii="仿宋" w:hAnsi="仿宋" w:eastAsia="仿宋" w:cstheme="minorBidi"/>
                <w:sz w:val="32"/>
                <w:szCs w:val="32"/>
                <w:highlight w:val="none"/>
              </w:rPr>
              <w:t>二〇二三年</w:t>
            </w:r>
            <w:r>
              <w:rPr>
                <w:rFonts w:hint="eastAsia" w:ascii="仿宋" w:hAnsi="仿宋" w:eastAsia="仿宋" w:cstheme="minorBidi"/>
                <w:sz w:val="32"/>
                <w:szCs w:val="32"/>
                <w:highlight w:val="none"/>
                <w:lang w:val="en-US" w:eastAsia="zh-CN"/>
              </w:rPr>
              <w:t>六</w:t>
            </w:r>
            <w:r>
              <w:rPr>
                <w:rFonts w:hint="eastAsia" w:ascii="仿宋" w:hAnsi="仿宋" w:eastAsia="仿宋" w:cstheme="minorBidi"/>
                <w:sz w:val="32"/>
                <w:szCs w:val="32"/>
                <w:highlight w:val="none"/>
              </w:rPr>
              <w:t>月</w:t>
            </w:r>
          </w:p>
        </w:tc>
      </w:tr>
    </w:tbl>
    <w:p>
      <w:pPr>
        <w:rPr>
          <w:rFonts w:asciiTheme="minorHAnsi" w:hAnsiTheme="minorHAnsi" w:eastAsiaTheme="minorEastAsia" w:cstheme="minorBidi"/>
          <w:highlight w:val="none"/>
        </w:rPr>
      </w:pPr>
    </w:p>
    <w:p>
      <w:pPr>
        <w:rPr>
          <w:rFonts w:asciiTheme="minorHAnsi" w:hAnsiTheme="minorHAnsi" w:eastAsiaTheme="minorEastAsia" w:cstheme="minorBidi"/>
          <w:highlight w:val="none"/>
        </w:rPr>
        <w:sectPr>
          <w:pgSz w:w="11906" w:h="16838"/>
          <w:pgMar w:top="1440" w:right="1800" w:bottom="1440" w:left="1800" w:header="851" w:footer="992" w:gutter="0"/>
          <w:cols w:space="425" w:num="1"/>
          <w:docGrid w:type="lines" w:linePitch="312" w:charSpace="0"/>
        </w:sectPr>
      </w:pPr>
    </w:p>
    <w:sdt>
      <w:sdtPr>
        <w:rPr>
          <w:rFonts w:asciiTheme="minorHAnsi" w:hAnsiTheme="minorHAnsi" w:eastAsiaTheme="minorEastAsia" w:cstheme="minorBidi"/>
          <w:color w:val="auto"/>
          <w:kern w:val="2"/>
          <w:sz w:val="21"/>
          <w:szCs w:val="22"/>
          <w:highlight w:val="none"/>
          <w:lang w:val="zh-CN"/>
        </w:rPr>
        <w:id w:val="79645599"/>
        <w:docPartObj>
          <w:docPartGallery w:val="Table of Contents"/>
          <w:docPartUnique/>
        </w:docPartObj>
      </w:sdtPr>
      <w:sdtEndPr>
        <w:rPr>
          <w:rFonts w:asciiTheme="minorHAnsi" w:hAnsiTheme="minorHAnsi" w:eastAsiaTheme="minorEastAsia" w:cstheme="minorBidi"/>
          <w:b/>
          <w:bCs/>
          <w:color w:val="auto"/>
          <w:kern w:val="2"/>
          <w:sz w:val="21"/>
          <w:szCs w:val="22"/>
          <w:highlight w:val="none"/>
          <w:lang w:val="zh-CN"/>
        </w:rPr>
      </w:sdtEndPr>
      <w:sdtContent>
        <w:p>
          <w:pPr>
            <w:pStyle w:val="13"/>
            <w:jc w:val="center"/>
            <w:rPr>
              <w:rFonts w:ascii="仿宋" w:hAnsi="仿宋" w:eastAsia="仿宋" w:cstheme="majorBidi"/>
              <w:color w:val="auto"/>
              <w:highlight w:val="none"/>
            </w:rPr>
          </w:pPr>
          <w:r>
            <w:rPr>
              <w:rFonts w:ascii="仿宋" w:hAnsi="仿宋" w:eastAsia="仿宋" w:cstheme="majorBidi"/>
              <w:color w:val="auto"/>
              <w:highlight w:val="none"/>
              <w:lang w:val="zh-CN"/>
            </w:rPr>
            <w:t>目录</w:t>
          </w:r>
        </w:p>
        <w:p>
          <w:pPr>
            <w:pStyle w:val="7"/>
            <w:tabs>
              <w:tab w:val="right" w:leader="dot" w:pos="8296"/>
            </w:tabs>
            <w:rPr>
              <w:rFonts w:asciiTheme="minorHAnsi" w:hAnsiTheme="minorHAnsi" w:eastAsiaTheme="minorEastAsia" w:cstheme="minorBidi"/>
              <w:highlight w:val="none"/>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TOC \o "1-3" \h \z \u </w:instrText>
          </w:r>
          <w:r>
            <w:rPr>
              <w:rFonts w:hint="eastAsia" w:ascii="仿宋" w:hAnsi="仿宋" w:eastAsia="仿宋" w:cs="仿宋"/>
              <w:highlight w:val="none"/>
            </w:rPr>
            <w:fldChar w:fldCharType="separate"/>
          </w:r>
          <w:r>
            <w:rPr>
              <w:highlight w:val="none"/>
            </w:rPr>
            <w:fldChar w:fldCharType="begin"/>
          </w:r>
          <w:r>
            <w:rPr>
              <w:highlight w:val="none"/>
            </w:rPr>
            <w:instrText xml:space="preserve"> HYPERLINK \l "_Toc110245231" </w:instrText>
          </w:r>
          <w:r>
            <w:rPr>
              <w:highlight w:val="none"/>
            </w:rPr>
            <w:fldChar w:fldCharType="separate"/>
          </w:r>
          <w:r>
            <w:rPr>
              <w:rStyle w:val="12"/>
              <w:rFonts w:ascii="仿宋" w:hAnsi="仿宋" w:eastAsia="仿宋" w:cs="仿宋"/>
              <w:color w:val="auto"/>
              <w:highlight w:val="none"/>
            </w:rPr>
            <w:t>第一章 投标邀请</w:t>
          </w:r>
          <w:r>
            <w:rPr>
              <w:highlight w:val="none"/>
            </w:rPr>
            <w:tab/>
          </w:r>
          <w:r>
            <w:rPr>
              <w:highlight w:val="none"/>
            </w:rPr>
            <w:fldChar w:fldCharType="begin"/>
          </w:r>
          <w:r>
            <w:rPr>
              <w:highlight w:val="none"/>
            </w:rPr>
            <w:instrText xml:space="preserve"> PAGEREF _Toc110245231 \h </w:instrText>
          </w:r>
          <w:r>
            <w:rPr>
              <w:highlight w:val="none"/>
            </w:rPr>
            <w:fldChar w:fldCharType="separate"/>
          </w:r>
          <w:r>
            <w:rPr>
              <w:highlight w:val="none"/>
            </w:rPr>
            <w:t>1</w:t>
          </w:r>
          <w:r>
            <w:rPr>
              <w:highlight w:val="none"/>
            </w:rPr>
            <w:fldChar w:fldCharType="end"/>
          </w:r>
          <w:r>
            <w:rPr>
              <w:highlight w:val="none"/>
            </w:rPr>
            <w:fldChar w:fldCharType="end"/>
          </w:r>
        </w:p>
        <w:p>
          <w:pPr>
            <w:pStyle w:val="7"/>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"_Toc110245232" </w:instrText>
          </w:r>
          <w:r>
            <w:rPr>
              <w:highlight w:val="none"/>
            </w:rPr>
            <w:fldChar w:fldCharType="separate"/>
          </w:r>
          <w:r>
            <w:rPr>
              <w:rStyle w:val="12"/>
              <w:rFonts w:ascii="仿宋" w:hAnsi="仿宋" w:eastAsia="仿宋" w:cs="仿宋"/>
              <w:color w:val="auto"/>
              <w:highlight w:val="none"/>
            </w:rPr>
            <w:t>第二章 投标人须知前附表</w:t>
          </w:r>
          <w:r>
            <w:rPr>
              <w:highlight w:val="none"/>
            </w:rPr>
            <w:tab/>
          </w:r>
          <w:r>
            <w:rPr>
              <w:highlight w:val="none"/>
            </w:rPr>
            <w:fldChar w:fldCharType="begin"/>
          </w:r>
          <w:r>
            <w:rPr>
              <w:highlight w:val="none"/>
            </w:rPr>
            <w:instrText xml:space="preserve"> PAGEREF _Toc110245232 \h </w:instrText>
          </w:r>
          <w:r>
            <w:rPr>
              <w:highlight w:val="none"/>
            </w:rPr>
            <w:fldChar w:fldCharType="separate"/>
          </w:r>
          <w:r>
            <w:rPr>
              <w:highlight w:val="none"/>
            </w:rPr>
            <w:t>5</w:t>
          </w:r>
          <w:r>
            <w:rPr>
              <w:highlight w:val="none"/>
            </w:rPr>
            <w:fldChar w:fldCharType="end"/>
          </w:r>
          <w:r>
            <w:rPr>
              <w:highlight w:val="none"/>
            </w:rPr>
            <w:fldChar w:fldCharType="end"/>
          </w:r>
        </w:p>
        <w:p>
          <w:pPr>
            <w:pStyle w:val="7"/>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"_Toc110245233" </w:instrText>
          </w:r>
          <w:r>
            <w:rPr>
              <w:highlight w:val="none"/>
            </w:rPr>
            <w:fldChar w:fldCharType="separate"/>
          </w:r>
          <w:r>
            <w:rPr>
              <w:rStyle w:val="12"/>
              <w:rFonts w:ascii="仿宋" w:hAnsi="仿宋" w:eastAsia="仿宋" w:cs="仿宋"/>
              <w:color w:val="auto"/>
              <w:highlight w:val="none"/>
            </w:rPr>
            <w:t>第三章 投标人须知</w:t>
          </w:r>
          <w:r>
            <w:rPr>
              <w:highlight w:val="none"/>
            </w:rPr>
            <w:tab/>
          </w:r>
          <w:r>
            <w:rPr>
              <w:highlight w:val="none"/>
            </w:rPr>
            <w:fldChar w:fldCharType="begin"/>
          </w:r>
          <w:r>
            <w:rPr>
              <w:highlight w:val="none"/>
            </w:rPr>
            <w:instrText xml:space="preserve"> PAGEREF _Toc110245233 \h </w:instrText>
          </w:r>
          <w:r>
            <w:rPr>
              <w:highlight w:val="none"/>
            </w:rPr>
            <w:fldChar w:fldCharType="separate"/>
          </w:r>
          <w:r>
            <w:rPr>
              <w:highlight w:val="none"/>
            </w:rPr>
            <w:t>12</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"_Toc110245234" </w:instrText>
          </w:r>
          <w:r>
            <w:rPr>
              <w:highlight w:val="none"/>
            </w:rPr>
            <w:fldChar w:fldCharType="separate"/>
          </w:r>
          <w:r>
            <w:rPr>
              <w:rStyle w:val="12"/>
              <w:rFonts w:ascii="仿宋" w:hAnsi="仿宋" w:eastAsia="仿宋" w:cs="仿宋"/>
              <w:color w:val="auto"/>
              <w:highlight w:val="none"/>
            </w:rPr>
            <w:t>一、说明</w:t>
          </w:r>
          <w:r>
            <w:rPr>
              <w:highlight w:val="none"/>
            </w:rPr>
            <w:tab/>
          </w:r>
          <w:r>
            <w:rPr>
              <w:highlight w:val="none"/>
            </w:rPr>
            <w:fldChar w:fldCharType="begin"/>
          </w:r>
          <w:r>
            <w:rPr>
              <w:highlight w:val="none"/>
            </w:rPr>
            <w:instrText xml:space="preserve"> PAGEREF _Toc110245234 \h </w:instrText>
          </w:r>
          <w:r>
            <w:rPr>
              <w:highlight w:val="none"/>
            </w:rPr>
            <w:fldChar w:fldCharType="separate"/>
          </w:r>
          <w:r>
            <w:rPr>
              <w:highlight w:val="none"/>
            </w:rPr>
            <w:t>13</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"_Toc110245235" </w:instrText>
          </w:r>
          <w:r>
            <w:rPr>
              <w:highlight w:val="none"/>
            </w:rPr>
            <w:fldChar w:fldCharType="separate"/>
          </w:r>
          <w:r>
            <w:rPr>
              <w:rStyle w:val="12"/>
              <w:rFonts w:ascii="仿宋" w:hAnsi="仿宋" w:eastAsia="仿宋" w:cs="仿宋"/>
              <w:color w:val="auto"/>
              <w:highlight w:val="none"/>
            </w:rPr>
            <w:t>二、招标文件</w:t>
          </w:r>
          <w:r>
            <w:rPr>
              <w:highlight w:val="none"/>
            </w:rPr>
            <w:tab/>
          </w:r>
          <w:r>
            <w:rPr>
              <w:highlight w:val="none"/>
            </w:rPr>
            <w:fldChar w:fldCharType="begin"/>
          </w:r>
          <w:r>
            <w:rPr>
              <w:highlight w:val="none"/>
            </w:rPr>
            <w:instrText xml:space="preserve"> PAGEREF _Toc110245235 \h </w:instrText>
          </w:r>
          <w:r>
            <w:rPr>
              <w:highlight w:val="none"/>
            </w:rPr>
            <w:fldChar w:fldCharType="separate"/>
          </w:r>
          <w:r>
            <w:rPr>
              <w:highlight w:val="none"/>
            </w:rPr>
            <w:t>16</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"_Toc110245236" </w:instrText>
          </w:r>
          <w:r>
            <w:rPr>
              <w:highlight w:val="none"/>
            </w:rPr>
            <w:fldChar w:fldCharType="separate"/>
          </w:r>
          <w:r>
            <w:rPr>
              <w:rStyle w:val="12"/>
              <w:rFonts w:ascii="仿宋" w:hAnsi="仿宋" w:eastAsia="仿宋" w:cs="仿宋"/>
              <w:color w:val="auto"/>
              <w:highlight w:val="none"/>
            </w:rPr>
            <w:t>三、投标文件的组成与要求</w:t>
          </w:r>
          <w:r>
            <w:rPr>
              <w:highlight w:val="none"/>
            </w:rPr>
            <w:tab/>
          </w:r>
          <w:r>
            <w:rPr>
              <w:highlight w:val="none"/>
            </w:rPr>
            <w:fldChar w:fldCharType="begin"/>
          </w:r>
          <w:r>
            <w:rPr>
              <w:highlight w:val="none"/>
            </w:rPr>
            <w:instrText xml:space="preserve"> PAGEREF _Toc110245236 \h </w:instrText>
          </w:r>
          <w:r>
            <w:rPr>
              <w:highlight w:val="none"/>
            </w:rPr>
            <w:fldChar w:fldCharType="separate"/>
          </w:r>
          <w:r>
            <w:rPr>
              <w:highlight w:val="none"/>
            </w:rPr>
            <w:t>17</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"_Toc110245237" </w:instrText>
          </w:r>
          <w:r>
            <w:rPr>
              <w:highlight w:val="none"/>
            </w:rPr>
            <w:fldChar w:fldCharType="separate"/>
          </w:r>
          <w:r>
            <w:rPr>
              <w:rStyle w:val="12"/>
              <w:rFonts w:ascii="仿宋" w:hAnsi="仿宋" w:eastAsia="仿宋" w:cs="仿宋"/>
              <w:color w:val="auto"/>
              <w:highlight w:val="none"/>
            </w:rPr>
            <w:t>四、投标文件的递交</w:t>
          </w:r>
          <w:r>
            <w:rPr>
              <w:highlight w:val="none"/>
            </w:rPr>
            <w:tab/>
          </w:r>
          <w:r>
            <w:rPr>
              <w:highlight w:val="none"/>
            </w:rPr>
            <w:fldChar w:fldCharType="begin"/>
          </w:r>
          <w:r>
            <w:rPr>
              <w:highlight w:val="none"/>
            </w:rPr>
            <w:instrText xml:space="preserve"> PAGEREF _Toc110245237 \h </w:instrText>
          </w:r>
          <w:r>
            <w:rPr>
              <w:highlight w:val="none"/>
            </w:rPr>
            <w:fldChar w:fldCharType="separate"/>
          </w:r>
          <w:r>
            <w:rPr>
              <w:highlight w:val="none"/>
            </w:rPr>
            <w:t>21</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"_Toc110245238" </w:instrText>
          </w:r>
          <w:r>
            <w:rPr>
              <w:highlight w:val="none"/>
            </w:rPr>
            <w:fldChar w:fldCharType="separate"/>
          </w:r>
          <w:r>
            <w:rPr>
              <w:rStyle w:val="12"/>
              <w:rFonts w:ascii="仿宋" w:hAnsi="仿宋" w:eastAsia="仿宋" w:cs="仿宋"/>
              <w:color w:val="auto"/>
              <w:highlight w:val="none"/>
            </w:rPr>
            <w:t>五、开标与评标</w:t>
          </w:r>
          <w:r>
            <w:rPr>
              <w:highlight w:val="none"/>
            </w:rPr>
            <w:tab/>
          </w:r>
          <w:r>
            <w:rPr>
              <w:highlight w:val="none"/>
            </w:rPr>
            <w:fldChar w:fldCharType="begin"/>
          </w:r>
          <w:r>
            <w:rPr>
              <w:highlight w:val="none"/>
            </w:rPr>
            <w:instrText xml:space="preserve"> PAGEREF _Toc110245238 \h </w:instrText>
          </w:r>
          <w:r>
            <w:rPr>
              <w:highlight w:val="none"/>
            </w:rPr>
            <w:fldChar w:fldCharType="separate"/>
          </w:r>
          <w:r>
            <w:rPr>
              <w:highlight w:val="none"/>
            </w:rPr>
            <w:t>21</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"_Toc110245239" </w:instrText>
          </w:r>
          <w:r>
            <w:rPr>
              <w:highlight w:val="none"/>
            </w:rPr>
            <w:fldChar w:fldCharType="separate"/>
          </w:r>
          <w:r>
            <w:rPr>
              <w:rStyle w:val="12"/>
              <w:rFonts w:ascii="仿宋" w:hAnsi="仿宋" w:eastAsia="仿宋" w:cs="仿宋"/>
              <w:color w:val="auto"/>
              <w:highlight w:val="none"/>
            </w:rPr>
            <w:t>六、确定中标人及授予合同</w:t>
          </w:r>
          <w:r>
            <w:rPr>
              <w:highlight w:val="none"/>
            </w:rPr>
            <w:tab/>
          </w:r>
          <w:r>
            <w:rPr>
              <w:highlight w:val="none"/>
            </w:rPr>
            <w:fldChar w:fldCharType="begin"/>
          </w:r>
          <w:r>
            <w:rPr>
              <w:highlight w:val="none"/>
            </w:rPr>
            <w:instrText xml:space="preserve"> PAGEREF _Toc110245239 \h </w:instrText>
          </w:r>
          <w:r>
            <w:rPr>
              <w:highlight w:val="none"/>
            </w:rPr>
            <w:fldChar w:fldCharType="separate"/>
          </w:r>
          <w:r>
            <w:rPr>
              <w:highlight w:val="none"/>
            </w:rPr>
            <w:t>23</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"_Toc110245240" </w:instrText>
          </w:r>
          <w:r>
            <w:rPr>
              <w:highlight w:val="none"/>
            </w:rPr>
            <w:fldChar w:fldCharType="separate"/>
          </w:r>
          <w:r>
            <w:rPr>
              <w:rStyle w:val="12"/>
              <w:rFonts w:ascii="仿宋" w:hAnsi="仿宋" w:eastAsia="仿宋" w:cs="仿宋"/>
              <w:color w:val="auto"/>
              <w:highlight w:val="none"/>
            </w:rPr>
            <w:t>七、其他</w:t>
          </w:r>
          <w:r>
            <w:rPr>
              <w:highlight w:val="none"/>
            </w:rPr>
            <w:tab/>
          </w:r>
          <w:r>
            <w:rPr>
              <w:highlight w:val="none"/>
            </w:rPr>
            <w:fldChar w:fldCharType="begin"/>
          </w:r>
          <w:r>
            <w:rPr>
              <w:highlight w:val="none"/>
            </w:rPr>
            <w:instrText xml:space="preserve"> PAGEREF _Toc110245240 \h </w:instrText>
          </w:r>
          <w:r>
            <w:rPr>
              <w:highlight w:val="none"/>
            </w:rPr>
            <w:fldChar w:fldCharType="separate"/>
          </w:r>
          <w:r>
            <w:rPr>
              <w:highlight w:val="none"/>
            </w:rPr>
            <w:t>24</w:t>
          </w:r>
          <w:r>
            <w:rPr>
              <w:highlight w:val="none"/>
            </w:rPr>
            <w:fldChar w:fldCharType="end"/>
          </w:r>
          <w:r>
            <w:rPr>
              <w:highlight w:val="none"/>
            </w:rPr>
            <w:fldChar w:fldCharType="end"/>
          </w:r>
        </w:p>
        <w:p>
          <w:pPr>
            <w:pStyle w:val="7"/>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"_Toc110245241" </w:instrText>
          </w:r>
          <w:r>
            <w:rPr>
              <w:highlight w:val="none"/>
            </w:rPr>
            <w:fldChar w:fldCharType="separate"/>
          </w:r>
          <w:r>
            <w:rPr>
              <w:rStyle w:val="12"/>
              <w:rFonts w:ascii="仿宋" w:hAnsi="仿宋" w:eastAsia="仿宋" w:cs="仿宋"/>
              <w:color w:val="auto"/>
              <w:highlight w:val="none"/>
            </w:rPr>
            <w:t>第四章 合同格式</w:t>
          </w:r>
          <w:r>
            <w:rPr>
              <w:highlight w:val="none"/>
            </w:rPr>
            <w:tab/>
          </w:r>
          <w:r>
            <w:rPr>
              <w:highlight w:val="none"/>
            </w:rPr>
            <w:fldChar w:fldCharType="begin"/>
          </w:r>
          <w:r>
            <w:rPr>
              <w:highlight w:val="none"/>
            </w:rPr>
            <w:instrText xml:space="preserve"> PAGEREF _Toc110245241 \h </w:instrText>
          </w:r>
          <w:r>
            <w:rPr>
              <w:highlight w:val="none"/>
            </w:rPr>
            <w:fldChar w:fldCharType="separate"/>
          </w:r>
          <w:r>
            <w:rPr>
              <w:highlight w:val="none"/>
            </w:rPr>
            <w:t>26</w:t>
          </w:r>
          <w:r>
            <w:rPr>
              <w:highlight w:val="none"/>
            </w:rPr>
            <w:fldChar w:fldCharType="end"/>
          </w:r>
          <w:r>
            <w:rPr>
              <w:highlight w:val="none"/>
            </w:rPr>
            <w:fldChar w:fldCharType="end"/>
          </w:r>
        </w:p>
        <w:p>
          <w:pPr>
            <w:pStyle w:val="7"/>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"_Toc110245242" </w:instrText>
          </w:r>
          <w:r>
            <w:rPr>
              <w:highlight w:val="none"/>
            </w:rPr>
            <w:fldChar w:fldCharType="separate"/>
          </w:r>
          <w:r>
            <w:rPr>
              <w:rStyle w:val="12"/>
              <w:rFonts w:ascii="仿宋" w:hAnsi="仿宋" w:eastAsia="仿宋" w:cs="仿宋"/>
              <w:color w:val="auto"/>
              <w:highlight w:val="none"/>
            </w:rPr>
            <w:t>第五章 投标文件格式</w:t>
          </w:r>
          <w:r>
            <w:rPr>
              <w:highlight w:val="none"/>
            </w:rPr>
            <w:tab/>
          </w:r>
          <w:r>
            <w:rPr>
              <w:highlight w:val="none"/>
            </w:rPr>
            <w:fldChar w:fldCharType="begin"/>
          </w:r>
          <w:r>
            <w:rPr>
              <w:highlight w:val="none"/>
            </w:rPr>
            <w:instrText xml:space="preserve"> PAGEREF _Toc110245242 \h </w:instrText>
          </w:r>
          <w:r>
            <w:rPr>
              <w:highlight w:val="none"/>
            </w:rPr>
            <w:fldChar w:fldCharType="separate"/>
          </w:r>
          <w:r>
            <w:rPr>
              <w:highlight w:val="none"/>
            </w:rPr>
            <w:t>32</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"_Toc110245243" </w:instrText>
          </w:r>
          <w:r>
            <w:rPr>
              <w:highlight w:val="none"/>
            </w:rPr>
            <w:fldChar w:fldCharType="separate"/>
          </w:r>
          <w:r>
            <w:rPr>
              <w:rStyle w:val="12"/>
              <w:rFonts w:ascii="仿宋" w:hAnsi="仿宋" w:eastAsia="仿宋" w:cs="仿宋"/>
              <w:color w:val="auto"/>
              <w:highlight w:val="none"/>
            </w:rPr>
            <w:t>投标文件索引</w:t>
          </w:r>
          <w:r>
            <w:rPr>
              <w:highlight w:val="none"/>
            </w:rPr>
            <w:tab/>
          </w:r>
          <w:r>
            <w:rPr>
              <w:highlight w:val="none"/>
            </w:rPr>
            <w:fldChar w:fldCharType="begin"/>
          </w:r>
          <w:r>
            <w:rPr>
              <w:highlight w:val="none"/>
            </w:rPr>
            <w:instrText xml:space="preserve"> PAGEREF _Toc110245243 \h </w:instrText>
          </w:r>
          <w:r>
            <w:rPr>
              <w:highlight w:val="none"/>
            </w:rPr>
            <w:fldChar w:fldCharType="separate"/>
          </w:r>
          <w:r>
            <w:rPr>
              <w:highlight w:val="none"/>
            </w:rPr>
            <w:t>33</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"_Toc110245244" </w:instrText>
          </w:r>
          <w:r>
            <w:rPr>
              <w:highlight w:val="none"/>
            </w:rPr>
            <w:fldChar w:fldCharType="separate"/>
          </w:r>
          <w:r>
            <w:rPr>
              <w:rStyle w:val="12"/>
              <w:rFonts w:ascii="仿宋" w:hAnsi="仿宋" w:eastAsia="仿宋" w:cs="仿宋"/>
              <w:color w:val="auto"/>
              <w:kern w:val="1"/>
              <w:highlight w:val="none"/>
            </w:rPr>
            <w:t>附件1  投标函</w:t>
          </w:r>
          <w:r>
            <w:rPr>
              <w:highlight w:val="none"/>
            </w:rPr>
            <w:tab/>
          </w:r>
          <w:r>
            <w:rPr>
              <w:highlight w:val="none"/>
            </w:rPr>
            <w:fldChar w:fldCharType="begin"/>
          </w:r>
          <w:r>
            <w:rPr>
              <w:highlight w:val="none"/>
            </w:rPr>
            <w:instrText xml:space="preserve"> PAGEREF _Toc110245244 \h </w:instrText>
          </w:r>
          <w:r>
            <w:rPr>
              <w:highlight w:val="none"/>
            </w:rPr>
            <w:fldChar w:fldCharType="separate"/>
          </w:r>
          <w:r>
            <w:rPr>
              <w:highlight w:val="none"/>
            </w:rPr>
            <w:t>34</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"_Toc110245245" </w:instrText>
          </w:r>
          <w:r>
            <w:rPr>
              <w:highlight w:val="none"/>
            </w:rPr>
            <w:fldChar w:fldCharType="separate"/>
          </w:r>
          <w:r>
            <w:rPr>
              <w:rStyle w:val="12"/>
              <w:rFonts w:ascii="仿宋" w:hAnsi="仿宋" w:eastAsia="仿宋" w:cs="仿宋"/>
              <w:color w:val="auto"/>
              <w:kern w:val="1"/>
              <w:highlight w:val="none"/>
            </w:rPr>
            <w:t>附件2  开标一览表</w:t>
          </w:r>
          <w:r>
            <w:rPr>
              <w:highlight w:val="none"/>
            </w:rPr>
            <w:tab/>
          </w:r>
          <w:r>
            <w:rPr>
              <w:highlight w:val="none"/>
            </w:rPr>
            <w:fldChar w:fldCharType="begin"/>
          </w:r>
          <w:r>
            <w:rPr>
              <w:highlight w:val="none"/>
            </w:rPr>
            <w:instrText xml:space="preserve"> PAGEREF _Toc110245245 \h </w:instrText>
          </w:r>
          <w:r>
            <w:rPr>
              <w:highlight w:val="none"/>
            </w:rPr>
            <w:fldChar w:fldCharType="separate"/>
          </w:r>
          <w:r>
            <w:rPr>
              <w:highlight w:val="none"/>
            </w:rPr>
            <w:t>35</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"_Toc110245246" </w:instrText>
          </w:r>
          <w:r>
            <w:rPr>
              <w:highlight w:val="none"/>
            </w:rPr>
            <w:fldChar w:fldCharType="separate"/>
          </w:r>
          <w:r>
            <w:rPr>
              <w:rStyle w:val="12"/>
              <w:rFonts w:ascii="仿宋" w:hAnsi="仿宋" w:eastAsia="仿宋" w:cs="仿宋"/>
              <w:color w:val="auto"/>
              <w:kern w:val="1"/>
              <w:highlight w:val="none"/>
            </w:rPr>
            <w:t>附件3  分项报价表</w:t>
          </w:r>
          <w:r>
            <w:rPr>
              <w:highlight w:val="none"/>
            </w:rPr>
            <w:tab/>
          </w:r>
          <w:r>
            <w:rPr>
              <w:highlight w:val="none"/>
            </w:rPr>
            <w:fldChar w:fldCharType="begin"/>
          </w:r>
          <w:r>
            <w:rPr>
              <w:highlight w:val="none"/>
            </w:rPr>
            <w:instrText xml:space="preserve"> PAGEREF _Toc110245246 \h </w:instrText>
          </w:r>
          <w:r>
            <w:rPr>
              <w:highlight w:val="none"/>
            </w:rPr>
            <w:fldChar w:fldCharType="separate"/>
          </w:r>
          <w:r>
            <w:rPr>
              <w:highlight w:val="none"/>
            </w:rPr>
            <w:t>36</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"_Toc110245247" </w:instrText>
          </w:r>
          <w:r>
            <w:rPr>
              <w:highlight w:val="none"/>
            </w:rPr>
            <w:fldChar w:fldCharType="separate"/>
          </w:r>
          <w:r>
            <w:rPr>
              <w:rStyle w:val="12"/>
              <w:rFonts w:ascii="仿宋" w:hAnsi="仿宋" w:eastAsia="仿宋" w:cs="仿宋"/>
              <w:color w:val="auto"/>
              <w:kern w:val="1"/>
              <w:highlight w:val="none"/>
            </w:rPr>
            <w:t>附件4  商务、合同条款偏离表</w:t>
          </w:r>
          <w:r>
            <w:rPr>
              <w:highlight w:val="none"/>
            </w:rPr>
            <w:tab/>
          </w:r>
          <w:r>
            <w:rPr>
              <w:highlight w:val="none"/>
            </w:rPr>
            <w:fldChar w:fldCharType="begin"/>
          </w:r>
          <w:r>
            <w:rPr>
              <w:highlight w:val="none"/>
            </w:rPr>
            <w:instrText xml:space="preserve"> PAGEREF _Toc110245247 \h </w:instrText>
          </w:r>
          <w:r>
            <w:rPr>
              <w:highlight w:val="none"/>
            </w:rPr>
            <w:fldChar w:fldCharType="separate"/>
          </w:r>
          <w:r>
            <w:rPr>
              <w:highlight w:val="none"/>
            </w:rPr>
            <w:t>37</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"_Toc110245248" </w:instrText>
          </w:r>
          <w:r>
            <w:rPr>
              <w:highlight w:val="none"/>
            </w:rPr>
            <w:fldChar w:fldCharType="separate"/>
          </w:r>
          <w:r>
            <w:rPr>
              <w:rStyle w:val="12"/>
              <w:rFonts w:ascii="仿宋" w:hAnsi="仿宋" w:eastAsia="仿宋" w:cs="仿宋"/>
              <w:color w:val="auto"/>
              <w:kern w:val="1"/>
              <w:highlight w:val="none"/>
            </w:rPr>
            <w:t>附件5  资格审查资料</w:t>
          </w:r>
          <w:r>
            <w:rPr>
              <w:highlight w:val="none"/>
            </w:rPr>
            <w:tab/>
          </w:r>
          <w:r>
            <w:rPr>
              <w:highlight w:val="none"/>
            </w:rPr>
            <w:fldChar w:fldCharType="begin"/>
          </w:r>
          <w:r>
            <w:rPr>
              <w:highlight w:val="none"/>
            </w:rPr>
            <w:instrText xml:space="preserve"> PAGEREF _Toc110245248 \h </w:instrText>
          </w:r>
          <w:r>
            <w:rPr>
              <w:highlight w:val="none"/>
            </w:rPr>
            <w:fldChar w:fldCharType="separate"/>
          </w:r>
          <w:r>
            <w:rPr>
              <w:highlight w:val="none"/>
            </w:rPr>
            <w:t>38</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"_Toc110245249" </w:instrText>
          </w:r>
          <w:r>
            <w:rPr>
              <w:highlight w:val="none"/>
            </w:rPr>
            <w:fldChar w:fldCharType="separate"/>
          </w:r>
          <w:r>
            <w:rPr>
              <w:rStyle w:val="12"/>
              <w:rFonts w:ascii="仿宋" w:hAnsi="仿宋" w:eastAsia="仿宋" w:cs="仿宋"/>
              <w:color w:val="auto"/>
              <w:kern w:val="1"/>
              <w:highlight w:val="none"/>
            </w:rPr>
            <w:t>附件6  授权书</w:t>
          </w:r>
          <w:r>
            <w:rPr>
              <w:highlight w:val="none"/>
            </w:rPr>
            <w:tab/>
          </w:r>
          <w:r>
            <w:rPr>
              <w:highlight w:val="none"/>
            </w:rPr>
            <w:fldChar w:fldCharType="begin"/>
          </w:r>
          <w:r>
            <w:rPr>
              <w:highlight w:val="none"/>
            </w:rPr>
            <w:instrText xml:space="preserve"> PAGEREF _Toc110245249 \h </w:instrText>
          </w:r>
          <w:r>
            <w:rPr>
              <w:highlight w:val="none"/>
            </w:rPr>
            <w:fldChar w:fldCharType="separate"/>
          </w:r>
          <w:r>
            <w:rPr>
              <w:highlight w:val="none"/>
            </w:rPr>
            <w:t>50</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"_Toc110245250" </w:instrText>
          </w:r>
          <w:r>
            <w:rPr>
              <w:highlight w:val="none"/>
            </w:rPr>
            <w:fldChar w:fldCharType="separate"/>
          </w:r>
          <w:r>
            <w:rPr>
              <w:rStyle w:val="12"/>
              <w:rFonts w:ascii="仿宋" w:hAnsi="仿宋" w:eastAsia="仿宋" w:cs="仿宋"/>
              <w:color w:val="auto"/>
              <w:kern w:val="1"/>
              <w:highlight w:val="none"/>
            </w:rPr>
            <w:t>附件7  业绩一览表</w:t>
          </w:r>
          <w:r>
            <w:rPr>
              <w:highlight w:val="none"/>
            </w:rPr>
            <w:tab/>
          </w:r>
          <w:r>
            <w:rPr>
              <w:highlight w:val="none"/>
            </w:rPr>
            <w:fldChar w:fldCharType="begin"/>
          </w:r>
          <w:r>
            <w:rPr>
              <w:highlight w:val="none"/>
            </w:rPr>
            <w:instrText xml:space="preserve"> PAGEREF _Toc110245250 \h </w:instrText>
          </w:r>
          <w:r>
            <w:rPr>
              <w:highlight w:val="none"/>
            </w:rPr>
            <w:fldChar w:fldCharType="separate"/>
          </w:r>
          <w:r>
            <w:rPr>
              <w:highlight w:val="none"/>
            </w:rPr>
            <w:t>51</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"_Toc110245251" </w:instrText>
          </w:r>
          <w:r>
            <w:rPr>
              <w:highlight w:val="none"/>
            </w:rPr>
            <w:fldChar w:fldCharType="separate"/>
          </w:r>
          <w:r>
            <w:rPr>
              <w:rStyle w:val="12"/>
              <w:rFonts w:ascii="仿宋" w:hAnsi="仿宋" w:eastAsia="仿宋" w:cs="仿宋"/>
              <w:color w:val="auto"/>
              <w:kern w:val="1"/>
              <w:highlight w:val="none"/>
            </w:rPr>
            <w:t>附件8  中小企业、监狱企业、残疾人福利性单位的声明函或证明材料</w:t>
          </w:r>
          <w:r>
            <w:rPr>
              <w:highlight w:val="none"/>
            </w:rPr>
            <w:tab/>
          </w:r>
          <w:r>
            <w:rPr>
              <w:highlight w:val="none"/>
            </w:rPr>
            <w:fldChar w:fldCharType="begin"/>
          </w:r>
          <w:r>
            <w:rPr>
              <w:highlight w:val="none"/>
            </w:rPr>
            <w:instrText xml:space="preserve"> PAGEREF _Toc110245251 \h </w:instrText>
          </w:r>
          <w:r>
            <w:rPr>
              <w:highlight w:val="none"/>
            </w:rPr>
            <w:fldChar w:fldCharType="separate"/>
          </w:r>
          <w:r>
            <w:rPr>
              <w:highlight w:val="none"/>
            </w:rPr>
            <w:t>52</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"_Toc110245252" </w:instrText>
          </w:r>
          <w:r>
            <w:rPr>
              <w:highlight w:val="none"/>
            </w:rPr>
            <w:fldChar w:fldCharType="separate"/>
          </w:r>
          <w:r>
            <w:rPr>
              <w:rStyle w:val="12"/>
              <w:rFonts w:ascii="仿宋" w:hAnsi="仿宋" w:eastAsia="仿宋" w:cs="仿宋"/>
              <w:color w:val="auto"/>
              <w:kern w:val="1"/>
              <w:highlight w:val="none"/>
            </w:rPr>
            <w:t>附件9  节能（节水）产品、环境标志产品明细表</w:t>
          </w:r>
          <w:r>
            <w:rPr>
              <w:highlight w:val="none"/>
            </w:rPr>
            <w:tab/>
          </w:r>
          <w:r>
            <w:rPr>
              <w:highlight w:val="none"/>
            </w:rPr>
            <w:fldChar w:fldCharType="begin"/>
          </w:r>
          <w:r>
            <w:rPr>
              <w:highlight w:val="none"/>
            </w:rPr>
            <w:instrText xml:space="preserve"> PAGEREF _Toc110245252 \h </w:instrText>
          </w:r>
          <w:r>
            <w:rPr>
              <w:highlight w:val="none"/>
            </w:rPr>
            <w:fldChar w:fldCharType="separate"/>
          </w:r>
          <w:r>
            <w:rPr>
              <w:highlight w:val="none"/>
            </w:rPr>
            <w:t>56</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"_Toc110245253" </w:instrText>
          </w:r>
          <w:r>
            <w:rPr>
              <w:highlight w:val="none"/>
            </w:rPr>
            <w:fldChar w:fldCharType="separate"/>
          </w:r>
          <w:r>
            <w:rPr>
              <w:rStyle w:val="12"/>
              <w:rFonts w:ascii="仿宋" w:hAnsi="仿宋" w:eastAsia="仿宋" w:cs="仿宋"/>
              <w:color w:val="auto"/>
              <w:kern w:val="1"/>
              <w:highlight w:val="none"/>
            </w:rPr>
            <w:t>附件10  技术偏离表</w:t>
          </w:r>
          <w:r>
            <w:rPr>
              <w:highlight w:val="none"/>
            </w:rPr>
            <w:tab/>
          </w:r>
          <w:r>
            <w:rPr>
              <w:highlight w:val="none"/>
            </w:rPr>
            <w:fldChar w:fldCharType="begin"/>
          </w:r>
          <w:r>
            <w:rPr>
              <w:highlight w:val="none"/>
            </w:rPr>
            <w:instrText xml:space="preserve"> PAGEREF _Toc110245253 \h </w:instrText>
          </w:r>
          <w:r>
            <w:rPr>
              <w:highlight w:val="none"/>
            </w:rPr>
            <w:fldChar w:fldCharType="separate"/>
          </w:r>
          <w:r>
            <w:rPr>
              <w:highlight w:val="none"/>
            </w:rPr>
            <w:t>57</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"_Toc110245254" </w:instrText>
          </w:r>
          <w:r>
            <w:rPr>
              <w:highlight w:val="none"/>
            </w:rPr>
            <w:fldChar w:fldCharType="separate"/>
          </w:r>
          <w:r>
            <w:rPr>
              <w:rStyle w:val="12"/>
              <w:rFonts w:ascii="仿宋" w:hAnsi="仿宋" w:eastAsia="仿宋" w:cs="仿宋"/>
              <w:color w:val="auto"/>
              <w:kern w:val="1"/>
              <w:highlight w:val="none"/>
            </w:rPr>
            <w:t>附件11  方案及承诺</w:t>
          </w:r>
          <w:r>
            <w:rPr>
              <w:highlight w:val="none"/>
            </w:rPr>
            <w:tab/>
          </w:r>
          <w:r>
            <w:rPr>
              <w:highlight w:val="none"/>
            </w:rPr>
            <w:fldChar w:fldCharType="begin"/>
          </w:r>
          <w:r>
            <w:rPr>
              <w:highlight w:val="none"/>
            </w:rPr>
            <w:instrText xml:space="preserve"> PAGEREF _Toc110245254 \h </w:instrText>
          </w:r>
          <w:r>
            <w:rPr>
              <w:highlight w:val="none"/>
            </w:rPr>
            <w:fldChar w:fldCharType="separate"/>
          </w:r>
          <w:r>
            <w:rPr>
              <w:highlight w:val="none"/>
            </w:rPr>
            <w:t>58</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"_Toc110245255" </w:instrText>
          </w:r>
          <w:r>
            <w:rPr>
              <w:highlight w:val="none"/>
            </w:rPr>
            <w:fldChar w:fldCharType="separate"/>
          </w:r>
          <w:r>
            <w:rPr>
              <w:rStyle w:val="12"/>
              <w:rFonts w:ascii="仿宋" w:hAnsi="仿宋" w:eastAsia="仿宋" w:cs="仿宋"/>
              <w:color w:val="auto"/>
              <w:kern w:val="1"/>
              <w:highlight w:val="none"/>
            </w:rPr>
            <w:t>附件12  投标人本项目管理、技术、服务人员情况表</w:t>
          </w:r>
          <w:r>
            <w:rPr>
              <w:highlight w:val="none"/>
            </w:rPr>
            <w:tab/>
          </w:r>
          <w:r>
            <w:rPr>
              <w:highlight w:val="none"/>
            </w:rPr>
            <w:fldChar w:fldCharType="begin"/>
          </w:r>
          <w:r>
            <w:rPr>
              <w:highlight w:val="none"/>
            </w:rPr>
            <w:instrText xml:space="preserve"> PAGEREF _Toc110245255 \h </w:instrText>
          </w:r>
          <w:r>
            <w:rPr>
              <w:highlight w:val="none"/>
            </w:rPr>
            <w:fldChar w:fldCharType="separate"/>
          </w:r>
          <w:r>
            <w:rPr>
              <w:highlight w:val="none"/>
            </w:rPr>
            <w:t>59</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"_Toc110245256" </w:instrText>
          </w:r>
          <w:r>
            <w:rPr>
              <w:highlight w:val="none"/>
            </w:rPr>
            <w:fldChar w:fldCharType="separate"/>
          </w:r>
          <w:r>
            <w:rPr>
              <w:rStyle w:val="12"/>
              <w:rFonts w:ascii="仿宋" w:hAnsi="仿宋" w:eastAsia="仿宋" w:cs="仿宋"/>
              <w:color w:val="auto"/>
              <w:kern w:val="1"/>
              <w:highlight w:val="none"/>
            </w:rPr>
            <w:t>附件13  拟投入产品证明材料</w:t>
          </w:r>
          <w:r>
            <w:rPr>
              <w:highlight w:val="none"/>
            </w:rPr>
            <w:tab/>
          </w:r>
          <w:r>
            <w:rPr>
              <w:highlight w:val="none"/>
            </w:rPr>
            <w:fldChar w:fldCharType="begin"/>
          </w:r>
          <w:r>
            <w:rPr>
              <w:highlight w:val="none"/>
            </w:rPr>
            <w:instrText xml:space="preserve"> PAGEREF _Toc110245256 \h </w:instrText>
          </w:r>
          <w:r>
            <w:rPr>
              <w:highlight w:val="none"/>
            </w:rPr>
            <w:fldChar w:fldCharType="separate"/>
          </w:r>
          <w:r>
            <w:rPr>
              <w:highlight w:val="none"/>
            </w:rPr>
            <w:t>61</w:t>
          </w:r>
          <w:r>
            <w:rPr>
              <w:highlight w:val="none"/>
            </w:rPr>
            <w:fldChar w:fldCharType="end"/>
          </w:r>
          <w:r>
            <w:rPr>
              <w:highlight w:val="none"/>
            </w:rPr>
            <w:fldChar w:fldCharType="end"/>
          </w:r>
        </w:p>
        <w:p>
          <w:pPr>
            <w:pStyle w:val="8"/>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"_Toc110245257" </w:instrText>
          </w:r>
          <w:r>
            <w:rPr>
              <w:highlight w:val="none"/>
            </w:rPr>
            <w:fldChar w:fldCharType="separate"/>
          </w:r>
          <w:r>
            <w:rPr>
              <w:rStyle w:val="12"/>
              <w:rFonts w:ascii="仿宋" w:hAnsi="仿宋" w:eastAsia="仿宋" w:cs="仿宋"/>
              <w:color w:val="auto"/>
              <w:kern w:val="1"/>
              <w:highlight w:val="none"/>
            </w:rPr>
            <w:t>附件14  采购活动中不存在弄虚作假、恶意串通等情形的承诺</w:t>
          </w:r>
          <w:r>
            <w:rPr>
              <w:highlight w:val="none"/>
            </w:rPr>
            <w:tab/>
          </w:r>
          <w:r>
            <w:rPr>
              <w:highlight w:val="none"/>
            </w:rPr>
            <w:fldChar w:fldCharType="begin"/>
          </w:r>
          <w:r>
            <w:rPr>
              <w:highlight w:val="none"/>
            </w:rPr>
            <w:instrText xml:space="preserve"> PAGEREF _Toc110245257 \h </w:instrText>
          </w:r>
          <w:r>
            <w:rPr>
              <w:highlight w:val="none"/>
            </w:rPr>
            <w:fldChar w:fldCharType="separate"/>
          </w:r>
          <w:r>
            <w:rPr>
              <w:highlight w:val="none"/>
            </w:rPr>
            <w:t>62</w:t>
          </w:r>
          <w:r>
            <w:rPr>
              <w:highlight w:val="none"/>
            </w:rPr>
            <w:fldChar w:fldCharType="end"/>
          </w:r>
          <w:r>
            <w:rPr>
              <w:highlight w:val="none"/>
            </w:rPr>
            <w:fldChar w:fldCharType="end"/>
          </w:r>
        </w:p>
        <w:p>
          <w:pPr>
            <w:pStyle w:val="7"/>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"_Toc110245258" </w:instrText>
          </w:r>
          <w:r>
            <w:rPr>
              <w:highlight w:val="none"/>
            </w:rPr>
            <w:fldChar w:fldCharType="separate"/>
          </w:r>
          <w:r>
            <w:rPr>
              <w:rStyle w:val="12"/>
              <w:rFonts w:ascii="仿宋" w:hAnsi="仿宋" w:eastAsia="仿宋" w:cs="仿宋"/>
              <w:color w:val="auto"/>
              <w:highlight w:val="none"/>
            </w:rPr>
            <w:t>第六章 采购需求</w:t>
          </w:r>
          <w:r>
            <w:rPr>
              <w:highlight w:val="none"/>
            </w:rPr>
            <w:tab/>
          </w:r>
          <w:r>
            <w:rPr>
              <w:highlight w:val="none"/>
            </w:rPr>
            <w:fldChar w:fldCharType="begin"/>
          </w:r>
          <w:r>
            <w:rPr>
              <w:highlight w:val="none"/>
            </w:rPr>
            <w:instrText xml:space="preserve"> PAGEREF _Toc110245258 \h </w:instrText>
          </w:r>
          <w:r>
            <w:rPr>
              <w:highlight w:val="none"/>
            </w:rPr>
            <w:fldChar w:fldCharType="separate"/>
          </w:r>
          <w:r>
            <w:rPr>
              <w:highlight w:val="none"/>
            </w:rPr>
            <w:t>63</w:t>
          </w:r>
          <w:r>
            <w:rPr>
              <w:highlight w:val="none"/>
            </w:rPr>
            <w:fldChar w:fldCharType="end"/>
          </w:r>
          <w:r>
            <w:rPr>
              <w:highlight w:val="none"/>
            </w:rPr>
            <w:fldChar w:fldCharType="end"/>
          </w:r>
        </w:p>
        <w:p>
          <w:pPr>
            <w:pStyle w:val="7"/>
            <w:tabs>
              <w:tab w:val="right" w:leader="dot" w:pos="8296"/>
            </w:tabs>
            <w:rPr>
              <w:rFonts w:asciiTheme="minorHAnsi" w:hAnsiTheme="minorHAnsi" w:eastAsiaTheme="minorEastAsia" w:cstheme="minorBidi"/>
              <w:highlight w:val="none"/>
            </w:rPr>
          </w:pPr>
          <w:r>
            <w:rPr>
              <w:highlight w:val="none"/>
            </w:rPr>
            <w:fldChar w:fldCharType="begin"/>
          </w:r>
          <w:r>
            <w:rPr>
              <w:highlight w:val="none"/>
            </w:rPr>
            <w:instrText xml:space="preserve"> HYPERLINK \l "_Toc110245259" </w:instrText>
          </w:r>
          <w:r>
            <w:rPr>
              <w:highlight w:val="none"/>
            </w:rPr>
            <w:fldChar w:fldCharType="separate"/>
          </w:r>
          <w:r>
            <w:rPr>
              <w:rStyle w:val="12"/>
              <w:rFonts w:ascii="仿宋" w:hAnsi="仿宋" w:eastAsia="仿宋" w:cs="仿宋"/>
              <w:color w:val="auto"/>
              <w:highlight w:val="none"/>
            </w:rPr>
            <w:t>第七章 评标办法</w:t>
          </w:r>
          <w:r>
            <w:rPr>
              <w:highlight w:val="none"/>
            </w:rPr>
            <w:tab/>
          </w:r>
          <w:r>
            <w:rPr>
              <w:highlight w:val="none"/>
            </w:rPr>
            <w:fldChar w:fldCharType="begin"/>
          </w:r>
          <w:r>
            <w:rPr>
              <w:highlight w:val="none"/>
            </w:rPr>
            <w:instrText xml:space="preserve"> PAGEREF _Toc110245259 \h </w:instrText>
          </w:r>
          <w:r>
            <w:rPr>
              <w:highlight w:val="none"/>
            </w:rPr>
            <w:fldChar w:fldCharType="separate"/>
          </w:r>
          <w:r>
            <w:rPr>
              <w:highlight w:val="none"/>
            </w:rPr>
            <w:t>75</w:t>
          </w:r>
          <w:r>
            <w:rPr>
              <w:highlight w:val="none"/>
            </w:rPr>
            <w:fldChar w:fldCharType="end"/>
          </w:r>
          <w:r>
            <w:rPr>
              <w:highlight w:val="none"/>
            </w:rPr>
            <w:fldChar w:fldCharType="end"/>
          </w:r>
        </w:p>
        <w:p>
          <w:pPr>
            <w:rPr>
              <w:rFonts w:asciiTheme="minorHAnsi" w:hAnsiTheme="minorHAnsi" w:eastAsiaTheme="minorEastAsia" w:cstheme="minorBidi"/>
              <w:highlight w:val="none"/>
            </w:rPr>
          </w:pPr>
          <w:r>
            <w:rPr>
              <w:rFonts w:hint="eastAsia" w:ascii="仿宋" w:hAnsi="仿宋" w:eastAsia="仿宋" w:cs="仿宋"/>
              <w:highlight w:val="none"/>
              <w:lang w:val="zh-CN"/>
            </w:rPr>
            <w:fldChar w:fldCharType="end"/>
          </w:r>
        </w:p>
      </w:sdtContent>
    </w:sdt>
    <w:p>
      <w:pPr>
        <w:rPr>
          <w:rFonts w:asciiTheme="minorHAnsi" w:hAnsiTheme="minorHAnsi" w:eastAsiaTheme="minorEastAsia" w:cstheme="minorBidi"/>
          <w:highlight w:val="none"/>
        </w:rPr>
        <w:sectPr>
          <w:footerReference r:id="rId3" w:type="default"/>
          <w:pgSz w:w="11906" w:h="16838"/>
          <w:pgMar w:top="1440" w:right="1800" w:bottom="1440" w:left="1800" w:header="851" w:footer="992" w:gutter="0"/>
          <w:cols w:space="425" w:num="1"/>
          <w:docGrid w:type="lines" w:linePitch="312" w:charSpace="0"/>
        </w:sectPr>
      </w:pPr>
    </w:p>
    <w:p>
      <w:pPr>
        <w:jc w:val="center"/>
        <w:rPr>
          <w:rFonts w:ascii="仿宋" w:hAnsi="仿宋" w:eastAsia="仿宋" w:cs="仿宋"/>
          <w:b/>
          <w:bCs/>
          <w:sz w:val="28"/>
          <w:szCs w:val="28"/>
          <w:highlight w:val="none"/>
        </w:rPr>
      </w:pPr>
      <w:bookmarkStart w:id="0" w:name="_Hlk39956308"/>
    </w:p>
    <w:p>
      <w:pPr>
        <w:jc w:val="center"/>
        <w:rPr>
          <w:rFonts w:ascii="仿宋" w:hAnsi="仿宋" w:eastAsia="仿宋" w:cs="仿宋"/>
          <w:b/>
          <w:bCs/>
          <w:sz w:val="28"/>
          <w:szCs w:val="28"/>
          <w:highlight w:val="none"/>
        </w:rPr>
      </w:pPr>
    </w:p>
    <w:p>
      <w:pPr>
        <w:jc w:val="center"/>
        <w:outlineLvl w:val="0"/>
        <w:rPr>
          <w:rFonts w:ascii="仿宋" w:hAnsi="仿宋" w:eastAsia="仿宋" w:cs="仿宋"/>
          <w:b/>
          <w:bCs/>
          <w:sz w:val="44"/>
          <w:szCs w:val="44"/>
          <w:highlight w:val="none"/>
        </w:rPr>
      </w:pPr>
      <w:bookmarkStart w:id="1" w:name="_Toc110245231"/>
      <w:r>
        <w:rPr>
          <w:rFonts w:hint="eastAsia" w:ascii="仿宋" w:hAnsi="仿宋" w:eastAsia="仿宋" w:cs="仿宋"/>
          <w:b/>
          <w:bCs/>
          <w:sz w:val="44"/>
          <w:szCs w:val="44"/>
          <w:highlight w:val="none"/>
        </w:rPr>
        <w:t>第一章 投标邀请</w:t>
      </w:r>
      <w:bookmarkEnd w:id="1"/>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p>
    <w:p>
      <w:pPr>
        <w:jc w:val="center"/>
        <w:rPr>
          <w:rStyle w:val="14"/>
          <w:rFonts w:hint="default"/>
          <w:color w:val="auto"/>
          <w:highlight w:val="none"/>
        </w:rPr>
      </w:pPr>
      <w:r>
        <w:rPr>
          <w:rFonts w:ascii="仿宋" w:hAnsi="仿宋" w:eastAsia="仿宋" w:cs="仿宋"/>
          <w:b/>
          <w:bCs/>
          <w:sz w:val="28"/>
          <w:szCs w:val="28"/>
          <w:highlight w:val="none"/>
        </w:rPr>
        <w:br w:type="page"/>
      </w:r>
    </w:p>
    <w:p>
      <w:pPr>
        <w:keepNext/>
        <w:keepLines/>
        <w:tabs>
          <w:tab w:val="left" w:pos="0"/>
          <w:tab w:val="left" w:pos="3165"/>
          <w:tab w:val="center" w:pos="4153"/>
        </w:tabs>
        <w:autoSpaceDE w:val="0"/>
        <w:autoSpaceDN w:val="0"/>
        <w:adjustRightInd w:val="0"/>
        <w:spacing w:line="360" w:lineRule="auto"/>
        <w:jc w:val="center"/>
        <w:rPr>
          <w:rFonts w:ascii="华文中宋" w:hAnsi="华文中宋" w:eastAsia="华文中宋" w:cs="Times New Roman"/>
          <w:b/>
          <w:bCs/>
          <w:kern w:val="44"/>
          <w:sz w:val="32"/>
          <w:szCs w:val="32"/>
          <w:highlight w:val="none"/>
        </w:rPr>
      </w:pPr>
      <w:bookmarkStart w:id="2" w:name="_Toc35393789"/>
      <w:bookmarkStart w:id="3" w:name="_Toc28359001"/>
      <w:bookmarkStart w:id="4" w:name="_Hlk91257473"/>
      <w:bookmarkStart w:id="5" w:name="_Hlk111470690"/>
      <w:r>
        <w:rPr>
          <w:rFonts w:hint="eastAsia" w:ascii="华文中宋" w:hAnsi="华文中宋" w:eastAsia="华文中宋" w:cs="Times New Roman"/>
          <w:b/>
          <w:bCs/>
          <w:kern w:val="44"/>
          <w:sz w:val="32"/>
          <w:szCs w:val="32"/>
          <w:highlight w:val="none"/>
        </w:rPr>
        <w:t>招标公告</w:t>
      </w:r>
      <w:bookmarkEnd w:id="2"/>
      <w:bookmarkEnd w:id="3"/>
      <w:bookmarkStart w:id="6" w:name="_Hlk72485230"/>
    </w:p>
    <w:p>
      <w:pPr>
        <w:pBdr>
          <w:top w:val="single" w:color="auto" w:sz="4" w:space="1"/>
          <w:left w:val="single" w:color="auto" w:sz="4" w:space="4"/>
          <w:bottom w:val="single" w:color="auto" w:sz="4" w:space="1"/>
          <w:right w:val="single" w:color="auto" w:sz="4" w:space="4"/>
        </w:pBdr>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项目概况</w:t>
      </w:r>
    </w:p>
    <w:p>
      <w:pPr>
        <w:pBdr>
          <w:top w:val="single" w:color="auto" w:sz="4" w:space="1"/>
          <w:left w:val="single" w:color="auto" w:sz="4" w:space="4"/>
          <w:bottom w:val="single" w:color="auto" w:sz="4" w:space="1"/>
          <w:right w:val="single" w:color="auto" w:sz="4" w:space="4"/>
        </w:pBdr>
        <w:ind w:firstLine="480" w:firstLineChars="200"/>
        <w:rPr>
          <w:rFonts w:ascii="仿宋" w:hAnsi="仿宋" w:eastAsia="仿宋" w:cs="Times New Roman"/>
          <w:sz w:val="24"/>
          <w:szCs w:val="24"/>
          <w:highlight w:val="none"/>
        </w:rPr>
      </w:pPr>
      <w:r>
        <w:rPr>
          <w:rFonts w:hint="eastAsia" w:ascii="仿宋" w:hAnsi="仿宋" w:eastAsia="仿宋" w:cs="Times New Roman"/>
          <w:iCs/>
          <w:sz w:val="24"/>
          <w:szCs w:val="24"/>
          <w:highlight w:val="none"/>
          <w:u w:val="single"/>
          <w:lang w:eastAsia="zh-CN"/>
        </w:rPr>
        <w:t>西藏自治区2023年三标合一追溯体系和常规疫苗政府采购</w:t>
      </w:r>
      <w:r>
        <w:rPr>
          <w:rFonts w:hint="eastAsia" w:ascii="仿宋" w:hAnsi="仿宋" w:eastAsia="仿宋" w:cs="Times New Roman"/>
          <w:iCs/>
          <w:sz w:val="24"/>
          <w:szCs w:val="24"/>
          <w:highlight w:val="none"/>
          <w:u w:val="single"/>
        </w:rPr>
        <w:t>（</w:t>
      </w:r>
      <w:r>
        <w:rPr>
          <w:rFonts w:hint="eastAsia" w:ascii="仿宋" w:hAnsi="仿宋" w:eastAsia="仿宋" w:cs="Times New Roman"/>
          <w:iCs/>
          <w:sz w:val="24"/>
          <w:szCs w:val="24"/>
          <w:highlight w:val="none"/>
          <w:u w:val="single"/>
          <w:lang w:val="en-US" w:eastAsia="zh-CN"/>
        </w:rPr>
        <w:t>第一至第四标段</w:t>
      </w:r>
      <w:r>
        <w:rPr>
          <w:rFonts w:hint="eastAsia" w:ascii="仿宋" w:hAnsi="仿宋" w:eastAsia="仿宋" w:cs="Times New Roman"/>
          <w:iCs/>
          <w:sz w:val="24"/>
          <w:szCs w:val="24"/>
          <w:highlight w:val="none"/>
          <w:u w:val="single"/>
        </w:rPr>
        <w:t>）</w:t>
      </w:r>
      <w:r>
        <w:rPr>
          <w:rFonts w:hint="eastAsia" w:ascii="仿宋" w:hAnsi="仿宋" w:eastAsia="仿宋" w:cs="Times New Roman"/>
          <w:sz w:val="24"/>
          <w:szCs w:val="24"/>
          <w:highlight w:val="none"/>
        </w:rPr>
        <w:t>招标项目的潜在投标人应在</w:t>
      </w:r>
      <w:r>
        <w:rPr>
          <w:rFonts w:hint="eastAsia" w:ascii="仿宋" w:hAnsi="仿宋" w:eastAsia="仿宋" w:cs="Times New Roman"/>
          <w:sz w:val="24"/>
          <w:szCs w:val="24"/>
          <w:highlight w:val="none"/>
          <w:u w:val="single"/>
        </w:rPr>
        <w:t>西藏自治区公共资源交易网（http://ggzy.xizang.gov.cn/）</w:t>
      </w:r>
      <w:r>
        <w:rPr>
          <w:rFonts w:hint="eastAsia" w:ascii="仿宋" w:hAnsi="仿宋" w:eastAsia="仿宋" w:cs="Times New Roman"/>
          <w:sz w:val="24"/>
          <w:szCs w:val="24"/>
          <w:highlight w:val="none"/>
        </w:rPr>
        <w:t>获取招标文件，并于</w:t>
      </w:r>
      <w:r>
        <w:rPr>
          <w:rFonts w:hint="eastAsia" w:ascii="仿宋" w:hAnsi="仿宋" w:eastAsia="仿宋" w:cs="仿宋"/>
          <w:bCs/>
          <w:sz w:val="24"/>
          <w:szCs w:val="24"/>
          <w:highlight w:val="none"/>
        </w:rPr>
        <w:t>2023年</w:t>
      </w:r>
      <w:r>
        <w:rPr>
          <w:rFonts w:hint="eastAsia" w:ascii="仿宋" w:hAnsi="仿宋" w:eastAsia="仿宋" w:cs="仿宋"/>
          <w:bCs/>
          <w:sz w:val="24"/>
          <w:szCs w:val="24"/>
          <w:highlight w:val="none"/>
          <w:u w:val="single"/>
          <w:lang w:val="en-US" w:eastAsia="zh-CN"/>
        </w:rPr>
        <w:t>8</w:t>
      </w:r>
      <w:r>
        <w:rPr>
          <w:rFonts w:hint="eastAsia" w:ascii="仿宋" w:hAnsi="仿宋" w:eastAsia="仿宋" w:cs="仿宋"/>
          <w:bCs/>
          <w:sz w:val="24"/>
          <w:szCs w:val="24"/>
          <w:highlight w:val="none"/>
        </w:rPr>
        <w:t>月</w:t>
      </w:r>
      <w:r>
        <w:rPr>
          <w:rFonts w:hint="eastAsia" w:ascii="仿宋" w:hAnsi="仿宋" w:eastAsia="仿宋" w:cs="仿宋"/>
          <w:bCs/>
          <w:sz w:val="24"/>
          <w:szCs w:val="24"/>
          <w:highlight w:val="none"/>
          <w:u w:val="single"/>
          <w:lang w:val="en-US" w:eastAsia="zh-CN"/>
        </w:rPr>
        <w:t>1</w:t>
      </w:r>
      <w:r>
        <w:rPr>
          <w:rFonts w:hint="eastAsia" w:ascii="仿宋" w:hAnsi="仿宋" w:eastAsia="仿宋" w:cs="仿宋"/>
          <w:bCs/>
          <w:sz w:val="24"/>
          <w:szCs w:val="24"/>
          <w:highlight w:val="none"/>
        </w:rPr>
        <w:t>日9:50</w:t>
      </w:r>
      <w:r>
        <w:rPr>
          <w:rFonts w:hint="eastAsia" w:ascii="仿宋" w:hAnsi="仿宋" w:eastAsia="仿宋" w:cs="Times New Roman"/>
          <w:bCs/>
          <w:sz w:val="24"/>
          <w:szCs w:val="24"/>
          <w:highlight w:val="none"/>
        </w:rPr>
        <w:t>（北京时间）前上传电子投标文件至西藏自治区公共资源交易网（http://ggzy.xizang.gov.cn/）。</w:t>
      </w:r>
    </w:p>
    <w:p>
      <w:pPr>
        <w:keepNext/>
        <w:keepLines/>
        <w:spacing w:before="260" w:after="260" w:line="360" w:lineRule="auto"/>
        <w:rPr>
          <w:rFonts w:ascii="黑体" w:hAnsi="黑体" w:eastAsia="黑体"/>
          <w:bCs/>
          <w:sz w:val="24"/>
          <w:szCs w:val="24"/>
          <w:highlight w:val="none"/>
        </w:rPr>
      </w:pPr>
      <w:bookmarkStart w:id="7" w:name="_Toc35393621"/>
      <w:bookmarkStart w:id="8" w:name="_Toc28359002"/>
      <w:bookmarkStart w:id="9" w:name="_Toc28359079"/>
      <w:bookmarkStart w:id="10" w:name="_Toc35393790"/>
      <w:bookmarkStart w:id="11" w:name="_Hlk24379207"/>
      <w:r>
        <w:rPr>
          <w:rFonts w:hint="eastAsia" w:ascii="黑体" w:hAnsi="黑体" w:eastAsia="黑体"/>
          <w:bCs/>
          <w:sz w:val="24"/>
          <w:szCs w:val="24"/>
          <w:highlight w:val="none"/>
        </w:rPr>
        <w:t>一、项目基本情况</w:t>
      </w:r>
      <w:bookmarkEnd w:id="7"/>
      <w:bookmarkEnd w:id="8"/>
      <w:bookmarkEnd w:id="9"/>
      <w:bookmarkEnd w:id="10"/>
    </w:p>
    <w:p>
      <w:pPr>
        <w:spacing w:line="276"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项目编号：540000232102000</w:t>
      </w:r>
      <w:r>
        <w:rPr>
          <w:rFonts w:hint="eastAsia" w:ascii="仿宋" w:hAnsi="仿宋" w:eastAsia="仿宋" w:cs="Times New Roman"/>
          <w:sz w:val="24"/>
          <w:szCs w:val="24"/>
          <w:highlight w:val="none"/>
          <w:lang w:val="en-US" w:eastAsia="zh-CN"/>
        </w:rPr>
        <w:t>11601</w:t>
      </w:r>
    </w:p>
    <w:p>
      <w:pPr>
        <w:spacing w:line="276"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项目名称：</w:t>
      </w:r>
      <w:r>
        <w:rPr>
          <w:rFonts w:hint="eastAsia" w:ascii="仿宋" w:hAnsi="仿宋" w:eastAsia="仿宋" w:cs="Times New Roman"/>
          <w:sz w:val="24"/>
          <w:szCs w:val="24"/>
          <w:highlight w:val="none"/>
          <w:lang w:eastAsia="zh-CN"/>
        </w:rPr>
        <w:t>西藏自治区2023年三标合一追溯体系和常规疫苗政府采购</w:t>
      </w:r>
      <w:r>
        <w:rPr>
          <w:rFonts w:hint="eastAsia" w:ascii="仿宋" w:hAnsi="仿宋" w:eastAsia="仿宋" w:cs="Times New Roman"/>
          <w:sz w:val="24"/>
          <w:szCs w:val="24"/>
          <w:highlight w:val="none"/>
        </w:rPr>
        <w:t>（第</w:t>
      </w:r>
      <w:r>
        <w:rPr>
          <w:rFonts w:hint="eastAsia" w:ascii="仿宋" w:hAnsi="仿宋" w:eastAsia="仿宋" w:cs="Times New Roman"/>
          <w:sz w:val="24"/>
          <w:szCs w:val="24"/>
          <w:highlight w:val="none"/>
          <w:lang w:val="en-US" w:eastAsia="zh-CN"/>
        </w:rPr>
        <w:t>一至第四</w:t>
      </w:r>
      <w:r>
        <w:rPr>
          <w:rFonts w:hint="eastAsia" w:ascii="仿宋" w:hAnsi="仿宋" w:eastAsia="仿宋" w:cs="Times New Roman"/>
          <w:sz w:val="24"/>
          <w:szCs w:val="24"/>
          <w:highlight w:val="none"/>
        </w:rPr>
        <w:t>标段）</w:t>
      </w:r>
    </w:p>
    <w:p>
      <w:pPr>
        <w:spacing w:line="276"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采购方式：公开招标</w:t>
      </w:r>
    </w:p>
    <w:bookmarkEnd w:id="11"/>
    <w:p>
      <w:pPr>
        <w:spacing w:line="276"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预算金额：</w:t>
      </w:r>
      <w:r>
        <w:rPr>
          <w:rFonts w:hint="eastAsia" w:ascii="仿宋" w:hAnsi="仿宋" w:eastAsia="仿宋" w:cs="Times New Roman"/>
          <w:sz w:val="24"/>
          <w:szCs w:val="24"/>
          <w:highlight w:val="none"/>
          <w:lang w:val="en-US" w:eastAsia="zh-CN"/>
        </w:rPr>
        <w:t>1926.48</w:t>
      </w:r>
      <w:r>
        <w:rPr>
          <w:rFonts w:hint="eastAsia" w:ascii="仿宋" w:hAnsi="仿宋" w:eastAsia="仿宋" w:cs="Times New Roman"/>
          <w:sz w:val="24"/>
          <w:szCs w:val="24"/>
          <w:highlight w:val="none"/>
        </w:rPr>
        <w:t>万元（注：各标段划分及各标段预算金额详见“</w:t>
      </w:r>
      <w:r>
        <w:rPr>
          <w:rFonts w:hint="eastAsia" w:ascii="仿宋" w:hAnsi="仿宋" w:eastAsia="仿宋" w:cs="Times New Roman"/>
          <w:sz w:val="24"/>
          <w:szCs w:val="24"/>
          <w:highlight w:val="none"/>
          <w:lang w:eastAsia="zh-CN"/>
        </w:rPr>
        <w:t>西藏自治区2023年三标合一追溯体系和常规疫苗政府采购</w:t>
      </w:r>
      <w:r>
        <w:rPr>
          <w:rFonts w:hint="eastAsia" w:ascii="仿宋" w:hAnsi="仿宋" w:eastAsia="仿宋" w:cs="Times New Roman"/>
          <w:sz w:val="24"/>
          <w:szCs w:val="24"/>
          <w:highlight w:val="none"/>
        </w:rPr>
        <w:t>（</w:t>
      </w:r>
      <w:r>
        <w:rPr>
          <w:rFonts w:hint="eastAsia" w:ascii="仿宋" w:hAnsi="仿宋" w:eastAsia="仿宋" w:cs="Times New Roman"/>
          <w:sz w:val="24"/>
          <w:szCs w:val="24"/>
          <w:highlight w:val="none"/>
          <w:lang w:val="en-US" w:eastAsia="zh-CN"/>
        </w:rPr>
        <w:t>第一至第四</w:t>
      </w:r>
      <w:r>
        <w:rPr>
          <w:rFonts w:hint="eastAsia" w:ascii="仿宋" w:hAnsi="仿宋" w:eastAsia="仿宋" w:cs="Times New Roman"/>
          <w:sz w:val="24"/>
          <w:szCs w:val="24"/>
          <w:highlight w:val="none"/>
        </w:rPr>
        <w:t>标段）标包划分表”）</w:t>
      </w:r>
    </w:p>
    <w:p>
      <w:pPr>
        <w:spacing w:line="276"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采购需求：详见“</w:t>
      </w:r>
      <w:r>
        <w:rPr>
          <w:rFonts w:hint="eastAsia" w:ascii="仿宋" w:hAnsi="仿宋" w:eastAsia="仿宋" w:cs="Times New Roman"/>
          <w:sz w:val="24"/>
          <w:szCs w:val="24"/>
          <w:highlight w:val="none"/>
          <w:lang w:eastAsia="zh-CN"/>
        </w:rPr>
        <w:t>西藏自治区2023年三标合一追溯体系和常规疫苗政府采购</w:t>
      </w:r>
      <w:r>
        <w:rPr>
          <w:rFonts w:hint="eastAsia" w:ascii="仿宋" w:hAnsi="仿宋" w:eastAsia="仿宋" w:cs="Times New Roman"/>
          <w:sz w:val="24"/>
          <w:szCs w:val="24"/>
          <w:highlight w:val="none"/>
        </w:rPr>
        <w:t>（</w:t>
      </w:r>
      <w:r>
        <w:rPr>
          <w:rFonts w:hint="eastAsia" w:ascii="仿宋" w:hAnsi="仿宋" w:eastAsia="仿宋" w:cs="Times New Roman"/>
          <w:sz w:val="24"/>
          <w:szCs w:val="24"/>
          <w:highlight w:val="none"/>
          <w:lang w:val="en-US" w:eastAsia="zh-CN"/>
        </w:rPr>
        <w:t>第一至第四</w:t>
      </w:r>
      <w:r>
        <w:rPr>
          <w:rFonts w:hint="eastAsia" w:ascii="仿宋" w:hAnsi="仿宋" w:eastAsia="仿宋" w:cs="Times New Roman"/>
          <w:sz w:val="24"/>
          <w:szCs w:val="24"/>
          <w:highlight w:val="none"/>
        </w:rPr>
        <w:t>标段）标包划分表”。</w:t>
      </w:r>
    </w:p>
    <w:p>
      <w:pPr>
        <w:spacing w:line="276"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合同履行期限：</w:t>
      </w:r>
      <w:r>
        <w:rPr>
          <w:rFonts w:hint="eastAsia" w:ascii="仿宋" w:hAnsi="仿宋" w:eastAsia="仿宋"/>
          <w:sz w:val="24"/>
          <w:szCs w:val="24"/>
          <w:highlight w:val="none"/>
        </w:rPr>
        <w:t>详见招标文件。</w:t>
      </w:r>
    </w:p>
    <w:p>
      <w:pPr>
        <w:spacing w:line="276" w:lineRule="auto"/>
        <w:ind w:firstLine="480" w:firstLineChars="200"/>
        <w:rPr>
          <w:rFonts w:ascii="仿宋" w:hAnsi="仿宋" w:eastAsia="仿宋" w:cs="Times New Roman"/>
          <w:sz w:val="24"/>
          <w:highlight w:val="none"/>
        </w:rPr>
      </w:pPr>
      <w:r>
        <w:rPr>
          <w:rFonts w:hint="eastAsia" w:ascii="仿宋" w:hAnsi="仿宋" w:eastAsia="仿宋" w:cs="Times New Roman"/>
          <w:sz w:val="24"/>
          <w:highlight w:val="none"/>
        </w:rPr>
        <w:t>本项目</w:t>
      </w:r>
      <w:r>
        <w:rPr>
          <w:rFonts w:hint="eastAsia" w:ascii="仿宋" w:hAnsi="仿宋" w:eastAsia="仿宋" w:cs="Times New Roman"/>
          <w:b/>
          <w:bCs/>
          <w:sz w:val="24"/>
          <w:highlight w:val="none"/>
          <w:u w:val="single"/>
        </w:rPr>
        <w:t>不接受</w:t>
      </w:r>
      <w:r>
        <w:rPr>
          <w:rFonts w:hint="eastAsia" w:ascii="仿宋" w:hAnsi="仿宋" w:eastAsia="仿宋" w:cs="Times New Roman"/>
          <w:sz w:val="24"/>
          <w:highlight w:val="none"/>
        </w:rPr>
        <w:t>联合体投标</w:t>
      </w:r>
    </w:p>
    <w:p>
      <w:pPr>
        <w:keepNext/>
        <w:keepLines/>
        <w:spacing w:before="260" w:after="260" w:line="360" w:lineRule="auto"/>
        <w:rPr>
          <w:rFonts w:ascii="黑体" w:hAnsi="黑体" w:eastAsia="黑体"/>
          <w:bCs/>
          <w:sz w:val="24"/>
          <w:szCs w:val="24"/>
          <w:highlight w:val="none"/>
        </w:rPr>
      </w:pPr>
      <w:bookmarkStart w:id="12" w:name="_Toc28359080"/>
      <w:bookmarkStart w:id="13" w:name="_Toc35393622"/>
      <w:bookmarkStart w:id="14" w:name="_Toc28359003"/>
      <w:bookmarkStart w:id="15" w:name="_Toc35393791"/>
      <w:r>
        <w:rPr>
          <w:rFonts w:hint="eastAsia" w:ascii="黑体" w:hAnsi="黑体" w:eastAsia="黑体"/>
          <w:bCs/>
          <w:sz w:val="24"/>
          <w:szCs w:val="24"/>
          <w:highlight w:val="none"/>
        </w:rPr>
        <w:t>二、申请人的资格要求：</w:t>
      </w:r>
      <w:bookmarkEnd w:id="12"/>
      <w:bookmarkEnd w:id="13"/>
      <w:bookmarkEnd w:id="14"/>
      <w:bookmarkEnd w:id="15"/>
    </w:p>
    <w:p>
      <w:pPr>
        <w:spacing w:line="276" w:lineRule="auto"/>
        <w:ind w:firstLine="480" w:firstLineChars="200"/>
        <w:rPr>
          <w:rFonts w:ascii="仿宋" w:hAnsi="仿宋" w:eastAsia="仿宋"/>
          <w:sz w:val="24"/>
          <w:szCs w:val="24"/>
          <w:highlight w:val="none"/>
        </w:rPr>
      </w:pPr>
      <w:bookmarkStart w:id="16" w:name="_Toc35393792"/>
      <w:bookmarkStart w:id="17" w:name="_Toc28359004"/>
      <w:bookmarkStart w:id="18" w:name="_Toc28359081"/>
      <w:bookmarkStart w:id="19" w:name="_Toc35393623"/>
      <w:r>
        <w:rPr>
          <w:rFonts w:hint="eastAsia" w:ascii="仿宋" w:hAnsi="仿宋" w:eastAsia="仿宋"/>
          <w:sz w:val="24"/>
          <w:szCs w:val="24"/>
          <w:highlight w:val="none"/>
        </w:rPr>
        <w:t>1.满足《中华人民共和国政府采购法》第二十二条规定。</w:t>
      </w:r>
    </w:p>
    <w:p>
      <w:pPr>
        <w:spacing w:line="276" w:lineRule="auto"/>
        <w:ind w:firstLine="480" w:firstLineChars="200"/>
        <w:rPr>
          <w:rFonts w:ascii="仿宋" w:hAnsi="仿宋" w:eastAsia="仿宋"/>
          <w:sz w:val="24"/>
          <w:szCs w:val="24"/>
          <w:highlight w:val="none"/>
        </w:rPr>
      </w:pPr>
      <w:r>
        <w:rPr>
          <w:rFonts w:ascii="仿宋" w:hAnsi="仿宋" w:eastAsia="仿宋"/>
          <w:sz w:val="24"/>
          <w:szCs w:val="24"/>
          <w:highlight w:val="none"/>
        </w:rPr>
        <w:t>2</w:t>
      </w:r>
      <w:r>
        <w:rPr>
          <w:rFonts w:hint="eastAsia" w:ascii="仿宋" w:hAnsi="仿宋" w:eastAsia="仿宋"/>
          <w:sz w:val="24"/>
          <w:szCs w:val="24"/>
          <w:highlight w:val="none"/>
        </w:rPr>
        <w:t>.落实政府采购政策需满足的资格要求：本项目不属于专门面向中小企业采购的项目。</w:t>
      </w:r>
    </w:p>
    <w:p>
      <w:pPr>
        <w:spacing w:line="276"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3.本项目的特定资格要求：</w:t>
      </w:r>
    </w:p>
    <w:p>
      <w:pPr>
        <w:spacing w:line="276" w:lineRule="auto"/>
        <w:ind w:firstLine="480" w:firstLineChars="200"/>
        <w:rPr>
          <w:rFonts w:ascii="仿宋" w:hAnsi="仿宋" w:eastAsia="仿宋"/>
          <w:sz w:val="24"/>
          <w:szCs w:val="24"/>
          <w:highlight w:val="none"/>
        </w:rPr>
      </w:pPr>
      <w:r>
        <w:rPr>
          <w:rFonts w:ascii="仿宋" w:hAnsi="仿宋" w:eastAsia="仿宋"/>
          <w:sz w:val="24"/>
          <w:szCs w:val="24"/>
          <w:highlight w:val="none"/>
        </w:rPr>
        <w:t>3.1</w:t>
      </w:r>
      <w:r>
        <w:rPr>
          <w:rFonts w:hint="eastAsia" w:ascii="仿宋" w:hAnsi="仿宋" w:eastAsia="仿宋"/>
          <w:sz w:val="24"/>
          <w:szCs w:val="24"/>
          <w:highlight w:val="none"/>
        </w:rPr>
        <w:t>投标人应未被列入</w:t>
      </w:r>
      <w:r>
        <w:rPr>
          <w:rFonts w:ascii="仿宋" w:hAnsi="仿宋" w:eastAsia="仿宋"/>
          <w:sz w:val="24"/>
          <w:szCs w:val="24"/>
          <w:highlight w:val="none"/>
        </w:rPr>
        <w:t xml:space="preserve"> “信用中国”网站（www.creditchina.gov.cn）、“中国政府采购网”网站（www.ccgp.gov.cn）失信被执行人名单、</w:t>
      </w:r>
      <w:r>
        <w:rPr>
          <w:rFonts w:hint="eastAsia" w:ascii="仿宋" w:hAnsi="仿宋" w:eastAsia="仿宋"/>
          <w:sz w:val="24"/>
          <w:szCs w:val="24"/>
          <w:highlight w:val="none"/>
        </w:rPr>
        <w:t>税收违法黑名单</w:t>
      </w:r>
      <w:r>
        <w:rPr>
          <w:rFonts w:ascii="仿宋" w:hAnsi="仿宋" w:eastAsia="仿宋"/>
          <w:sz w:val="24"/>
          <w:szCs w:val="24"/>
          <w:highlight w:val="none"/>
        </w:rPr>
        <w:t>、政府采购严重违法失信行为记录名单中。</w:t>
      </w:r>
    </w:p>
    <w:p>
      <w:pPr>
        <w:spacing w:line="276" w:lineRule="auto"/>
        <w:ind w:firstLine="480" w:firstLineChars="200"/>
        <w:rPr>
          <w:rFonts w:ascii="仿宋" w:hAnsi="仿宋" w:eastAsia="仿宋"/>
          <w:sz w:val="24"/>
          <w:szCs w:val="24"/>
          <w:highlight w:val="none"/>
        </w:rPr>
      </w:pPr>
      <w:r>
        <w:rPr>
          <w:rFonts w:ascii="仿宋" w:hAnsi="仿宋" w:eastAsia="仿宋"/>
          <w:sz w:val="24"/>
          <w:szCs w:val="24"/>
          <w:highlight w:val="none"/>
        </w:rPr>
        <w:t>3.2</w:t>
      </w:r>
      <w:r>
        <w:rPr>
          <w:rFonts w:hint="eastAsia" w:ascii="仿宋" w:hAnsi="仿宋" w:eastAsia="仿宋"/>
          <w:sz w:val="24"/>
          <w:szCs w:val="24"/>
          <w:highlight w:val="none"/>
        </w:rPr>
        <w:t>第</w:t>
      </w:r>
      <w:r>
        <w:rPr>
          <w:rFonts w:hint="eastAsia" w:ascii="仿宋" w:hAnsi="仿宋" w:eastAsia="仿宋"/>
          <w:sz w:val="24"/>
          <w:szCs w:val="24"/>
          <w:highlight w:val="none"/>
          <w:lang w:eastAsia="zh-CN"/>
        </w:rPr>
        <w:t>二至四标段</w:t>
      </w:r>
      <w:r>
        <w:rPr>
          <w:rFonts w:hint="eastAsia" w:ascii="仿宋" w:hAnsi="仿宋" w:eastAsia="仿宋"/>
          <w:sz w:val="24"/>
          <w:szCs w:val="24"/>
          <w:highlight w:val="none"/>
        </w:rPr>
        <w:t>潜在投标人需</w:t>
      </w:r>
      <w:r>
        <w:rPr>
          <w:rFonts w:hint="eastAsia" w:ascii="仿宋" w:hAnsi="仿宋" w:eastAsia="仿宋"/>
          <w:sz w:val="24"/>
          <w:szCs w:val="24"/>
          <w:highlight w:val="none"/>
          <w:lang w:eastAsia="zh-CN"/>
        </w:rPr>
        <w:t>为生产企业，必须是在中国兽医网上公布名录中的二维码耳标生产企业。投标文件中需提供中国兽医网名录截图并</w:t>
      </w:r>
      <w:r>
        <w:rPr>
          <w:rFonts w:hint="eastAsia" w:ascii="仿宋" w:hAnsi="仿宋" w:eastAsia="仿宋"/>
          <w:sz w:val="24"/>
          <w:szCs w:val="24"/>
          <w:highlight w:val="none"/>
        </w:rPr>
        <w:t>提供与中国动物疫病预防控制中心签订的本项目执行期间有效的《动物标识专用二维条形码编解码及摄像识读软件</w:t>
      </w:r>
      <w:r>
        <w:rPr>
          <w:rFonts w:ascii="仿宋" w:hAnsi="仿宋" w:eastAsia="仿宋"/>
          <w:sz w:val="24"/>
          <w:szCs w:val="24"/>
          <w:highlight w:val="none"/>
        </w:rPr>
        <w:t>v1.0</w:t>
      </w:r>
      <w:r>
        <w:rPr>
          <w:rFonts w:hint="eastAsia" w:ascii="仿宋" w:hAnsi="仿宋" w:eastAsia="仿宋"/>
          <w:sz w:val="24"/>
          <w:szCs w:val="24"/>
          <w:highlight w:val="none"/>
        </w:rPr>
        <w:t>授权许可使用协议书》或《追溯系统牲畜耳标生产控制软件授权许可使用协议》。</w:t>
      </w:r>
    </w:p>
    <w:p>
      <w:pPr>
        <w:keepNext/>
        <w:keepLines/>
        <w:spacing w:before="260" w:after="260" w:line="360" w:lineRule="auto"/>
        <w:rPr>
          <w:rFonts w:ascii="黑体" w:hAnsi="黑体" w:eastAsia="黑体"/>
          <w:bCs/>
          <w:sz w:val="24"/>
          <w:highlight w:val="none"/>
        </w:rPr>
      </w:pPr>
      <w:r>
        <w:rPr>
          <w:rFonts w:hint="eastAsia" w:ascii="黑体" w:hAnsi="黑体" w:eastAsia="黑体"/>
          <w:bCs/>
          <w:sz w:val="24"/>
          <w:highlight w:val="none"/>
        </w:rPr>
        <w:t>三、获取</w:t>
      </w:r>
      <w:r>
        <w:rPr>
          <w:rFonts w:hint="eastAsia" w:ascii="黑体" w:hAnsi="黑体" w:eastAsia="黑体"/>
          <w:bCs/>
          <w:sz w:val="24"/>
          <w:szCs w:val="24"/>
          <w:highlight w:val="none"/>
        </w:rPr>
        <w:t>招标文件</w:t>
      </w:r>
      <w:bookmarkEnd w:id="16"/>
      <w:bookmarkEnd w:id="17"/>
      <w:bookmarkEnd w:id="18"/>
      <w:bookmarkEnd w:id="19"/>
    </w:p>
    <w:p>
      <w:pPr>
        <w:spacing w:line="276"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时间：</w:t>
      </w:r>
      <w:r>
        <w:rPr>
          <w:rFonts w:ascii="仿宋" w:hAnsi="仿宋" w:eastAsia="仿宋"/>
          <w:sz w:val="24"/>
          <w:szCs w:val="24"/>
          <w:highlight w:val="none"/>
        </w:rPr>
        <w:t>2023年</w:t>
      </w:r>
      <w:r>
        <w:rPr>
          <w:rFonts w:hint="eastAsia" w:ascii="仿宋" w:hAnsi="仿宋" w:eastAsia="仿宋"/>
          <w:sz w:val="24"/>
          <w:szCs w:val="24"/>
          <w:highlight w:val="none"/>
          <w:u w:val="single"/>
          <w:lang w:val="en-US" w:eastAsia="zh-CN"/>
        </w:rPr>
        <w:t>7</w:t>
      </w:r>
      <w:r>
        <w:rPr>
          <w:rFonts w:ascii="仿宋" w:hAnsi="仿宋" w:eastAsia="仿宋"/>
          <w:sz w:val="24"/>
          <w:szCs w:val="24"/>
          <w:highlight w:val="none"/>
        </w:rPr>
        <w:t>月</w:t>
      </w:r>
      <w:r>
        <w:rPr>
          <w:rFonts w:hint="eastAsia" w:ascii="仿宋" w:hAnsi="仿宋" w:eastAsia="仿宋"/>
          <w:sz w:val="24"/>
          <w:szCs w:val="24"/>
          <w:highlight w:val="none"/>
          <w:u w:val="single"/>
          <w:lang w:val="en-US" w:eastAsia="zh-CN"/>
        </w:rPr>
        <w:t>3</w:t>
      </w:r>
      <w:r>
        <w:rPr>
          <w:rFonts w:ascii="仿宋" w:hAnsi="仿宋" w:eastAsia="仿宋"/>
          <w:sz w:val="24"/>
          <w:szCs w:val="24"/>
          <w:highlight w:val="none"/>
        </w:rPr>
        <w:t>日至2023年</w:t>
      </w:r>
      <w:r>
        <w:rPr>
          <w:rFonts w:hint="eastAsia" w:ascii="仿宋" w:hAnsi="仿宋" w:eastAsia="仿宋"/>
          <w:sz w:val="24"/>
          <w:szCs w:val="24"/>
          <w:highlight w:val="none"/>
          <w:u w:val="single"/>
          <w:lang w:val="en-US" w:eastAsia="zh-CN"/>
        </w:rPr>
        <w:t>7</w:t>
      </w:r>
      <w:r>
        <w:rPr>
          <w:rFonts w:ascii="仿宋" w:hAnsi="仿宋" w:eastAsia="仿宋"/>
          <w:sz w:val="24"/>
          <w:szCs w:val="24"/>
          <w:highlight w:val="none"/>
        </w:rPr>
        <w:t>月</w:t>
      </w:r>
      <w:r>
        <w:rPr>
          <w:rFonts w:hint="eastAsia" w:ascii="仿宋" w:hAnsi="仿宋" w:eastAsia="仿宋"/>
          <w:sz w:val="24"/>
          <w:szCs w:val="24"/>
          <w:highlight w:val="none"/>
          <w:u w:val="single"/>
          <w:lang w:val="en-US" w:eastAsia="zh-CN"/>
        </w:rPr>
        <w:t>10</w:t>
      </w:r>
      <w:r>
        <w:rPr>
          <w:rFonts w:ascii="仿宋" w:hAnsi="仿宋" w:eastAsia="仿宋"/>
          <w:sz w:val="24"/>
          <w:szCs w:val="24"/>
          <w:highlight w:val="none"/>
        </w:rPr>
        <w:t>日</w:t>
      </w:r>
    </w:p>
    <w:p>
      <w:pPr>
        <w:spacing w:line="276"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地点（网址）：西藏自治区公共资源交易网（http://ggzy.xizang.gov.cn）</w:t>
      </w:r>
    </w:p>
    <w:p>
      <w:pPr>
        <w:spacing w:line="276"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方式：在线获取</w:t>
      </w:r>
    </w:p>
    <w:p>
      <w:pPr>
        <w:spacing w:line="276"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售价：免费获取</w:t>
      </w:r>
    </w:p>
    <w:p>
      <w:pPr>
        <w:keepNext/>
        <w:keepLines/>
        <w:spacing w:before="260" w:after="260" w:line="360" w:lineRule="auto"/>
        <w:rPr>
          <w:rFonts w:ascii="黑体" w:hAnsi="黑体" w:eastAsia="黑体"/>
          <w:bCs/>
          <w:sz w:val="24"/>
          <w:szCs w:val="24"/>
          <w:highlight w:val="none"/>
        </w:rPr>
      </w:pPr>
      <w:bookmarkStart w:id="20" w:name="_Toc28359082"/>
      <w:bookmarkStart w:id="21" w:name="_Toc28359005"/>
      <w:bookmarkStart w:id="22" w:name="_Toc35393624"/>
      <w:bookmarkStart w:id="23" w:name="_Toc35393793"/>
      <w:r>
        <w:rPr>
          <w:rFonts w:hint="eastAsia" w:ascii="黑体" w:hAnsi="黑体" w:eastAsia="黑体"/>
          <w:bCs/>
          <w:sz w:val="24"/>
          <w:szCs w:val="24"/>
          <w:highlight w:val="none"/>
        </w:rPr>
        <w:t>四、提交投标文件</w:t>
      </w:r>
      <w:bookmarkEnd w:id="20"/>
      <w:bookmarkEnd w:id="21"/>
      <w:r>
        <w:rPr>
          <w:rFonts w:hint="eastAsia" w:ascii="黑体" w:hAnsi="黑体" w:eastAsia="黑体"/>
          <w:bCs/>
          <w:sz w:val="24"/>
          <w:szCs w:val="24"/>
          <w:highlight w:val="none"/>
        </w:rPr>
        <w:t>截止时间、开标时间和地点</w:t>
      </w:r>
      <w:bookmarkEnd w:id="22"/>
      <w:bookmarkEnd w:id="23"/>
    </w:p>
    <w:p>
      <w:pPr>
        <w:spacing w:line="276"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2023年</w:t>
      </w:r>
      <w:r>
        <w:rPr>
          <w:rFonts w:hint="eastAsia" w:ascii="仿宋" w:hAnsi="仿宋" w:eastAsia="仿宋"/>
          <w:sz w:val="24"/>
          <w:szCs w:val="24"/>
          <w:highlight w:val="none"/>
          <w:u w:val="single"/>
          <w:lang w:val="en-US" w:eastAsia="zh-CN"/>
        </w:rPr>
        <w:t>8</w:t>
      </w:r>
      <w:r>
        <w:rPr>
          <w:rFonts w:hint="eastAsia" w:ascii="仿宋" w:hAnsi="仿宋" w:eastAsia="仿宋"/>
          <w:sz w:val="24"/>
          <w:szCs w:val="24"/>
          <w:highlight w:val="none"/>
        </w:rPr>
        <w:t>月</w:t>
      </w:r>
      <w:r>
        <w:rPr>
          <w:rFonts w:hint="eastAsia" w:ascii="仿宋" w:hAnsi="仿宋" w:eastAsia="仿宋"/>
          <w:sz w:val="24"/>
          <w:szCs w:val="24"/>
          <w:highlight w:val="none"/>
          <w:u w:val="single"/>
          <w:lang w:val="en-US" w:eastAsia="zh-CN"/>
        </w:rPr>
        <w:t>1</w:t>
      </w:r>
      <w:r>
        <w:rPr>
          <w:rFonts w:hint="eastAsia" w:ascii="仿宋" w:hAnsi="仿宋" w:eastAsia="仿宋"/>
          <w:sz w:val="24"/>
          <w:szCs w:val="24"/>
          <w:highlight w:val="none"/>
        </w:rPr>
        <w:t>日9:50（北京时间）</w:t>
      </w:r>
    </w:p>
    <w:p>
      <w:pPr>
        <w:spacing w:line="276"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开标地点：西藏自治区公共资源交易中心</w:t>
      </w:r>
      <w:r>
        <w:rPr>
          <w:rFonts w:hint="eastAsia" w:ascii="仿宋" w:hAnsi="仿宋" w:eastAsia="仿宋"/>
          <w:sz w:val="24"/>
          <w:szCs w:val="24"/>
          <w:highlight w:val="none"/>
          <w:u w:val="single"/>
          <w:lang w:val="en-US" w:eastAsia="zh-CN"/>
        </w:rPr>
        <w:t>105</w:t>
      </w:r>
      <w:r>
        <w:rPr>
          <w:rFonts w:hint="eastAsia" w:ascii="仿宋" w:hAnsi="仿宋" w:eastAsia="仿宋"/>
          <w:sz w:val="24"/>
          <w:szCs w:val="24"/>
          <w:highlight w:val="none"/>
        </w:rPr>
        <w:t>室（江冲路纳如路交叉路口）</w:t>
      </w:r>
    </w:p>
    <w:p>
      <w:pPr>
        <w:spacing w:line="276"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电子投标文件提交网址：投标人请登录西藏自治区公共资源交易网（http://ggzy.xizang.gov.cn/）</w:t>
      </w:r>
      <w:r>
        <w:rPr>
          <w:rFonts w:ascii="仿宋" w:hAnsi="仿宋" w:eastAsia="仿宋"/>
          <w:sz w:val="24"/>
          <w:szCs w:val="24"/>
          <w:highlight w:val="none"/>
        </w:rPr>
        <w:t>提交电子投标文件。</w:t>
      </w:r>
    </w:p>
    <w:p>
      <w:pPr>
        <w:keepNext/>
        <w:keepLines/>
        <w:spacing w:before="260" w:after="260" w:line="360" w:lineRule="auto"/>
        <w:rPr>
          <w:rFonts w:ascii="黑体" w:hAnsi="黑体" w:eastAsia="黑体"/>
          <w:bCs/>
          <w:sz w:val="24"/>
          <w:szCs w:val="24"/>
          <w:highlight w:val="none"/>
        </w:rPr>
      </w:pPr>
      <w:bookmarkStart w:id="24" w:name="_Toc35393794"/>
      <w:bookmarkStart w:id="25" w:name="_Toc28359007"/>
      <w:bookmarkStart w:id="26" w:name="_Toc28359084"/>
      <w:bookmarkStart w:id="27" w:name="_Toc35393625"/>
      <w:r>
        <w:rPr>
          <w:rFonts w:hint="eastAsia" w:ascii="黑体" w:hAnsi="黑体" w:eastAsia="黑体"/>
          <w:bCs/>
          <w:sz w:val="24"/>
          <w:szCs w:val="24"/>
          <w:highlight w:val="none"/>
        </w:rPr>
        <w:t>五、公告期限</w:t>
      </w:r>
      <w:bookmarkEnd w:id="24"/>
      <w:bookmarkEnd w:id="25"/>
      <w:bookmarkEnd w:id="26"/>
      <w:bookmarkEnd w:id="27"/>
    </w:p>
    <w:p>
      <w:pPr>
        <w:spacing w:line="276"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自本公告发布之日起5个工作日。</w:t>
      </w:r>
    </w:p>
    <w:p>
      <w:pPr>
        <w:keepNext/>
        <w:keepLines/>
        <w:spacing w:before="260" w:after="260" w:line="360" w:lineRule="auto"/>
        <w:rPr>
          <w:rFonts w:ascii="黑体" w:hAnsi="黑体" w:eastAsia="黑体"/>
          <w:bCs/>
          <w:sz w:val="24"/>
          <w:szCs w:val="24"/>
          <w:highlight w:val="none"/>
        </w:rPr>
      </w:pPr>
      <w:bookmarkStart w:id="28" w:name="_Toc35393795"/>
      <w:bookmarkStart w:id="29" w:name="_Toc35393626"/>
      <w:r>
        <w:rPr>
          <w:rFonts w:hint="eastAsia" w:ascii="黑体" w:hAnsi="黑体" w:eastAsia="黑体"/>
          <w:bCs/>
          <w:sz w:val="24"/>
          <w:szCs w:val="24"/>
          <w:highlight w:val="none"/>
        </w:rPr>
        <w:t>六、其他补充事宜</w:t>
      </w:r>
      <w:bookmarkEnd w:id="28"/>
      <w:bookmarkEnd w:id="29"/>
    </w:p>
    <w:p>
      <w:pPr>
        <w:wordWrap w:val="0"/>
        <w:spacing w:line="276" w:lineRule="auto"/>
        <w:ind w:firstLine="480" w:firstLineChars="200"/>
        <w:rPr>
          <w:rFonts w:ascii="仿宋" w:hAnsi="仿宋" w:eastAsia="仿宋"/>
          <w:kern w:val="0"/>
          <w:sz w:val="24"/>
          <w:szCs w:val="24"/>
          <w:highlight w:val="none"/>
        </w:rPr>
      </w:pPr>
      <w:bookmarkStart w:id="30" w:name="_Toc28359008"/>
      <w:bookmarkStart w:id="31" w:name="_Toc35393796"/>
      <w:bookmarkStart w:id="32" w:name="_Toc28359085"/>
      <w:bookmarkStart w:id="33" w:name="_Toc35393627"/>
      <w:r>
        <w:rPr>
          <w:rFonts w:hint="eastAsia" w:ascii="仿宋" w:hAnsi="仿宋" w:eastAsia="仿宋"/>
          <w:kern w:val="0"/>
          <w:sz w:val="24"/>
          <w:szCs w:val="24"/>
          <w:highlight w:val="none"/>
        </w:rPr>
        <w:t>（1）本项目各项公告在中国政府采购网、西藏自治区政府采购网、西藏自治区公共资源交易网上发布</w:t>
      </w:r>
      <w:r>
        <w:rPr>
          <w:rFonts w:hint="eastAsia" w:ascii="Times New Roman" w:hAnsi="Times New Roman" w:cs="Times New Roman"/>
          <w:sz w:val="24"/>
          <w:szCs w:val="24"/>
          <w:highlight w:val="none"/>
        </w:rPr>
        <w:t>，</w:t>
      </w:r>
      <w:r>
        <w:rPr>
          <w:rFonts w:hint="eastAsia" w:ascii="仿宋" w:hAnsi="仿宋" w:eastAsia="仿宋"/>
          <w:kern w:val="0"/>
          <w:sz w:val="24"/>
          <w:szCs w:val="24"/>
          <w:highlight w:val="none"/>
        </w:rPr>
        <w:t>后续澄清、更正、终止、中标（成交）公告请关注上述媒体。请各潜在投标人及时关注相关媒体、平台，如未获取到相关澄清、更正、终止等信息造成的后果由各潜在投标人自行承担。</w:t>
      </w:r>
    </w:p>
    <w:p>
      <w:pPr>
        <w:wordWrap w:val="0"/>
        <w:spacing w:line="276" w:lineRule="auto"/>
        <w:ind w:firstLine="480" w:firstLineChars="200"/>
        <w:rPr>
          <w:rFonts w:ascii="仿宋" w:hAnsi="仿宋" w:eastAsia="仿宋"/>
          <w:kern w:val="0"/>
          <w:sz w:val="24"/>
          <w:szCs w:val="24"/>
          <w:highlight w:val="none"/>
        </w:rPr>
      </w:pPr>
      <w:r>
        <w:rPr>
          <w:rFonts w:hint="eastAsia" w:ascii="仿宋" w:hAnsi="仿宋" w:eastAsia="仿宋"/>
          <w:kern w:val="0"/>
          <w:sz w:val="24"/>
          <w:szCs w:val="24"/>
          <w:highlight w:val="none"/>
        </w:rPr>
        <w:t>（2）各潜在投标人应在西藏自治区公共资源交易网（</w:t>
      </w:r>
      <w:r>
        <w:rPr>
          <w:rFonts w:ascii="仿宋" w:hAnsi="仿宋" w:eastAsia="仿宋"/>
          <w:kern w:val="0"/>
          <w:sz w:val="24"/>
          <w:szCs w:val="24"/>
          <w:highlight w:val="none"/>
        </w:rPr>
        <w:t>http://ggzy.xizang.gov.cn/）</w:t>
      </w:r>
      <w:r>
        <w:rPr>
          <w:rFonts w:hint="eastAsia" w:ascii="仿宋" w:hAnsi="仿宋" w:eastAsia="仿宋"/>
          <w:kern w:val="0"/>
          <w:sz w:val="24"/>
          <w:szCs w:val="24"/>
          <w:highlight w:val="none"/>
        </w:rPr>
        <w:t>进行单位注册、完善资料等工作，并依照西藏自治区公共资源交易网相关要求办理C</w:t>
      </w:r>
      <w:r>
        <w:rPr>
          <w:rFonts w:ascii="仿宋" w:hAnsi="仿宋" w:eastAsia="仿宋"/>
          <w:kern w:val="0"/>
          <w:sz w:val="24"/>
          <w:szCs w:val="24"/>
          <w:highlight w:val="none"/>
        </w:rPr>
        <w:t>A</w:t>
      </w:r>
      <w:r>
        <w:rPr>
          <w:rFonts w:hint="eastAsia" w:ascii="仿宋" w:hAnsi="仿宋" w:eastAsia="仿宋"/>
          <w:kern w:val="0"/>
          <w:sz w:val="24"/>
          <w:szCs w:val="24"/>
          <w:highlight w:val="none"/>
        </w:rPr>
        <w:t>（数字证书），以便完成获取招标文件、投标等相关操作。各项操作及规范以西藏自治区公共资源交易网及其交易平台（系统）要求为准，如遇网站、系统平台、C</w:t>
      </w:r>
      <w:r>
        <w:rPr>
          <w:rFonts w:ascii="仿宋" w:hAnsi="仿宋" w:eastAsia="仿宋"/>
          <w:kern w:val="0"/>
          <w:sz w:val="24"/>
          <w:szCs w:val="24"/>
          <w:highlight w:val="none"/>
        </w:rPr>
        <w:t>A</w:t>
      </w:r>
      <w:r>
        <w:rPr>
          <w:rFonts w:hint="eastAsia" w:ascii="仿宋" w:hAnsi="仿宋" w:eastAsia="仿宋"/>
          <w:kern w:val="0"/>
          <w:sz w:val="24"/>
          <w:szCs w:val="24"/>
          <w:highlight w:val="none"/>
        </w:rPr>
        <w:t>等相关问题请按照西藏自治区公共资源交易平台联系方式（</w:t>
      </w:r>
      <w:r>
        <w:rPr>
          <w:rFonts w:ascii="仿宋" w:hAnsi="仿宋" w:eastAsia="仿宋"/>
          <w:kern w:val="0"/>
          <w:sz w:val="24"/>
          <w:szCs w:val="24"/>
          <w:highlight w:val="none"/>
        </w:rPr>
        <w:t>http://ggzy.xizang.gov.cn/fwzxlx/33175.jhtml</w:t>
      </w:r>
      <w:r>
        <w:rPr>
          <w:rFonts w:hint="eastAsia" w:ascii="仿宋" w:hAnsi="仿宋" w:eastAsia="仿宋"/>
          <w:kern w:val="0"/>
          <w:sz w:val="24"/>
          <w:szCs w:val="24"/>
          <w:highlight w:val="none"/>
        </w:rPr>
        <w:t>）进行咨询。</w:t>
      </w:r>
    </w:p>
    <w:p>
      <w:pPr>
        <w:wordWrap w:val="0"/>
        <w:spacing w:line="276" w:lineRule="auto"/>
        <w:ind w:firstLine="480" w:firstLineChars="200"/>
        <w:rPr>
          <w:rFonts w:ascii="仿宋" w:hAnsi="仿宋" w:eastAsia="仿宋"/>
          <w:kern w:val="0"/>
          <w:sz w:val="24"/>
          <w:szCs w:val="24"/>
          <w:highlight w:val="none"/>
        </w:rPr>
      </w:pPr>
      <w:r>
        <w:rPr>
          <w:rFonts w:hint="eastAsia" w:ascii="仿宋" w:hAnsi="仿宋" w:eastAsia="仿宋"/>
          <w:kern w:val="0"/>
          <w:sz w:val="24"/>
          <w:szCs w:val="24"/>
          <w:highlight w:val="none"/>
        </w:rPr>
        <w:t>（3）供应商若选择进行远程自行解密，应在开放解密后</w:t>
      </w:r>
      <w:r>
        <w:rPr>
          <w:rFonts w:ascii="仿宋" w:hAnsi="仿宋" w:eastAsia="仿宋"/>
          <w:kern w:val="0"/>
          <w:sz w:val="24"/>
          <w:szCs w:val="24"/>
          <w:highlight w:val="none"/>
        </w:rPr>
        <w:t>60分钟内完成投标文件解密工作。若供应商未在本项目（各标段</w:t>
      </w:r>
      <w:r>
        <w:rPr>
          <w:rFonts w:hint="eastAsia" w:ascii="仿宋" w:hAnsi="仿宋" w:eastAsia="仿宋"/>
          <w:kern w:val="0"/>
          <w:sz w:val="24"/>
          <w:szCs w:val="24"/>
          <w:highlight w:val="none"/>
        </w:rPr>
        <w:t>/标包</w:t>
      </w:r>
      <w:r>
        <w:rPr>
          <w:rFonts w:ascii="仿宋" w:hAnsi="仿宋" w:eastAsia="仿宋"/>
          <w:kern w:val="0"/>
          <w:sz w:val="24"/>
          <w:szCs w:val="24"/>
          <w:highlight w:val="none"/>
        </w:rPr>
        <w:t>）开放解密后60分钟内完成投标文件远程自行解密，相关责任、后果由供应商自行承担，本项目（各标段</w:t>
      </w:r>
      <w:r>
        <w:rPr>
          <w:rFonts w:hint="eastAsia" w:ascii="仿宋" w:hAnsi="仿宋" w:eastAsia="仿宋"/>
          <w:kern w:val="0"/>
          <w:sz w:val="24"/>
          <w:szCs w:val="24"/>
          <w:highlight w:val="none"/>
        </w:rPr>
        <w:t>/标包</w:t>
      </w:r>
      <w:r>
        <w:rPr>
          <w:rFonts w:ascii="仿宋" w:hAnsi="仿宋" w:eastAsia="仿宋"/>
          <w:kern w:val="0"/>
          <w:sz w:val="24"/>
          <w:szCs w:val="24"/>
          <w:highlight w:val="none"/>
        </w:rPr>
        <w:t>）开放解密后60分钟后采购人、采购代理机构有权结束解密环节并继续进行后续采购活动。</w:t>
      </w:r>
    </w:p>
    <w:p>
      <w:pPr>
        <w:wordWrap w:val="0"/>
        <w:spacing w:line="276" w:lineRule="auto"/>
        <w:ind w:firstLine="480" w:firstLineChars="200"/>
        <w:rPr>
          <w:rFonts w:ascii="仿宋" w:hAnsi="仿宋" w:eastAsia="仿宋"/>
          <w:kern w:val="0"/>
          <w:sz w:val="24"/>
          <w:szCs w:val="24"/>
          <w:highlight w:val="none"/>
        </w:rPr>
      </w:pPr>
      <w:r>
        <w:rPr>
          <w:rFonts w:hint="eastAsia" w:ascii="仿宋" w:hAnsi="仿宋" w:eastAsia="仿宋"/>
          <w:kern w:val="0"/>
          <w:sz w:val="24"/>
          <w:szCs w:val="24"/>
          <w:highlight w:val="none"/>
        </w:rPr>
        <w:t>（4）</w:t>
      </w:r>
      <w:r>
        <w:rPr>
          <w:rFonts w:hint="eastAsia" w:ascii="仿宋" w:hAnsi="仿宋" w:eastAsia="仿宋"/>
          <w:kern w:val="0"/>
          <w:sz w:val="24"/>
          <w:szCs w:val="24"/>
          <w:highlight w:val="none"/>
          <w:lang w:eastAsia="zh-CN"/>
        </w:rPr>
        <w:t>西藏自治区2023年三标合一追溯体系和常规疫苗政府采购</w:t>
      </w:r>
      <w:r>
        <w:rPr>
          <w:rFonts w:hint="eastAsia" w:ascii="仿宋" w:hAnsi="仿宋" w:eastAsia="仿宋"/>
          <w:kern w:val="0"/>
          <w:sz w:val="24"/>
          <w:szCs w:val="24"/>
          <w:highlight w:val="none"/>
        </w:rPr>
        <w:t>第</w:t>
      </w:r>
      <w:r>
        <w:rPr>
          <w:rFonts w:hint="eastAsia" w:ascii="仿宋" w:hAnsi="仿宋" w:eastAsia="仿宋"/>
          <w:kern w:val="0"/>
          <w:sz w:val="24"/>
          <w:szCs w:val="24"/>
          <w:highlight w:val="none"/>
          <w:lang w:val="en-US" w:eastAsia="zh-CN"/>
        </w:rPr>
        <w:t>二</w:t>
      </w:r>
      <w:r>
        <w:rPr>
          <w:rFonts w:hint="eastAsia" w:ascii="仿宋" w:hAnsi="仿宋" w:eastAsia="仿宋"/>
          <w:kern w:val="0"/>
          <w:sz w:val="24"/>
          <w:szCs w:val="24"/>
          <w:highlight w:val="none"/>
        </w:rPr>
        <w:t>标段至第四标段不可兼中。具体评审、定标规则详见招标文件。</w:t>
      </w:r>
    </w:p>
    <w:p>
      <w:pPr>
        <w:wordWrap w:val="0"/>
        <w:spacing w:line="276" w:lineRule="auto"/>
        <w:ind w:firstLine="482" w:firstLineChars="200"/>
        <w:rPr>
          <w:rFonts w:ascii="仿宋" w:hAnsi="仿宋" w:eastAsia="仿宋"/>
          <w:b/>
          <w:bCs/>
          <w:kern w:val="0"/>
          <w:sz w:val="24"/>
          <w:szCs w:val="24"/>
          <w:highlight w:val="none"/>
        </w:rPr>
      </w:pPr>
      <w:r>
        <w:rPr>
          <w:rFonts w:hint="eastAsia" w:ascii="仿宋" w:hAnsi="仿宋" w:eastAsia="仿宋"/>
          <w:b/>
          <w:bCs/>
          <w:kern w:val="0"/>
          <w:sz w:val="24"/>
          <w:szCs w:val="24"/>
          <w:highlight w:val="none"/>
        </w:rPr>
        <w:t>（</w:t>
      </w:r>
      <w:r>
        <w:rPr>
          <w:rFonts w:ascii="仿宋" w:hAnsi="仿宋" w:eastAsia="仿宋"/>
          <w:b/>
          <w:bCs/>
          <w:kern w:val="0"/>
          <w:sz w:val="24"/>
          <w:szCs w:val="24"/>
          <w:highlight w:val="none"/>
        </w:rPr>
        <w:t>5</w:t>
      </w:r>
      <w:r>
        <w:rPr>
          <w:rFonts w:hint="eastAsia" w:ascii="仿宋" w:hAnsi="仿宋" w:eastAsia="仿宋"/>
          <w:b/>
          <w:bCs/>
          <w:kern w:val="0"/>
          <w:sz w:val="24"/>
          <w:szCs w:val="24"/>
          <w:highlight w:val="none"/>
        </w:rPr>
        <w:t>）</w:t>
      </w:r>
      <w:r>
        <w:rPr>
          <w:rFonts w:hint="eastAsia" w:ascii="仿宋" w:hAnsi="仿宋" w:eastAsia="仿宋"/>
          <w:b/>
          <w:bCs/>
          <w:kern w:val="0"/>
          <w:sz w:val="24"/>
          <w:szCs w:val="24"/>
          <w:highlight w:val="none"/>
          <w:lang w:eastAsia="zh-CN"/>
        </w:rPr>
        <w:t>西藏自治区2023年三标合一追溯体系和常规疫苗政府采购</w:t>
      </w:r>
      <w:r>
        <w:rPr>
          <w:rFonts w:hint="eastAsia" w:ascii="仿宋" w:hAnsi="仿宋" w:eastAsia="仿宋"/>
          <w:b/>
          <w:bCs/>
          <w:kern w:val="0"/>
          <w:sz w:val="24"/>
          <w:szCs w:val="24"/>
          <w:highlight w:val="none"/>
        </w:rPr>
        <w:t>（</w:t>
      </w:r>
      <w:r>
        <w:rPr>
          <w:rFonts w:hint="eastAsia" w:ascii="仿宋" w:hAnsi="仿宋" w:eastAsia="仿宋"/>
          <w:b/>
          <w:bCs/>
          <w:kern w:val="0"/>
          <w:sz w:val="24"/>
          <w:szCs w:val="24"/>
          <w:highlight w:val="none"/>
          <w:lang w:val="en-US" w:eastAsia="zh-CN"/>
        </w:rPr>
        <w:t>第一至第四</w:t>
      </w:r>
      <w:r>
        <w:rPr>
          <w:rFonts w:hint="eastAsia" w:ascii="仿宋" w:hAnsi="仿宋" w:eastAsia="仿宋"/>
          <w:b/>
          <w:bCs/>
          <w:kern w:val="0"/>
          <w:sz w:val="24"/>
          <w:szCs w:val="24"/>
          <w:highlight w:val="none"/>
        </w:rPr>
        <w:t>标段）标包划分表</w:t>
      </w:r>
    </w:p>
    <w:tbl>
      <w:tblPr>
        <w:tblStyle w:val="9"/>
        <w:tblW w:w="7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34"/>
        <w:gridCol w:w="2155"/>
        <w:gridCol w:w="1388"/>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680" w:type="dxa"/>
            <w:shd w:val="clear" w:color="auto" w:fill="auto"/>
            <w:vAlign w:val="center"/>
          </w:tcPr>
          <w:p>
            <w:pPr>
              <w:widowControl/>
              <w:jc w:val="center"/>
              <w:rPr>
                <w:rFonts w:ascii="仿宋" w:hAnsi="仿宋" w:eastAsia="仿宋"/>
                <w:kern w:val="0"/>
                <w:szCs w:val="21"/>
                <w:highlight w:val="none"/>
              </w:rPr>
            </w:pPr>
            <w:bookmarkStart w:id="34" w:name="_Hlk102384014"/>
            <w:r>
              <w:rPr>
                <w:rFonts w:hint="eastAsia" w:ascii="仿宋" w:hAnsi="仿宋" w:eastAsia="仿宋"/>
                <w:kern w:val="0"/>
                <w:szCs w:val="21"/>
                <w:highlight w:val="none"/>
              </w:rPr>
              <w:t>序号</w:t>
            </w:r>
          </w:p>
        </w:tc>
        <w:tc>
          <w:tcPr>
            <w:tcW w:w="1134"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标段序</w:t>
            </w:r>
          </w:p>
        </w:tc>
        <w:tc>
          <w:tcPr>
            <w:tcW w:w="2155"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包名称（标段名）</w:t>
            </w:r>
          </w:p>
        </w:tc>
        <w:tc>
          <w:tcPr>
            <w:tcW w:w="1388"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采购预算（万元）</w:t>
            </w:r>
          </w:p>
        </w:tc>
        <w:tc>
          <w:tcPr>
            <w:tcW w:w="1985"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80"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1</w:t>
            </w:r>
          </w:p>
        </w:tc>
        <w:tc>
          <w:tcPr>
            <w:tcW w:w="1134"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第一标段</w:t>
            </w:r>
          </w:p>
        </w:tc>
        <w:tc>
          <w:tcPr>
            <w:tcW w:w="2155" w:type="dxa"/>
            <w:shd w:val="clear" w:color="auto" w:fill="auto"/>
            <w:vAlign w:val="center"/>
          </w:tcPr>
          <w:p>
            <w:pPr>
              <w:widowControl/>
              <w:rPr>
                <w:rFonts w:ascii="仿宋" w:hAnsi="仿宋" w:eastAsia="仿宋"/>
                <w:kern w:val="0"/>
                <w:szCs w:val="21"/>
                <w:highlight w:val="none"/>
              </w:rPr>
            </w:pPr>
            <w:r>
              <w:rPr>
                <w:rFonts w:hint="eastAsia" w:ascii="仿宋" w:hAnsi="仿宋" w:eastAsia="仿宋"/>
                <w:kern w:val="0"/>
                <w:szCs w:val="21"/>
                <w:highlight w:val="none"/>
                <w:lang w:eastAsia="zh-CN"/>
              </w:rPr>
              <w:t>西藏</w:t>
            </w:r>
            <w:r>
              <w:rPr>
                <w:rFonts w:hint="eastAsia" w:ascii="仿宋" w:hAnsi="仿宋" w:eastAsia="仿宋"/>
                <w:kern w:val="0"/>
                <w:szCs w:val="21"/>
                <w:highlight w:val="none"/>
              </w:rPr>
              <w:t>牧运通系统升级项目</w:t>
            </w:r>
          </w:p>
        </w:tc>
        <w:tc>
          <w:tcPr>
            <w:tcW w:w="1388" w:type="dxa"/>
            <w:vAlign w:val="center"/>
          </w:tcPr>
          <w:p>
            <w:pPr>
              <w:widowControl/>
              <w:jc w:val="center"/>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103.6</w:t>
            </w:r>
          </w:p>
        </w:tc>
        <w:tc>
          <w:tcPr>
            <w:tcW w:w="1985" w:type="dxa"/>
            <w:shd w:val="clear" w:color="auto" w:fill="auto"/>
            <w:vAlign w:val="center"/>
          </w:tcPr>
          <w:p>
            <w:pPr>
              <w:widowControl/>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详见“第六章采购需求”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680"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2</w:t>
            </w:r>
          </w:p>
        </w:tc>
        <w:tc>
          <w:tcPr>
            <w:tcW w:w="1134"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第二标段</w:t>
            </w:r>
          </w:p>
        </w:tc>
        <w:tc>
          <w:tcPr>
            <w:tcW w:w="2155" w:type="dxa"/>
            <w:shd w:val="clear" w:color="auto" w:fill="auto"/>
            <w:vAlign w:val="center"/>
          </w:tcPr>
          <w:p>
            <w:pPr>
              <w:widowControl/>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山南市、昌都市、那曲市三标合一追溯体系电子芯片耳标采购</w:t>
            </w:r>
          </w:p>
        </w:tc>
        <w:tc>
          <w:tcPr>
            <w:tcW w:w="1388" w:type="dxa"/>
            <w:vAlign w:val="center"/>
          </w:tcPr>
          <w:p>
            <w:pPr>
              <w:widowControl/>
              <w:jc w:val="center"/>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619.56</w:t>
            </w:r>
          </w:p>
        </w:tc>
        <w:tc>
          <w:tcPr>
            <w:tcW w:w="1985" w:type="dxa"/>
            <w:shd w:val="clear" w:color="auto" w:fill="auto"/>
            <w:vAlign w:val="center"/>
          </w:tcPr>
          <w:p>
            <w:pPr>
              <w:widowControl/>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详见“第六章采购需求”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680" w:type="dxa"/>
            <w:shd w:val="clear" w:color="auto" w:fill="auto"/>
            <w:vAlign w:val="center"/>
          </w:tcPr>
          <w:p>
            <w:pPr>
              <w:widowControl/>
              <w:jc w:val="center"/>
              <w:rPr>
                <w:rFonts w:hint="eastAsia"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3</w:t>
            </w:r>
          </w:p>
        </w:tc>
        <w:tc>
          <w:tcPr>
            <w:tcW w:w="1134" w:type="dxa"/>
            <w:shd w:val="clear" w:color="auto" w:fill="auto"/>
            <w:vAlign w:val="center"/>
          </w:tcPr>
          <w:p>
            <w:pPr>
              <w:widowControl/>
              <w:jc w:val="center"/>
              <w:rPr>
                <w:rFonts w:hint="eastAsia"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第三标段</w:t>
            </w:r>
          </w:p>
        </w:tc>
        <w:tc>
          <w:tcPr>
            <w:tcW w:w="2155" w:type="dxa"/>
            <w:shd w:val="clear" w:color="auto" w:fill="auto"/>
            <w:vAlign w:val="center"/>
          </w:tcPr>
          <w:p>
            <w:pPr>
              <w:widowControl/>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拉萨市、阿里地区三标合一追溯体系电子芯片耳标采购</w:t>
            </w:r>
          </w:p>
        </w:tc>
        <w:tc>
          <w:tcPr>
            <w:tcW w:w="1388" w:type="dxa"/>
            <w:vAlign w:val="center"/>
          </w:tcPr>
          <w:p>
            <w:pPr>
              <w:widowControl/>
              <w:jc w:val="center"/>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601.99</w:t>
            </w:r>
          </w:p>
        </w:tc>
        <w:tc>
          <w:tcPr>
            <w:tcW w:w="1985" w:type="dxa"/>
            <w:shd w:val="clear" w:color="auto" w:fill="auto"/>
            <w:vAlign w:val="center"/>
          </w:tcPr>
          <w:p>
            <w:pPr>
              <w:widowControl/>
              <w:rPr>
                <w:rFonts w:hint="eastAsia"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详见“第六章采购需求”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680" w:type="dxa"/>
            <w:shd w:val="clear" w:color="auto" w:fill="auto"/>
            <w:vAlign w:val="center"/>
          </w:tcPr>
          <w:p>
            <w:pPr>
              <w:widowControl/>
              <w:jc w:val="center"/>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4</w:t>
            </w:r>
          </w:p>
        </w:tc>
        <w:tc>
          <w:tcPr>
            <w:tcW w:w="1134" w:type="dxa"/>
            <w:shd w:val="clear" w:color="auto" w:fill="auto"/>
            <w:vAlign w:val="center"/>
          </w:tcPr>
          <w:p>
            <w:pPr>
              <w:widowControl/>
              <w:jc w:val="center"/>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第四标段</w:t>
            </w:r>
          </w:p>
        </w:tc>
        <w:tc>
          <w:tcPr>
            <w:tcW w:w="2155" w:type="dxa"/>
            <w:shd w:val="clear" w:color="auto" w:fill="auto"/>
            <w:vAlign w:val="center"/>
          </w:tcPr>
          <w:p>
            <w:pPr>
              <w:widowControl/>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日喀则市、全区种畜三标合一追溯体系电子芯片耳标采购</w:t>
            </w:r>
          </w:p>
        </w:tc>
        <w:tc>
          <w:tcPr>
            <w:tcW w:w="1388" w:type="dxa"/>
            <w:vAlign w:val="center"/>
          </w:tcPr>
          <w:p>
            <w:pPr>
              <w:widowControl/>
              <w:jc w:val="center"/>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601.33</w:t>
            </w:r>
          </w:p>
        </w:tc>
        <w:tc>
          <w:tcPr>
            <w:tcW w:w="1985" w:type="dxa"/>
            <w:shd w:val="clear" w:color="auto" w:fill="auto"/>
            <w:vAlign w:val="center"/>
          </w:tcPr>
          <w:p>
            <w:pPr>
              <w:widowControl/>
              <w:rPr>
                <w:rFonts w:hint="eastAsia"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详见“第六章采购需求”</w:t>
            </w:r>
          </w:p>
        </w:tc>
      </w:tr>
      <w:bookmarkEnd w:id="34"/>
    </w:tbl>
    <w:p>
      <w:pPr>
        <w:keepNext/>
        <w:keepLines/>
        <w:spacing w:before="260" w:after="260" w:line="360" w:lineRule="auto"/>
        <w:rPr>
          <w:rFonts w:ascii="黑体" w:hAnsi="黑体" w:eastAsia="黑体"/>
          <w:bCs/>
          <w:sz w:val="24"/>
          <w:szCs w:val="24"/>
          <w:highlight w:val="none"/>
        </w:rPr>
      </w:pPr>
      <w:r>
        <w:rPr>
          <w:rFonts w:hint="eastAsia" w:ascii="黑体" w:hAnsi="黑体" w:eastAsia="黑体"/>
          <w:bCs/>
          <w:sz w:val="24"/>
          <w:szCs w:val="24"/>
          <w:highlight w:val="none"/>
        </w:rPr>
        <w:t>七、对本次招标提出询问，请按</w:t>
      </w:r>
      <w:r>
        <w:rPr>
          <w:rFonts w:ascii="黑体" w:hAnsi="黑体" w:eastAsia="黑体"/>
          <w:bCs/>
          <w:sz w:val="24"/>
          <w:szCs w:val="24"/>
          <w:highlight w:val="none"/>
        </w:rPr>
        <w:t>以下方式</w:t>
      </w:r>
      <w:r>
        <w:rPr>
          <w:rFonts w:hint="eastAsia" w:ascii="黑体" w:hAnsi="黑体" w:eastAsia="黑体"/>
          <w:bCs/>
          <w:sz w:val="24"/>
          <w:szCs w:val="24"/>
          <w:highlight w:val="none"/>
        </w:rPr>
        <w:t>联系。</w:t>
      </w:r>
      <w:bookmarkEnd w:id="30"/>
      <w:bookmarkEnd w:id="31"/>
      <w:bookmarkEnd w:id="32"/>
      <w:bookmarkEnd w:id="33"/>
    </w:p>
    <w:p>
      <w:pPr>
        <w:widowControl/>
        <w:spacing w:line="276" w:lineRule="auto"/>
        <w:ind w:firstLine="480" w:firstLineChars="200"/>
        <w:jc w:val="left"/>
        <w:rPr>
          <w:rFonts w:ascii="仿宋" w:hAnsi="Times New Roman" w:eastAsia="仿宋" w:cs="Times New Roman"/>
          <w:sz w:val="24"/>
          <w:szCs w:val="24"/>
          <w:highlight w:val="none"/>
        </w:rPr>
      </w:pPr>
      <w:r>
        <w:rPr>
          <w:rFonts w:hint="eastAsia" w:ascii="仿宋" w:hAnsi="仿宋" w:eastAsia="仿宋"/>
          <w:sz w:val="24"/>
          <w:szCs w:val="24"/>
          <w:highlight w:val="none"/>
        </w:rPr>
        <w:t>1.采购人信息</w:t>
      </w:r>
    </w:p>
    <w:p>
      <w:pPr>
        <w:spacing w:line="276" w:lineRule="auto"/>
        <w:ind w:firstLine="480" w:firstLineChars="200"/>
        <w:jc w:val="left"/>
        <w:rPr>
          <w:rFonts w:ascii="仿宋" w:hAnsi="仿宋" w:eastAsia="仿宋" w:cs="Times New Roman"/>
          <w:sz w:val="24"/>
          <w:szCs w:val="24"/>
          <w:highlight w:val="none"/>
        </w:rPr>
      </w:pPr>
      <w:r>
        <w:rPr>
          <w:rFonts w:hint="eastAsia" w:ascii="仿宋" w:hAnsi="仿宋" w:eastAsia="仿宋" w:cs="Times New Roman"/>
          <w:sz w:val="24"/>
          <w:szCs w:val="24"/>
          <w:highlight w:val="none"/>
        </w:rPr>
        <w:t>名 称：西藏自治区农业农村厅</w:t>
      </w:r>
    </w:p>
    <w:p>
      <w:pPr>
        <w:spacing w:line="276" w:lineRule="auto"/>
        <w:ind w:firstLine="480" w:firstLineChars="200"/>
        <w:jc w:val="left"/>
        <w:rPr>
          <w:rFonts w:ascii="仿宋" w:hAnsi="仿宋" w:eastAsia="仿宋" w:cs="Times New Roman"/>
          <w:sz w:val="24"/>
          <w:szCs w:val="24"/>
          <w:highlight w:val="none"/>
        </w:rPr>
      </w:pPr>
      <w:r>
        <w:rPr>
          <w:rFonts w:hint="eastAsia" w:ascii="仿宋" w:hAnsi="仿宋" w:eastAsia="仿宋" w:cs="Times New Roman"/>
          <w:sz w:val="24"/>
          <w:szCs w:val="24"/>
          <w:highlight w:val="none"/>
        </w:rPr>
        <w:t>地 址：</w:t>
      </w:r>
      <w:r>
        <w:rPr>
          <w:rFonts w:hint="eastAsia" w:ascii="仿宋" w:hAnsi="仿宋" w:eastAsia="仿宋" w:cs="仿宋"/>
          <w:sz w:val="24"/>
          <w:szCs w:val="24"/>
          <w:highlight w:val="none"/>
        </w:rPr>
        <w:t>西藏自治区拉萨市城关区林聚路29号</w:t>
      </w:r>
    </w:p>
    <w:p>
      <w:pPr>
        <w:spacing w:line="276" w:lineRule="auto"/>
        <w:ind w:firstLine="480" w:firstLineChars="200"/>
        <w:jc w:val="left"/>
        <w:rPr>
          <w:rFonts w:ascii="仿宋" w:hAnsi="仿宋" w:eastAsia="仿宋" w:cs="Times New Roman"/>
          <w:sz w:val="24"/>
          <w:szCs w:val="24"/>
          <w:highlight w:val="none"/>
        </w:rPr>
      </w:pPr>
      <w:r>
        <w:rPr>
          <w:rFonts w:hint="eastAsia" w:ascii="仿宋" w:hAnsi="仿宋" w:eastAsia="仿宋" w:cs="Times New Roman"/>
          <w:sz w:val="24"/>
          <w:szCs w:val="24"/>
          <w:highlight w:val="none"/>
        </w:rPr>
        <w:t>联系方式：</w:t>
      </w:r>
      <w:bookmarkStart w:id="35" w:name="_Toc28359009"/>
      <w:bookmarkStart w:id="36" w:name="_Toc28359086"/>
      <w:r>
        <w:rPr>
          <w:rFonts w:ascii="仿宋" w:hAnsi="仿宋" w:eastAsia="仿宋" w:cs="Times New Roman"/>
          <w:sz w:val="24"/>
          <w:szCs w:val="24"/>
          <w:highlight w:val="none"/>
        </w:rPr>
        <w:t>0891-6364692</w:t>
      </w:r>
    </w:p>
    <w:p>
      <w:pPr>
        <w:widowControl/>
        <w:spacing w:line="276" w:lineRule="auto"/>
        <w:ind w:firstLine="480" w:firstLineChars="200"/>
        <w:jc w:val="left"/>
        <w:rPr>
          <w:rFonts w:ascii="仿宋" w:hAnsi="仿宋" w:eastAsia="仿宋" w:cs="Times New Roman"/>
          <w:sz w:val="24"/>
          <w:szCs w:val="24"/>
          <w:highlight w:val="none"/>
        </w:rPr>
      </w:pPr>
      <w:r>
        <w:rPr>
          <w:rFonts w:hint="eastAsia" w:ascii="仿宋" w:hAnsi="仿宋" w:eastAsia="仿宋"/>
          <w:sz w:val="24"/>
          <w:szCs w:val="24"/>
          <w:highlight w:val="none"/>
        </w:rPr>
        <w:t>2.采购代理机构信息</w:t>
      </w:r>
      <w:bookmarkEnd w:id="35"/>
      <w:bookmarkEnd w:id="36"/>
    </w:p>
    <w:p>
      <w:pPr>
        <w:spacing w:line="276" w:lineRule="auto"/>
        <w:ind w:firstLine="480" w:firstLineChars="200"/>
        <w:rPr>
          <w:rFonts w:hint="eastAsia" w:ascii="仿宋" w:hAnsi="仿宋" w:eastAsia="仿宋" w:cs="Times New Roman"/>
          <w:sz w:val="24"/>
          <w:szCs w:val="24"/>
          <w:highlight w:val="none"/>
          <w:lang w:eastAsia="zh-CN"/>
        </w:rPr>
      </w:pPr>
      <w:r>
        <w:rPr>
          <w:rFonts w:hint="eastAsia" w:ascii="仿宋" w:hAnsi="仿宋" w:eastAsia="仿宋" w:cs="Times New Roman"/>
          <w:sz w:val="24"/>
          <w:szCs w:val="24"/>
          <w:highlight w:val="none"/>
        </w:rPr>
        <w:t>名 称：</w:t>
      </w:r>
      <w:r>
        <w:rPr>
          <w:rFonts w:hint="eastAsia" w:ascii="仿宋" w:hAnsi="仿宋" w:eastAsia="仿宋" w:cs="Times New Roman"/>
          <w:sz w:val="24"/>
          <w:szCs w:val="24"/>
          <w:highlight w:val="none"/>
          <w:lang w:eastAsia="zh-CN"/>
        </w:rPr>
        <w:t>重庆信科设计有限公司</w:t>
      </w:r>
    </w:p>
    <w:p>
      <w:pPr>
        <w:spacing w:line="276" w:lineRule="auto"/>
        <w:ind w:firstLine="480" w:firstLineChars="200"/>
        <w:rPr>
          <w:rFonts w:hint="default" w:ascii="仿宋" w:hAnsi="仿宋" w:eastAsia="仿宋" w:cs="Times New Roman"/>
          <w:sz w:val="24"/>
          <w:szCs w:val="24"/>
          <w:highlight w:val="none"/>
          <w:lang w:val="en-US" w:eastAsia="zh-CN"/>
        </w:rPr>
      </w:pPr>
      <w:r>
        <w:rPr>
          <w:rFonts w:hint="eastAsia" w:ascii="仿宋" w:hAnsi="仿宋" w:eastAsia="仿宋" w:cs="Times New Roman"/>
          <w:sz w:val="24"/>
          <w:szCs w:val="24"/>
          <w:highlight w:val="none"/>
        </w:rPr>
        <w:t>地 址：</w:t>
      </w:r>
      <w:r>
        <w:rPr>
          <w:rFonts w:hint="eastAsia" w:ascii="仿宋" w:hAnsi="仿宋" w:eastAsia="仿宋" w:cs="Times New Roman"/>
          <w:sz w:val="24"/>
          <w:szCs w:val="24"/>
          <w:highlight w:val="none"/>
          <w:lang w:val="en-US" w:eastAsia="zh-CN"/>
        </w:rPr>
        <w:t>西藏自治区拉萨市柳梧新区国际总部城5号楼2楼</w:t>
      </w:r>
    </w:p>
    <w:p>
      <w:pPr>
        <w:spacing w:line="276" w:lineRule="auto"/>
        <w:ind w:firstLine="480" w:firstLineChars="200"/>
        <w:rPr>
          <w:rFonts w:hint="default" w:ascii="仿宋" w:hAnsi="仿宋" w:eastAsia="仿宋" w:cs="Times New Roman"/>
          <w:sz w:val="24"/>
          <w:szCs w:val="24"/>
          <w:highlight w:val="none"/>
          <w:lang w:val="en-US" w:eastAsia="zh-CN"/>
        </w:rPr>
      </w:pPr>
      <w:r>
        <w:rPr>
          <w:rFonts w:hint="eastAsia" w:ascii="仿宋" w:hAnsi="仿宋" w:eastAsia="仿宋" w:cs="Times New Roman"/>
          <w:sz w:val="24"/>
          <w:szCs w:val="24"/>
          <w:highlight w:val="none"/>
        </w:rPr>
        <w:t>联系方式：</w:t>
      </w:r>
      <w:bookmarkStart w:id="37" w:name="_Toc28359087"/>
      <w:bookmarkStart w:id="38" w:name="_Toc28359010"/>
      <w:r>
        <w:rPr>
          <w:rFonts w:hint="eastAsia" w:ascii="仿宋" w:hAnsi="仿宋" w:eastAsia="仿宋" w:cs="Times New Roman"/>
          <w:sz w:val="24"/>
          <w:szCs w:val="24"/>
          <w:highlight w:val="none"/>
          <w:lang w:val="en-US" w:eastAsia="zh-CN"/>
        </w:rPr>
        <w:t>15123929662</w:t>
      </w:r>
    </w:p>
    <w:p>
      <w:pPr>
        <w:spacing w:line="276" w:lineRule="auto"/>
        <w:ind w:firstLine="480" w:firstLineChars="200"/>
        <w:rPr>
          <w:rFonts w:ascii="仿宋" w:hAnsi="仿宋" w:eastAsia="仿宋" w:cs="Times New Roman"/>
          <w:sz w:val="24"/>
          <w:szCs w:val="24"/>
          <w:highlight w:val="none"/>
        </w:rPr>
      </w:pPr>
      <w:r>
        <w:rPr>
          <w:rFonts w:hint="eastAsia" w:ascii="仿宋" w:hAnsi="仿宋" w:eastAsia="仿宋"/>
          <w:sz w:val="24"/>
          <w:szCs w:val="24"/>
          <w:highlight w:val="none"/>
        </w:rPr>
        <w:t>3.项目</w:t>
      </w:r>
      <w:r>
        <w:rPr>
          <w:rFonts w:ascii="仿宋" w:hAnsi="仿宋" w:eastAsia="仿宋"/>
          <w:sz w:val="24"/>
          <w:szCs w:val="24"/>
          <w:highlight w:val="none"/>
        </w:rPr>
        <w:t>联系方式</w:t>
      </w:r>
      <w:bookmarkEnd w:id="37"/>
      <w:bookmarkEnd w:id="38"/>
    </w:p>
    <w:bookmarkEnd w:id="4"/>
    <w:bookmarkEnd w:id="6"/>
    <w:p>
      <w:pPr>
        <w:spacing w:line="276" w:lineRule="auto"/>
        <w:ind w:firstLine="480" w:firstLineChars="200"/>
        <w:rPr>
          <w:rFonts w:hint="eastAsia" w:ascii="仿宋" w:hAnsi="仿宋" w:eastAsia="仿宋"/>
          <w:kern w:val="0"/>
          <w:sz w:val="24"/>
          <w:szCs w:val="24"/>
          <w:highlight w:val="none"/>
          <w:lang w:eastAsia="zh-CN"/>
        </w:rPr>
      </w:pPr>
      <w:r>
        <w:rPr>
          <w:rFonts w:hint="eastAsia" w:ascii="仿宋" w:hAnsi="仿宋" w:eastAsia="仿宋"/>
          <w:kern w:val="0"/>
          <w:sz w:val="24"/>
          <w:szCs w:val="24"/>
          <w:highlight w:val="none"/>
        </w:rPr>
        <w:t>项目联系人：</w:t>
      </w:r>
      <w:r>
        <w:rPr>
          <w:rFonts w:hint="eastAsia" w:ascii="仿宋" w:hAnsi="仿宋" w:eastAsia="仿宋"/>
          <w:kern w:val="0"/>
          <w:sz w:val="24"/>
          <w:szCs w:val="24"/>
          <w:highlight w:val="none"/>
          <w:lang w:val="en-US" w:eastAsia="zh-CN"/>
        </w:rPr>
        <w:t>刘雪健</w:t>
      </w:r>
    </w:p>
    <w:p>
      <w:pPr>
        <w:spacing w:line="276" w:lineRule="auto"/>
        <w:ind w:firstLine="480" w:firstLineChars="200"/>
        <w:rPr>
          <w:rFonts w:ascii="仿宋" w:hAnsi="仿宋" w:eastAsia="仿宋" w:cs="仿宋"/>
          <w:b/>
          <w:bCs/>
          <w:sz w:val="44"/>
          <w:szCs w:val="44"/>
          <w:highlight w:val="none"/>
        </w:rPr>
      </w:pPr>
      <w:r>
        <w:rPr>
          <w:rFonts w:hint="eastAsia" w:ascii="仿宋" w:hAnsi="仿宋" w:eastAsia="仿宋"/>
          <w:kern w:val="0"/>
          <w:sz w:val="24"/>
          <w:szCs w:val="24"/>
          <w:highlight w:val="none"/>
        </w:rPr>
        <w:t xml:space="preserve">电 </w:t>
      </w:r>
      <w:r>
        <w:rPr>
          <w:rFonts w:ascii="仿宋" w:hAnsi="仿宋" w:eastAsia="仿宋"/>
          <w:kern w:val="0"/>
          <w:sz w:val="24"/>
          <w:szCs w:val="24"/>
          <w:highlight w:val="none"/>
        </w:rPr>
        <w:t xml:space="preserve">     </w:t>
      </w:r>
      <w:r>
        <w:rPr>
          <w:rFonts w:hint="eastAsia" w:ascii="仿宋" w:hAnsi="仿宋" w:eastAsia="仿宋"/>
          <w:kern w:val="0"/>
          <w:sz w:val="24"/>
          <w:szCs w:val="24"/>
          <w:highlight w:val="none"/>
        </w:rPr>
        <w:t>话：</w:t>
      </w:r>
      <w:bookmarkEnd w:id="5"/>
      <w:r>
        <w:rPr>
          <w:rFonts w:hint="eastAsia" w:ascii="仿宋" w:hAnsi="仿宋" w:eastAsia="仿宋"/>
          <w:kern w:val="0"/>
          <w:sz w:val="24"/>
          <w:szCs w:val="24"/>
          <w:highlight w:val="none"/>
          <w:lang w:val="en-US" w:eastAsia="zh-CN"/>
        </w:rPr>
        <w:t>15123929662</w:t>
      </w:r>
      <w:r>
        <w:rPr>
          <w:rFonts w:hint="eastAsia" w:ascii="仿宋" w:hAnsi="仿宋" w:eastAsia="仿宋" w:cs="仿宋"/>
          <w:b/>
          <w:bCs/>
          <w:sz w:val="44"/>
          <w:szCs w:val="44"/>
          <w:highlight w:val="none"/>
        </w:rPr>
        <w:br w:type="page"/>
      </w:r>
    </w:p>
    <w:p>
      <w:pPr>
        <w:jc w:val="center"/>
        <w:rPr>
          <w:rFonts w:ascii="仿宋" w:hAnsi="仿宋" w:eastAsia="仿宋" w:cs="仿宋"/>
          <w:b/>
          <w:bCs/>
          <w:sz w:val="44"/>
          <w:szCs w:val="44"/>
          <w:highlight w:val="none"/>
        </w:rPr>
      </w:pPr>
    </w:p>
    <w:p>
      <w:pPr>
        <w:jc w:val="center"/>
        <w:rPr>
          <w:rFonts w:ascii="仿宋" w:hAnsi="仿宋" w:eastAsia="仿宋" w:cs="仿宋"/>
          <w:b/>
          <w:bCs/>
          <w:sz w:val="44"/>
          <w:szCs w:val="44"/>
          <w:highlight w:val="none"/>
        </w:rPr>
      </w:pPr>
    </w:p>
    <w:p>
      <w:pPr>
        <w:jc w:val="center"/>
        <w:outlineLvl w:val="0"/>
        <w:rPr>
          <w:rFonts w:ascii="仿宋" w:hAnsi="仿宋" w:eastAsia="仿宋" w:cs="仿宋"/>
          <w:b/>
          <w:bCs/>
          <w:sz w:val="44"/>
          <w:szCs w:val="44"/>
          <w:highlight w:val="none"/>
        </w:rPr>
      </w:pPr>
      <w:bookmarkStart w:id="39" w:name="_Toc110245232"/>
      <w:r>
        <w:rPr>
          <w:rFonts w:hint="eastAsia" w:ascii="仿宋" w:hAnsi="仿宋" w:eastAsia="仿宋" w:cs="仿宋"/>
          <w:b/>
          <w:bCs/>
          <w:sz w:val="44"/>
          <w:szCs w:val="44"/>
          <w:highlight w:val="none"/>
        </w:rPr>
        <w:t>第二章 投标人须知前附表</w:t>
      </w:r>
      <w:bookmarkEnd w:id="39"/>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r>
        <w:rPr>
          <w:rFonts w:ascii="仿宋" w:hAnsi="仿宋" w:eastAsia="仿宋" w:cs="仿宋"/>
          <w:b/>
          <w:bCs/>
          <w:sz w:val="28"/>
          <w:szCs w:val="28"/>
          <w:highlight w:val="none"/>
        </w:rPr>
        <w:br w:type="page"/>
      </w:r>
    </w:p>
    <w:p>
      <w:pPr>
        <w:jc w:val="center"/>
        <w:rPr>
          <w:rFonts w:ascii="仿宋" w:hAnsi="仿宋" w:eastAsia="仿宋" w:cs="仿宋"/>
          <w:b/>
          <w:bCs/>
          <w:sz w:val="32"/>
          <w:szCs w:val="36"/>
          <w:highlight w:val="none"/>
        </w:rPr>
      </w:pPr>
      <w:r>
        <w:rPr>
          <w:rFonts w:hint="eastAsia" w:ascii="仿宋" w:hAnsi="仿宋" w:eastAsia="仿宋" w:cs="仿宋"/>
          <w:b/>
          <w:bCs/>
          <w:sz w:val="32"/>
          <w:szCs w:val="36"/>
          <w:highlight w:val="none"/>
        </w:rPr>
        <w:t>投标人须知前附表</w:t>
      </w:r>
    </w:p>
    <w:tbl>
      <w:tblPr>
        <w:tblStyle w:val="9"/>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799"/>
        <w:gridCol w:w="6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Cs w:val="20"/>
                <w:highlight w:val="none"/>
              </w:rPr>
            </w:pPr>
            <w:r>
              <w:rPr>
                <w:rFonts w:hint="eastAsia" w:ascii="仿宋" w:hAnsi="仿宋" w:eastAsia="仿宋" w:cs="仿宋"/>
                <w:sz w:val="24"/>
                <w:szCs w:val="24"/>
                <w:highlight w:val="none"/>
              </w:rPr>
              <w:t>项号</w:t>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项  目</w:t>
            </w:r>
          </w:p>
        </w:tc>
        <w:tc>
          <w:tcPr>
            <w:tcW w:w="6972"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内 容 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项目编号</w:t>
            </w:r>
          </w:p>
        </w:tc>
        <w:tc>
          <w:tcPr>
            <w:tcW w:w="6972" w:type="dxa"/>
            <w:vAlign w:val="center"/>
          </w:tcPr>
          <w:p>
            <w:pPr>
              <w:spacing w:before="93" w:beforeLines="30" w:after="93" w:afterLines="30"/>
              <w:jc w:val="left"/>
              <w:rPr>
                <w:rFonts w:ascii="仿宋" w:hAnsi="仿宋" w:eastAsia="仿宋" w:cs="仿宋"/>
                <w:sz w:val="24"/>
                <w:szCs w:val="24"/>
                <w:highlight w:val="none"/>
              </w:rPr>
            </w:pPr>
            <w:r>
              <w:rPr>
                <w:rFonts w:ascii="仿宋" w:hAnsi="仿宋" w:eastAsia="仿宋" w:cs="仿宋"/>
                <w:sz w:val="24"/>
                <w:szCs w:val="24"/>
                <w:highlight w:val="none"/>
              </w:rPr>
              <w:t>540000232102000</w:t>
            </w:r>
            <w:r>
              <w:rPr>
                <w:rFonts w:hint="eastAsia" w:ascii="仿宋" w:hAnsi="仿宋" w:eastAsia="仿宋" w:cs="仿宋"/>
                <w:sz w:val="24"/>
                <w:szCs w:val="24"/>
                <w:highlight w:val="none"/>
                <w:lang w:val="en-US" w:eastAsia="zh-CN"/>
              </w:rPr>
              <w:t>11601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2</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项目名称</w:t>
            </w:r>
          </w:p>
        </w:tc>
        <w:tc>
          <w:tcPr>
            <w:tcW w:w="6972" w:type="dxa"/>
            <w:vAlign w:val="center"/>
          </w:tcPr>
          <w:p>
            <w:pPr>
              <w:spacing w:before="93" w:beforeLines="30" w:after="93" w:afterLines="30"/>
              <w:jc w:val="left"/>
              <w:rPr>
                <w:rFonts w:ascii="仿宋" w:hAnsi="仿宋" w:eastAsia="仿宋" w:cs="仿宋"/>
                <w:sz w:val="24"/>
                <w:szCs w:val="24"/>
                <w:highlight w:val="none"/>
              </w:rPr>
            </w:pPr>
            <w:r>
              <w:rPr>
                <w:rFonts w:hint="eastAsia" w:ascii="仿宋" w:hAnsi="仿宋" w:eastAsia="仿宋" w:cs="仿宋"/>
                <w:sz w:val="24"/>
                <w:szCs w:val="24"/>
                <w:highlight w:val="none"/>
                <w:lang w:eastAsia="zh-CN"/>
              </w:rPr>
              <w:t>西藏自治区2023年三标合一追溯体系和常规疫苗政府采购</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第一至第四标段</w:t>
            </w:r>
            <w:r>
              <w:rPr>
                <w:rFonts w:hint="eastAsia" w:ascii="仿宋" w:hAnsi="仿宋" w:eastAsia="仿宋" w:cs="仿宋"/>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仿宋"/>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3</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项目标段及预算资金</w:t>
            </w:r>
          </w:p>
        </w:tc>
        <w:tc>
          <w:tcPr>
            <w:tcW w:w="6972" w:type="dxa"/>
            <w:vAlign w:val="center"/>
          </w:tcPr>
          <w:p>
            <w:pPr>
              <w:spacing w:before="93" w:beforeLines="30" w:after="93" w:afterLines="30"/>
              <w:jc w:val="left"/>
              <w:rPr>
                <w:rFonts w:ascii="仿宋" w:hAnsi="仿宋" w:eastAsia="仿宋" w:cs="Times New Roman"/>
                <w:sz w:val="24"/>
                <w:szCs w:val="24"/>
                <w:highlight w:val="none"/>
              </w:rPr>
            </w:pPr>
            <w:r>
              <w:rPr>
                <w:rFonts w:hint="eastAsia" w:ascii="仿宋" w:hAnsi="仿宋" w:eastAsia="仿宋" w:cs="Times New Roman"/>
                <w:sz w:val="24"/>
                <w:szCs w:val="24"/>
                <w:highlight w:val="none"/>
              </w:rPr>
              <w:t>本项目</w:t>
            </w:r>
            <w:r>
              <w:rPr>
                <w:rFonts w:hint="eastAsia" w:ascii="仿宋" w:hAnsi="仿宋" w:eastAsia="仿宋" w:cs="Times New Roman"/>
                <w:sz w:val="24"/>
                <w:szCs w:val="24"/>
                <w:highlight w:val="none"/>
                <w:lang w:val="en-US" w:eastAsia="zh-CN"/>
              </w:rPr>
              <w:t>一、二、三、四</w:t>
            </w:r>
            <w:r>
              <w:rPr>
                <w:rFonts w:hint="eastAsia" w:ascii="仿宋" w:hAnsi="仿宋" w:eastAsia="仿宋" w:cs="Times New Roman"/>
                <w:sz w:val="24"/>
                <w:szCs w:val="24"/>
                <w:highlight w:val="none"/>
              </w:rPr>
              <w:t>标段总预算为</w:t>
            </w:r>
            <w:r>
              <w:rPr>
                <w:rFonts w:hint="eastAsia" w:ascii="仿宋" w:hAnsi="仿宋" w:eastAsia="仿宋" w:cs="Times New Roman"/>
                <w:sz w:val="24"/>
                <w:szCs w:val="24"/>
                <w:highlight w:val="none"/>
                <w:lang w:val="en-US" w:eastAsia="zh-CN"/>
              </w:rPr>
              <w:t>1926.48</w:t>
            </w:r>
            <w:r>
              <w:rPr>
                <w:rFonts w:ascii="仿宋" w:hAnsi="仿宋" w:eastAsia="仿宋" w:cs="Times New Roman"/>
                <w:sz w:val="24"/>
                <w:szCs w:val="24"/>
                <w:highlight w:val="none"/>
              </w:rPr>
              <w:t>万元，标段预算如下：</w:t>
            </w:r>
          </w:p>
          <w:tbl>
            <w:tblPr>
              <w:tblStyle w:val="9"/>
              <w:tblW w:w="6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338"/>
              <w:gridCol w:w="2544"/>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802"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序号</w:t>
                  </w:r>
                </w:p>
              </w:tc>
              <w:tc>
                <w:tcPr>
                  <w:tcW w:w="1338"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标段序</w:t>
                  </w:r>
                </w:p>
              </w:tc>
              <w:tc>
                <w:tcPr>
                  <w:tcW w:w="2544"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包名称（标段名）</w:t>
                  </w:r>
                </w:p>
              </w:tc>
              <w:tc>
                <w:tcPr>
                  <w:tcW w:w="1638"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采购预算（万元）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802"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1</w:t>
                  </w:r>
                </w:p>
              </w:tc>
              <w:tc>
                <w:tcPr>
                  <w:tcW w:w="1338"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第一标段</w:t>
                  </w:r>
                </w:p>
              </w:tc>
              <w:tc>
                <w:tcPr>
                  <w:tcW w:w="2544" w:type="dxa"/>
                  <w:shd w:val="clear" w:color="auto" w:fill="auto"/>
                  <w:vAlign w:val="center"/>
                </w:tcPr>
                <w:p>
                  <w:pPr>
                    <w:widowControl/>
                    <w:rPr>
                      <w:rFonts w:ascii="仿宋" w:hAnsi="仿宋" w:eastAsia="仿宋"/>
                      <w:kern w:val="0"/>
                      <w:szCs w:val="21"/>
                      <w:highlight w:val="none"/>
                    </w:rPr>
                  </w:pPr>
                  <w:r>
                    <w:rPr>
                      <w:rFonts w:hint="eastAsia" w:ascii="仿宋" w:hAnsi="仿宋" w:eastAsia="仿宋"/>
                      <w:kern w:val="0"/>
                      <w:szCs w:val="21"/>
                      <w:highlight w:val="none"/>
                      <w:lang w:eastAsia="zh-CN"/>
                    </w:rPr>
                    <w:t>西藏</w:t>
                  </w:r>
                  <w:r>
                    <w:rPr>
                      <w:rFonts w:hint="eastAsia" w:ascii="仿宋" w:hAnsi="仿宋" w:eastAsia="仿宋"/>
                      <w:kern w:val="0"/>
                      <w:szCs w:val="21"/>
                      <w:highlight w:val="none"/>
                    </w:rPr>
                    <w:t>牧运通系统升级项目</w:t>
                  </w:r>
                </w:p>
              </w:tc>
              <w:tc>
                <w:tcPr>
                  <w:tcW w:w="1638"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lang w:val="en-US" w:eastAsia="zh-CN"/>
                    </w:rPr>
                    <w:t>103.6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802"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2</w:t>
                  </w:r>
                </w:p>
              </w:tc>
              <w:tc>
                <w:tcPr>
                  <w:tcW w:w="1338" w:type="dxa"/>
                  <w:shd w:val="clear" w:color="auto" w:fill="auto"/>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第二标段</w:t>
                  </w:r>
                </w:p>
              </w:tc>
              <w:tc>
                <w:tcPr>
                  <w:tcW w:w="2544" w:type="dxa"/>
                  <w:shd w:val="clear" w:color="auto" w:fill="auto"/>
                  <w:vAlign w:val="center"/>
                </w:tcPr>
                <w:p>
                  <w:pPr>
                    <w:widowControl/>
                    <w:rPr>
                      <w:rFonts w:ascii="仿宋" w:hAnsi="仿宋" w:eastAsia="仿宋"/>
                      <w:kern w:val="0"/>
                      <w:szCs w:val="21"/>
                      <w:highlight w:val="none"/>
                    </w:rPr>
                  </w:pPr>
                  <w:r>
                    <w:rPr>
                      <w:rFonts w:hint="eastAsia" w:ascii="仿宋" w:hAnsi="仿宋" w:eastAsia="仿宋"/>
                      <w:kern w:val="0"/>
                      <w:szCs w:val="21"/>
                      <w:highlight w:val="none"/>
                      <w:lang w:val="en-US" w:eastAsia="zh-CN"/>
                    </w:rPr>
                    <w:t>山南市、昌都市、那曲市三标合一追溯体系电子芯片耳标采购</w:t>
                  </w:r>
                </w:p>
              </w:tc>
              <w:tc>
                <w:tcPr>
                  <w:tcW w:w="1638"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lang w:val="en-US" w:eastAsia="zh-CN"/>
                    </w:rPr>
                    <w:t>619.56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802" w:type="dxa"/>
                  <w:shd w:val="clear" w:color="auto" w:fill="auto"/>
                  <w:vAlign w:val="center"/>
                </w:tcPr>
                <w:p>
                  <w:pPr>
                    <w:widowControl/>
                    <w:jc w:val="center"/>
                    <w:rPr>
                      <w:rFonts w:hint="eastAsia"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3</w:t>
                  </w:r>
                </w:p>
              </w:tc>
              <w:tc>
                <w:tcPr>
                  <w:tcW w:w="1338" w:type="dxa"/>
                  <w:shd w:val="clear" w:color="auto" w:fill="auto"/>
                  <w:vAlign w:val="center"/>
                </w:tcPr>
                <w:p>
                  <w:pPr>
                    <w:widowControl/>
                    <w:jc w:val="center"/>
                    <w:rPr>
                      <w:rFonts w:hint="eastAsia"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第三标段</w:t>
                  </w:r>
                </w:p>
              </w:tc>
              <w:tc>
                <w:tcPr>
                  <w:tcW w:w="2544" w:type="dxa"/>
                  <w:shd w:val="clear" w:color="auto" w:fill="auto"/>
                  <w:vAlign w:val="center"/>
                </w:tcPr>
                <w:p>
                  <w:pPr>
                    <w:widowControl/>
                    <w:rPr>
                      <w:rFonts w:hint="eastAsia" w:ascii="仿宋" w:hAnsi="仿宋" w:eastAsia="仿宋"/>
                      <w:kern w:val="0"/>
                      <w:szCs w:val="21"/>
                      <w:highlight w:val="none"/>
                    </w:rPr>
                  </w:pPr>
                  <w:r>
                    <w:rPr>
                      <w:rFonts w:hint="eastAsia" w:ascii="仿宋" w:hAnsi="仿宋" w:eastAsia="仿宋"/>
                      <w:kern w:val="0"/>
                      <w:szCs w:val="21"/>
                      <w:highlight w:val="none"/>
                      <w:lang w:val="en-US" w:eastAsia="zh-CN"/>
                    </w:rPr>
                    <w:t>拉萨市、阿里地区三标合一追溯体系电子芯片耳标采购</w:t>
                  </w:r>
                </w:p>
              </w:tc>
              <w:tc>
                <w:tcPr>
                  <w:tcW w:w="1638"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lang w:val="en-US" w:eastAsia="zh-CN"/>
                    </w:rPr>
                    <w:t>601.99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802" w:type="dxa"/>
                  <w:shd w:val="clear" w:color="auto" w:fill="auto"/>
                  <w:vAlign w:val="center"/>
                </w:tcPr>
                <w:p>
                  <w:pPr>
                    <w:widowControl/>
                    <w:jc w:val="center"/>
                    <w:rPr>
                      <w:rFonts w:hint="eastAsia"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4</w:t>
                  </w:r>
                </w:p>
              </w:tc>
              <w:tc>
                <w:tcPr>
                  <w:tcW w:w="1338" w:type="dxa"/>
                  <w:shd w:val="clear" w:color="auto" w:fill="auto"/>
                  <w:vAlign w:val="center"/>
                </w:tcPr>
                <w:p>
                  <w:pPr>
                    <w:widowControl/>
                    <w:jc w:val="center"/>
                    <w:rPr>
                      <w:rFonts w:hint="eastAsia"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第四标段</w:t>
                  </w:r>
                </w:p>
              </w:tc>
              <w:tc>
                <w:tcPr>
                  <w:tcW w:w="2544" w:type="dxa"/>
                  <w:shd w:val="clear" w:color="auto" w:fill="auto"/>
                  <w:vAlign w:val="center"/>
                </w:tcPr>
                <w:p>
                  <w:pPr>
                    <w:widowControl/>
                    <w:rPr>
                      <w:rFonts w:hint="eastAsia" w:ascii="仿宋" w:hAnsi="仿宋" w:eastAsia="仿宋"/>
                      <w:kern w:val="0"/>
                      <w:szCs w:val="21"/>
                      <w:highlight w:val="none"/>
                    </w:rPr>
                  </w:pPr>
                  <w:r>
                    <w:rPr>
                      <w:rFonts w:hint="eastAsia" w:ascii="仿宋" w:hAnsi="仿宋" w:eastAsia="仿宋"/>
                      <w:kern w:val="0"/>
                      <w:szCs w:val="21"/>
                      <w:highlight w:val="none"/>
                      <w:lang w:val="en-US" w:eastAsia="zh-CN"/>
                    </w:rPr>
                    <w:t>日喀则市、全区种畜三标合一追溯体系电子芯片耳标采购</w:t>
                  </w:r>
                </w:p>
              </w:tc>
              <w:tc>
                <w:tcPr>
                  <w:tcW w:w="1638"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lang w:val="en-US" w:eastAsia="zh-CN"/>
                    </w:rPr>
                    <w:t>601.33</w:t>
                  </w:r>
                </w:p>
              </w:tc>
            </w:tr>
          </w:tbl>
          <w:p>
            <w:pPr>
              <w:spacing w:before="93" w:beforeLines="30" w:after="93" w:afterLines="30"/>
              <w:jc w:val="left"/>
              <w:rPr>
                <w:b/>
                <w:bCs/>
                <w:highlight w:val="none"/>
                <w:u w:val="single"/>
              </w:rPr>
            </w:pPr>
            <w:r>
              <w:rPr>
                <w:rFonts w:hint="eastAsia" w:ascii="仿宋" w:hAnsi="仿宋" w:eastAsia="仿宋" w:cs="Times New Roman"/>
                <w:sz w:val="24"/>
                <w:szCs w:val="24"/>
                <w:highlight w:val="none"/>
              </w:rPr>
              <w:t>▲</w:t>
            </w:r>
            <w:r>
              <w:rPr>
                <w:rFonts w:hint="eastAsia" w:ascii="仿宋" w:hAnsi="仿宋" w:eastAsia="仿宋" w:cs="Times New Roman"/>
                <w:b/>
                <w:bCs/>
                <w:sz w:val="24"/>
                <w:szCs w:val="24"/>
                <w:highlight w:val="none"/>
                <w:u w:val="single"/>
              </w:rPr>
              <w:t>投标人各标段投标总报价不得超过各标段采购预算，否则视为无效投标。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仿宋"/>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4</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采购人</w:t>
            </w:r>
          </w:p>
        </w:tc>
        <w:tc>
          <w:tcPr>
            <w:tcW w:w="6972" w:type="dxa"/>
            <w:vAlign w:val="center"/>
          </w:tcPr>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名称：西藏自治区农业农村厅</w:t>
            </w:r>
          </w:p>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地址：西藏自治区拉萨市城关区林聚路29号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5</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采购代理机构</w:t>
            </w:r>
          </w:p>
        </w:tc>
        <w:tc>
          <w:tcPr>
            <w:tcW w:w="6972" w:type="dxa"/>
            <w:vAlign w:val="center"/>
          </w:tcPr>
          <w:p>
            <w:pPr>
              <w:spacing w:before="93" w:beforeLines="30" w:after="93" w:afterLines="3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重庆信科设计有限公司</w:t>
            </w:r>
          </w:p>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地址：</w:t>
            </w:r>
            <w:r>
              <w:rPr>
                <w:rFonts w:hint="eastAsia" w:ascii="仿宋" w:hAnsi="仿宋" w:eastAsia="仿宋" w:cs="Times New Roman"/>
                <w:sz w:val="24"/>
                <w:szCs w:val="24"/>
                <w:highlight w:val="none"/>
                <w:lang w:val="en-US" w:eastAsia="zh-CN"/>
              </w:rPr>
              <w:t>西藏自治区拉萨市柳梧新区国际总部城5号楼2楼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6</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采购方式</w:t>
            </w:r>
          </w:p>
        </w:tc>
        <w:tc>
          <w:tcPr>
            <w:tcW w:w="6972" w:type="dxa"/>
            <w:vAlign w:val="center"/>
          </w:tcPr>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7</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投标有效期</w:t>
            </w:r>
          </w:p>
        </w:tc>
        <w:tc>
          <w:tcPr>
            <w:tcW w:w="6972" w:type="dxa"/>
            <w:vAlign w:val="center"/>
          </w:tcPr>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自提交投标文件截止时间起算</w:t>
            </w:r>
            <w:r>
              <w:rPr>
                <w:rFonts w:hint="eastAsia" w:ascii="仿宋" w:hAnsi="仿宋" w:eastAsia="仿宋" w:cs="仿宋"/>
                <w:sz w:val="24"/>
                <w:szCs w:val="24"/>
                <w:highlight w:val="none"/>
                <w:u w:val="single"/>
              </w:rPr>
              <w:t>90</w:t>
            </w:r>
            <w:r>
              <w:rPr>
                <w:rFonts w:hint="eastAsia" w:ascii="仿宋" w:hAnsi="仿宋" w:eastAsia="仿宋" w:cs="仿宋"/>
                <w:sz w:val="24"/>
                <w:szCs w:val="24"/>
                <w:highlight w:val="none"/>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8</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b/>
                <w:sz w:val="24"/>
                <w:szCs w:val="24"/>
                <w:highlight w:val="none"/>
              </w:rPr>
              <w:t>投标文件的形式及构成</w:t>
            </w:r>
          </w:p>
        </w:tc>
        <w:tc>
          <w:tcPr>
            <w:tcW w:w="6972" w:type="dxa"/>
            <w:vAlign w:val="center"/>
          </w:tcPr>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一、电子响应文件要求（西藏自治区公共资源电子交易系统）</w:t>
            </w:r>
          </w:p>
          <w:p>
            <w:pPr>
              <w:spacing w:before="93" w:beforeLines="30" w:after="93" w:afterLines="30"/>
              <w:rPr>
                <w:rFonts w:ascii="仿宋" w:hAnsi="仿宋" w:eastAsia="仿宋" w:cs="仿宋"/>
                <w:sz w:val="24"/>
                <w:szCs w:val="24"/>
                <w:highlight w:val="none"/>
              </w:rPr>
            </w:pPr>
            <w:r>
              <w:rPr>
                <w:rFonts w:ascii="仿宋" w:hAnsi="仿宋" w:eastAsia="仿宋" w:cs="仿宋"/>
                <w:sz w:val="24"/>
                <w:szCs w:val="24"/>
                <w:highlight w:val="none"/>
              </w:rPr>
              <w:t>1.供应商须按照西藏自治区公共资源电子交易系统要求制做响应文件并登录西藏自治区公共资源电子交易系统提交电子响应文件</w:t>
            </w:r>
            <w:r>
              <w:rPr>
                <w:rFonts w:hint="eastAsia" w:ascii="仿宋" w:hAnsi="仿宋" w:eastAsia="仿宋" w:cs="仿宋"/>
                <w:sz w:val="24"/>
                <w:szCs w:val="24"/>
                <w:highlight w:val="none"/>
              </w:rPr>
              <w:t>。</w:t>
            </w:r>
          </w:p>
          <w:p>
            <w:pPr>
              <w:spacing w:before="93" w:beforeLines="30" w:after="93" w:afterLines="30"/>
              <w:rPr>
                <w:rFonts w:ascii="仿宋" w:hAnsi="仿宋" w:eastAsia="仿宋" w:cs="仿宋"/>
                <w:sz w:val="24"/>
                <w:szCs w:val="24"/>
                <w:highlight w:val="none"/>
              </w:rPr>
            </w:pPr>
            <w:r>
              <w:rPr>
                <w:rFonts w:ascii="仿宋" w:hAnsi="仿宋" w:eastAsia="仿宋" w:cs="仿宋"/>
                <w:sz w:val="24"/>
                <w:szCs w:val="24"/>
                <w:highlight w:val="none"/>
              </w:rPr>
              <w:t>2.具体请登录</w:t>
            </w:r>
            <w:r>
              <w:rPr>
                <w:rFonts w:hint="eastAsia" w:ascii="仿宋" w:hAnsi="仿宋" w:eastAsia="仿宋" w:cs="仿宋"/>
                <w:sz w:val="24"/>
                <w:szCs w:val="24"/>
                <w:highlight w:val="none"/>
              </w:rPr>
              <w:t>西藏自治区公共资源交易网（</w:t>
            </w:r>
            <w:r>
              <w:rPr>
                <w:rFonts w:ascii="仿宋" w:hAnsi="仿宋" w:eastAsia="仿宋" w:cs="仿宋"/>
                <w:sz w:val="24"/>
                <w:szCs w:val="24"/>
                <w:highlight w:val="none"/>
              </w:rPr>
              <w:t>http://ggzy.xizang.gov.cn/）认真了解流程和要求并严格按照操作手册制做响应文件，在</w:t>
            </w:r>
            <w:r>
              <w:rPr>
                <w:rFonts w:hint="eastAsia" w:ascii="仿宋" w:hAnsi="仿宋" w:eastAsia="仿宋" w:cs="仿宋"/>
                <w:sz w:val="24"/>
                <w:szCs w:val="24"/>
                <w:highlight w:val="none"/>
              </w:rPr>
              <w:t>提交响应文件</w:t>
            </w:r>
            <w:r>
              <w:rPr>
                <w:rFonts w:ascii="仿宋" w:hAnsi="仿宋" w:eastAsia="仿宋" w:cs="仿宋"/>
                <w:sz w:val="24"/>
                <w:szCs w:val="24"/>
                <w:highlight w:val="none"/>
              </w:rPr>
              <w:t>截止时间前上传至西藏自治区公共资源电子交易系统。</w:t>
            </w:r>
          </w:p>
          <w:p>
            <w:pPr>
              <w:spacing w:before="93" w:beforeLines="30" w:after="93" w:afterLines="30"/>
              <w:rPr>
                <w:rFonts w:ascii="仿宋" w:hAnsi="仿宋" w:eastAsia="仿宋" w:cs="仿宋"/>
                <w:sz w:val="24"/>
                <w:szCs w:val="24"/>
                <w:highlight w:val="none"/>
              </w:rPr>
            </w:pPr>
            <w:r>
              <w:rPr>
                <w:rFonts w:ascii="仿宋" w:hAnsi="仿宋" w:eastAsia="仿宋" w:cs="仿宋"/>
                <w:sz w:val="24"/>
                <w:szCs w:val="24"/>
                <w:highlight w:val="none"/>
              </w:rPr>
              <w:t>3.</w:t>
            </w:r>
            <w:r>
              <w:rPr>
                <w:rFonts w:hint="eastAsia" w:ascii="仿宋" w:hAnsi="仿宋" w:eastAsia="仿宋" w:cs="仿宋"/>
                <w:sz w:val="24"/>
                <w:szCs w:val="24"/>
                <w:highlight w:val="none"/>
              </w:rPr>
              <w:t>供应商</w:t>
            </w:r>
            <w:r>
              <w:rPr>
                <w:rFonts w:ascii="仿宋" w:hAnsi="仿宋" w:eastAsia="仿宋" w:cs="仿宋"/>
                <w:sz w:val="24"/>
                <w:szCs w:val="24"/>
                <w:highlight w:val="none"/>
              </w:rPr>
              <w:t>开标时应由</w:t>
            </w:r>
            <w:r>
              <w:rPr>
                <w:rFonts w:hint="eastAsia" w:ascii="仿宋" w:hAnsi="仿宋" w:eastAsia="仿宋" w:cs="仿宋"/>
                <w:sz w:val="24"/>
                <w:szCs w:val="24"/>
                <w:highlight w:val="none"/>
              </w:rPr>
              <w:t>授权</w:t>
            </w:r>
            <w:r>
              <w:rPr>
                <w:rFonts w:ascii="仿宋" w:hAnsi="仿宋" w:eastAsia="仿宋" w:cs="仿宋"/>
                <w:sz w:val="24"/>
                <w:szCs w:val="24"/>
                <w:highlight w:val="none"/>
              </w:rPr>
              <w:t>代表携带CA锁参加会议，在开标现场对</w:t>
            </w:r>
            <w:r>
              <w:rPr>
                <w:rFonts w:hint="eastAsia" w:ascii="仿宋" w:hAnsi="仿宋" w:eastAsia="仿宋" w:cs="仿宋"/>
                <w:sz w:val="24"/>
                <w:szCs w:val="24"/>
                <w:highlight w:val="none"/>
              </w:rPr>
              <w:t>响应文件</w:t>
            </w:r>
            <w:r>
              <w:rPr>
                <w:rFonts w:ascii="仿宋" w:hAnsi="仿宋" w:eastAsia="仿宋" w:cs="仿宋"/>
                <w:sz w:val="24"/>
                <w:szCs w:val="24"/>
                <w:highlight w:val="none"/>
              </w:rPr>
              <w:t>进行解密，</w:t>
            </w:r>
            <w:r>
              <w:rPr>
                <w:rFonts w:hint="eastAsia" w:ascii="仿宋" w:hAnsi="仿宋" w:eastAsia="仿宋" w:cs="仿宋"/>
                <w:sz w:val="24"/>
                <w:szCs w:val="24"/>
                <w:highlight w:val="none"/>
              </w:rPr>
              <w:t>或进行远程解密（若供应商未在系统规定时间内进行解密，导致解密失败等情况，责任由供应商自行承担）</w:t>
            </w:r>
            <w:r>
              <w:rPr>
                <w:rFonts w:ascii="仿宋" w:hAnsi="仿宋" w:eastAsia="仿宋" w:cs="仿宋"/>
                <w:sz w:val="24"/>
                <w:szCs w:val="24"/>
                <w:highlight w:val="none"/>
              </w:rPr>
              <w:t>。</w:t>
            </w:r>
          </w:p>
          <w:p>
            <w:pPr>
              <w:spacing w:before="93" w:beforeLines="30" w:after="93" w:afterLines="30"/>
              <w:rPr>
                <w:rFonts w:ascii="仿宋" w:hAnsi="仿宋" w:eastAsia="仿宋" w:cs="仿宋"/>
                <w:sz w:val="24"/>
                <w:szCs w:val="24"/>
                <w:highlight w:val="none"/>
              </w:rPr>
            </w:pPr>
            <w:r>
              <w:rPr>
                <w:rFonts w:hint="eastAsia" w:ascii="仿宋" w:hAnsi="仿宋" w:eastAsia="仿宋" w:cs="仿宋"/>
                <w:b/>
                <w:bCs/>
                <w:sz w:val="24"/>
                <w:szCs w:val="24"/>
                <w:highlight w:val="none"/>
                <w:u w:val="single"/>
              </w:rPr>
              <w:t>二、本项目无需提交纸质响应文件，如下文与本条要求有冲突之处，以本条要求为准。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仿宋"/>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9</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投标保证金</w:t>
            </w:r>
          </w:p>
        </w:tc>
        <w:tc>
          <w:tcPr>
            <w:tcW w:w="6972" w:type="dxa"/>
            <w:vAlign w:val="center"/>
          </w:tcPr>
          <w:p>
            <w:pPr>
              <w:spacing w:before="93" w:beforeLines="30" w:after="93" w:afterLines="30"/>
              <w:rPr>
                <w:rFonts w:ascii="仿宋" w:hAnsi="仿宋" w:eastAsia="仿宋" w:cs="仿宋"/>
                <w:b/>
                <w:sz w:val="24"/>
                <w:szCs w:val="24"/>
                <w:highlight w:val="none"/>
              </w:rPr>
            </w:pPr>
            <w:r>
              <w:rPr>
                <w:rFonts w:hint="eastAsia" w:ascii="仿宋" w:hAnsi="仿宋" w:eastAsia="仿宋" w:cs="仿宋"/>
                <w:bCs/>
                <w:sz w:val="24"/>
                <w:szCs w:val="24"/>
                <w:highlight w:val="none"/>
              </w:rPr>
              <w:t>1</w:t>
            </w:r>
            <w:r>
              <w:rPr>
                <w:rFonts w:ascii="仿宋" w:hAnsi="仿宋" w:eastAsia="仿宋" w:cs="仿宋"/>
                <w:bCs/>
                <w:sz w:val="24"/>
                <w:szCs w:val="24"/>
                <w:highlight w:val="none"/>
              </w:rPr>
              <w:t>.</w:t>
            </w:r>
            <w:r>
              <w:rPr>
                <w:rFonts w:hint="eastAsia" w:ascii="仿宋" w:hAnsi="仿宋" w:eastAsia="仿宋" w:cs="仿宋"/>
                <w:bCs/>
                <w:sz w:val="24"/>
                <w:szCs w:val="24"/>
                <w:highlight w:val="none"/>
              </w:rPr>
              <w:t>投标保证金应当以支票、汇票、本票或者金融机构、担保机构出具的保函等非现金形式提交。</w:t>
            </w:r>
            <w:r>
              <w:rPr>
                <w:rFonts w:hint="eastAsia" w:ascii="仿宋" w:hAnsi="仿宋" w:eastAsia="仿宋" w:cs="仿宋"/>
                <w:b/>
                <w:sz w:val="24"/>
                <w:szCs w:val="24"/>
                <w:highlight w:val="none"/>
              </w:rPr>
              <w:t>投标人未按照招标文件要求提交投标保证金的</w:t>
            </w:r>
            <w:r>
              <w:rPr>
                <w:rFonts w:ascii="仿宋" w:hAnsi="仿宋" w:eastAsia="仿宋" w:cs="仿宋"/>
                <w:b/>
                <w:sz w:val="24"/>
                <w:szCs w:val="24"/>
                <w:highlight w:val="none"/>
              </w:rPr>
              <w:t>,投标无效。</w:t>
            </w:r>
          </w:p>
          <w:p>
            <w:pPr>
              <w:spacing w:before="93" w:beforeLines="30" w:after="93" w:afterLines="30"/>
              <w:rPr>
                <w:rFonts w:hint="eastAsia" w:ascii="仿宋" w:hAnsi="仿宋" w:eastAsia="仿宋" w:cs="仿宋"/>
                <w:bCs/>
                <w:sz w:val="24"/>
                <w:szCs w:val="24"/>
                <w:highlight w:val="none"/>
              </w:rPr>
            </w:pPr>
            <w:r>
              <w:rPr>
                <w:rFonts w:hint="eastAsia" w:ascii="仿宋" w:hAnsi="仿宋" w:eastAsia="仿宋" w:cs="仿宋"/>
                <w:bCs/>
                <w:sz w:val="24"/>
                <w:szCs w:val="24"/>
                <w:highlight w:val="none"/>
              </w:rPr>
              <w:t>2</w:t>
            </w:r>
            <w:r>
              <w:rPr>
                <w:rFonts w:ascii="仿宋" w:hAnsi="仿宋" w:eastAsia="仿宋" w:cs="仿宋"/>
                <w:bCs/>
                <w:sz w:val="24"/>
                <w:szCs w:val="24"/>
                <w:highlight w:val="none"/>
              </w:rPr>
              <w:t>.</w:t>
            </w:r>
            <w:r>
              <w:rPr>
                <w:rFonts w:hint="eastAsia" w:ascii="仿宋" w:hAnsi="仿宋" w:eastAsia="仿宋" w:cs="仿宋"/>
                <w:bCs/>
                <w:sz w:val="24"/>
                <w:szCs w:val="24"/>
                <w:highlight w:val="none"/>
              </w:rPr>
              <w:t>投标保证金金额：</w:t>
            </w:r>
          </w:p>
          <w:p>
            <w:pPr>
              <w:spacing w:before="93" w:beforeLines="30" w:after="93" w:afterLines="30"/>
              <w:rPr>
                <w:rFonts w:ascii="仿宋" w:hAnsi="仿宋" w:eastAsia="仿宋" w:cs="仿宋"/>
                <w:b/>
                <w:sz w:val="24"/>
                <w:szCs w:val="24"/>
                <w:highlight w:val="none"/>
              </w:rPr>
            </w:pPr>
            <w:r>
              <w:rPr>
                <w:rFonts w:hint="eastAsia" w:ascii="仿宋" w:hAnsi="仿宋" w:eastAsia="仿宋" w:cs="仿宋"/>
                <w:b/>
                <w:sz w:val="24"/>
                <w:szCs w:val="24"/>
                <w:highlight w:val="none"/>
              </w:rPr>
              <w:t>第一标段：</w:t>
            </w:r>
            <w:r>
              <w:rPr>
                <w:rFonts w:ascii="仿宋" w:hAnsi="仿宋" w:eastAsia="仿宋" w:cs="仿宋"/>
                <w:b/>
                <w:sz w:val="24"/>
                <w:szCs w:val="24"/>
                <w:highlight w:val="none"/>
              </w:rPr>
              <w:t>2.00万元（</w:t>
            </w:r>
            <w:r>
              <w:rPr>
                <w:rFonts w:hint="eastAsia" w:ascii="仿宋" w:hAnsi="仿宋" w:eastAsia="仿宋" w:cs="仿宋"/>
                <w:b/>
                <w:sz w:val="24"/>
                <w:szCs w:val="24"/>
                <w:highlight w:val="none"/>
              </w:rPr>
              <w:t>贰万</w:t>
            </w:r>
            <w:r>
              <w:rPr>
                <w:rFonts w:ascii="仿宋" w:hAnsi="仿宋" w:eastAsia="仿宋" w:cs="仿宋"/>
                <w:b/>
                <w:sz w:val="24"/>
                <w:szCs w:val="24"/>
                <w:highlight w:val="none"/>
              </w:rPr>
              <w:t>元整）；</w:t>
            </w:r>
          </w:p>
          <w:p>
            <w:pPr>
              <w:spacing w:before="93" w:beforeLines="30" w:after="93" w:afterLines="30"/>
              <w:rPr>
                <w:rFonts w:hint="eastAsia" w:ascii="仿宋" w:hAnsi="仿宋" w:eastAsia="仿宋" w:cs="仿宋"/>
                <w:b/>
                <w:sz w:val="24"/>
                <w:szCs w:val="24"/>
                <w:highlight w:val="none"/>
                <w:lang w:eastAsia="zh-CN"/>
              </w:rPr>
            </w:pPr>
            <w:r>
              <w:rPr>
                <w:rFonts w:ascii="仿宋" w:hAnsi="仿宋" w:eastAsia="仿宋" w:cs="仿宋"/>
                <w:b/>
                <w:sz w:val="24"/>
                <w:szCs w:val="24"/>
                <w:highlight w:val="none"/>
              </w:rPr>
              <w:t>第二标段：1</w:t>
            </w:r>
            <w:r>
              <w:rPr>
                <w:rFonts w:hint="eastAsia" w:ascii="仿宋" w:hAnsi="仿宋" w:eastAsia="仿宋" w:cs="仿宋"/>
                <w:b/>
                <w:sz w:val="24"/>
                <w:szCs w:val="24"/>
                <w:highlight w:val="none"/>
                <w:lang w:val="en-US" w:eastAsia="zh-CN"/>
              </w:rPr>
              <w:t>2</w:t>
            </w:r>
            <w:r>
              <w:rPr>
                <w:rFonts w:ascii="仿宋" w:hAnsi="仿宋" w:eastAsia="仿宋" w:cs="仿宋"/>
                <w:b/>
                <w:sz w:val="24"/>
                <w:szCs w:val="24"/>
                <w:highlight w:val="none"/>
              </w:rPr>
              <w:t>.00万元（</w:t>
            </w:r>
            <w:r>
              <w:rPr>
                <w:rFonts w:hint="eastAsia" w:ascii="仿宋" w:hAnsi="仿宋" w:eastAsia="仿宋" w:cs="仿宋"/>
                <w:b/>
                <w:sz w:val="24"/>
                <w:szCs w:val="24"/>
                <w:highlight w:val="none"/>
              </w:rPr>
              <w:t>壹拾</w:t>
            </w:r>
            <w:r>
              <w:rPr>
                <w:rFonts w:hint="eastAsia" w:ascii="仿宋" w:hAnsi="仿宋" w:eastAsia="仿宋" w:cs="仿宋"/>
                <w:b/>
                <w:sz w:val="24"/>
                <w:szCs w:val="24"/>
                <w:highlight w:val="none"/>
                <w:lang w:val="en-US" w:eastAsia="zh-CN"/>
              </w:rPr>
              <w:t>贰</w:t>
            </w:r>
            <w:r>
              <w:rPr>
                <w:rFonts w:hint="eastAsia" w:ascii="仿宋" w:hAnsi="仿宋" w:eastAsia="仿宋" w:cs="仿宋"/>
                <w:b/>
                <w:sz w:val="24"/>
                <w:szCs w:val="24"/>
                <w:highlight w:val="none"/>
              </w:rPr>
              <w:t>万</w:t>
            </w:r>
            <w:r>
              <w:rPr>
                <w:rFonts w:ascii="仿宋" w:hAnsi="仿宋" w:eastAsia="仿宋" w:cs="仿宋"/>
                <w:b/>
                <w:sz w:val="24"/>
                <w:szCs w:val="24"/>
                <w:highlight w:val="none"/>
              </w:rPr>
              <w:t>元整）</w:t>
            </w:r>
            <w:r>
              <w:rPr>
                <w:rFonts w:hint="eastAsia" w:ascii="仿宋" w:hAnsi="仿宋" w:eastAsia="仿宋" w:cs="仿宋"/>
                <w:b/>
                <w:sz w:val="24"/>
                <w:szCs w:val="24"/>
                <w:highlight w:val="none"/>
                <w:lang w:eastAsia="zh-CN"/>
              </w:rPr>
              <w:t>；</w:t>
            </w:r>
          </w:p>
          <w:p>
            <w:pPr>
              <w:spacing w:before="93" w:beforeLines="30" w:after="93" w:afterLines="30"/>
              <w:rPr>
                <w:rFonts w:hint="eastAsia" w:ascii="仿宋" w:hAnsi="仿宋" w:eastAsia="仿宋" w:cs="仿宋"/>
                <w:b/>
                <w:sz w:val="24"/>
                <w:szCs w:val="24"/>
                <w:highlight w:val="none"/>
                <w:lang w:eastAsia="zh-CN"/>
              </w:rPr>
            </w:pPr>
            <w:r>
              <w:rPr>
                <w:rFonts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三</w:t>
            </w:r>
            <w:r>
              <w:rPr>
                <w:rFonts w:ascii="仿宋" w:hAnsi="仿宋" w:eastAsia="仿宋" w:cs="仿宋"/>
                <w:b/>
                <w:sz w:val="24"/>
                <w:szCs w:val="24"/>
                <w:highlight w:val="none"/>
              </w:rPr>
              <w:t>标段：1</w:t>
            </w:r>
            <w:r>
              <w:rPr>
                <w:rFonts w:hint="eastAsia" w:ascii="仿宋" w:hAnsi="仿宋" w:eastAsia="仿宋" w:cs="仿宋"/>
                <w:b/>
                <w:sz w:val="24"/>
                <w:szCs w:val="24"/>
                <w:highlight w:val="none"/>
                <w:lang w:val="en-US" w:eastAsia="zh-CN"/>
              </w:rPr>
              <w:t>2</w:t>
            </w:r>
            <w:r>
              <w:rPr>
                <w:rFonts w:ascii="仿宋" w:hAnsi="仿宋" w:eastAsia="仿宋" w:cs="仿宋"/>
                <w:b/>
                <w:sz w:val="24"/>
                <w:szCs w:val="24"/>
                <w:highlight w:val="none"/>
              </w:rPr>
              <w:t>.00万元（</w:t>
            </w:r>
            <w:r>
              <w:rPr>
                <w:rFonts w:hint="eastAsia" w:ascii="仿宋" w:hAnsi="仿宋" w:eastAsia="仿宋" w:cs="仿宋"/>
                <w:b/>
                <w:sz w:val="24"/>
                <w:szCs w:val="24"/>
                <w:highlight w:val="none"/>
              </w:rPr>
              <w:t>壹拾</w:t>
            </w:r>
            <w:r>
              <w:rPr>
                <w:rFonts w:hint="eastAsia" w:ascii="仿宋" w:hAnsi="仿宋" w:eastAsia="仿宋" w:cs="仿宋"/>
                <w:b/>
                <w:sz w:val="24"/>
                <w:szCs w:val="24"/>
                <w:highlight w:val="none"/>
                <w:lang w:val="en-US" w:eastAsia="zh-CN"/>
              </w:rPr>
              <w:t>贰</w:t>
            </w:r>
            <w:r>
              <w:rPr>
                <w:rFonts w:hint="eastAsia" w:ascii="仿宋" w:hAnsi="仿宋" w:eastAsia="仿宋" w:cs="仿宋"/>
                <w:b/>
                <w:sz w:val="24"/>
                <w:szCs w:val="24"/>
                <w:highlight w:val="none"/>
              </w:rPr>
              <w:t>万</w:t>
            </w:r>
            <w:r>
              <w:rPr>
                <w:rFonts w:ascii="仿宋" w:hAnsi="仿宋" w:eastAsia="仿宋" w:cs="仿宋"/>
                <w:b/>
                <w:sz w:val="24"/>
                <w:szCs w:val="24"/>
                <w:highlight w:val="none"/>
              </w:rPr>
              <w:t>元整）</w:t>
            </w:r>
            <w:r>
              <w:rPr>
                <w:rFonts w:hint="eastAsia" w:ascii="仿宋" w:hAnsi="仿宋" w:eastAsia="仿宋" w:cs="仿宋"/>
                <w:b/>
                <w:sz w:val="24"/>
                <w:szCs w:val="24"/>
                <w:highlight w:val="none"/>
                <w:lang w:eastAsia="zh-CN"/>
              </w:rPr>
              <w:t>；</w:t>
            </w:r>
          </w:p>
          <w:p>
            <w:pPr>
              <w:spacing w:before="93" w:beforeLines="30" w:after="93" w:afterLines="30"/>
              <w:rPr>
                <w:rFonts w:hint="eastAsia" w:ascii="仿宋" w:hAnsi="仿宋" w:eastAsia="仿宋" w:cs="仿宋_GB2312"/>
                <w:b/>
                <w:sz w:val="24"/>
                <w:szCs w:val="24"/>
                <w:highlight w:val="none"/>
                <w:lang w:eastAsia="zh-CN"/>
              </w:rPr>
            </w:pPr>
            <w:r>
              <w:rPr>
                <w:rFonts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四</w:t>
            </w:r>
            <w:r>
              <w:rPr>
                <w:rFonts w:ascii="仿宋" w:hAnsi="仿宋" w:eastAsia="仿宋" w:cs="仿宋"/>
                <w:b/>
                <w:sz w:val="24"/>
                <w:szCs w:val="24"/>
                <w:highlight w:val="none"/>
              </w:rPr>
              <w:t>标段：1</w:t>
            </w:r>
            <w:r>
              <w:rPr>
                <w:rFonts w:hint="eastAsia" w:ascii="仿宋" w:hAnsi="仿宋" w:eastAsia="仿宋" w:cs="仿宋"/>
                <w:b/>
                <w:sz w:val="24"/>
                <w:szCs w:val="24"/>
                <w:highlight w:val="none"/>
                <w:lang w:val="en-US" w:eastAsia="zh-CN"/>
              </w:rPr>
              <w:t>2</w:t>
            </w:r>
            <w:r>
              <w:rPr>
                <w:rFonts w:ascii="仿宋" w:hAnsi="仿宋" w:eastAsia="仿宋" w:cs="仿宋"/>
                <w:b/>
                <w:sz w:val="24"/>
                <w:szCs w:val="24"/>
                <w:highlight w:val="none"/>
              </w:rPr>
              <w:t>.00万元（</w:t>
            </w:r>
            <w:r>
              <w:rPr>
                <w:rFonts w:hint="eastAsia" w:ascii="仿宋" w:hAnsi="仿宋" w:eastAsia="仿宋" w:cs="仿宋"/>
                <w:b/>
                <w:sz w:val="24"/>
                <w:szCs w:val="24"/>
                <w:highlight w:val="none"/>
              </w:rPr>
              <w:t>壹拾</w:t>
            </w:r>
            <w:r>
              <w:rPr>
                <w:rFonts w:hint="eastAsia" w:ascii="仿宋" w:hAnsi="仿宋" w:eastAsia="仿宋" w:cs="仿宋"/>
                <w:b/>
                <w:sz w:val="24"/>
                <w:szCs w:val="24"/>
                <w:highlight w:val="none"/>
                <w:lang w:val="en-US" w:eastAsia="zh-CN"/>
              </w:rPr>
              <w:t>贰</w:t>
            </w:r>
            <w:r>
              <w:rPr>
                <w:rFonts w:hint="eastAsia" w:ascii="仿宋" w:hAnsi="仿宋" w:eastAsia="仿宋" w:cs="仿宋"/>
                <w:b/>
                <w:sz w:val="24"/>
                <w:szCs w:val="24"/>
                <w:highlight w:val="none"/>
              </w:rPr>
              <w:t>万</w:t>
            </w:r>
            <w:r>
              <w:rPr>
                <w:rFonts w:ascii="仿宋" w:hAnsi="仿宋" w:eastAsia="仿宋" w:cs="仿宋"/>
                <w:b/>
                <w:sz w:val="24"/>
                <w:szCs w:val="24"/>
                <w:highlight w:val="none"/>
              </w:rPr>
              <w:t>元整）</w:t>
            </w:r>
            <w:r>
              <w:rPr>
                <w:rFonts w:hint="eastAsia" w:ascii="仿宋" w:hAnsi="仿宋" w:eastAsia="仿宋" w:cs="仿宋"/>
                <w:b/>
                <w:sz w:val="24"/>
                <w:szCs w:val="24"/>
                <w:highlight w:val="none"/>
                <w:lang w:eastAsia="zh-CN"/>
              </w:rPr>
              <w:t>；</w:t>
            </w:r>
          </w:p>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w:t>
            </w:r>
            <w:r>
              <w:rPr>
                <w:rFonts w:hint="eastAsia" w:ascii="仿宋" w:hAnsi="仿宋" w:eastAsia="仿宋" w:cs="仿宋"/>
                <w:sz w:val="24"/>
                <w:szCs w:val="24"/>
                <w:highlight w:val="none"/>
              </w:rPr>
              <w:t>接收投标保证金账户信息</w:t>
            </w:r>
          </w:p>
          <w:p>
            <w:pPr>
              <w:spacing w:before="93" w:beforeLines="30" w:after="93" w:afterLines="3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户名：</w:t>
            </w:r>
            <w:r>
              <w:rPr>
                <w:rFonts w:hint="eastAsia" w:ascii="仿宋" w:hAnsi="仿宋" w:eastAsia="仿宋" w:cs="仿宋"/>
                <w:sz w:val="24"/>
                <w:szCs w:val="24"/>
                <w:highlight w:val="none"/>
                <w:lang w:eastAsia="zh-CN"/>
              </w:rPr>
              <w:t>重庆信科设计有限公司</w:t>
            </w:r>
          </w:p>
          <w:p>
            <w:pPr>
              <w:spacing w:before="93" w:beforeLines="30" w:after="93" w:afterLines="3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开户行：中国工商银行股份有限公司重庆南岸学府支行</w:t>
            </w:r>
          </w:p>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账号：3100</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0276</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1920</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0023</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442</w:t>
            </w:r>
          </w:p>
          <w:p>
            <w:pPr>
              <w:spacing w:before="93" w:beforeLines="30" w:after="93" w:afterLines="30"/>
              <w:rPr>
                <w:rFonts w:ascii="仿宋" w:hAnsi="仿宋" w:eastAsia="仿宋" w:cs="仿宋"/>
                <w:sz w:val="24"/>
                <w:szCs w:val="20"/>
                <w:highlight w:val="none"/>
              </w:rPr>
            </w:pPr>
            <w:r>
              <w:rPr>
                <w:rFonts w:hint="eastAsia" w:ascii="仿宋" w:hAnsi="仿宋" w:eastAsia="仿宋" w:cs="仿宋"/>
                <w:sz w:val="24"/>
                <w:szCs w:val="20"/>
                <w:highlight w:val="none"/>
              </w:rPr>
              <w:t>汇款备注或附言中请注明标段序或标段简称等项目信息及“保证金”字样。（备注或附言仅用于识别保证金对应项目/标段，非实质性要求）</w:t>
            </w:r>
          </w:p>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注：到账（保函等提交）截止时间同投标截止时间；采用汇款方式递交投标保证金的，投标保证金应从投标人对公账户转出，不得以个人名义、非投标人名义交纳</w:t>
            </w:r>
            <w:r>
              <w:rPr>
                <w:rFonts w:hint="eastAsia" w:ascii="仿宋" w:hAnsi="仿宋" w:eastAsia="仿宋" w:cs="仿宋"/>
                <w:b/>
                <w:bCs/>
                <w:sz w:val="24"/>
                <w:szCs w:val="24"/>
                <w:highlight w:val="none"/>
              </w:rPr>
              <w:t>；电子保函相关要求以西藏自治区公共资源交易网规定为准。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10</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bookmarkStart w:id="40" w:name="_Hlk36579605"/>
            <w:r>
              <w:rPr>
                <w:rFonts w:hint="eastAsia" w:ascii="仿宋" w:hAnsi="仿宋" w:eastAsia="仿宋" w:cs="仿宋"/>
                <w:sz w:val="24"/>
                <w:szCs w:val="24"/>
                <w:highlight w:val="none"/>
              </w:rPr>
              <w:t>投标保证金的退还</w:t>
            </w:r>
            <w:bookmarkEnd w:id="40"/>
          </w:p>
        </w:tc>
        <w:tc>
          <w:tcPr>
            <w:tcW w:w="6972" w:type="dxa"/>
            <w:vAlign w:val="center"/>
          </w:tcPr>
          <w:p>
            <w:pPr>
              <w:spacing w:before="93" w:beforeLines="30" w:after="93" w:afterLines="30"/>
              <w:rPr>
                <w:rFonts w:ascii="仿宋" w:hAnsi="仿宋" w:eastAsia="仿宋" w:cs="仿宋"/>
                <w:sz w:val="24"/>
                <w:szCs w:val="20"/>
                <w:highlight w:val="none"/>
              </w:rPr>
            </w:pPr>
            <w:r>
              <w:rPr>
                <w:rFonts w:hint="eastAsia" w:ascii="仿宋" w:hAnsi="仿宋" w:eastAsia="仿宋" w:cs="仿宋"/>
                <w:sz w:val="24"/>
                <w:szCs w:val="20"/>
                <w:highlight w:val="none"/>
              </w:rPr>
              <w:t>1.未中标供应商应在中标公示（详见相关媒体）发出后向采购代理机构提交退还保证金资料。采购代理机构在收到有效的退还保证金资料后5个工作日内退还其缴纳的投标保证金。</w:t>
            </w:r>
          </w:p>
          <w:p>
            <w:pPr>
              <w:spacing w:before="93" w:beforeLines="30" w:after="93" w:afterLines="30"/>
              <w:rPr>
                <w:rFonts w:ascii="仿宋" w:hAnsi="仿宋" w:eastAsia="仿宋" w:cs="仿宋"/>
                <w:sz w:val="24"/>
                <w:szCs w:val="20"/>
                <w:highlight w:val="none"/>
              </w:rPr>
            </w:pPr>
            <w:r>
              <w:rPr>
                <w:rFonts w:hint="eastAsia" w:ascii="仿宋" w:hAnsi="仿宋" w:eastAsia="仿宋" w:cs="仿宋"/>
                <w:sz w:val="24"/>
                <w:szCs w:val="20"/>
                <w:highlight w:val="none"/>
              </w:rPr>
              <w:t>2.中标供应商的投标保证金若直接转为履约保证金，则于项目履约完成后退还；对于采购人单独收取了履约保证金或本项目不收取履约保证金的情况，中标供应商应在采购合同签订后向采购代理机构提交有效的退还保证金资料，采购代理机构在收到上述资料后5个工作日内退还其缴纳的保证金。</w:t>
            </w:r>
          </w:p>
          <w:p>
            <w:pPr>
              <w:spacing w:before="93" w:beforeLines="30" w:after="93" w:afterLines="30"/>
              <w:rPr>
                <w:rFonts w:ascii="仿宋" w:hAnsi="仿宋" w:eastAsia="仿宋" w:cs="仿宋"/>
                <w:sz w:val="24"/>
                <w:szCs w:val="20"/>
                <w:highlight w:val="none"/>
              </w:rPr>
            </w:pPr>
            <w:r>
              <w:rPr>
                <w:rFonts w:hint="eastAsia" w:ascii="仿宋" w:hAnsi="仿宋" w:eastAsia="仿宋" w:cs="仿宋"/>
                <w:sz w:val="24"/>
                <w:szCs w:val="20"/>
                <w:highlight w:val="none"/>
              </w:rPr>
              <w:t>3.投标人在投标截止时间前撤回已提交的投标文件的，须向采购代理机构递交书面撤回通知及有效的退还保证金资料，采购代理机构在收到上述资料后</w:t>
            </w:r>
            <w:r>
              <w:rPr>
                <w:rFonts w:ascii="仿宋" w:hAnsi="仿宋" w:eastAsia="仿宋" w:cs="仿宋"/>
                <w:sz w:val="24"/>
                <w:szCs w:val="20"/>
                <w:highlight w:val="none"/>
              </w:rPr>
              <w:t>5个工作日内退还其缴纳的</w:t>
            </w:r>
            <w:r>
              <w:rPr>
                <w:rFonts w:hint="eastAsia" w:ascii="仿宋" w:hAnsi="仿宋" w:eastAsia="仿宋" w:cs="仿宋"/>
                <w:sz w:val="24"/>
                <w:szCs w:val="20"/>
                <w:highlight w:val="none"/>
              </w:rPr>
              <w:t>投标</w:t>
            </w:r>
            <w:r>
              <w:rPr>
                <w:rFonts w:ascii="仿宋" w:hAnsi="仿宋" w:eastAsia="仿宋" w:cs="仿宋"/>
                <w:sz w:val="24"/>
                <w:szCs w:val="20"/>
                <w:highlight w:val="none"/>
              </w:rPr>
              <w:t>保证金</w:t>
            </w:r>
            <w:r>
              <w:rPr>
                <w:rFonts w:hint="eastAsia" w:ascii="仿宋" w:hAnsi="仿宋" w:eastAsia="仿宋" w:cs="仿宋"/>
                <w:sz w:val="24"/>
                <w:szCs w:val="20"/>
                <w:highlight w:val="none"/>
              </w:rPr>
              <w:t>。</w:t>
            </w:r>
          </w:p>
          <w:p>
            <w:pPr>
              <w:spacing w:before="93" w:beforeLines="30" w:after="93" w:afterLines="30"/>
              <w:rPr>
                <w:rFonts w:ascii="仿宋" w:hAnsi="仿宋" w:eastAsia="仿宋" w:cs="仿宋"/>
                <w:sz w:val="24"/>
                <w:szCs w:val="20"/>
                <w:highlight w:val="none"/>
              </w:rPr>
            </w:pPr>
            <w:r>
              <w:rPr>
                <w:rFonts w:hint="eastAsia" w:ascii="仿宋" w:hAnsi="仿宋" w:eastAsia="仿宋" w:cs="仿宋"/>
                <w:sz w:val="24"/>
                <w:szCs w:val="20"/>
                <w:highlight w:val="none"/>
              </w:rPr>
              <w:t>4.若因投标人自身原因导致无法及时退还保证金的，采购人及采购代理机构不承担相关责任及后果。</w:t>
            </w:r>
          </w:p>
          <w:p>
            <w:pPr>
              <w:spacing w:before="93" w:beforeLines="30" w:after="93" w:afterLines="30"/>
              <w:rPr>
                <w:rFonts w:ascii="仿宋" w:hAnsi="仿宋" w:eastAsia="仿宋" w:cs="仿宋"/>
                <w:sz w:val="28"/>
                <w:szCs w:val="28"/>
                <w:highlight w:val="none"/>
              </w:rPr>
            </w:pPr>
            <w:r>
              <w:rPr>
                <w:rFonts w:hint="eastAsia" w:ascii="仿宋" w:hAnsi="仿宋" w:eastAsia="仿宋" w:cs="仿宋"/>
                <w:sz w:val="24"/>
                <w:szCs w:val="20"/>
                <w:highlight w:val="none"/>
              </w:rPr>
              <w:t>5.退还投标保证金资料及程序、相关事项详见随招标文件发出的附件。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11</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开标地点（递交投标文件地点）</w:t>
            </w:r>
          </w:p>
        </w:tc>
        <w:tc>
          <w:tcPr>
            <w:tcW w:w="6972"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1</w:t>
            </w:r>
            <w:r>
              <w:rPr>
                <w:rFonts w:ascii="仿宋" w:hAnsi="仿宋" w:eastAsia="仿宋" w:cs="仿宋"/>
                <w:sz w:val="24"/>
                <w:szCs w:val="24"/>
                <w:highlight w:val="none"/>
              </w:rPr>
              <w:t>.</w:t>
            </w:r>
            <w:r>
              <w:rPr>
                <w:rFonts w:hint="eastAsia" w:ascii="仿宋" w:hAnsi="仿宋" w:eastAsia="仿宋" w:cs="仿宋"/>
                <w:sz w:val="24"/>
                <w:szCs w:val="24"/>
                <w:highlight w:val="none"/>
              </w:rPr>
              <w:t>开标地点：</w:t>
            </w:r>
            <w:r>
              <w:rPr>
                <w:rFonts w:hint="eastAsia" w:ascii="仿宋" w:hAnsi="仿宋" w:eastAsia="仿宋" w:cs="Times New Roman"/>
                <w:sz w:val="24"/>
                <w:szCs w:val="24"/>
                <w:highlight w:val="none"/>
              </w:rPr>
              <w:t>西藏自治区公共资源交易中心</w:t>
            </w:r>
            <w:r>
              <w:rPr>
                <w:rFonts w:hint="eastAsia" w:ascii="仿宋" w:hAnsi="仿宋" w:eastAsia="仿宋" w:cs="Times New Roman"/>
                <w:sz w:val="24"/>
                <w:szCs w:val="24"/>
                <w:highlight w:val="none"/>
                <w:u w:val="single"/>
                <w:lang w:val="en-US" w:eastAsia="zh-CN"/>
              </w:rPr>
              <w:t>105</w:t>
            </w:r>
            <w:r>
              <w:rPr>
                <w:rFonts w:hint="eastAsia" w:ascii="仿宋" w:hAnsi="仿宋" w:eastAsia="仿宋" w:cs="Times New Roman"/>
                <w:sz w:val="24"/>
                <w:szCs w:val="24"/>
                <w:highlight w:val="none"/>
              </w:rPr>
              <w:t>室（江冲路纳如路交叉路口）</w:t>
            </w:r>
          </w:p>
          <w:p>
            <w:pPr>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2</w:t>
            </w:r>
            <w:r>
              <w:rPr>
                <w:rFonts w:ascii="仿宋" w:hAnsi="仿宋" w:eastAsia="仿宋" w:cs="仿宋"/>
                <w:sz w:val="24"/>
                <w:szCs w:val="24"/>
                <w:highlight w:val="none"/>
              </w:rPr>
              <w:t>.</w:t>
            </w:r>
            <w:r>
              <w:rPr>
                <w:rFonts w:hint="eastAsia" w:ascii="仿宋" w:hAnsi="仿宋" w:eastAsia="仿宋" w:cs="仿宋"/>
                <w:sz w:val="24"/>
                <w:szCs w:val="24"/>
                <w:highlight w:val="none"/>
              </w:rPr>
              <w:t>电子投标文件提交：投标人请登录西藏自治区公共资源交易网（http://ggzy.xizang.gov.cn/）</w:t>
            </w:r>
            <w:r>
              <w:rPr>
                <w:rFonts w:ascii="仿宋" w:hAnsi="仿宋" w:eastAsia="仿宋" w:cs="仿宋"/>
                <w:sz w:val="24"/>
                <w:szCs w:val="24"/>
                <w:highlight w:val="none"/>
              </w:rPr>
              <w:t>提交电子投标文件。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12</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bCs/>
                <w:sz w:val="24"/>
                <w:szCs w:val="24"/>
                <w:highlight w:val="none"/>
              </w:rPr>
              <w:t>评标方法</w:t>
            </w:r>
          </w:p>
        </w:tc>
        <w:tc>
          <w:tcPr>
            <w:tcW w:w="6972" w:type="dxa"/>
            <w:vAlign w:val="center"/>
          </w:tcPr>
          <w:p>
            <w:pPr>
              <w:spacing w:before="93" w:beforeLines="30" w:after="93" w:afterLines="30"/>
              <w:rPr>
                <w:rFonts w:ascii="仿宋" w:hAnsi="仿宋" w:eastAsia="仿宋" w:cs="仿宋"/>
                <w:sz w:val="24"/>
                <w:szCs w:val="24"/>
                <w:highlight w:val="none"/>
              </w:rPr>
            </w:pPr>
            <w:r>
              <w:rPr>
                <w:rFonts w:hint="eastAsia" w:ascii="仿宋" w:hAnsi="仿宋" w:eastAsia="仿宋" w:cs="仿宋"/>
                <w:bCs/>
                <w:sz w:val="24"/>
                <w:szCs w:val="24"/>
                <w:highlight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13</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bCs/>
                <w:sz w:val="24"/>
                <w:szCs w:val="24"/>
                <w:highlight w:val="none"/>
              </w:rPr>
              <w:t>递交投标文件时间</w:t>
            </w:r>
          </w:p>
        </w:tc>
        <w:tc>
          <w:tcPr>
            <w:tcW w:w="6972" w:type="dxa"/>
            <w:vAlign w:val="center"/>
          </w:tcPr>
          <w:p>
            <w:pPr>
              <w:spacing w:before="93" w:beforeLines="30" w:after="93" w:afterLines="30"/>
              <w:rPr>
                <w:rFonts w:ascii="仿宋" w:hAnsi="仿宋" w:eastAsia="仿宋" w:cs="仿宋"/>
                <w:sz w:val="24"/>
                <w:szCs w:val="24"/>
                <w:highlight w:val="none"/>
              </w:rPr>
            </w:pPr>
            <w:r>
              <w:rPr>
                <w:rFonts w:hint="eastAsia" w:ascii="仿宋" w:hAnsi="仿宋" w:eastAsia="仿宋" w:cs="仿宋"/>
                <w:bCs/>
                <w:sz w:val="24"/>
                <w:szCs w:val="24"/>
                <w:highlight w:val="none"/>
              </w:rPr>
              <w:t>2023年</w:t>
            </w:r>
            <w:r>
              <w:rPr>
                <w:rFonts w:hint="eastAsia" w:ascii="仿宋" w:hAnsi="仿宋" w:eastAsia="仿宋" w:cs="仿宋"/>
                <w:bCs/>
                <w:sz w:val="24"/>
                <w:szCs w:val="24"/>
                <w:highlight w:val="none"/>
                <w:u w:val="single"/>
                <w:lang w:val="en-US" w:eastAsia="zh-CN"/>
              </w:rPr>
              <w:t>8</w:t>
            </w:r>
            <w:r>
              <w:rPr>
                <w:rFonts w:hint="eastAsia" w:ascii="仿宋" w:hAnsi="仿宋" w:eastAsia="仿宋" w:cs="仿宋"/>
                <w:bCs/>
                <w:sz w:val="24"/>
                <w:szCs w:val="24"/>
                <w:highlight w:val="none"/>
              </w:rPr>
              <w:t>月</w:t>
            </w:r>
            <w:r>
              <w:rPr>
                <w:rFonts w:hint="eastAsia" w:ascii="仿宋" w:hAnsi="仿宋" w:eastAsia="仿宋" w:cs="仿宋"/>
                <w:bCs/>
                <w:sz w:val="24"/>
                <w:szCs w:val="24"/>
                <w:highlight w:val="none"/>
                <w:u w:val="single"/>
                <w:lang w:val="en-US" w:eastAsia="zh-CN"/>
              </w:rPr>
              <w:t>1</w:t>
            </w:r>
            <w:r>
              <w:rPr>
                <w:rFonts w:hint="eastAsia" w:ascii="仿宋" w:hAnsi="仿宋" w:eastAsia="仿宋" w:cs="仿宋"/>
                <w:bCs/>
                <w:sz w:val="24"/>
                <w:szCs w:val="24"/>
                <w:highlight w:val="none"/>
              </w:rPr>
              <w:t>日9:50（北京时间）前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仿宋"/>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14</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bookmarkStart w:id="41" w:name="_Hlk39956808"/>
            <w:r>
              <w:rPr>
                <w:rFonts w:hint="eastAsia" w:ascii="仿宋" w:hAnsi="仿宋" w:eastAsia="仿宋" w:cs="仿宋"/>
                <w:bCs/>
                <w:sz w:val="24"/>
                <w:szCs w:val="24"/>
                <w:highlight w:val="none"/>
              </w:rPr>
              <w:t>开标时间（投标截止时间）</w:t>
            </w:r>
            <w:bookmarkEnd w:id="41"/>
          </w:p>
        </w:tc>
        <w:tc>
          <w:tcPr>
            <w:tcW w:w="6972" w:type="dxa"/>
            <w:vAlign w:val="center"/>
          </w:tcPr>
          <w:p>
            <w:pPr>
              <w:spacing w:before="93" w:beforeLines="30" w:after="93" w:afterLines="30"/>
              <w:rPr>
                <w:rFonts w:ascii="仿宋" w:hAnsi="仿宋" w:eastAsia="仿宋" w:cs="仿宋"/>
                <w:sz w:val="24"/>
                <w:szCs w:val="24"/>
                <w:highlight w:val="none"/>
              </w:rPr>
            </w:pPr>
            <w:r>
              <w:rPr>
                <w:rFonts w:hint="eastAsia" w:ascii="仿宋" w:hAnsi="仿宋" w:eastAsia="仿宋" w:cs="仿宋"/>
                <w:bCs/>
                <w:sz w:val="24"/>
                <w:szCs w:val="24"/>
                <w:highlight w:val="none"/>
              </w:rPr>
              <w:t>2023年</w:t>
            </w:r>
            <w:r>
              <w:rPr>
                <w:rFonts w:hint="eastAsia" w:ascii="仿宋" w:hAnsi="仿宋" w:eastAsia="仿宋" w:cs="仿宋"/>
                <w:bCs/>
                <w:sz w:val="24"/>
                <w:szCs w:val="24"/>
                <w:highlight w:val="none"/>
                <w:lang w:val="en-US" w:eastAsia="zh-CN"/>
              </w:rPr>
              <w:t>8</w:t>
            </w:r>
            <w:r>
              <w:rPr>
                <w:rFonts w:hint="eastAsia" w:ascii="仿宋" w:hAnsi="仿宋" w:eastAsia="仿宋" w:cs="仿宋"/>
                <w:bCs/>
                <w:sz w:val="24"/>
                <w:szCs w:val="24"/>
                <w:highlight w:val="none"/>
              </w:rPr>
              <w:t>月</w:t>
            </w: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rPr>
              <w:t>日9:50（北京时间）</w:t>
            </w:r>
            <w:r>
              <w:rPr>
                <w:rFonts w:hint="eastAsia" w:ascii="仿宋" w:hAnsi="仿宋" w:eastAsia="仿宋" w:cs="仿宋"/>
                <w:spacing w:val="1"/>
                <w:kern w:val="0"/>
                <w:sz w:val="24"/>
                <w:szCs w:val="24"/>
                <w:highlight w:val="none"/>
              </w:rPr>
              <w:t>请在开标时间</w:t>
            </w:r>
            <w:r>
              <w:rPr>
                <w:rFonts w:hint="eastAsia" w:ascii="仿宋" w:hAnsi="仿宋" w:eastAsia="仿宋" w:cs="仿宋"/>
                <w:sz w:val="24"/>
                <w:szCs w:val="24"/>
                <w:highlight w:val="none"/>
              </w:rPr>
              <w:t>前将投标文件交至开标地点，逾期递交的投标文件恕不接受。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15</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联合体投标</w:t>
            </w:r>
          </w:p>
        </w:tc>
        <w:tc>
          <w:tcPr>
            <w:tcW w:w="6972" w:type="dxa"/>
            <w:vAlign w:val="center"/>
          </w:tcPr>
          <w:p>
            <w:pPr>
              <w:autoSpaceDE w:val="0"/>
              <w:autoSpaceDN w:val="0"/>
              <w:adjustRightInd w:val="0"/>
              <w:spacing w:before="93" w:beforeLines="30" w:after="93" w:afterLines="30"/>
              <w:rPr>
                <w:rFonts w:ascii="仿宋" w:hAnsi="仿宋" w:eastAsia="仿宋" w:cs="仿宋"/>
                <w:kern w:val="0"/>
                <w:sz w:val="24"/>
                <w:szCs w:val="21"/>
                <w:highlight w:val="none"/>
              </w:rPr>
            </w:pPr>
            <w:r>
              <w:rPr>
                <w:rFonts w:hint="eastAsia" w:ascii="仿宋" w:hAnsi="仿宋" w:eastAsia="仿宋" w:cs="仿宋"/>
                <w:kern w:val="0"/>
                <w:sz w:val="24"/>
                <w:szCs w:val="21"/>
                <w:highlight w:val="none"/>
              </w:rPr>
              <w:sym w:font="Wingdings" w:char="F0FE"/>
            </w:r>
            <w:r>
              <w:rPr>
                <w:rFonts w:hint="eastAsia" w:ascii="仿宋" w:hAnsi="仿宋" w:eastAsia="仿宋" w:cs="仿宋"/>
                <w:kern w:val="0"/>
                <w:sz w:val="24"/>
                <w:szCs w:val="21"/>
                <w:highlight w:val="none"/>
              </w:rPr>
              <w:t>本项目不接受联合体投标。</w:t>
            </w:r>
          </w:p>
          <w:p>
            <w:pPr>
              <w:autoSpaceDE w:val="0"/>
              <w:autoSpaceDN w:val="0"/>
              <w:adjustRightInd w:val="0"/>
              <w:spacing w:before="93" w:beforeLines="30" w:after="93" w:afterLines="30"/>
              <w:rPr>
                <w:rFonts w:ascii="仿宋" w:hAnsi="仿宋" w:eastAsia="仿宋" w:cs="仿宋"/>
                <w:sz w:val="28"/>
                <w:szCs w:val="28"/>
                <w:highlight w:val="none"/>
              </w:rPr>
            </w:pPr>
            <w:r>
              <w:rPr>
                <w:rFonts w:hint="eastAsia" w:ascii="仿宋" w:hAnsi="仿宋" w:eastAsia="仿宋" w:cs="仿宋"/>
                <w:kern w:val="0"/>
                <w:sz w:val="24"/>
                <w:szCs w:val="21"/>
                <w:highlight w:val="none"/>
              </w:rPr>
              <w:sym w:font="Wingdings" w:char="F0A8"/>
            </w:r>
            <w:r>
              <w:rPr>
                <w:rFonts w:hint="eastAsia" w:ascii="仿宋" w:hAnsi="仿宋" w:eastAsia="仿宋" w:cs="仿宋"/>
                <w:kern w:val="0"/>
                <w:sz w:val="24"/>
                <w:szCs w:val="21"/>
                <w:highlight w:val="none"/>
              </w:rPr>
              <w:t>本项目接受联合体投标，联合体投标相关要求详见招标文件正文。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16</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分包</w:t>
            </w:r>
          </w:p>
        </w:tc>
        <w:tc>
          <w:tcPr>
            <w:tcW w:w="6972" w:type="dxa"/>
            <w:vAlign w:val="center"/>
          </w:tcPr>
          <w:p>
            <w:pPr>
              <w:autoSpaceDE w:val="0"/>
              <w:autoSpaceDN w:val="0"/>
              <w:adjustRightInd w:val="0"/>
              <w:spacing w:before="93" w:beforeLines="30" w:after="93" w:afterLines="30"/>
              <w:rPr>
                <w:rFonts w:ascii="仿宋" w:hAnsi="仿宋" w:eastAsia="仿宋" w:cs="仿宋"/>
                <w:kern w:val="0"/>
                <w:sz w:val="24"/>
                <w:szCs w:val="21"/>
                <w:highlight w:val="none"/>
              </w:rPr>
            </w:pPr>
            <w:r>
              <w:rPr>
                <w:rFonts w:hint="eastAsia" w:ascii="仿宋" w:hAnsi="仿宋" w:eastAsia="仿宋" w:cs="仿宋"/>
                <w:kern w:val="0"/>
                <w:sz w:val="24"/>
                <w:szCs w:val="21"/>
                <w:highlight w:val="none"/>
              </w:rPr>
              <w:sym w:font="Wingdings" w:char="F0FE"/>
            </w:r>
            <w:r>
              <w:rPr>
                <w:rFonts w:hint="eastAsia" w:ascii="仿宋" w:hAnsi="仿宋" w:eastAsia="仿宋" w:cs="仿宋"/>
                <w:kern w:val="0"/>
                <w:sz w:val="24"/>
                <w:szCs w:val="21"/>
                <w:highlight w:val="none"/>
              </w:rPr>
              <w:t>本项目不允许分包。</w:t>
            </w:r>
          </w:p>
          <w:p>
            <w:pPr>
              <w:autoSpaceDE w:val="0"/>
              <w:autoSpaceDN w:val="0"/>
              <w:adjustRightInd w:val="0"/>
              <w:spacing w:before="93" w:beforeLines="30" w:after="93" w:afterLines="30"/>
              <w:rPr>
                <w:rFonts w:ascii="仿宋" w:hAnsi="仿宋" w:eastAsia="仿宋" w:cs="仿宋"/>
                <w:kern w:val="0"/>
                <w:sz w:val="24"/>
                <w:szCs w:val="21"/>
                <w:highlight w:val="none"/>
              </w:rPr>
            </w:pPr>
            <w:r>
              <w:rPr>
                <w:rFonts w:hint="eastAsia" w:ascii="仿宋" w:hAnsi="仿宋" w:eastAsia="仿宋" w:cs="仿宋"/>
                <w:kern w:val="0"/>
                <w:sz w:val="24"/>
                <w:szCs w:val="21"/>
                <w:highlight w:val="none"/>
              </w:rPr>
              <w:sym w:font="Wingdings" w:char="F0A8"/>
            </w:r>
            <w:r>
              <w:rPr>
                <w:rFonts w:hint="eastAsia" w:ascii="仿宋" w:hAnsi="仿宋" w:eastAsia="仿宋" w:cs="仿宋"/>
                <w:kern w:val="0"/>
                <w:sz w:val="24"/>
                <w:szCs w:val="21"/>
                <w:highlight w:val="none"/>
              </w:rPr>
              <w:t>本项目允许分包。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17</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是否仅面向中小企业</w:t>
            </w:r>
          </w:p>
        </w:tc>
        <w:tc>
          <w:tcPr>
            <w:tcW w:w="6972" w:type="dxa"/>
            <w:vAlign w:val="center"/>
          </w:tcPr>
          <w:p>
            <w:pPr>
              <w:autoSpaceDE w:val="0"/>
              <w:autoSpaceDN w:val="0"/>
              <w:adjustRightInd w:val="0"/>
              <w:spacing w:before="93" w:beforeLines="30" w:after="93" w:afterLines="30"/>
              <w:rPr>
                <w:rFonts w:ascii="仿宋" w:hAnsi="仿宋" w:eastAsia="仿宋" w:cs="仿宋"/>
                <w:kern w:val="0"/>
                <w:sz w:val="24"/>
                <w:szCs w:val="21"/>
                <w:highlight w:val="none"/>
              </w:rPr>
            </w:pPr>
            <w:r>
              <w:rPr>
                <w:rFonts w:hint="eastAsia" w:ascii="仿宋" w:hAnsi="仿宋" w:eastAsia="仿宋" w:cs="仿宋"/>
                <w:kern w:val="0"/>
                <w:sz w:val="24"/>
                <w:szCs w:val="21"/>
                <w:highlight w:val="none"/>
              </w:rPr>
              <w:t>本项目不属于仅面向中小企业的采购。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18</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评审委员会</w:t>
            </w:r>
          </w:p>
        </w:tc>
        <w:tc>
          <w:tcPr>
            <w:tcW w:w="6972" w:type="dxa"/>
            <w:vAlign w:val="center"/>
          </w:tcPr>
          <w:p>
            <w:pPr>
              <w:autoSpaceDE w:val="0"/>
              <w:autoSpaceDN w:val="0"/>
              <w:adjustRightInd w:val="0"/>
              <w:spacing w:before="93" w:beforeLines="30" w:after="93" w:afterLines="30"/>
              <w:rPr>
                <w:rFonts w:ascii="仿宋" w:hAnsi="仿宋" w:eastAsia="仿宋" w:cs="仿宋"/>
                <w:kern w:val="0"/>
                <w:sz w:val="24"/>
                <w:szCs w:val="21"/>
                <w:highlight w:val="none"/>
              </w:rPr>
            </w:pPr>
            <w:r>
              <w:rPr>
                <w:rFonts w:hint="eastAsia" w:ascii="仿宋" w:hAnsi="仿宋" w:eastAsia="仿宋" w:cs="仿宋"/>
                <w:kern w:val="0"/>
                <w:sz w:val="24"/>
                <w:szCs w:val="21"/>
                <w:highlight w:val="none"/>
              </w:rPr>
              <w:t>评标委员会由采购人代表和评审专家组成，成员人数应当按相关法律法规要求执行，其中评审专家不得少于成员总数的三分之二。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19</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履约保证金</w:t>
            </w:r>
          </w:p>
        </w:tc>
        <w:tc>
          <w:tcPr>
            <w:tcW w:w="6972" w:type="dxa"/>
            <w:vAlign w:val="center"/>
          </w:tcPr>
          <w:p>
            <w:pPr>
              <w:autoSpaceDE w:val="0"/>
              <w:autoSpaceDN w:val="0"/>
              <w:adjustRightInd w:val="0"/>
              <w:spacing w:before="93" w:beforeLines="30" w:after="93" w:afterLines="30"/>
              <w:rPr>
                <w:rFonts w:ascii="仿宋" w:hAnsi="仿宋" w:eastAsia="仿宋" w:cs="仿宋"/>
                <w:kern w:val="0"/>
                <w:sz w:val="24"/>
                <w:szCs w:val="21"/>
                <w:highlight w:val="none"/>
              </w:rPr>
            </w:pPr>
            <w:r>
              <w:rPr>
                <w:rFonts w:hint="eastAsia" w:ascii="仿宋" w:hAnsi="仿宋" w:eastAsia="仿宋" w:cs="仿宋"/>
                <w:kern w:val="0"/>
                <w:sz w:val="24"/>
                <w:szCs w:val="21"/>
                <w:highlight w:val="none"/>
              </w:rPr>
              <w:sym w:font="Wingdings" w:char="00A8"/>
            </w:r>
            <w:r>
              <w:rPr>
                <w:rFonts w:hint="eastAsia" w:ascii="仿宋" w:hAnsi="仿宋" w:eastAsia="仿宋" w:cs="仿宋"/>
                <w:kern w:val="0"/>
                <w:sz w:val="24"/>
                <w:szCs w:val="21"/>
                <w:highlight w:val="none"/>
              </w:rPr>
              <w:t>中标供应商的投标保证金直接转为履约保证金。</w:t>
            </w:r>
          </w:p>
          <w:p>
            <w:pPr>
              <w:widowControl/>
              <w:spacing w:line="360" w:lineRule="auto"/>
              <w:rPr>
                <w:rFonts w:ascii="仿宋" w:hAnsi="仿宋" w:eastAsia="仿宋" w:cs="仿宋"/>
                <w:kern w:val="0"/>
                <w:sz w:val="24"/>
                <w:szCs w:val="21"/>
                <w:highlight w:val="none"/>
              </w:rPr>
            </w:pPr>
            <w:r>
              <w:rPr>
                <w:rFonts w:hint="eastAsia" w:ascii="仿宋" w:hAnsi="仿宋" w:eastAsia="仿宋" w:cs="仿宋"/>
                <w:kern w:val="0"/>
                <w:sz w:val="24"/>
                <w:szCs w:val="21"/>
                <w:highlight w:val="none"/>
              </w:rPr>
              <w:sym w:font="Wingdings" w:char="00FE"/>
            </w:r>
            <w:r>
              <w:rPr>
                <w:rFonts w:hint="eastAsia" w:ascii="仿宋" w:hAnsi="仿宋" w:eastAsia="仿宋" w:cs="仿宋"/>
                <w:kern w:val="0"/>
                <w:sz w:val="24"/>
                <w:szCs w:val="21"/>
                <w:highlight w:val="none"/>
              </w:rPr>
              <w:t>单独收取履约保证金，数额为政府采购合同金额的</w:t>
            </w:r>
            <w:r>
              <w:rPr>
                <w:rFonts w:hint="eastAsia" w:ascii="仿宋" w:hAnsi="仿宋" w:eastAsia="仿宋" w:cs="仿宋"/>
                <w:kern w:val="0"/>
                <w:sz w:val="24"/>
                <w:szCs w:val="21"/>
                <w:highlight w:val="none"/>
                <w:u w:val="single"/>
                <w:lang w:val="en-US" w:eastAsia="zh-CN"/>
              </w:rPr>
              <w:t>10</w:t>
            </w:r>
            <w:r>
              <w:rPr>
                <w:rFonts w:ascii="仿宋" w:hAnsi="仿宋" w:eastAsia="仿宋" w:cs="仿宋"/>
                <w:kern w:val="0"/>
                <w:sz w:val="24"/>
                <w:szCs w:val="21"/>
                <w:highlight w:val="none"/>
              </w:rPr>
              <w:t>%</w:t>
            </w:r>
            <w:r>
              <w:rPr>
                <w:rFonts w:hint="eastAsia" w:ascii="仿宋" w:hAnsi="仿宋" w:eastAsia="仿宋" w:cs="仿宋"/>
                <w:kern w:val="0"/>
                <w:sz w:val="24"/>
                <w:szCs w:val="21"/>
                <w:highlight w:val="none"/>
              </w:rPr>
              <w:t>。</w:t>
            </w:r>
          </w:p>
          <w:p>
            <w:pPr>
              <w:widowControl/>
              <w:spacing w:line="360" w:lineRule="auto"/>
              <w:rPr>
                <w:rFonts w:ascii="仿宋" w:hAnsi="仿宋" w:eastAsia="仿宋" w:cs="仿宋"/>
                <w:kern w:val="0"/>
                <w:sz w:val="24"/>
                <w:szCs w:val="21"/>
                <w:highlight w:val="none"/>
              </w:rPr>
            </w:pPr>
            <w:r>
              <w:rPr>
                <w:rFonts w:hint="eastAsia" w:ascii="仿宋" w:hAnsi="仿宋" w:eastAsia="仿宋" w:cs="仿宋"/>
                <w:kern w:val="0"/>
                <w:sz w:val="24"/>
                <w:szCs w:val="21"/>
                <w:highlight w:val="none"/>
              </w:rPr>
              <w:sym w:font="Wingdings" w:char="F0A8"/>
            </w:r>
            <w:r>
              <w:rPr>
                <w:rFonts w:hint="eastAsia" w:ascii="仿宋" w:hAnsi="仿宋" w:eastAsia="仿宋" w:cs="仿宋"/>
                <w:kern w:val="0"/>
                <w:sz w:val="24"/>
                <w:szCs w:val="21"/>
                <w:highlight w:val="none"/>
              </w:rPr>
              <w:t>不收取履约保证金。</w:t>
            </w:r>
          </w:p>
          <w:p>
            <w:pPr>
              <w:widowControl/>
              <w:spacing w:line="360" w:lineRule="auto"/>
              <w:rPr>
                <w:rFonts w:ascii="仿宋" w:hAnsi="仿宋" w:eastAsia="仿宋" w:cs="Times New Roman"/>
                <w:sz w:val="24"/>
                <w:szCs w:val="24"/>
                <w:highlight w:val="none"/>
              </w:rPr>
            </w:pPr>
            <w:r>
              <w:rPr>
                <w:rFonts w:hint="eastAsia" w:ascii="仿宋" w:hAnsi="仿宋" w:eastAsia="仿宋" w:cs="仿宋"/>
                <w:kern w:val="0"/>
                <w:sz w:val="24"/>
                <w:szCs w:val="21"/>
                <w:highlight w:val="none"/>
              </w:rPr>
              <w:t>若在政府采购合同中“履约保证金”不同于上述要求，以政府采购合同实际签订要求为准。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20</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sz w:val="24"/>
                <w:szCs w:val="24"/>
                <w:highlight w:val="none"/>
              </w:rPr>
              <w:t>代理服务费</w:t>
            </w:r>
          </w:p>
        </w:tc>
        <w:tc>
          <w:tcPr>
            <w:tcW w:w="6972" w:type="dxa"/>
            <w:vAlign w:val="center"/>
          </w:tcPr>
          <w:p>
            <w:pPr>
              <w:autoSpaceDE w:val="0"/>
              <w:autoSpaceDN w:val="0"/>
              <w:adjustRightInd w:val="0"/>
              <w:spacing w:before="93" w:beforeLines="30" w:after="93" w:afterLines="30"/>
              <w:rPr>
                <w:rFonts w:ascii="仿宋" w:hAnsi="仿宋" w:eastAsia="仿宋" w:cs="仿宋"/>
                <w:kern w:val="0"/>
                <w:sz w:val="24"/>
                <w:szCs w:val="21"/>
                <w:highlight w:val="none"/>
              </w:rPr>
            </w:pPr>
            <w:r>
              <w:rPr>
                <w:rFonts w:hint="eastAsia" w:ascii="仿宋" w:hAnsi="仿宋" w:eastAsia="仿宋" w:cs="仿宋"/>
                <w:kern w:val="0"/>
                <w:sz w:val="24"/>
                <w:szCs w:val="21"/>
                <w:highlight w:val="none"/>
              </w:rPr>
              <w:t>收取金额（比例）：中标价的</w:t>
            </w:r>
            <w:r>
              <w:rPr>
                <w:rFonts w:ascii="仿宋" w:hAnsi="仿宋" w:eastAsia="仿宋" w:cs="仿宋"/>
                <w:kern w:val="0"/>
                <w:sz w:val="24"/>
                <w:szCs w:val="21"/>
                <w:highlight w:val="none"/>
              </w:rPr>
              <w:t>1.5%。</w:t>
            </w:r>
          </w:p>
          <w:p>
            <w:pPr>
              <w:autoSpaceDE w:val="0"/>
              <w:autoSpaceDN w:val="0"/>
              <w:adjustRightInd w:val="0"/>
              <w:spacing w:before="93" w:beforeLines="30" w:after="93" w:afterLines="30"/>
              <w:rPr>
                <w:rFonts w:ascii="仿宋" w:hAnsi="仿宋" w:eastAsia="仿宋" w:cs="仿宋"/>
                <w:kern w:val="0"/>
                <w:sz w:val="24"/>
                <w:szCs w:val="21"/>
                <w:highlight w:val="none"/>
              </w:rPr>
            </w:pPr>
            <w:r>
              <w:rPr>
                <w:rFonts w:hint="eastAsia" w:ascii="仿宋" w:hAnsi="仿宋" w:eastAsia="仿宋" w:cs="仿宋"/>
                <w:kern w:val="0"/>
                <w:sz w:val="24"/>
                <w:szCs w:val="21"/>
                <w:highlight w:val="none"/>
              </w:rPr>
              <w:t>收取对象：中标人。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21</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bCs/>
                <w:sz w:val="24"/>
                <w:szCs w:val="24"/>
                <w:highlight w:val="none"/>
              </w:rPr>
              <w:t>政府采购支持政策</w:t>
            </w:r>
          </w:p>
        </w:tc>
        <w:tc>
          <w:tcPr>
            <w:tcW w:w="6972" w:type="dxa"/>
            <w:vAlign w:val="center"/>
          </w:tcPr>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1.根据《政府采购促进中小企业发展管理办法》（财库〔2020〕46号）、《关于进一步加大政府采购支持中小企业力度的通知》（财库〔2022〕19号）、《关于政府采购支持监狱企业发展有关问题的通知》（财库〔2014〕68号）、《财政部民政部中国残疾人联合会关于促进残疾人就业政府采购政策的通知》（财库〔2017〕141号）的规定，对于参与本项目且符合享受政府采购支持政策的小型（微型）企业、监狱企业、残疾人福利性单位给予</w:t>
            </w:r>
            <w:r>
              <w:rPr>
                <w:rFonts w:hint="eastAsia" w:ascii="仿宋" w:hAnsi="仿宋" w:eastAsia="仿宋" w:cs="Times New Roman"/>
                <w:b/>
                <w:sz w:val="24"/>
                <w:szCs w:val="24"/>
                <w:highlight w:val="none"/>
                <w:u w:val="single"/>
              </w:rPr>
              <w:t>10</w:t>
            </w:r>
            <w:r>
              <w:rPr>
                <w:rFonts w:hint="eastAsia" w:ascii="仿宋" w:hAnsi="仿宋" w:eastAsia="仿宋" w:cs="Times New Roman"/>
                <w:b/>
                <w:sz w:val="24"/>
                <w:szCs w:val="24"/>
                <w:highlight w:val="none"/>
              </w:rPr>
              <w:t>%</w:t>
            </w:r>
            <w:r>
              <w:rPr>
                <w:rFonts w:hint="eastAsia" w:ascii="仿宋" w:hAnsi="仿宋" w:eastAsia="仿宋" w:cs="Times New Roman"/>
                <w:bCs/>
                <w:sz w:val="24"/>
                <w:szCs w:val="24"/>
                <w:highlight w:val="none"/>
              </w:rPr>
              <w:t>的扣除，用扣除后的价格参加评审。</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2.参与本项目且符合享受政府采购支持政策的小型（微型）企业、监狱企业、残疾人福利性单位应提供相应的《中小企业声明函》、省级以上监狱管理局、戒毒管理局（含新疆生产建设兵团）出具的属于监狱企业的证明文件、《残疾人福利性单位声明函》，未提供不予认定。（声明函格式详见“第五章 投标文件格式”）</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3.中标、成交供应商为小型（微型）企业、残疾人福利性单位的，采购人或者采购代理机构将随中标、成交结果同时公告其相应声明函，接受社会监督。</w:t>
            </w:r>
            <w:r>
              <w:rPr>
                <w:rFonts w:hint="eastAsia" w:ascii="仿宋" w:hAnsi="仿宋" w:eastAsia="仿宋" w:cs="Times New Roman"/>
                <w:b/>
                <w:sz w:val="24"/>
                <w:szCs w:val="24"/>
                <w:highlight w:val="none"/>
              </w:rPr>
              <w:t>供应商提供声明函内容不实的，属于提供虚假材料谋取中标、成交，依照《中华人民共和国政府采购法》等国家有关规定追究相应责任。</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4.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w:t>
            </w:r>
            <w:r>
              <w:rPr>
                <w:rFonts w:hint="eastAsia" w:ascii="仿宋" w:hAnsi="仿宋" w:eastAsia="仿宋" w:cs="Times New Roman"/>
                <w:b/>
                <w:sz w:val="24"/>
                <w:szCs w:val="24"/>
                <w:highlight w:val="none"/>
                <w:u w:val="single"/>
              </w:rPr>
              <w:t>4</w:t>
            </w:r>
            <w:r>
              <w:rPr>
                <w:rFonts w:hint="eastAsia" w:ascii="仿宋" w:hAnsi="仿宋" w:eastAsia="仿宋" w:cs="Times New Roman"/>
                <w:bCs/>
                <w:sz w:val="24"/>
                <w:szCs w:val="24"/>
                <w:highlight w:val="none"/>
              </w:rPr>
              <w:t>%的扣除，用扣除后的价格参加评审。组成联合体或者接受分包的小微企业与联合体内其他企业、分包企业之间存在直接控股、管理关系的，不享受价格扣除优惠政策。</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5.小型（微型）企业、监狱企业、残疾人福利性单位不重复享受政府采购支持政策。</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6.专门面向中小(小微)企业采购的项目不执行价格评审优惠支持政策。</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7.本项目采购标的对应的中小企业划分标准所属行业：</w:t>
            </w:r>
            <w:r>
              <w:rPr>
                <w:rFonts w:hint="eastAsia" w:ascii="仿宋" w:hAnsi="仿宋" w:eastAsia="仿宋" w:cs="Times New Roman"/>
                <w:b/>
                <w:sz w:val="24"/>
                <w:szCs w:val="24"/>
                <w:highlight w:val="none"/>
                <w:u w:val="single"/>
              </w:rPr>
              <w:t>工业</w:t>
            </w:r>
            <w:r>
              <w:rPr>
                <w:rFonts w:hint="eastAsia" w:ascii="仿宋" w:hAnsi="仿宋" w:eastAsia="仿宋" w:cs="Times New Roman"/>
                <w:bCs/>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22</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bCs/>
                <w:sz w:val="24"/>
                <w:highlight w:val="none"/>
              </w:rPr>
              <w:t>低于成本价不正当竞争预防措施</w:t>
            </w:r>
          </w:p>
        </w:tc>
        <w:tc>
          <w:tcPr>
            <w:tcW w:w="6972" w:type="dxa"/>
            <w:vAlign w:val="center"/>
          </w:tcPr>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1.评标委员会认为投标人的报价明显低于其他通过符合性审查投标人的报价，有可能影响产品质量或者不能诚信履约的，应当要求其在评标现场合理时间内提供书面说明，必要时提交相关证明材料；投标人不能证明其报价合理性的，评标委员会应当将其作为无效投标处理。</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2.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23</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sz w:val="24"/>
                <w:szCs w:val="24"/>
                <w:highlight w:val="none"/>
              </w:rPr>
            </w:pPr>
            <w:r>
              <w:rPr>
                <w:rFonts w:hint="eastAsia" w:ascii="仿宋" w:hAnsi="仿宋" w:eastAsia="仿宋" w:cs="仿宋"/>
                <w:bCs/>
                <w:sz w:val="24"/>
                <w:highlight w:val="none"/>
              </w:rPr>
              <w:t>禁止参加本次采购活动的供应商</w:t>
            </w:r>
          </w:p>
        </w:tc>
        <w:tc>
          <w:tcPr>
            <w:tcW w:w="6972" w:type="dxa"/>
            <w:vAlign w:val="center"/>
          </w:tcPr>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1.根据《关于在政府采购活动中查询及使用信用记录有关问题的通知》（财库〔2016〕125号）的要求，采购代理机构将通过“信用中国”网站（www.creditchina.gov.cn）、“中国政府采购网”网站（www.ccgp.gov.cn）等渠道查询供应商在投标截止时间前的信用记录，拒绝列入失信被执行人名单、税收违法黑名单、政府采购严重违法失信行为记录名单中的供应商参加本项目的采购活动（以联合体形式参加本项目采购活动，联合体成员存在不良信用记录的，视同联合体存在不良信用记录）。信用信息查询记录和证据由采购代理机构随其他采购文件一同留存，信用信息仅在法律规定范围内使用。</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2.为采购项目提供整体设计、规范编制或者项目管理、监理、检测等服务的供应商，不得再参加该采购项目的其他采购活动。供应商为采购人、采购代理机构在确定采购需求、编制招标文件过程中提供咨询论证，其提供的咨询论证意见成为招标文件中规定的供应商资格条件、技术服务商务要求、评审因素和标准、政府采购合同等实质性内容条款的，视同为采购项目提供规范编制。</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3.单位负责人为同一人或者存在直接控股、管理关系的不同供应商，不得共同参加本项目的投标。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24</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bCs/>
                <w:sz w:val="24"/>
                <w:highlight w:val="none"/>
              </w:rPr>
            </w:pPr>
            <w:r>
              <w:rPr>
                <w:rFonts w:hint="eastAsia" w:ascii="仿宋" w:hAnsi="仿宋" w:eastAsia="仿宋" w:cs="Times New Roman"/>
                <w:sz w:val="24"/>
                <w:highlight w:val="none"/>
              </w:rPr>
              <w:t>质疑事项</w:t>
            </w:r>
          </w:p>
        </w:tc>
        <w:tc>
          <w:tcPr>
            <w:tcW w:w="6972" w:type="dxa"/>
            <w:vAlign w:val="center"/>
          </w:tcPr>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1.质疑函形式：质疑函应以书面形式递交，质疑函的格式和内容应当符合《政府采购质疑和投诉办法》的要求。对于不符合相关法律法规要求格式和内容的质疑函，采购人或采购代理机构将要求质疑人在法定时间内对质疑函进行修改或补正后再次递交，若质疑人据不修改或补正将自行承担不利后果。</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2.质疑函递交：质疑函应由质疑人法定代表人或授权人进行递交，或以邮寄原件方式进行递交。质疑函应向以下联系单位及联系人进行递交。</w:t>
            </w:r>
          </w:p>
          <w:p>
            <w:pPr>
              <w:autoSpaceDE w:val="0"/>
              <w:autoSpaceDN w:val="0"/>
              <w:adjustRightInd w:val="0"/>
              <w:spacing w:before="93" w:beforeLines="30" w:after="93" w:afterLines="30"/>
              <w:rPr>
                <w:rFonts w:hint="eastAsia" w:ascii="仿宋" w:hAnsi="仿宋" w:eastAsia="仿宋" w:cs="Times New Roman"/>
                <w:bCs/>
                <w:sz w:val="24"/>
                <w:szCs w:val="24"/>
                <w:highlight w:val="none"/>
                <w:lang w:eastAsia="zh-CN"/>
              </w:rPr>
            </w:pPr>
            <w:r>
              <w:rPr>
                <w:rFonts w:hint="eastAsia" w:ascii="仿宋" w:hAnsi="仿宋" w:eastAsia="仿宋" w:cs="Times New Roman"/>
                <w:bCs/>
                <w:sz w:val="24"/>
                <w:szCs w:val="24"/>
                <w:highlight w:val="none"/>
              </w:rPr>
              <w:t>联系部门：</w:t>
            </w:r>
            <w:r>
              <w:rPr>
                <w:rFonts w:hint="eastAsia" w:ascii="仿宋" w:hAnsi="仿宋" w:eastAsia="仿宋" w:cs="Times New Roman"/>
                <w:bCs/>
                <w:sz w:val="24"/>
                <w:szCs w:val="24"/>
                <w:highlight w:val="none"/>
                <w:lang w:eastAsia="zh-CN"/>
              </w:rPr>
              <w:t>重庆信科设计有限公司</w:t>
            </w:r>
          </w:p>
          <w:p>
            <w:pPr>
              <w:autoSpaceDE w:val="0"/>
              <w:autoSpaceDN w:val="0"/>
              <w:adjustRightInd w:val="0"/>
              <w:spacing w:before="93" w:beforeLines="30" w:after="93" w:afterLines="30"/>
              <w:rPr>
                <w:rFonts w:hint="eastAsia" w:ascii="仿宋" w:hAnsi="仿宋" w:eastAsia="仿宋" w:cs="Times New Roman"/>
                <w:bCs/>
                <w:sz w:val="24"/>
                <w:szCs w:val="24"/>
                <w:highlight w:val="none"/>
                <w:lang w:val="en-US" w:eastAsia="zh-CN"/>
              </w:rPr>
            </w:pPr>
            <w:r>
              <w:rPr>
                <w:rFonts w:hint="eastAsia" w:ascii="仿宋" w:hAnsi="仿宋" w:eastAsia="仿宋" w:cs="Times New Roman"/>
                <w:bCs/>
                <w:sz w:val="24"/>
                <w:szCs w:val="24"/>
                <w:highlight w:val="none"/>
              </w:rPr>
              <w:t>联系人：</w:t>
            </w:r>
            <w:r>
              <w:rPr>
                <w:rFonts w:hint="eastAsia" w:ascii="仿宋" w:hAnsi="仿宋" w:eastAsia="仿宋" w:cs="Times New Roman"/>
                <w:bCs/>
                <w:sz w:val="24"/>
                <w:szCs w:val="24"/>
                <w:highlight w:val="none"/>
                <w:lang w:val="en-US" w:eastAsia="zh-CN"/>
              </w:rPr>
              <w:t>刘雪健</w:t>
            </w:r>
          </w:p>
          <w:p>
            <w:pPr>
              <w:autoSpaceDE w:val="0"/>
              <w:autoSpaceDN w:val="0"/>
              <w:adjustRightInd w:val="0"/>
              <w:spacing w:before="93" w:beforeLines="30" w:after="93" w:afterLines="30"/>
              <w:rPr>
                <w:rFonts w:hint="default" w:ascii="仿宋" w:hAnsi="仿宋" w:eastAsia="仿宋" w:cs="Times New Roman"/>
                <w:bCs/>
                <w:sz w:val="24"/>
                <w:szCs w:val="24"/>
                <w:highlight w:val="none"/>
                <w:lang w:val="en-US" w:eastAsia="zh-CN"/>
              </w:rPr>
            </w:pPr>
            <w:r>
              <w:rPr>
                <w:rFonts w:hint="eastAsia" w:ascii="仿宋" w:hAnsi="仿宋" w:eastAsia="仿宋" w:cs="Times New Roman"/>
                <w:bCs/>
                <w:sz w:val="24"/>
                <w:szCs w:val="24"/>
                <w:highlight w:val="none"/>
              </w:rPr>
              <w:t>联系电话：</w:t>
            </w:r>
            <w:r>
              <w:rPr>
                <w:rFonts w:hint="eastAsia" w:ascii="仿宋" w:hAnsi="仿宋" w:eastAsia="仿宋" w:cs="Times New Roman"/>
                <w:bCs/>
                <w:sz w:val="24"/>
                <w:szCs w:val="24"/>
                <w:highlight w:val="none"/>
                <w:lang w:val="en-US" w:eastAsia="zh-CN"/>
              </w:rPr>
              <w:t>15123929662</w:t>
            </w:r>
          </w:p>
          <w:p>
            <w:pPr>
              <w:autoSpaceDE w:val="0"/>
              <w:autoSpaceDN w:val="0"/>
              <w:adjustRightInd w:val="0"/>
              <w:spacing w:before="93" w:beforeLines="30" w:after="93" w:afterLines="30"/>
              <w:rPr>
                <w:rFonts w:hint="default" w:ascii="仿宋" w:hAnsi="仿宋" w:eastAsia="仿宋" w:cs="Times New Roman"/>
                <w:bCs/>
                <w:sz w:val="24"/>
                <w:szCs w:val="24"/>
                <w:highlight w:val="none"/>
                <w:lang w:val="en-US" w:eastAsia="zh-CN"/>
              </w:rPr>
            </w:pPr>
            <w:r>
              <w:rPr>
                <w:rFonts w:hint="eastAsia" w:ascii="仿宋" w:hAnsi="仿宋" w:eastAsia="仿宋" w:cs="Times New Roman"/>
                <w:bCs/>
                <w:sz w:val="24"/>
                <w:szCs w:val="24"/>
                <w:highlight w:val="none"/>
              </w:rPr>
              <w:t>通信地址：</w:t>
            </w:r>
            <w:r>
              <w:rPr>
                <w:rFonts w:hint="eastAsia" w:ascii="仿宋" w:hAnsi="仿宋" w:eastAsia="仿宋" w:cs="Times New Roman"/>
                <w:bCs/>
                <w:sz w:val="24"/>
                <w:szCs w:val="24"/>
                <w:highlight w:val="none"/>
                <w:lang w:val="en-US" w:eastAsia="zh-CN"/>
              </w:rPr>
              <w:t>西藏自治区拉萨市柳梧新区国际总部城5号楼2楼</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3</w:t>
            </w:r>
            <w:r>
              <w:rPr>
                <w:rFonts w:ascii="仿宋" w:hAnsi="仿宋" w:eastAsia="仿宋" w:cs="Times New Roman"/>
                <w:bCs/>
                <w:sz w:val="24"/>
                <w:szCs w:val="24"/>
                <w:highlight w:val="none"/>
              </w:rPr>
              <w:t>.</w:t>
            </w:r>
            <w:r>
              <w:rPr>
                <w:rFonts w:hint="eastAsia" w:ascii="仿宋" w:hAnsi="仿宋" w:eastAsia="仿宋" w:cs="Times New Roman"/>
                <w:bCs/>
                <w:sz w:val="24"/>
                <w:szCs w:val="24"/>
                <w:highlight w:val="none"/>
              </w:rPr>
              <w:t>根据中华人民共和国财政部令第94号《政府采购质疑和投诉办法》规定：供应商质疑不成立，或者成立但未对中标、成交结果构成影响的，继续开展采购活动。供应商质疑成立且影响或者可能影响中标、成交结果的，按照下列情况处理：（一）对采购文件提出的质疑，依法通过澄清或者修改可以继续开展采购活动的，澄清或者修改采购文件后继续开展采购活动。（二）对采购过程、中标或者成交结果提出的质疑，合格供应商符合法定数量时，采购人按照评审报告推荐的中标或者成交候选人名单排序，确定下一候选人为中标或者成交供应商。合格供应商不符合法定数量时，重新开展政府采购活动。</w:t>
            </w:r>
          </w:p>
          <w:p>
            <w:pPr>
              <w:autoSpaceDE w:val="0"/>
              <w:autoSpaceDN w:val="0"/>
              <w:adjustRightInd w:val="0"/>
              <w:spacing w:before="93" w:beforeLines="30" w:after="93" w:afterLines="30"/>
              <w:rPr>
                <w:rFonts w:ascii="仿宋" w:hAnsi="仿宋" w:eastAsia="仿宋" w:cs="Times New Roman"/>
                <w:bCs/>
                <w:sz w:val="24"/>
                <w:szCs w:val="24"/>
                <w:highlight w:val="none"/>
              </w:rPr>
            </w:pPr>
            <w:r>
              <w:rPr>
                <w:rFonts w:hint="eastAsia" w:ascii="仿宋" w:hAnsi="仿宋" w:eastAsia="仿宋" w:cs="Times New Roman"/>
                <w:bCs/>
                <w:sz w:val="24"/>
                <w:szCs w:val="24"/>
                <w:highlight w:val="none"/>
              </w:rPr>
              <w:t>4</w:t>
            </w:r>
            <w:r>
              <w:rPr>
                <w:rFonts w:ascii="仿宋" w:hAnsi="仿宋" w:eastAsia="仿宋" w:cs="Times New Roman"/>
                <w:bCs/>
                <w:sz w:val="24"/>
                <w:szCs w:val="24"/>
                <w:highlight w:val="none"/>
              </w:rPr>
              <w:t>.</w:t>
            </w:r>
            <w:r>
              <w:rPr>
                <w:rFonts w:hint="eastAsia" w:ascii="仿宋" w:hAnsi="仿宋" w:eastAsia="仿宋" w:cs="Times New Roman"/>
                <w:bCs/>
                <w:sz w:val="24"/>
                <w:szCs w:val="24"/>
                <w:highlight w:val="none"/>
              </w:rPr>
              <w:t>提出质疑的供应商有义务通知到上述联系部门及联系人，并对准确性和时效性负责。如果因提出质疑的供应商未尽到通知义务造成的不利于质疑处理后果由质疑供应承担。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9" w:type="dxa"/>
            <w:vAlign w:val="center"/>
          </w:tcPr>
          <w:p>
            <w:pPr>
              <w:spacing w:before="93" w:beforeLines="30" w:after="93" w:afterLines="30"/>
              <w:jc w:val="center"/>
              <w:rPr>
                <w:rFonts w:ascii="仿宋" w:hAnsi="仿宋" w:eastAsia="仿宋" w:cs="Times New Roman"/>
                <w:sz w:val="24"/>
                <w:highlight w:val="none"/>
              </w:rPr>
            </w:pPr>
            <w:r>
              <w:rPr>
                <w:rFonts w:ascii="仿宋" w:hAnsi="仿宋" w:eastAsia="仿宋" w:cs="Times New Roman"/>
                <w:sz w:val="24"/>
                <w:highlight w:val="none"/>
              </w:rPr>
              <w:fldChar w:fldCharType="begin"/>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seq</w:instrText>
            </w:r>
            <w:r>
              <w:rPr>
                <w:rFonts w:ascii="仿宋" w:hAnsi="仿宋" w:eastAsia="仿宋" w:cs="Times New Roman"/>
                <w:sz w:val="24"/>
                <w:highlight w:val="none"/>
              </w:rPr>
              <w:instrText xml:space="preserve"> </w:instrText>
            </w:r>
            <w:r>
              <w:rPr>
                <w:rFonts w:hint="eastAsia" w:ascii="仿宋" w:hAnsi="仿宋" w:eastAsia="仿宋" w:cs="Times New Roman"/>
                <w:sz w:val="24"/>
                <w:highlight w:val="none"/>
              </w:rPr>
              <w:instrText xml:space="preserve">a</w:instrText>
            </w:r>
            <w:r>
              <w:rPr>
                <w:rFonts w:ascii="仿宋" w:hAnsi="仿宋" w:eastAsia="仿宋" w:cs="Times New Roman"/>
                <w:sz w:val="24"/>
                <w:highlight w:val="none"/>
              </w:rPr>
              <w:instrText xml:space="preserve"> </w:instrText>
            </w:r>
            <w:r>
              <w:rPr>
                <w:rFonts w:ascii="仿宋" w:hAnsi="仿宋" w:eastAsia="仿宋" w:cs="Times New Roman"/>
                <w:sz w:val="24"/>
                <w:highlight w:val="none"/>
              </w:rPr>
              <w:fldChar w:fldCharType="separate"/>
            </w:r>
            <w:r>
              <w:rPr>
                <w:rFonts w:ascii="仿宋" w:hAnsi="仿宋" w:eastAsia="仿宋" w:cs="Times New Roman"/>
                <w:sz w:val="24"/>
                <w:highlight w:val="none"/>
              </w:rPr>
              <w:t>25</w:t>
            </w:r>
            <w:r>
              <w:rPr>
                <w:rFonts w:ascii="仿宋" w:hAnsi="仿宋" w:eastAsia="仿宋" w:cs="Times New Roman"/>
                <w:sz w:val="24"/>
                <w:highlight w:val="none"/>
              </w:rPr>
              <w:fldChar w:fldCharType="end"/>
            </w:r>
          </w:p>
        </w:tc>
        <w:tc>
          <w:tcPr>
            <w:tcW w:w="1799" w:type="dxa"/>
            <w:vAlign w:val="center"/>
          </w:tcPr>
          <w:p>
            <w:pPr>
              <w:spacing w:before="93" w:beforeLines="30" w:after="93" w:afterLines="30"/>
              <w:jc w:val="center"/>
              <w:rPr>
                <w:rFonts w:ascii="仿宋" w:hAnsi="仿宋" w:eastAsia="仿宋" w:cs="仿宋"/>
                <w:bCs/>
                <w:sz w:val="24"/>
                <w:highlight w:val="none"/>
              </w:rPr>
            </w:pPr>
            <w:r>
              <w:rPr>
                <w:rFonts w:hint="eastAsia" w:ascii="仿宋" w:hAnsi="仿宋" w:eastAsia="仿宋" w:cs="仿宋"/>
                <w:sz w:val="24"/>
                <w:szCs w:val="24"/>
                <w:highlight w:val="none"/>
              </w:rPr>
              <w:t>特别说明</w:t>
            </w:r>
          </w:p>
        </w:tc>
        <w:tc>
          <w:tcPr>
            <w:tcW w:w="6972" w:type="dxa"/>
            <w:vAlign w:val="center"/>
          </w:tcPr>
          <w:p>
            <w:pPr>
              <w:wordWrap w:val="0"/>
              <w:autoSpaceDE w:val="0"/>
              <w:autoSpaceDN w:val="0"/>
              <w:adjustRightInd w:val="0"/>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1</w:t>
            </w:r>
            <w:r>
              <w:rPr>
                <w:rFonts w:ascii="仿宋" w:hAnsi="仿宋" w:eastAsia="仿宋" w:cs="仿宋"/>
                <w:sz w:val="24"/>
                <w:szCs w:val="24"/>
                <w:highlight w:val="none"/>
              </w:rPr>
              <w:t>.</w:t>
            </w:r>
            <w:r>
              <w:rPr>
                <w:rFonts w:hint="eastAsia" w:ascii="仿宋" w:hAnsi="仿宋" w:eastAsia="仿宋" w:cs="仿宋"/>
                <w:sz w:val="24"/>
                <w:szCs w:val="24"/>
                <w:highlight w:val="none"/>
              </w:rPr>
              <w:t>本项目依托西藏自治区公共资源交易系统进行全程电子化采购，请供应商依照</w:t>
            </w:r>
            <w:r>
              <w:rPr>
                <w:rFonts w:ascii="仿宋" w:hAnsi="仿宋" w:eastAsia="仿宋" w:cs="仿宋"/>
                <w:sz w:val="24"/>
                <w:szCs w:val="24"/>
                <w:highlight w:val="none"/>
              </w:rPr>
              <w:t>西藏自治区公共资源交易系统</w:t>
            </w:r>
            <w:r>
              <w:rPr>
                <w:rFonts w:hint="eastAsia" w:ascii="仿宋" w:hAnsi="仿宋" w:eastAsia="仿宋" w:cs="仿宋"/>
                <w:sz w:val="24"/>
                <w:szCs w:val="24"/>
                <w:highlight w:val="none"/>
              </w:rPr>
              <w:t>相关流程、规范参与采购活动，如遇网站、系统平台、</w:t>
            </w:r>
            <w:r>
              <w:rPr>
                <w:rFonts w:ascii="仿宋" w:hAnsi="仿宋" w:eastAsia="仿宋" w:cs="仿宋"/>
                <w:sz w:val="24"/>
                <w:szCs w:val="24"/>
                <w:highlight w:val="none"/>
              </w:rPr>
              <w:t>CA</w:t>
            </w:r>
            <w:r>
              <w:rPr>
                <w:rFonts w:hint="eastAsia" w:ascii="仿宋" w:hAnsi="仿宋" w:eastAsia="仿宋" w:cs="仿宋"/>
                <w:sz w:val="24"/>
                <w:szCs w:val="24"/>
                <w:highlight w:val="none"/>
              </w:rPr>
              <w:t>等</w:t>
            </w:r>
            <w:r>
              <w:rPr>
                <w:rFonts w:ascii="仿宋" w:hAnsi="仿宋" w:eastAsia="仿宋" w:cs="仿宋"/>
                <w:sz w:val="24"/>
                <w:szCs w:val="24"/>
                <w:highlight w:val="none"/>
              </w:rPr>
              <w:t>相关问题请按照西藏自治区公共资源交易平台联系方式（http://ggzy.xizang.gov.cn/fwzxlx/33175.jhtml）进行咨询。</w:t>
            </w:r>
          </w:p>
          <w:p>
            <w:pPr>
              <w:wordWrap w:val="0"/>
              <w:autoSpaceDE w:val="0"/>
              <w:autoSpaceDN w:val="0"/>
              <w:adjustRightInd w:val="0"/>
              <w:spacing w:before="93" w:beforeLines="30" w:after="93" w:afterLines="30"/>
              <w:rPr>
                <w:rFonts w:ascii="仿宋" w:hAnsi="仿宋" w:eastAsia="仿宋" w:cs="仿宋"/>
                <w:sz w:val="24"/>
                <w:szCs w:val="24"/>
                <w:highlight w:val="none"/>
              </w:rPr>
            </w:pPr>
            <w:r>
              <w:rPr>
                <w:rFonts w:ascii="仿宋" w:hAnsi="仿宋" w:eastAsia="仿宋" w:cs="仿宋"/>
                <w:sz w:val="24"/>
                <w:szCs w:val="24"/>
                <w:highlight w:val="none"/>
              </w:rPr>
              <w:t>2.</w:t>
            </w:r>
            <w:r>
              <w:rPr>
                <w:rFonts w:hint="eastAsia" w:ascii="仿宋" w:hAnsi="仿宋" w:eastAsia="仿宋" w:cs="仿宋"/>
                <w:sz w:val="24"/>
                <w:szCs w:val="24"/>
                <w:highlight w:val="none"/>
              </w:rPr>
              <w:t>西藏自治区公共资源交易系统对于本项目会自动生成一个“标包编号”，该编号仅用于系统内部标识。除系统要求或本文件特别说明之处外，请各供应商在制作投标文件时以本文件所写“标段序”、“包名称”、“标段名称”为准。</w:t>
            </w:r>
          </w:p>
          <w:p>
            <w:pPr>
              <w:autoSpaceDE w:val="0"/>
              <w:autoSpaceDN w:val="0"/>
              <w:adjustRightInd w:val="0"/>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rPr>
              <w:t>3.供应商若选择进行远程自行解密，应在开放解密后</w:t>
            </w:r>
            <w:r>
              <w:rPr>
                <w:rFonts w:ascii="仿宋" w:hAnsi="仿宋" w:eastAsia="仿宋" w:cs="仿宋"/>
                <w:sz w:val="24"/>
                <w:szCs w:val="24"/>
                <w:highlight w:val="none"/>
              </w:rPr>
              <w:t>60分钟内完成投标文件解密工作。若供应商未在本项目（各标段/标包）开放解密后60分钟内完成投标文件远程自行解密，相关责任、后果由供应商自行承担，本项目（各标段/标包）开放解密后60分钟后采购人、采购代理机构有权结束解密环节并继续进行后续采购活动</w:t>
            </w:r>
            <w:r>
              <w:rPr>
                <w:rFonts w:hint="eastAsia" w:ascii="仿宋" w:hAnsi="仿宋" w:eastAsia="仿宋" w:cs="仿宋"/>
                <w:sz w:val="24"/>
                <w:szCs w:val="24"/>
                <w:highlight w:val="none"/>
              </w:rPr>
              <w:t>。</w:t>
            </w:r>
          </w:p>
          <w:p>
            <w:pPr>
              <w:wordWrap w:val="0"/>
              <w:autoSpaceDE w:val="0"/>
              <w:autoSpaceDN w:val="0"/>
              <w:adjustRightInd w:val="0"/>
              <w:spacing w:before="93" w:beforeLines="30" w:after="93" w:afterLines="30"/>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ascii="仿宋" w:hAnsi="仿宋" w:eastAsia="仿宋" w:cs="仿宋"/>
                <w:sz w:val="24"/>
                <w:szCs w:val="24"/>
                <w:highlight w:val="none"/>
              </w:rPr>
              <w:t>.</w:t>
            </w:r>
            <w:r>
              <w:rPr>
                <w:rFonts w:hint="eastAsia" w:ascii="仿宋" w:hAnsi="仿宋" w:eastAsia="仿宋" w:cs="仿宋"/>
                <w:sz w:val="24"/>
                <w:szCs w:val="24"/>
                <w:highlight w:val="none"/>
                <w:lang w:eastAsia="zh-CN"/>
              </w:rPr>
              <w:t>西藏自治区2023年三标合一追溯体系和常规疫苗政府采购</w:t>
            </w:r>
            <w:r>
              <w:rPr>
                <w:rFonts w:ascii="仿宋" w:hAnsi="仿宋" w:eastAsia="仿宋" w:cs="仿宋"/>
                <w:sz w:val="24"/>
                <w:szCs w:val="24"/>
                <w:highlight w:val="none"/>
              </w:rPr>
              <w:t>第</w:t>
            </w:r>
            <w:r>
              <w:rPr>
                <w:rFonts w:hint="eastAsia" w:ascii="仿宋" w:hAnsi="仿宋" w:eastAsia="仿宋" w:cs="仿宋"/>
                <w:sz w:val="24"/>
                <w:szCs w:val="24"/>
                <w:highlight w:val="none"/>
                <w:lang w:val="en-US" w:eastAsia="zh-CN"/>
              </w:rPr>
              <w:t>二</w:t>
            </w:r>
            <w:r>
              <w:rPr>
                <w:rFonts w:ascii="仿宋" w:hAnsi="仿宋" w:eastAsia="仿宋" w:cs="仿宋"/>
                <w:sz w:val="24"/>
                <w:szCs w:val="24"/>
                <w:highlight w:val="none"/>
              </w:rPr>
              <w:t>标段</w:t>
            </w:r>
            <w:r>
              <w:rPr>
                <w:rFonts w:hint="eastAsia" w:ascii="仿宋" w:hAnsi="仿宋" w:eastAsia="仿宋" w:cs="仿宋"/>
                <w:sz w:val="24"/>
                <w:szCs w:val="24"/>
                <w:highlight w:val="none"/>
              </w:rPr>
              <w:t>至</w:t>
            </w:r>
            <w:r>
              <w:rPr>
                <w:rFonts w:ascii="仿宋" w:hAnsi="仿宋" w:eastAsia="仿宋" w:cs="仿宋"/>
                <w:sz w:val="24"/>
                <w:szCs w:val="24"/>
                <w:highlight w:val="none"/>
              </w:rPr>
              <w:t>第</w:t>
            </w:r>
            <w:r>
              <w:rPr>
                <w:rFonts w:hint="eastAsia" w:ascii="仿宋" w:hAnsi="仿宋" w:eastAsia="仿宋" w:cs="仿宋"/>
                <w:sz w:val="24"/>
                <w:szCs w:val="24"/>
                <w:highlight w:val="none"/>
              </w:rPr>
              <w:t>四</w:t>
            </w:r>
            <w:r>
              <w:rPr>
                <w:rFonts w:ascii="仿宋" w:hAnsi="仿宋" w:eastAsia="仿宋" w:cs="仿宋"/>
                <w:sz w:val="24"/>
                <w:szCs w:val="24"/>
                <w:highlight w:val="none"/>
              </w:rPr>
              <w:t>标段不允许兼中，具体要求如下：</w:t>
            </w:r>
          </w:p>
          <w:p>
            <w:pPr>
              <w:wordWrap w:val="0"/>
              <w:autoSpaceDE w:val="0"/>
              <w:autoSpaceDN w:val="0"/>
              <w:adjustRightInd w:val="0"/>
              <w:spacing w:before="93" w:beforeLines="30" w:after="93" w:afterLines="30"/>
              <w:rPr>
                <w:rFonts w:ascii="仿宋" w:hAnsi="仿宋" w:eastAsia="仿宋" w:cs="仿宋"/>
                <w:color w:val="auto"/>
                <w:sz w:val="24"/>
                <w:szCs w:val="24"/>
                <w:highlight w:val="none"/>
              </w:rPr>
            </w:pPr>
            <w:r>
              <w:rPr>
                <w:rFonts w:hint="eastAsia" w:ascii="仿宋" w:hAnsi="仿宋" w:eastAsia="仿宋" w:cs="仿宋"/>
                <w:sz w:val="24"/>
                <w:szCs w:val="24"/>
                <w:highlight w:val="none"/>
                <w:lang w:val="en-US" w:eastAsia="zh-CN"/>
              </w:rPr>
              <w:t>4</w:t>
            </w:r>
            <w:r>
              <w:rPr>
                <w:rFonts w:ascii="仿宋" w:hAnsi="仿宋" w:eastAsia="仿宋" w:cs="仿宋"/>
                <w:sz w:val="24"/>
                <w:szCs w:val="24"/>
                <w:highlight w:val="none"/>
              </w:rPr>
              <w:t xml:space="preserve">.1 </w:t>
            </w:r>
            <w:r>
              <w:rPr>
                <w:rFonts w:ascii="仿宋" w:hAnsi="仿宋" w:eastAsia="仿宋" w:cs="仿宋"/>
                <w:color w:val="auto"/>
                <w:sz w:val="24"/>
                <w:szCs w:val="24"/>
                <w:highlight w:val="none"/>
              </w:rPr>
              <w:t>各供应商可以就本项目第</w:t>
            </w:r>
            <w:r>
              <w:rPr>
                <w:rFonts w:hint="eastAsia" w:ascii="仿宋" w:hAnsi="仿宋" w:eastAsia="仿宋" w:cs="仿宋"/>
                <w:color w:val="auto"/>
                <w:sz w:val="24"/>
                <w:szCs w:val="24"/>
                <w:highlight w:val="none"/>
                <w:lang w:val="en-US" w:eastAsia="zh-CN"/>
              </w:rPr>
              <w:t>二</w:t>
            </w:r>
            <w:r>
              <w:rPr>
                <w:rFonts w:ascii="仿宋" w:hAnsi="仿宋" w:eastAsia="仿宋" w:cs="仿宋"/>
                <w:color w:val="auto"/>
                <w:sz w:val="24"/>
                <w:szCs w:val="24"/>
                <w:highlight w:val="none"/>
              </w:rPr>
              <w:t>标段</w:t>
            </w:r>
            <w:r>
              <w:rPr>
                <w:rFonts w:hint="eastAsia" w:ascii="仿宋" w:hAnsi="仿宋" w:eastAsia="仿宋" w:cs="仿宋"/>
                <w:color w:val="auto"/>
                <w:sz w:val="24"/>
                <w:szCs w:val="24"/>
                <w:highlight w:val="none"/>
              </w:rPr>
              <w:t>至</w:t>
            </w:r>
            <w:r>
              <w:rPr>
                <w:rFonts w:ascii="仿宋" w:hAnsi="仿宋" w:eastAsia="仿宋" w:cs="仿宋"/>
                <w:color w:val="auto"/>
                <w:sz w:val="24"/>
                <w:szCs w:val="24"/>
                <w:highlight w:val="none"/>
              </w:rPr>
              <w:t>第</w:t>
            </w:r>
            <w:r>
              <w:rPr>
                <w:rFonts w:hint="eastAsia" w:ascii="仿宋" w:hAnsi="仿宋" w:eastAsia="仿宋" w:cs="仿宋"/>
                <w:color w:val="auto"/>
                <w:sz w:val="24"/>
                <w:szCs w:val="24"/>
                <w:highlight w:val="none"/>
              </w:rPr>
              <w:t>四</w:t>
            </w:r>
            <w:r>
              <w:rPr>
                <w:rFonts w:ascii="仿宋" w:hAnsi="仿宋" w:eastAsia="仿宋" w:cs="仿宋"/>
                <w:color w:val="auto"/>
                <w:sz w:val="24"/>
                <w:szCs w:val="24"/>
                <w:highlight w:val="none"/>
              </w:rPr>
              <w:t>标段的一个标包（标段）或多个标包（标段）投标，但仅能获取其中一个标包（标段）的中标权（即仅能</w:t>
            </w:r>
            <w:r>
              <w:rPr>
                <w:rFonts w:hint="eastAsia" w:ascii="仿宋" w:hAnsi="仿宋" w:eastAsia="仿宋" w:cs="仿宋"/>
                <w:color w:val="auto"/>
                <w:sz w:val="24"/>
                <w:szCs w:val="24"/>
                <w:highlight w:val="none"/>
              </w:rPr>
              <w:t>成为</w:t>
            </w:r>
            <w:r>
              <w:rPr>
                <w:rFonts w:ascii="仿宋" w:hAnsi="仿宋" w:eastAsia="仿宋" w:cs="仿宋"/>
                <w:color w:val="auto"/>
                <w:sz w:val="24"/>
                <w:szCs w:val="24"/>
                <w:highlight w:val="none"/>
              </w:rPr>
              <w:t>其中一个标包（标段）</w:t>
            </w:r>
            <w:r>
              <w:rPr>
                <w:rFonts w:hint="eastAsia" w:ascii="仿宋" w:hAnsi="仿宋" w:eastAsia="仿宋" w:cs="仿宋"/>
                <w:color w:val="auto"/>
                <w:sz w:val="24"/>
                <w:szCs w:val="24"/>
                <w:highlight w:val="none"/>
              </w:rPr>
              <w:t>的</w:t>
            </w:r>
            <w:r>
              <w:rPr>
                <w:rFonts w:ascii="仿宋" w:hAnsi="仿宋" w:eastAsia="仿宋" w:cs="仿宋"/>
                <w:color w:val="auto"/>
                <w:sz w:val="24"/>
                <w:szCs w:val="24"/>
                <w:highlight w:val="none"/>
              </w:rPr>
              <w:t>第一中标候选人</w:t>
            </w:r>
            <w:r>
              <w:rPr>
                <w:rFonts w:hint="eastAsia" w:ascii="仿宋" w:hAnsi="仿宋" w:eastAsia="仿宋" w:cs="仿宋"/>
                <w:color w:val="auto"/>
                <w:sz w:val="24"/>
                <w:szCs w:val="24"/>
                <w:highlight w:val="none"/>
              </w:rPr>
              <w:t>/中标人</w:t>
            </w:r>
            <w:r>
              <w:rPr>
                <w:rFonts w:ascii="仿宋" w:hAnsi="仿宋" w:eastAsia="仿宋" w:cs="仿宋"/>
                <w:color w:val="auto"/>
                <w:sz w:val="24"/>
                <w:szCs w:val="24"/>
                <w:highlight w:val="none"/>
              </w:rPr>
              <w:t>）。本项目</w:t>
            </w: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标段至第四标段</w:t>
            </w:r>
            <w:r>
              <w:rPr>
                <w:rFonts w:ascii="仿宋" w:hAnsi="仿宋" w:eastAsia="仿宋" w:cs="仿宋"/>
                <w:color w:val="auto"/>
                <w:sz w:val="24"/>
                <w:szCs w:val="24"/>
                <w:highlight w:val="none"/>
              </w:rPr>
              <w:t>依据标段顺序进行开评标，本次</w:t>
            </w:r>
            <w:r>
              <w:rPr>
                <w:rFonts w:hint="eastAsia" w:ascii="仿宋" w:hAnsi="仿宋" w:eastAsia="仿宋" w:cs="仿宋"/>
                <w:color w:val="auto"/>
                <w:sz w:val="24"/>
                <w:szCs w:val="24"/>
                <w:highlight w:val="none"/>
              </w:rPr>
              <w:t>采购活动</w:t>
            </w:r>
            <w:r>
              <w:rPr>
                <w:rFonts w:ascii="仿宋" w:hAnsi="仿宋" w:eastAsia="仿宋" w:cs="仿宋"/>
                <w:color w:val="auto"/>
                <w:sz w:val="24"/>
                <w:szCs w:val="24"/>
                <w:highlight w:val="none"/>
              </w:rPr>
              <w:t>中已获得前序标段中标权的供应商，则其后序标段不再被推荐为中标候选人</w:t>
            </w:r>
            <w:r>
              <w:rPr>
                <w:rFonts w:hint="eastAsia" w:ascii="仿宋" w:hAnsi="仿宋" w:eastAsia="仿宋" w:cs="仿宋"/>
                <w:color w:val="auto"/>
                <w:sz w:val="24"/>
                <w:szCs w:val="24"/>
                <w:highlight w:val="none"/>
              </w:rPr>
              <w:t>/中标人</w:t>
            </w:r>
            <w:r>
              <w:rPr>
                <w:rFonts w:ascii="仿宋" w:hAnsi="仿宋" w:eastAsia="仿宋" w:cs="仿宋"/>
                <w:color w:val="auto"/>
                <w:sz w:val="24"/>
                <w:szCs w:val="24"/>
                <w:highlight w:val="none"/>
              </w:rPr>
              <w:t>。</w:t>
            </w:r>
          </w:p>
          <w:p>
            <w:pPr>
              <w:wordWrap w:val="0"/>
              <w:autoSpaceDE w:val="0"/>
              <w:autoSpaceDN w:val="0"/>
              <w:adjustRightInd w:val="0"/>
              <w:spacing w:before="93" w:beforeLines="30" w:after="93" w:afterLines="30"/>
              <w:rPr>
                <w:rFonts w:ascii="仿宋" w:hAnsi="仿宋" w:eastAsia="仿宋" w:cs="仿宋"/>
                <w:color w:val="FF0000"/>
                <w:sz w:val="24"/>
                <w:szCs w:val="24"/>
                <w:highlight w:val="none"/>
              </w:rPr>
            </w:pPr>
            <w:r>
              <w:rPr>
                <w:rFonts w:hint="eastAsia" w:ascii="仿宋" w:hAnsi="仿宋" w:eastAsia="仿宋" w:cs="仿宋"/>
                <w:color w:val="auto"/>
                <w:sz w:val="24"/>
                <w:szCs w:val="24"/>
                <w:highlight w:val="none"/>
                <w:lang w:val="en-US" w:eastAsia="zh-CN"/>
              </w:rPr>
              <w:t>4</w:t>
            </w:r>
            <w:r>
              <w:rPr>
                <w:rFonts w:ascii="仿宋" w:hAnsi="仿宋" w:eastAsia="仿宋" w:cs="仿宋"/>
                <w:color w:val="auto"/>
                <w:sz w:val="24"/>
                <w:szCs w:val="24"/>
                <w:highlight w:val="none"/>
              </w:rPr>
              <w:t>.2 若在本次</w:t>
            </w: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标段至第四标段</w:t>
            </w:r>
            <w:r>
              <w:rPr>
                <w:rFonts w:ascii="仿宋" w:hAnsi="仿宋" w:eastAsia="仿宋" w:cs="仿宋"/>
                <w:color w:val="auto"/>
                <w:sz w:val="24"/>
                <w:szCs w:val="24"/>
                <w:highlight w:val="none"/>
              </w:rPr>
              <w:t>招标中，前序标段未开标或废标，而后序标段满足开评标条件，则后序标段依法进行开评标工作，且推荐中标候选人时不再考虑前序未开标或废标标段的供应商中标候选情况。</w:t>
            </w:r>
          </w:p>
          <w:p>
            <w:pPr>
              <w:wordWrap w:val="0"/>
              <w:autoSpaceDE w:val="0"/>
              <w:autoSpaceDN w:val="0"/>
              <w:adjustRightInd w:val="0"/>
              <w:spacing w:before="93" w:beforeLines="30" w:after="93" w:afterLines="30"/>
              <w:rPr>
                <w:rFonts w:ascii="仿宋" w:hAnsi="仿宋" w:eastAsia="仿宋" w:cs="仿宋"/>
                <w:sz w:val="24"/>
                <w:szCs w:val="24"/>
                <w:highlight w:val="none"/>
              </w:rPr>
            </w:pPr>
            <w:r>
              <w:rPr>
                <w:rFonts w:ascii="仿宋" w:hAnsi="仿宋" w:eastAsia="仿宋" w:cs="仿宋"/>
                <w:sz w:val="24"/>
                <w:szCs w:val="24"/>
                <w:highlight w:val="none"/>
              </w:rPr>
              <w:t>6.本项目各标包（标段）通过资格、符合性审查并实质响应招标文件的投标人，即使未被推荐为中标候选人，其投标依然有效（即其投标不被视为无效投标）。</w:t>
            </w:r>
          </w:p>
          <w:p>
            <w:pPr>
              <w:wordWrap w:val="0"/>
              <w:autoSpaceDE w:val="0"/>
              <w:autoSpaceDN w:val="0"/>
              <w:adjustRightInd w:val="0"/>
              <w:spacing w:before="93" w:beforeLines="30" w:after="93" w:afterLines="30"/>
              <w:rPr>
                <w:rFonts w:ascii="仿宋" w:hAnsi="仿宋" w:eastAsia="仿宋" w:cs="仿宋"/>
                <w:sz w:val="24"/>
                <w:szCs w:val="24"/>
                <w:highlight w:val="none"/>
              </w:rPr>
            </w:pPr>
            <w:r>
              <w:rPr>
                <w:rFonts w:ascii="仿宋" w:hAnsi="仿宋" w:eastAsia="仿宋" w:cs="仿宋"/>
                <w:sz w:val="24"/>
                <w:szCs w:val="24"/>
                <w:highlight w:val="none"/>
              </w:rPr>
              <w:t>7. 根据《关于公共资源交易领域政府采购项目实行线上“不见面”开标的通知》要求，各供应商应在开标时间通过线上“不见面开标大厅”（https://ggzy.xizang.gov.cn/open-web-zc/login）准时参与开标会议，供应商法定代表人或授权代表无须到达开标地点进行开标及解密工作。请各供应商提前做好线上“不见面开标大厅”开标、解密准备工作，“不见面开标大厅”操作细则详见西藏自治区公共资源交易网（http://ggzy.xizang.gov.cn/）——服务中心——“西藏自治区公共资源交易平台-不见面开标大厅演示视频”及“西藏自治区公共资源交易平台政府采购交易系统操作手册”。</w:t>
            </w:r>
          </w:p>
          <w:p>
            <w:pPr>
              <w:wordWrap w:val="0"/>
              <w:autoSpaceDE w:val="0"/>
              <w:autoSpaceDN w:val="0"/>
              <w:adjustRightInd w:val="0"/>
              <w:spacing w:before="93" w:beforeLines="30" w:after="93" w:afterLines="30"/>
              <w:rPr>
                <w:highlight w:val="none"/>
              </w:rPr>
            </w:pPr>
            <w:r>
              <w:rPr>
                <w:rFonts w:ascii="仿宋" w:hAnsi="仿宋" w:eastAsia="仿宋" w:cs="仿宋"/>
                <w:sz w:val="24"/>
                <w:szCs w:val="24"/>
                <w:highlight w:val="none"/>
              </w:rPr>
              <w:t>8.供应商应在开放解密后60分钟内完成投标文件解密工作。若供应商未在本项目（各标段/标包）开放解密后60分钟内完成投标文件远程自行解密，相关责任、后果由供应商自行承担，本项目（各标段/标包）开放解密后60分钟后采购人、采购代理机构有权结束解密环节并继续进行后续采购活动。</w:t>
            </w:r>
          </w:p>
        </w:tc>
      </w:tr>
    </w:tbl>
    <w:p>
      <w:pPr>
        <w:jc w:val="center"/>
        <w:rPr>
          <w:rFonts w:ascii="仿宋" w:hAnsi="仿宋" w:eastAsia="仿宋" w:cs="仿宋"/>
          <w:b/>
          <w:bCs/>
          <w:sz w:val="28"/>
          <w:szCs w:val="28"/>
          <w:highlight w:val="none"/>
        </w:rPr>
      </w:pPr>
      <w:r>
        <w:rPr>
          <w:rFonts w:ascii="仿宋" w:hAnsi="仿宋" w:eastAsia="仿宋" w:cs="仿宋"/>
          <w:b/>
          <w:bCs/>
          <w:sz w:val="28"/>
          <w:szCs w:val="28"/>
          <w:highlight w:val="none"/>
        </w:rPr>
        <w:br w:type="page"/>
      </w:r>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p>
    <w:p>
      <w:pPr>
        <w:jc w:val="center"/>
        <w:outlineLvl w:val="0"/>
        <w:rPr>
          <w:rFonts w:ascii="仿宋" w:hAnsi="仿宋" w:eastAsia="仿宋" w:cs="仿宋"/>
          <w:b/>
          <w:bCs/>
          <w:sz w:val="44"/>
          <w:szCs w:val="44"/>
          <w:highlight w:val="none"/>
        </w:rPr>
      </w:pPr>
      <w:bookmarkStart w:id="42" w:name="_Toc110245233"/>
      <w:r>
        <w:rPr>
          <w:rFonts w:hint="eastAsia" w:ascii="仿宋" w:hAnsi="仿宋" w:eastAsia="仿宋" w:cs="仿宋"/>
          <w:b/>
          <w:bCs/>
          <w:sz w:val="44"/>
          <w:szCs w:val="44"/>
          <w:highlight w:val="none"/>
        </w:rPr>
        <w:t>第三章 投标人须知</w:t>
      </w:r>
      <w:bookmarkEnd w:id="42"/>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r>
        <w:rPr>
          <w:rFonts w:ascii="仿宋" w:hAnsi="仿宋" w:eastAsia="仿宋" w:cs="仿宋"/>
          <w:b/>
          <w:bCs/>
          <w:sz w:val="28"/>
          <w:szCs w:val="28"/>
          <w:highlight w:val="none"/>
        </w:rPr>
        <w:br w:type="page"/>
      </w:r>
    </w:p>
    <w:p>
      <w:pPr>
        <w:keepNext/>
        <w:keepLines/>
        <w:spacing w:line="360" w:lineRule="auto"/>
        <w:jc w:val="center"/>
        <w:outlineLvl w:val="1"/>
        <w:rPr>
          <w:rFonts w:ascii="仿宋" w:hAnsi="仿宋" w:eastAsia="仿宋" w:cs="仿宋"/>
          <w:b/>
          <w:bCs/>
          <w:sz w:val="28"/>
          <w:szCs w:val="28"/>
          <w:highlight w:val="none"/>
        </w:rPr>
      </w:pPr>
      <w:bookmarkStart w:id="43" w:name="_Toc5287"/>
      <w:bookmarkStart w:id="44" w:name="_Toc9473"/>
      <w:bookmarkStart w:id="45" w:name="_Toc15055"/>
      <w:bookmarkStart w:id="46" w:name="_Toc30728"/>
      <w:bookmarkStart w:id="47" w:name="_Toc15640467"/>
      <w:bookmarkStart w:id="48" w:name="_Toc110245234"/>
      <w:bookmarkStart w:id="49" w:name="_Toc25136"/>
      <w:bookmarkStart w:id="50" w:name="_Toc27999"/>
      <w:bookmarkStart w:id="51" w:name="_Toc31880"/>
      <w:r>
        <w:rPr>
          <w:rFonts w:hint="eastAsia" w:ascii="仿宋" w:hAnsi="仿宋" w:eastAsia="仿宋" w:cs="仿宋"/>
          <w:b/>
          <w:bCs/>
          <w:sz w:val="28"/>
          <w:szCs w:val="28"/>
          <w:highlight w:val="none"/>
        </w:rPr>
        <w:t>一、说明</w:t>
      </w:r>
      <w:bookmarkEnd w:id="43"/>
      <w:bookmarkEnd w:id="44"/>
      <w:bookmarkEnd w:id="45"/>
      <w:bookmarkEnd w:id="46"/>
      <w:bookmarkEnd w:id="47"/>
      <w:bookmarkEnd w:id="48"/>
      <w:bookmarkEnd w:id="49"/>
      <w:bookmarkEnd w:id="50"/>
      <w:bookmarkEnd w:id="51"/>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1.适用范围</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本招标文件仅适用于“投标人须知前附表”所述项目的采购。</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2.定义</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 采购人：详见“投标人须知前附表”。</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2.2 采购代理机构：详见“投标人须知前附表”。</w:t>
      </w:r>
    </w:p>
    <w:p>
      <w:pPr>
        <w:widowControl/>
        <w:spacing w:line="360" w:lineRule="auto"/>
        <w:ind w:firstLine="480" w:firstLineChars="200"/>
        <w:rPr>
          <w:rFonts w:ascii="仿宋" w:hAnsi="仿宋" w:eastAsia="仿宋" w:cs="Times New Roman"/>
          <w:sz w:val="24"/>
          <w:szCs w:val="24"/>
          <w:highlight w:val="none"/>
          <w:lang w:val="en-ZW"/>
        </w:rPr>
      </w:pPr>
      <w:r>
        <w:rPr>
          <w:rFonts w:hint="eastAsia" w:ascii="仿宋" w:hAnsi="仿宋" w:eastAsia="仿宋" w:cs="Times New Roman"/>
          <w:sz w:val="24"/>
          <w:szCs w:val="24"/>
          <w:highlight w:val="none"/>
          <w:lang w:val="en-ZW"/>
        </w:rPr>
        <w:t>2.3</w:t>
      </w:r>
      <w:r>
        <w:rPr>
          <w:rFonts w:ascii="仿宋" w:hAnsi="仿宋" w:eastAsia="仿宋" w:cs="Times New Roman"/>
          <w:sz w:val="24"/>
          <w:szCs w:val="24"/>
          <w:highlight w:val="none"/>
          <w:lang w:val="en-ZW"/>
        </w:rPr>
        <w:t xml:space="preserve"> </w:t>
      </w:r>
      <w:r>
        <w:rPr>
          <w:rFonts w:hint="eastAsia" w:ascii="仿宋" w:hAnsi="仿宋" w:eastAsia="仿宋" w:cs="Times New Roman"/>
          <w:sz w:val="24"/>
          <w:szCs w:val="24"/>
          <w:highlight w:val="none"/>
          <w:lang w:val="en-ZW"/>
        </w:rPr>
        <w:t>供应商：向采购人提供货物、工程或者服务的法人、其他组织或者自然人。</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2.4 潜在投标人：指有意参加投标的供应商。</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2.5 投标人：指实际参加了投标的供应商。</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2.6 中标候选人：经过评标委员会详细评定，标明了明确排序的并供进一步在其中确定中标人的投标人。</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2.7 中标人：最终被授予合同的投标人。</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2.8</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“货物”系指招标文件规定供应商须向采购人供应的各种形态和种类的物品，包括原材料、燃料、设备、产品等。</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2.9 “服务”系指招标文件规定供应商须承担的各种非实物形式的事务履行，包括服务内容本身、向社会公众提供的公共服务等。</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2.10 “产品”系指供应商按招标文件规定，须向采购人提供的一切货物、服务、伴随服务及产生的成果等。</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2.11 “书面形式”系指合同书、信件和数据电文</w:t>
      </w:r>
      <w:r>
        <w:rPr>
          <w:rFonts w:ascii="仿宋" w:hAnsi="仿宋" w:eastAsia="仿宋" w:cs="仿宋"/>
          <w:sz w:val="24"/>
          <w:szCs w:val="24"/>
          <w:highlight w:val="none"/>
        </w:rPr>
        <w:t>(包括电报、电传、传真、电子数据交换和电子邮件)等可以有形地表现所载内容的形式</w:t>
      </w:r>
      <w:r>
        <w:rPr>
          <w:rFonts w:hint="eastAsia" w:ascii="仿宋" w:hAnsi="仿宋" w:eastAsia="仿宋" w:cs="仿宋"/>
          <w:sz w:val="24"/>
          <w:szCs w:val="24"/>
          <w:highlight w:val="none"/>
        </w:rPr>
        <w:t>。</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2.12 “▲”系指实质性要求条款。</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2.13 “伴随服务”系指投标人须承担的与供货及提供服务有关的其他辅助服务，如运输、装卸、安装、调试、维修维护、培训、成果编制、保险、税金等。</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2.14</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除非招标公告及下文另有规定，则本招标文件所称“货物”、“服务”均不包含工程相关内容。</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2.1</w:t>
      </w:r>
      <w:r>
        <w:rPr>
          <w:rFonts w:ascii="仿宋" w:hAnsi="仿宋" w:eastAsia="仿宋" w:cs="Times New Roman"/>
          <w:sz w:val="24"/>
          <w:szCs w:val="24"/>
          <w:highlight w:val="none"/>
        </w:rPr>
        <w:t xml:space="preserve">5 </w:t>
      </w:r>
      <w:r>
        <w:rPr>
          <w:rFonts w:hint="eastAsia" w:ascii="仿宋" w:hAnsi="仿宋" w:eastAsia="仿宋" w:cs="Times New Roman"/>
          <w:sz w:val="24"/>
          <w:szCs w:val="24"/>
          <w:highlight w:val="none"/>
        </w:rPr>
        <w:t>对于本招标文件中未明确定义的内容，以国家相关法律法规规定为准，若无相关规定，则以采购人及采购代理机构书面解释为准。</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.16 </w:t>
      </w:r>
      <w:r>
        <w:rPr>
          <w:rFonts w:hint="eastAsia" w:ascii="仿宋" w:hAnsi="仿宋" w:eastAsia="仿宋" w:cs="Times New Roman"/>
          <w:sz w:val="24"/>
          <w:szCs w:val="24"/>
          <w:highlight w:val="none"/>
        </w:rPr>
        <w:t>“现场查询”系指由采购人或采购代理机构于开评标现场通过互联网等媒介进行查询，查询结果现场打印存档。</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2.17 公章系指符合《国务院关于国家行政机关和企业事业单位社会团体印章管理的规定》（国发〔1999〕25 号）的单位正式印章。除原件要求或特别说明之处外：对于本招标文件所称（或理解为）投标文件相关资料应“加盖公章”之处，投标人可自行选择实体公章加盖后扫描或使用符合《中华人民共和国电子签名法》及西藏自治区公共资源交易系统规定的电子公章加盖；对于本招标文件所称（或理解为）投标文件相关资料应“签名/签字”之处，投标人可自行选择由对应人员签字/签名后扫描或使用符合《中华人民共和国电子签名法》及西藏自治区公共资源交</w:t>
      </w:r>
      <w:r>
        <w:rPr>
          <w:rFonts w:hint="eastAsia" w:ascii="仿宋" w:hAnsi="仿宋" w:eastAsia="仿宋" w:cs="Times New Roman"/>
          <w:sz w:val="24"/>
          <w:szCs w:val="24"/>
          <w:highlight w:val="none"/>
        </w:rPr>
        <w:t>易系统规定的电子签名进行签名</w:t>
      </w:r>
      <w:r>
        <w:rPr>
          <w:rFonts w:ascii="仿宋" w:hAnsi="仿宋" w:eastAsia="仿宋" w:cs="Times New Roman"/>
          <w:sz w:val="24"/>
          <w:szCs w:val="24"/>
          <w:highlight w:val="none"/>
        </w:rPr>
        <w:t>/签字。</w:t>
      </w:r>
    </w:p>
    <w:p>
      <w:pPr>
        <w:spacing w:line="360" w:lineRule="auto"/>
        <w:ind w:firstLine="480" w:firstLineChars="200"/>
        <w:rPr>
          <w:rFonts w:ascii="仿宋" w:hAnsi="仿宋" w:eastAsia="仿宋" w:cs="仿宋"/>
          <w:b/>
          <w:sz w:val="24"/>
          <w:szCs w:val="24"/>
          <w:highlight w:val="none"/>
        </w:rPr>
      </w:pPr>
      <w:r>
        <w:rPr>
          <w:rFonts w:hint="eastAsia" w:ascii="仿宋" w:hAnsi="仿宋" w:eastAsia="仿宋" w:cs="仿宋"/>
          <w:sz w:val="24"/>
          <w:szCs w:val="24"/>
          <w:highlight w:val="none"/>
        </w:rPr>
        <w:t>▲</w:t>
      </w:r>
      <w:r>
        <w:rPr>
          <w:rFonts w:hint="eastAsia" w:ascii="仿宋" w:hAnsi="仿宋" w:eastAsia="仿宋" w:cs="仿宋"/>
          <w:b/>
          <w:sz w:val="24"/>
          <w:szCs w:val="24"/>
          <w:highlight w:val="none"/>
        </w:rPr>
        <w:t>3.合格的投标人</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.1</w:t>
      </w:r>
      <w:r>
        <w:rPr>
          <w:rFonts w:hint="eastAsia" w:ascii="仿宋" w:hAnsi="仿宋" w:eastAsia="仿宋" w:cs="仿宋"/>
          <w:sz w:val="24"/>
          <w:szCs w:val="24"/>
          <w:highlight w:val="none"/>
        </w:rPr>
        <w:t xml:space="preserve"> </w:t>
      </w:r>
      <w:r>
        <w:rPr>
          <w:rFonts w:ascii="仿宋" w:hAnsi="仿宋" w:eastAsia="仿宋" w:cs="仿宋"/>
          <w:sz w:val="24"/>
          <w:szCs w:val="24"/>
          <w:highlight w:val="none"/>
        </w:rPr>
        <w:t>投标人必须具备《中华人民共和国政府采购法》第二十二条规定的条件。</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.2</w:t>
      </w:r>
      <w:r>
        <w:rPr>
          <w:rFonts w:hint="eastAsia" w:ascii="仿宋" w:hAnsi="仿宋" w:eastAsia="仿宋" w:cs="仿宋"/>
          <w:sz w:val="24"/>
          <w:szCs w:val="24"/>
          <w:highlight w:val="none"/>
        </w:rPr>
        <w:t xml:space="preserve"> 若</w:t>
      </w:r>
      <w:r>
        <w:rPr>
          <w:rFonts w:ascii="仿宋" w:hAnsi="仿宋" w:eastAsia="仿宋" w:cs="仿宋"/>
          <w:sz w:val="24"/>
          <w:szCs w:val="24"/>
          <w:highlight w:val="none"/>
        </w:rPr>
        <w:t>投标人直接或间接地为本项目提供了整体设计、规范编制或者项目管理、监理、检测、咨询等服务或与提供服务的公司有从属及直接控股、管理关系，</w:t>
      </w:r>
      <w:r>
        <w:rPr>
          <w:rFonts w:hint="eastAsia" w:ascii="仿宋" w:hAnsi="仿宋" w:eastAsia="仿宋" w:cs="仿宋"/>
          <w:sz w:val="24"/>
          <w:szCs w:val="24"/>
          <w:highlight w:val="none"/>
        </w:rPr>
        <w:t>则视为不合格投标人，其投标无效</w:t>
      </w:r>
      <w:r>
        <w:rPr>
          <w:rFonts w:ascii="仿宋" w:hAnsi="仿宋" w:eastAsia="仿宋" w:cs="仿宋"/>
          <w:sz w:val="24"/>
          <w:szCs w:val="24"/>
          <w:highlight w:val="none"/>
        </w:rPr>
        <w:t>。</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w:t>
      </w:r>
      <w:r>
        <w:rPr>
          <w:rFonts w:hint="eastAsia" w:ascii="仿宋" w:hAnsi="仿宋" w:eastAsia="仿宋" w:cs="仿宋"/>
          <w:sz w:val="24"/>
          <w:szCs w:val="24"/>
          <w:highlight w:val="none"/>
        </w:rPr>
        <w:t xml:space="preserve">3 </w:t>
      </w:r>
      <w:r>
        <w:rPr>
          <w:rFonts w:ascii="仿宋" w:hAnsi="仿宋" w:eastAsia="仿宋" w:cs="仿宋"/>
          <w:sz w:val="24"/>
          <w:szCs w:val="24"/>
          <w:highlight w:val="none"/>
        </w:rPr>
        <w:t>投标单位负责人为同一人或者存在直接控股、管理关系的不同供应商,不得参加同一合同项下的政府采购活动。</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w:t>
      </w:r>
      <w:r>
        <w:rPr>
          <w:rFonts w:hint="eastAsia" w:ascii="仿宋" w:hAnsi="仿宋" w:eastAsia="仿宋" w:cs="仿宋"/>
          <w:sz w:val="24"/>
          <w:szCs w:val="24"/>
          <w:highlight w:val="none"/>
        </w:rPr>
        <w:t xml:space="preserve">4 </w:t>
      </w:r>
      <w:r>
        <w:rPr>
          <w:rFonts w:ascii="仿宋" w:hAnsi="仿宋" w:eastAsia="仿宋" w:cs="仿宋"/>
          <w:sz w:val="24"/>
          <w:szCs w:val="24"/>
          <w:highlight w:val="none"/>
        </w:rPr>
        <w:t>投标人必须满足本招标文件规定的各项资格性条件及实质性要求。</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3.5</w:t>
      </w:r>
      <w:r>
        <w:rPr>
          <w:rFonts w:ascii="仿宋" w:hAnsi="仿宋" w:eastAsia="仿宋" w:cs="Times New Roman"/>
          <w:sz w:val="24"/>
          <w:szCs w:val="24"/>
          <w:highlight w:val="none"/>
        </w:rPr>
        <w:t xml:space="preserve"> </w:t>
      </w:r>
      <w:r>
        <w:rPr>
          <w:rFonts w:hint="eastAsia" w:ascii="仿宋" w:hAnsi="仿宋" w:eastAsia="仿宋" w:cs="Times New Roman"/>
          <w:sz w:val="24"/>
          <w:szCs w:val="24"/>
          <w:highlight w:val="none"/>
        </w:rPr>
        <w:t>对于以联合体形式参与投标的投标人，需满足本招标文件关于联合体参与投标的要求。</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4.投标费用</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投标人应自行承担与参加投标有关的全部费用，不论投标的结果如何，采购人及采购代理机构无义务和责任承担这些费用。</w:t>
      </w:r>
    </w:p>
    <w:p>
      <w:pPr>
        <w:spacing w:line="360" w:lineRule="auto"/>
        <w:ind w:firstLine="480" w:firstLineChars="200"/>
        <w:rPr>
          <w:rFonts w:ascii="仿宋" w:hAnsi="仿宋" w:eastAsia="仿宋" w:cs="仿宋"/>
          <w:b/>
          <w:sz w:val="24"/>
          <w:szCs w:val="24"/>
          <w:highlight w:val="none"/>
        </w:rPr>
      </w:pPr>
      <w:r>
        <w:rPr>
          <w:rFonts w:hint="eastAsia" w:ascii="仿宋" w:hAnsi="仿宋" w:eastAsia="仿宋" w:cs="仿宋"/>
          <w:sz w:val="24"/>
          <w:szCs w:val="24"/>
          <w:highlight w:val="none"/>
        </w:rPr>
        <w:t>▲</w:t>
      </w:r>
      <w:r>
        <w:rPr>
          <w:rFonts w:hint="eastAsia" w:ascii="仿宋" w:hAnsi="仿宋" w:eastAsia="仿宋" w:cs="仿宋"/>
          <w:b/>
          <w:sz w:val="24"/>
          <w:szCs w:val="24"/>
          <w:highlight w:val="none"/>
        </w:rPr>
        <w:t>5.联合体投标（适用于允许联合体投标的情况）</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5.1</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本项目是否接受联合体投标，依照“投标人须知前附表”规定执行。</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5.2</w:t>
      </w:r>
      <w:r>
        <w:rPr>
          <w:rFonts w:ascii="仿宋" w:hAnsi="仿宋" w:eastAsia="仿宋" w:cs="Times New Roman"/>
          <w:sz w:val="24"/>
          <w:szCs w:val="24"/>
          <w:highlight w:val="none"/>
        </w:rPr>
        <w:t xml:space="preserve"> 如果本次招标允许两个或两个以上</w:t>
      </w:r>
      <w:r>
        <w:rPr>
          <w:rFonts w:hint="eastAsia" w:ascii="仿宋" w:hAnsi="仿宋" w:eastAsia="仿宋" w:cs="Times New Roman"/>
          <w:sz w:val="24"/>
          <w:szCs w:val="24"/>
          <w:highlight w:val="none"/>
        </w:rPr>
        <w:t>供应商</w:t>
      </w:r>
      <w:r>
        <w:rPr>
          <w:rFonts w:ascii="仿宋" w:hAnsi="仿宋" w:eastAsia="仿宋" w:cs="Times New Roman"/>
          <w:sz w:val="24"/>
          <w:szCs w:val="24"/>
          <w:highlight w:val="none"/>
        </w:rPr>
        <w:t>组成联合体参与投标，则整个联合体将被视为一个投标人，且组成联合体的牵头人及各成员</w:t>
      </w:r>
      <w:r>
        <w:rPr>
          <w:rFonts w:hint="eastAsia" w:ascii="仿宋" w:hAnsi="仿宋" w:eastAsia="仿宋" w:cs="Times New Roman"/>
          <w:sz w:val="24"/>
          <w:szCs w:val="24"/>
          <w:highlight w:val="none"/>
        </w:rPr>
        <w:t>均</w:t>
      </w:r>
      <w:r>
        <w:rPr>
          <w:rFonts w:ascii="仿宋" w:hAnsi="仿宋" w:eastAsia="仿宋" w:cs="Times New Roman"/>
          <w:sz w:val="24"/>
          <w:szCs w:val="24"/>
          <w:highlight w:val="none"/>
        </w:rPr>
        <w:t>应满足</w:t>
      </w:r>
      <w:r>
        <w:rPr>
          <w:rFonts w:hint="eastAsia" w:ascii="仿宋" w:hAnsi="仿宋" w:eastAsia="仿宋" w:cs="Times New Roman"/>
          <w:sz w:val="24"/>
          <w:szCs w:val="24"/>
          <w:highlight w:val="none"/>
        </w:rPr>
        <w:t>《中华人民共和国政府采购法》第二十二条规定的条件</w:t>
      </w:r>
      <w:r>
        <w:rPr>
          <w:rFonts w:ascii="仿宋" w:hAnsi="仿宋" w:eastAsia="仿宋" w:cs="Times New Roman"/>
          <w:sz w:val="24"/>
          <w:szCs w:val="24"/>
          <w:highlight w:val="none"/>
        </w:rPr>
        <w:t>。当由两个或两个以上单位组成联合体时，除须提交联合体各方各自的相关证明文件外，还应符合下列要求：</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1）应随投标文件提交“联合体协议书”，该协议中应明确指定联合体的牵头人，阐明联合体各方的职责和分工，声明联合体各方在合同执行过程中将承担各自独立和相互连带的责任；</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2）联合体各方的职责和分工应与各自的特长、专业工作经验和资质等级允许承担的工作范围（若有时）相适应；</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3）投标人的投标文件及中标后签署的合同文件，对联合体的每一成员均具有法律约束力；</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4）除牵头人之外的联合体其他各方的单位负责人应签署并提交授权书，以证明联合体牵头人的资格；</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5）联合体牵头人应被授权</w:t>
      </w:r>
      <w:r>
        <w:rPr>
          <w:rFonts w:hint="eastAsia" w:ascii="仿宋" w:hAnsi="仿宋" w:eastAsia="仿宋" w:cs="Times New Roman"/>
          <w:sz w:val="24"/>
          <w:szCs w:val="24"/>
          <w:highlight w:val="none"/>
        </w:rPr>
        <w:t>并</w:t>
      </w:r>
      <w:r>
        <w:rPr>
          <w:rFonts w:ascii="仿宋" w:hAnsi="仿宋" w:eastAsia="仿宋" w:cs="Times New Roman"/>
          <w:sz w:val="24"/>
          <w:szCs w:val="24"/>
          <w:highlight w:val="none"/>
        </w:rPr>
        <w:t>代表所有联合体成员承担责任和接受指令，并且由联合体牵头人负责整个合同的全面实施；</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6）联合体的各成员不得再以自己名义单独参加本次投标，也不得同时加入两个或两个以上联合体参加本次投标，如有违反将取消全部相关投标人的投标资格；</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7）</w:t>
      </w:r>
      <w:r>
        <w:rPr>
          <w:rFonts w:hint="eastAsia" w:ascii="仿宋" w:hAnsi="仿宋" w:eastAsia="仿宋" w:cs="Times New Roman"/>
          <w:sz w:val="24"/>
          <w:szCs w:val="24"/>
          <w:highlight w:val="none"/>
        </w:rPr>
        <w:t>联合体中有同类资质的供应商按照联合体分工承担相同工作的</w:t>
      </w:r>
      <w:r>
        <w:rPr>
          <w:rFonts w:ascii="仿宋" w:hAnsi="仿宋" w:eastAsia="仿宋" w:cs="Times New Roman"/>
          <w:sz w:val="24"/>
          <w:szCs w:val="24"/>
          <w:highlight w:val="none"/>
        </w:rPr>
        <w:t>,应当按照资质等级较低的供应商确定资质等级。</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5.3 在投标文件格式中，除特别说明需要联合体各方或某一成员方进行盖章、签字、证明或提供资料之处，均可由牵头人进行盖章、签字、证明或提供资料。</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6.分包</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投标人根据采购项目的实际情况，拟在中标后将中标项目的非主体、非关键性工作分包的，应当在投标文件中载明分包承担主体，分包承担主体应当具备相应资质条件且不得再次分包。分包须经采购人同意。具体以须知前附表为准。</w:t>
      </w:r>
    </w:p>
    <w:p>
      <w:pPr>
        <w:spacing w:line="360" w:lineRule="auto"/>
        <w:ind w:firstLine="482" w:firstLineChars="200"/>
        <w:rPr>
          <w:rFonts w:ascii="仿宋" w:hAnsi="仿宋" w:eastAsia="仿宋" w:cs="仿宋"/>
          <w:b/>
          <w:sz w:val="24"/>
          <w:szCs w:val="24"/>
          <w:highlight w:val="none"/>
        </w:rPr>
      </w:pPr>
      <w:r>
        <w:rPr>
          <w:rFonts w:ascii="仿宋" w:hAnsi="仿宋" w:eastAsia="仿宋" w:cs="仿宋"/>
          <w:b/>
          <w:sz w:val="24"/>
          <w:szCs w:val="24"/>
          <w:highlight w:val="none"/>
        </w:rPr>
        <w:t>7</w:t>
      </w:r>
      <w:r>
        <w:rPr>
          <w:rFonts w:hint="eastAsia" w:ascii="仿宋" w:hAnsi="仿宋" w:eastAsia="仿宋" w:cs="仿宋"/>
          <w:b/>
          <w:sz w:val="24"/>
          <w:szCs w:val="24"/>
          <w:highlight w:val="none"/>
        </w:rPr>
        <w:t>.询问</w:t>
      </w:r>
    </w:p>
    <w:p>
      <w:pPr>
        <w:spacing w:line="360" w:lineRule="auto"/>
        <w:ind w:firstLine="480" w:firstLineChars="200"/>
        <w:rPr>
          <w:rFonts w:ascii="仿宋" w:hAnsi="仿宋" w:eastAsia="仿宋" w:cs="仿宋"/>
          <w:b/>
          <w:sz w:val="24"/>
          <w:szCs w:val="24"/>
          <w:highlight w:val="none"/>
        </w:rPr>
      </w:pPr>
      <w:r>
        <w:rPr>
          <w:rFonts w:hint="eastAsia" w:ascii="仿宋" w:hAnsi="仿宋" w:eastAsia="仿宋" w:cs="仿宋"/>
          <w:sz w:val="24"/>
          <w:szCs w:val="24"/>
          <w:highlight w:val="none"/>
        </w:rPr>
        <w:t>投标人对采购活动事项或采购文件有疑问的，可以向采购人或采购代理机构提出询问，采购人或采购代理机构将在3个工作日内作出答复，答复的内容不涉及商业秘密。</w:t>
      </w:r>
    </w:p>
    <w:p>
      <w:pPr>
        <w:spacing w:line="360" w:lineRule="auto"/>
        <w:ind w:firstLine="482" w:firstLineChars="200"/>
        <w:rPr>
          <w:rFonts w:ascii="仿宋" w:hAnsi="仿宋" w:eastAsia="仿宋" w:cs="仿宋"/>
          <w:b/>
          <w:sz w:val="24"/>
          <w:szCs w:val="24"/>
          <w:highlight w:val="none"/>
        </w:rPr>
      </w:pPr>
      <w:r>
        <w:rPr>
          <w:rFonts w:ascii="仿宋" w:hAnsi="仿宋" w:eastAsia="仿宋" w:cs="仿宋"/>
          <w:b/>
          <w:sz w:val="24"/>
          <w:szCs w:val="24"/>
          <w:highlight w:val="none"/>
        </w:rPr>
        <w:t>8</w:t>
      </w:r>
      <w:r>
        <w:rPr>
          <w:rFonts w:hint="eastAsia" w:ascii="仿宋" w:hAnsi="仿宋" w:eastAsia="仿宋" w:cs="仿宋"/>
          <w:b/>
          <w:sz w:val="24"/>
          <w:szCs w:val="24"/>
          <w:highlight w:val="none"/>
        </w:rPr>
        <w:t>.质疑和投诉</w:t>
      </w:r>
    </w:p>
    <w:p>
      <w:pPr>
        <w:spacing w:line="360" w:lineRule="auto"/>
        <w:ind w:firstLine="480" w:firstLineChars="200"/>
        <w:rPr>
          <w:rFonts w:ascii="仿宋" w:hAnsi="仿宋" w:eastAsia="仿宋" w:cs="仿宋"/>
          <w:szCs w:val="24"/>
          <w:highlight w:val="none"/>
        </w:rPr>
      </w:pPr>
      <w:r>
        <w:rPr>
          <w:rFonts w:ascii="仿宋" w:hAnsi="仿宋" w:eastAsia="仿宋" w:cs="仿宋"/>
          <w:sz w:val="24"/>
          <w:szCs w:val="24"/>
          <w:highlight w:val="none"/>
        </w:rPr>
        <w:t>8</w:t>
      </w:r>
      <w:r>
        <w:rPr>
          <w:rFonts w:hint="eastAsia" w:ascii="仿宋" w:hAnsi="仿宋" w:eastAsia="仿宋" w:cs="仿宋"/>
          <w:sz w:val="24"/>
          <w:szCs w:val="24"/>
          <w:highlight w:val="none"/>
        </w:rPr>
        <w:t>.</w:t>
      </w:r>
      <w:r>
        <w:rPr>
          <w:rFonts w:ascii="仿宋" w:hAnsi="仿宋" w:eastAsia="仿宋" w:cs="仿宋"/>
          <w:sz w:val="24"/>
          <w:szCs w:val="24"/>
          <w:highlight w:val="none"/>
        </w:rPr>
        <w:t xml:space="preserve">1 </w:t>
      </w:r>
      <w:r>
        <w:rPr>
          <w:rFonts w:hint="eastAsia" w:ascii="仿宋" w:hAnsi="仿宋" w:eastAsia="仿宋" w:cs="仿宋"/>
          <w:sz w:val="24"/>
          <w:szCs w:val="24"/>
          <w:highlight w:val="none"/>
        </w:rPr>
        <w:t>质疑和投诉的提出时限、程序、所需函件及相关材料按照《中华人民共和国政府采购法》《中华人民共和国政府采购法实施条例》《政府采购质疑和投诉办法》等相关法律法规要求执行。</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8</w:t>
      </w:r>
      <w:r>
        <w:rPr>
          <w:rFonts w:hint="eastAsia" w:ascii="仿宋" w:hAnsi="仿宋" w:eastAsia="仿宋" w:cs="仿宋"/>
          <w:sz w:val="24"/>
          <w:szCs w:val="24"/>
          <w:highlight w:val="none"/>
        </w:rPr>
        <w:t>.</w:t>
      </w:r>
      <w:r>
        <w:rPr>
          <w:rFonts w:ascii="仿宋" w:hAnsi="仿宋" w:eastAsia="仿宋" w:cs="仿宋"/>
          <w:sz w:val="24"/>
          <w:szCs w:val="24"/>
          <w:highlight w:val="none"/>
        </w:rPr>
        <w:t>2</w:t>
      </w:r>
      <w:r>
        <w:rPr>
          <w:rFonts w:hint="eastAsia" w:ascii="仿宋" w:hAnsi="仿宋" w:eastAsia="仿宋" w:cs="仿宋"/>
          <w:sz w:val="24"/>
          <w:szCs w:val="24"/>
          <w:highlight w:val="none"/>
        </w:rPr>
        <w:t xml:space="preserve"> 提出质疑者应同时提交相关证据材料和注明事实的确切来源，并对质疑内容的真实性承担法律责任。</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8</w:t>
      </w:r>
      <w:r>
        <w:rPr>
          <w:rFonts w:hint="eastAsia" w:ascii="仿宋" w:hAnsi="仿宋" w:eastAsia="仿宋" w:cs="仿宋"/>
          <w:sz w:val="24"/>
          <w:szCs w:val="24"/>
          <w:highlight w:val="none"/>
        </w:rPr>
        <w:t>.</w:t>
      </w:r>
      <w:r>
        <w:rPr>
          <w:rFonts w:ascii="仿宋" w:hAnsi="仿宋" w:eastAsia="仿宋" w:cs="仿宋"/>
          <w:sz w:val="24"/>
          <w:szCs w:val="24"/>
          <w:highlight w:val="none"/>
        </w:rPr>
        <w:t>3</w:t>
      </w:r>
      <w:r>
        <w:rPr>
          <w:rFonts w:hint="eastAsia" w:ascii="仿宋" w:hAnsi="仿宋" w:eastAsia="仿宋" w:cs="仿宋"/>
          <w:sz w:val="24"/>
          <w:szCs w:val="24"/>
          <w:highlight w:val="none"/>
        </w:rPr>
        <w:t xml:space="preserve"> 供应商应在法定质疑期内一次性提出针对同一采购程序环节的质疑，对同一采购环节的重复质疑概不接收与回应。</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 xml:space="preserve">8.4 </w:t>
      </w:r>
      <w:r>
        <w:rPr>
          <w:rFonts w:hint="eastAsia" w:ascii="仿宋" w:hAnsi="仿宋" w:eastAsia="仿宋" w:cs="仿宋"/>
          <w:sz w:val="24"/>
          <w:szCs w:val="24"/>
          <w:highlight w:val="none"/>
        </w:rPr>
        <w:t>供应商对可以质疑的采购文件提出质疑的，质疑期限按以下规定计算：</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（1）采购文件由供应商通过网络平台自行下载的，质疑应当在下载之日起</w:t>
      </w:r>
      <w:r>
        <w:rPr>
          <w:rFonts w:ascii="仿宋" w:hAnsi="仿宋" w:eastAsia="仿宋" w:cs="仿宋"/>
          <w:sz w:val="24"/>
          <w:szCs w:val="24"/>
          <w:highlight w:val="none"/>
        </w:rPr>
        <w:t>7个工作日内提出</w:t>
      </w:r>
      <w:r>
        <w:rPr>
          <w:rFonts w:hint="eastAsia" w:ascii="仿宋" w:hAnsi="仿宋" w:eastAsia="仿宋" w:cs="仿宋"/>
          <w:sz w:val="24"/>
          <w:szCs w:val="24"/>
          <w:highlight w:val="none"/>
        </w:rPr>
        <w:t>；采购文件由供应商到采购人、采购代理机构指定的地点领取的，质疑应当在领取之日起</w:t>
      </w:r>
      <w:r>
        <w:rPr>
          <w:rFonts w:ascii="仿宋" w:hAnsi="仿宋" w:eastAsia="仿宋" w:cs="仿宋"/>
          <w:sz w:val="24"/>
          <w:szCs w:val="24"/>
          <w:highlight w:val="none"/>
        </w:rPr>
        <w:t>7个工作日内提出</w:t>
      </w:r>
      <w:r>
        <w:rPr>
          <w:rFonts w:hint="eastAsia" w:ascii="仿宋" w:hAnsi="仿宋" w:eastAsia="仿宋" w:cs="仿宋"/>
          <w:sz w:val="24"/>
          <w:szCs w:val="24"/>
          <w:highlight w:val="none"/>
        </w:rPr>
        <w:t>；采购文件由采购人、采购代理机构通过电子邮件发送的，质疑应当在邮件发送成功之日起</w:t>
      </w:r>
      <w:r>
        <w:rPr>
          <w:rFonts w:ascii="仿宋" w:hAnsi="仿宋" w:eastAsia="仿宋" w:cs="仿宋"/>
          <w:sz w:val="24"/>
          <w:szCs w:val="24"/>
          <w:highlight w:val="none"/>
        </w:rPr>
        <w:t>7个工作日内提出</w:t>
      </w:r>
      <w:r>
        <w:rPr>
          <w:rFonts w:hint="eastAsia" w:ascii="仿宋" w:hAnsi="仿宋" w:eastAsia="仿宋" w:cs="仿宋"/>
          <w:sz w:val="24"/>
          <w:szCs w:val="24"/>
          <w:highlight w:val="none"/>
        </w:rPr>
        <w:t>；对于其他能够明确供应商获取采购文件时间的情况，质疑应当在获取采购文件之日起</w:t>
      </w:r>
      <w:r>
        <w:rPr>
          <w:rFonts w:ascii="仿宋" w:hAnsi="仿宋" w:eastAsia="仿宋" w:cs="仿宋"/>
          <w:sz w:val="24"/>
          <w:szCs w:val="24"/>
          <w:highlight w:val="none"/>
        </w:rPr>
        <w:t>7个工作日内提出</w:t>
      </w:r>
      <w:r>
        <w:rPr>
          <w:rFonts w:hint="eastAsia" w:ascii="仿宋" w:hAnsi="仿宋" w:eastAsia="仿宋" w:cs="仿宋"/>
          <w:sz w:val="24"/>
          <w:szCs w:val="24"/>
          <w:highlight w:val="none"/>
        </w:rPr>
        <w:t>。</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（2）供应商在采购文件公告期限或提供期限届满之前未在网络平台下载或未领取采购文件的，或出现其他不能够明确供应商获取采购文件时间的情况时，质疑应当在采购文件公告期限届满之日起</w:t>
      </w:r>
      <w:r>
        <w:rPr>
          <w:rFonts w:ascii="仿宋" w:hAnsi="仿宋" w:eastAsia="仿宋" w:cs="仿宋"/>
          <w:sz w:val="24"/>
          <w:szCs w:val="24"/>
          <w:highlight w:val="none"/>
        </w:rPr>
        <w:t>7个工作日内提出</w:t>
      </w:r>
      <w:r>
        <w:rPr>
          <w:rFonts w:hint="eastAsia" w:ascii="仿宋" w:hAnsi="仿宋" w:eastAsia="仿宋" w:cs="仿宋"/>
          <w:sz w:val="24"/>
          <w:szCs w:val="24"/>
          <w:highlight w:val="none"/>
        </w:rPr>
        <w:t>。</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（3）不在法定质疑期内提出的质疑不予接收，不符合要求的质疑函在法定的时限内补充完整，否则自行承担不利结果。</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▲9.特别说明</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9</w:t>
      </w:r>
      <w:r>
        <w:rPr>
          <w:rFonts w:hint="eastAsia" w:ascii="仿宋" w:hAnsi="仿宋" w:eastAsia="仿宋" w:cs="仿宋"/>
          <w:sz w:val="24"/>
          <w:szCs w:val="24"/>
          <w:highlight w:val="none"/>
        </w:rPr>
        <w:t>.</w:t>
      </w:r>
      <w:r>
        <w:rPr>
          <w:rFonts w:ascii="仿宋" w:hAnsi="仿宋" w:eastAsia="仿宋" w:cs="仿宋"/>
          <w:sz w:val="24"/>
          <w:szCs w:val="24"/>
          <w:highlight w:val="none"/>
        </w:rPr>
        <w:t>1</w:t>
      </w:r>
      <w:r>
        <w:rPr>
          <w:rFonts w:hint="eastAsia" w:ascii="仿宋" w:hAnsi="仿宋" w:eastAsia="仿宋" w:cs="仿宋"/>
          <w:sz w:val="24"/>
          <w:szCs w:val="24"/>
          <w:highlight w:val="none"/>
        </w:rPr>
        <w:t xml:space="preserve"> 投标人投标所使用的资格、信誉、荣誉、业绩、企业认证、投入人员等，若无特别说明必须为其自身所有。</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9</w:t>
      </w:r>
      <w:r>
        <w:rPr>
          <w:rFonts w:hint="eastAsia" w:ascii="仿宋" w:hAnsi="仿宋" w:eastAsia="仿宋" w:cs="仿宋"/>
          <w:sz w:val="24"/>
          <w:szCs w:val="24"/>
          <w:highlight w:val="none"/>
        </w:rPr>
        <w:t>.</w:t>
      </w:r>
      <w:r>
        <w:rPr>
          <w:rFonts w:ascii="仿宋" w:hAnsi="仿宋" w:eastAsia="仿宋" w:cs="仿宋"/>
          <w:sz w:val="24"/>
          <w:szCs w:val="24"/>
          <w:highlight w:val="none"/>
        </w:rPr>
        <w:t>2</w:t>
      </w:r>
      <w:r>
        <w:rPr>
          <w:rFonts w:hint="eastAsia" w:ascii="仿宋" w:hAnsi="仿宋" w:eastAsia="仿宋" w:cs="仿宋"/>
          <w:sz w:val="24"/>
          <w:szCs w:val="24"/>
          <w:highlight w:val="none"/>
        </w:rPr>
        <w:t xml:space="preserve"> 投标人应仔细阅读招标文件的所有内容，按照招标文件的要求提交投标文件，并对所提供的全部资料的真实性承担法律责任。</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 xml:space="preserve">9.3 </w:t>
      </w:r>
      <w:r>
        <w:rPr>
          <w:rFonts w:hint="eastAsia" w:ascii="仿宋" w:hAnsi="仿宋" w:eastAsia="仿宋" w:cs="Times New Roman"/>
          <w:sz w:val="24"/>
          <w:szCs w:val="24"/>
          <w:highlight w:val="none"/>
        </w:rPr>
        <w:t>若招标文件中要求提供样品，对于中标人提供的样品，由采购人进行保管、封存，并作为履约验收的参考。</w:t>
      </w:r>
    </w:p>
    <w:p>
      <w:pPr>
        <w:spacing w:line="360" w:lineRule="auto"/>
        <w:ind w:firstLine="482" w:firstLineChars="200"/>
        <w:rPr>
          <w:rFonts w:ascii="仿宋" w:hAnsi="仿宋" w:eastAsia="仿宋" w:cs="Times New Roman"/>
          <w:sz w:val="24"/>
          <w:szCs w:val="24"/>
          <w:highlight w:val="none"/>
        </w:rPr>
      </w:pPr>
      <w:bookmarkStart w:id="52" w:name="_Toc20301"/>
      <w:bookmarkStart w:id="53" w:name="_Toc26958"/>
      <w:bookmarkStart w:id="54" w:name="_Toc22897"/>
      <w:bookmarkStart w:id="55" w:name="_Toc30516"/>
      <w:bookmarkStart w:id="56" w:name="_Toc10683"/>
      <w:bookmarkStart w:id="57" w:name="_Toc15640468"/>
      <w:bookmarkStart w:id="58" w:name="_Toc30845"/>
      <w:bookmarkStart w:id="59" w:name="_Toc30706"/>
      <w:r>
        <w:rPr>
          <w:rFonts w:hint="eastAsia" w:ascii="仿宋" w:hAnsi="仿宋" w:eastAsia="仿宋" w:cs="仿宋"/>
          <w:b/>
          <w:sz w:val="24"/>
          <w:szCs w:val="24"/>
          <w:highlight w:val="none"/>
          <w:u w:val="single"/>
        </w:rPr>
        <w:t>9</w:t>
      </w:r>
      <w:r>
        <w:rPr>
          <w:rFonts w:ascii="仿宋" w:hAnsi="仿宋" w:eastAsia="仿宋" w:cs="仿宋"/>
          <w:b/>
          <w:sz w:val="24"/>
          <w:szCs w:val="24"/>
          <w:highlight w:val="none"/>
          <w:u w:val="single"/>
        </w:rPr>
        <w:t>.4</w:t>
      </w:r>
      <w:r>
        <w:rPr>
          <w:rFonts w:hint="eastAsia" w:ascii="仿宋" w:hAnsi="仿宋" w:eastAsia="仿宋" w:cs="仿宋"/>
          <w:b/>
          <w:sz w:val="24"/>
          <w:szCs w:val="24"/>
          <w:highlight w:val="none"/>
          <w:u w:val="single"/>
        </w:rPr>
        <w:t>若“投标人须知前附表”中规定无需递交纸质文件则本章纸质型投标文件相关要求（包括针对于纸质型文件的实质性要求）投标人不必遵守。</w:t>
      </w:r>
    </w:p>
    <w:p>
      <w:pPr>
        <w:keepNext/>
        <w:keepLines/>
        <w:spacing w:line="360" w:lineRule="auto"/>
        <w:jc w:val="center"/>
        <w:outlineLvl w:val="1"/>
        <w:rPr>
          <w:rFonts w:ascii="仿宋" w:hAnsi="仿宋" w:eastAsia="仿宋" w:cs="仿宋"/>
          <w:b/>
          <w:bCs/>
          <w:sz w:val="28"/>
          <w:szCs w:val="28"/>
          <w:highlight w:val="none"/>
        </w:rPr>
      </w:pPr>
      <w:bookmarkStart w:id="60" w:name="_Toc110245235"/>
      <w:r>
        <w:rPr>
          <w:rFonts w:hint="eastAsia" w:ascii="仿宋" w:hAnsi="仿宋" w:eastAsia="仿宋" w:cs="仿宋"/>
          <w:b/>
          <w:bCs/>
          <w:sz w:val="28"/>
          <w:szCs w:val="28"/>
          <w:highlight w:val="none"/>
        </w:rPr>
        <w:t>二、招标文件</w:t>
      </w:r>
      <w:bookmarkEnd w:id="52"/>
      <w:bookmarkEnd w:id="53"/>
      <w:bookmarkEnd w:id="54"/>
      <w:bookmarkEnd w:id="55"/>
      <w:bookmarkEnd w:id="56"/>
      <w:bookmarkEnd w:id="57"/>
      <w:bookmarkEnd w:id="58"/>
      <w:bookmarkEnd w:id="59"/>
      <w:bookmarkEnd w:id="60"/>
    </w:p>
    <w:p>
      <w:pPr>
        <w:spacing w:line="360" w:lineRule="auto"/>
        <w:ind w:firstLine="482" w:firstLineChars="200"/>
        <w:rPr>
          <w:rFonts w:ascii="仿宋" w:hAnsi="仿宋" w:eastAsia="仿宋" w:cs="仿宋"/>
          <w:b/>
          <w:sz w:val="24"/>
          <w:szCs w:val="24"/>
          <w:highlight w:val="none"/>
        </w:rPr>
      </w:pPr>
      <w:r>
        <w:rPr>
          <w:rFonts w:ascii="仿宋" w:hAnsi="仿宋" w:eastAsia="仿宋" w:cs="仿宋"/>
          <w:b/>
          <w:sz w:val="24"/>
          <w:szCs w:val="24"/>
          <w:highlight w:val="none"/>
        </w:rPr>
        <w:t>10</w:t>
      </w:r>
      <w:r>
        <w:rPr>
          <w:rFonts w:hint="eastAsia" w:ascii="仿宋" w:hAnsi="仿宋" w:eastAsia="仿宋" w:cs="仿宋"/>
          <w:b/>
          <w:sz w:val="24"/>
          <w:szCs w:val="24"/>
          <w:highlight w:val="none"/>
        </w:rPr>
        <w:t>.招标文件的响应</w:t>
      </w:r>
    </w:p>
    <w:p>
      <w:pPr>
        <w:spacing w:line="360" w:lineRule="auto"/>
        <w:ind w:firstLine="480" w:firstLineChars="200"/>
        <w:rPr>
          <w:highlight w:val="none"/>
        </w:rPr>
      </w:pPr>
      <w:r>
        <w:rPr>
          <w:rFonts w:hint="eastAsia" w:ascii="仿宋" w:hAnsi="仿宋" w:eastAsia="仿宋" w:cs="仿宋"/>
          <w:sz w:val="24"/>
          <w:szCs w:val="24"/>
          <w:highlight w:val="none"/>
        </w:rPr>
        <w:t>投标人应当认真阅读招标文件中所有的事项、格式、条款和规范等要求，</w:t>
      </w:r>
      <w:r>
        <w:rPr>
          <w:rFonts w:hint="eastAsia" w:ascii="仿宋" w:hAnsi="仿宋" w:eastAsia="仿宋" w:cs="仿宋"/>
          <w:b/>
          <w:bCs/>
          <w:sz w:val="24"/>
          <w:szCs w:val="24"/>
          <w:highlight w:val="none"/>
          <w:u w:val="single"/>
        </w:rPr>
        <w:t>若未按照招标文件要求提交全部资料或者投标文件没有对招标文件作出实质性响应，其风险应由投标人自行承担，投标有可能被拒绝。</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11.招标文件的澄清与修改</w:t>
      </w:r>
    </w:p>
    <w:p>
      <w:pPr>
        <w:spacing w:line="360" w:lineRule="auto"/>
        <w:ind w:firstLine="480" w:firstLineChars="200"/>
        <w:rPr>
          <w:rFonts w:ascii="仿宋" w:hAnsi="仿宋" w:eastAsia="仿宋" w:cs="仿宋"/>
          <w:sz w:val="24"/>
          <w:szCs w:val="24"/>
          <w:highlight w:val="none"/>
        </w:rPr>
      </w:pPr>
      <w:bookmarkStart w:id="61" w:name="_Toc11581"/>
      <w:bookmarkStart w:id="62" w:name="_Toc15640469"/>
      <w:bookmarkStart w:id="63" w:name="_Toc4090"/>
      <w:bookmarkStart w:id="64" w:name="_Toc18373"/>
      <w:bookmarkStart w:id="65" w:name="_Toc20129"/>
      <w:bookmarkStart w:id="66" w:name="_Toc10279"/>
      <w:bookmarkStart w:id="67" w:name="_Toc4375"/>
      <w:bookmarkStart w:id="68" w:name="_Toc16301"/>
      <w:r>
        <w:rPr>
          <w:rFonts w:hint="eastAsia" w:ascii="仿宋" w:hAnsi="仿宋" w:eastAsia="仿宋" w:cs="仿宋"/>
          <w:sz w:val="24"/>
          <w:szCs w:val="24"/>
          <w:highlight w:val="none"/>
        </w:rPr>
        <w:t>11.1 在投标截止日期15日前的任何时候，采购人可主动地或在解答投标人提出疑问时对招标文件进行澄清或修改，不足15日的，采购人可顺延提交资格预审申请文件或者投标文件的截止时间。</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11.2 招标文件的澄清或修改将以书面形式通知所有购买招标文件的投标人，招标文件的澄清或修改文件将作为招标文件的一部分。投标人应在接到通知的一个工作日内以书面形式回复采购代理机构是否收到澄清或修改文件，逾期回复或未回复视为完全知悉并认同澄清或修改内容。</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11.3 为使投标人在编写投标文件时有充分时间对招标文件的澄清或修改部分进行研究，采购人可根据情况酌情延长投标截止日期。</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11.4</w:t>
      </w:r>
      <w:r>
        <w:rPr>
          <w:rFonts w:ascii="仿宋" w:hAnsi="仿宋" w:eastAsia="仿宋" w:cs="Times New Roman"/>
          <w:sz w:val="24"/>
          <w:szCs w:val="24"/>
          <w:highlight w:val="none"/>
        </w:rPr>
        <w:t xml:space="preserve"> </w:t>
      </w:r>
      <w:r>
        <w:rPr>
          <w:rFonts w:hint="eastAsia" w:ascii="仿宋" w:hAnsi="仿宋" w:eastAsia="仿宋" w:cs="Times New Roman"/>
          <w:sz w:val="24"/>
          <w:szCs w:val="24"/>
          <w:highlight w:val="none"/>
        </w:rPr>
        <w:t>澄清与修改内容与本招标文件如有冲突之处，以澄清文件与修改内容为准；多份澄清与修改内容之间如有冲突之处以开标时间前最近一期为准。</w:t>
      </w:r>
    </w:p>
    <w:p>
      <w:pPr>
        <w:keepNext/>
        <w:keepLines/>
        <w:spacing w:line="360" w:lineRule="auto"/>
        <w:jc w:val="center"/>
        <w:outlineLvl w:val="1"/>
        <w:rPr>
          <w:rFonts w:ascii="仿宋" w:hAnsi="仿宋" w:eastAsia="仿宋" w:cs="仿宋"/>
          <w:b/>
          <w:bCs/>
          <w:sz w:val="28"/>
          <w:szCs w:val="28"/>
          <w:highlight w:val="none"/>
        </w:rPr>
      </w:pPr>
      <w:bookmarkStart w:id="69" w:name="_Toc110245236"/>
      <w:r>
        <w:rPr>
          <w:rFonts w:hint="eastAsia" w:ascii="仿宋" w:hAnsi="仿宋" w:eastAsia="仿宋" w:cs="仿宋"/>
          <w:b/>
          <w:bCs/>
          <w:sz w:val="28"/>
          <w:szCs w:val="28"/>
          <w:highlight w:val="none"/>
        </w:rPr>
        <w:t>三、投标文件的组成与</w:t>
      </w:r>
      <w:bookmarkEnd w:id="61"/>
      <w:bookmarkEnd w:id="62"/>
      <w:bookmarkEnd w:id="63"/>
      <w:bookmarkEnd w:id="64"/>
      <w:bookmarkEnd w:id="65"/>
      <w:bookmarkEnd w:id="66"/>
      <w:bookmarkEnd w:id="67"/>
      <w:bookmarkEnd w:id="68"/>
      <w:r>
        <w:rPr>
          <w:rFonts w:hint="eastAsia" w:ascii="仿宋" w:hAnsi="仿宋" w:eastAsia="仿宋" w:cs="仿宋"/>
          <w:b/>
          <w:bCs/>
          <w:sz w:val="28"/>
          <w:szCs w:val="28"/>
          <w:highlight w:val="none"/>
        </w:rPr>
        <w:t>要求</w:t>
      </w:r>
      <w:bookmarkEnd w:id="69"/>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12.投标语言及度量衡单位</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 投标人的投标文件以及投标人与采购人、采购代理机构就有关采购活动的所有来往函电均应使用中文。</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12.2 投标人可以提交使用除中文外其他语言的资料，但关键段必须翻译成中文，在有异议时以中文为准，如果因投标文件使用语言的原因造成的对投标人不利的情况，责任由投标人自行承担。</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12.3 除在招标文件的技术规格中另有规定外，投标文件所使用的度量衡单位，均应采用中华人民共和国法定计量单位和有关权威部门规定的表示方法。</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13.投标文件的组成</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投标人编写的投标文件应至少包括以下内容：</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（1）按照第14、15、16条要求填写的投标文件格式、投标价格表；</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（2）按照第17条要求出具的资格证明文件；</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（3）按照第18条要求出具的证明文件，证明投标人提供的货物或服务是合格的且符合招标文件规定；</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（4）按照19条规定要求提交的投标保证金资料。</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14.投标文件格式</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14.1 投标人应按招标文件</w:t>
      </w:r>
      <w:r>
        <w:rPr>
          <w:rFonts w:hint="eastAsia" w:ascii="仿宋" w:hAnsi="仿宋" w:eastAsia="仿宋" w:cs="仿宋"/>
          <w:bCs/>
          <w:sz w:val="24"/>
          <w:szCs w:val="24"/>
          <w:highlight w:val="none"/>
        </w:rPr>
        <w:t>（详见“第五章 投标文件格式”）</w:t>
      </w:r>
      <w:r>
        <w:rPr>
          <w:rFonts w:hint="eastAsia" w:ascii="仿宋" w:hAnsi="仿宋" w:eastAsia="仿宋" w:cs="仿宋"/>
          <w:sz w:val="24"/>
          <w:szCs w:val="24"/>
          <w:highlight w:val="none"/>
        </w:rPr>
        <w:t>中提供的投标文件格式填写投标函等各项内容。</w:t>
      </w:r>
    </w:p>
    <w:p>
      <w:pPr>
        <w:spacing w:line="360" w:lineRule="auto"/>
        <w:ind w:firstLine="480" w:firstLineChars="200"/>
        <w:rPr>
          <w:rFonts w:ascii="仿宋" w:hAnsi="仿宋" w:eastAsia="仿宋" w:cs="仿宋"/>
          <w:sz w:val="24"/>
          <w:szCs w:val="24"/>
          <w:highlight w:val="none"/>
        </w:rPr>
      </w:pPr>
      <w:bookmarkStart w:id="70" w:name="_Hlk61108671"/>
      <w:r>
        <w:rPr>
          <w:rFonts w:hint="eastAsia" w:ascii="仿宋" w:hAnsi="仿宋" w:eastAsia="仿宋" w:cs="仿宋"/>
          <w:sz w:val="24"/>
          <w:szCs w:val="24"/>
          <w:highlight w:val="none"/>
        </w:rPr>
        <w:t>▲</w:t>
      </w:r>
      <w:bookmarkEnd w:id="70"/>
      <w:r>
        <w:rPr>
          <w:rFonts w:hint="eastAsia" w:ascii="仿宋" w:hAnsi="仿宋" w:eastAsia="仿宋" w:cs="仿宋"/>
          <w:sz w:val="24"/>
          <w:szCs w:val="24"/>
          <w:highlight w:val="none"/>
        </w:rPr>
        <w:t xml:space="preserve">14.2 </w:t>
      </w:r>
      <w:r>
        <w:rPr>
          <w:rFonts w:hint="eastAsia" w:ascii="仿宋" w:hAnsi="仿宋" w:eastAsia="仿宋" w:cs="仿宋"/>
          <w:b/>
          <w:bCs/>
          <w:sz w:val="24"/>
          <w:szCs w:val="24"/>
          <w:highlight w:val="none"/>
          <w:u w:val="single"/>
        </w:rPr>
        <w:t>投标人不得将一个标段（标包）内所列进行分割投标</w:t>
      </w:r>
      <w:r>
        <w:rPr>
          <w:rFonts w:hint="eastAsia" w:ascii="仿宋" w:hAnsi="仿宋" w:eastAsia="仿宋" w:cs="仿宋"/>
          <w:sz w:val="24"/>
          <w:szCs w:val="24"/>
          <w:highlight w:val="none"/>
        </w:rPr>
        <w:t>。</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15.投标报价</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▲15.1</w:t>
      </w:r>
      <w:r>
        <w:rPr>
          <w:rFonts w:ascii="仿宋" w:hAnsi="仿宋" w:eastAsia="仿宋" w:cs="仿宋"/>
          <w:sz w:val="24"/>
          <w:szCs w:val="24"/>
          <w:highlight w:val="none"/>
        </w:rPr>
        <w:t xml:space="preserve"> </w:t>
      </w:r>
      <w:r>
        <w:rPr>
          <w:rFonts w:hint="eastAsia" w:ascii="仿宋" w:hAnsi="仿宋" w:eastAsia="仿宋" w:cs="仿宋"/>
          <w:b/>
          <w:bCs/>
          <w:sz w:val="24"/>
          <w:szCs w:val="24"/>
          <w:highlight w:val="none"/>
          <w:u w:val="single"/>
        </w:rPr>
        <w:t>投标文件报价出现前后不一致的，依照《政府采购货物和服务招标投标管理办法》（财政部令</w:t>
      </w:r>
      <w:r>
        <w:rPr>
          <w:rFonts w:ascii="仿宋" w:hAnsi="仿宋" w:eastAsia="仿宋" w:cs="仿宋"/>
          <w:b/>
          <w:bCs/>
          <w:sz w:val="24"/>
          <w:szCs w:val="24"/>
          <w:highlight w:val="none"/>
          <w:u w:val="single"/>
        </w:rPr>
        <w:t>87号</w:t>
      </w:r>
      <w:r>
        <w:rPr>
          <w:rFonts w:hint="eastAsia" w:ascii="仿宋" w:hAnsi="仿宋" w:eastAsia="仿宋" w:cs="仿宋"/>
          <w:b/>
          <w:bCs/>
          <w:sz w:val="24"/>
          <w:szCs w:val="24"/>
          <w:highlight w:val="none"/>
          <w:u w:val="single"/>
        </w:rPr>
        <w:t>）第五十九条进行修正并由投标人确认</w:t>
      </w:r>
      <w:r>
        <w:rPr>
          <w:rFonts w:hint="eastAsia" w:ascii="仿宋" w:hAnsi="仿宋" w:eastAsia="仿宋" w:cs="仿宋"/>
          <w:sz w:val="24"/>
          <w:szCs w:val="24"/>
          <w:highlight w:val="none"/>
        </w:rPr>
        <w:t>。每种采购品目只允许有一个报价，采购人不接受有任何选择的报价。</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15.2 开标一览表要求：</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依照“第五章 投标文件格式”规定执行。</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15.3</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投标报价单位及格式要求：</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依照“投标人须知前附表</w:t>
      </w:r>
      <w:r>
        <w:rPr>
          <w:rFonts w:ascii="仿宋" w:hAnsi="仿宋" w:eastAsia="仿宋" w:cs="仿宋"/>
          <w:sz w:val="24"/>
          <w:szCs w:val="24"/>
          <w:highlight w:val="none"/>
        </w:rPr>
        <w:t>”规定执行</w:t>
      </w:r>
      <w:r>
        <w:rPr>
          <w:rFonts w:hint="eastAsia" w:ascii="仿宋" w:hAnsi="仿宋" w:eastAsia="仿宋" w:cs="仿宋"/>
          <w:sz w:val="24"/>
          <w:szCs w:val="24"/>
          <w:highlight w:val="none"/>
        </w:rPr>
        <w:t>。</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15.4</w:t>
      </w:r>
      <w:r>
        <w:rPr>
          <w:rFonts w:ascii="仿宋" w:hAnsi="仿宋" w:eastAsia="仿宋" w:cs="Times New Roman"/>
          <w:sz w:val="24"/>
          <w:szCs w:val="24"/>
          <w:highlight w:val="none"/>
        </w:rPr>
        <w:t xml:space="preserve"> </w:t>
      </w:r>
      <w:r>
        <w:rPr>
          <w:rFonts w:hint="eastAsia" w:ascii="仿宋" w:hAnsi="仿宋" w:eastAsia="仿宋" w:cs="Times New Roman"/>
          <w:sz w:val="24"/>
          <w:szCs w:val="24"/>
          <w:highlight w:val="none"/>
        </w:rPr>
        <w:t>投标人不得将可能影响标的的主要子项作为另行收费项，否则将不予认同，在评标时仍将把这部分价格计入投标人的投标报价之中。</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15.5</w:t>
      </w:r>
      <w:r>
        <w:rPr>
          <w:rFonts w:ascii="仿宋" w:hAnsi="仿宋" w:eastAsia="仿宋" w:cs="Times New Roman"/>
          <w:sz w:val="24"/>
          <w:szCs w:val="24"/>
          <w:highlight w:val="none"/>
        </w:rPr>
        <w:t xml:space="preserve"> </w:t>
      </w:r>
      <w:r>
        <w:rPr>
          <w:rFonts w:hint="eastAsia" w:ascii="仿宋" w:hAnsi="仿宋" w:eastAsia="仿宋" w:cs="Times New Roman"/>
          <w:sz w:val="24"/>
          <w:szCs w:val="24"/>
          <w:highlight w:val="none"/>
        </w:rPr>
        <w:t>投标人的报价不应有缺漏项。如有缺漏项，其缺漏项在授标时将被认为已包含在投标报价中（即合同价格将不予增加），在评标时将把其他有效投标报价中该项最高报价计入该投标人的评标价格之中。</w:t>
      </w:r>
    </w:p>
    <w:p>
      <w:pPr>
        <w:widowControl/>
        <w:spacing w:line="360" w:lineRule="auto"/>
        <w:ind w:firstLine="480" w:firstLineChars="200"/>
        <w:rPr>
          <w:rFonts w:ascii="仿宋" w:hAnsi="仿宋" w:eastAsia="仿宋" w:cs="Times New Roman"/>
          <w:b/>
          <w:bCs/>
          <w:sz w:val="24"/>
          <w:szCs w:val="24"/>
          <w:highlight w:val="none"/>
          <w:u w:val="single"/>
        </w:rPr>
      </w:pPr>
      <w:r>
        <w:rPr>
          <w:rFonts w:hint="eastAsia" w:ascii="仿宋" w:hAnsi="仿宋" w:eastAsia="仿宋" w:cs="仿宋"/>
          <w:sz w:val="24"/>
          <w:szCs w:val="24"/>
          <w:highlight w:val="none"/>
        </w:rPr>
        <w:t>▲</w:t>
      </w:r>
      <w:r>
        <w:rPr>
          <w:rFonts w:ascii="仿宋" w:hAnsi="仿宋" w:eastAsia="仿宋" w:cs="Times New Roman"/>
          <w:sz w:val="24"/>
          <w:szCs w:val="24"/>
          <w:highlight w:val="none"/>
        </w:rPr>
        <w:t>1</w:t>
      </w:r>
      <w:r>
        <w:rPr>
          <w:rFonts w:hint="eastAsia" w:ascii="仿宋" w:hAnsi="仿宋" w:eastAsia="仿宋" w:cs="Times New Roman"/>
          <w:sz w:val="24"/>
          <w:szCs w:val="24"/>
          <w:highlight w:val="none"/>
        </w:rPr>
        <w:t>5</w:t>
      </w:r>
      <w:r>
        <w:rPr>
          <w:rFonts w:ascii="仿宋" w:hAnsi="仿宋" w:eastAsia="仿宋" w:cs="Times New Roman"/>
          <w:sz w:val="24"/>
          <w:szCs w:val="24"/>
          <w:highlight w:val="none"/>
        </w:rPr>
        <w:t>.6 项目如分标段，投标人在开标一览表中必须分标段报价；项目如分标包，投标人在开标一览表中必须分标包报价。</w:t>
      </w:r>
      <w:r>
        <w:rPr>
          <w:rFonts w:ascii="仿宋" w:hAnsi="仿宋" w:eastAsia="仿宋" w:cs="Times New Roman"/>
          <w:b/>
          <w:bCs/>
          <w:sz w:val="24"/>
          <w:szCs w:val="24"/>
          <w:highlight w:val="none"/>
          <w:u w:val="single"/>
        </w:rPr>
        <w:t>不得将所有标段（标包）合并报价。</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w:t>
      </w:r>
      <w:r>
        <w:rPr>
          <w:rFonts w:ascii="仿宋" w:hAnsi="仿宋" w:eastAsia="仿宋" w:cs="Times New Roman"/>
          <w:sz w:val="24"/>
          <w:szCs w:val="24"/>
          <w:highlight w:val="none"/>
        </w:rPr>
        <w:t xml:space="preserve">5.7 </w:t>
      </w:r>
      <w:r>
        <w:rPr>
          <w:rFonts w:hint="eastAsia" w:ascii="仿宋" w:hAnsi="仿宋" w:eastAsia="仿宋" w:cs="Times New Roman"/>
          <w:sz w:val="24"/>
          <w:szCs w:val="24"/>
          <w:highlight w:val="none"/>
        </w:rPr>
        <w:t>投标人应当保持单项价格的合理性，严禁出现不平衡报价的情况，项目采购结束后，采购人有权对各单项进行核查，对于严重超过市场价格的单价，将在正式合同中明确：对于认定为不平衡报价的单项，如果发生数量变化，将按照有利于甲方的单价进行认价</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16.投标货币</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投标应以人民币（R</w:t>
      </w:r>
      <w:r>
        <w:rPr>
          <w:rFonts w:ascii="仿宋" w:hAnsi="仿宋" w:eastAsia="仿宋" w:cs="仿宋"/>
          <w:sz w:val="24"/>
          <w:szCs w:val="24"/>
          <w:highlight w:val="none"/>
        </w:rPr>
        <w:t>MB</w:t>
      </w:r>
      <w:r>
        <w:rPr>
          <w:rFonts w:hint="eastAsia" w:ascii="仿宋" w:hAnsi="仿宋" w:eastAsia="仿宋" w:cs="仿宋"/>
          <w:sz w:val="24"/>
          <w:szCs w:val="24"/>
          <w:highlight w:val="none"/>
        </w:rPr>
        <w:t>）报价。</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17.证明投标人合格的证明文件</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17.1 投标人应提交招标文件要求的所有资格证明文件并作为其投标文件的一部分。</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17.2</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投标人必须具有履行合同的能力。</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18.证明货物的合格性和符合招标文件规定的文件</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18.l 投标人应提交根据招标文件要求提供的所有货物及其伴随服务的合格性以及符合招标文件规定的技术响应内容，并作为其投标文件的一部分。</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18.2 证明与招标文件中货物或服务相一致的文件可以是文字资料、图纸和数据、现场测试，投标人应提供：</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（1）货物主要技术参数；</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（2）逐条对招标文件要求的技术规格进行对照，指出自己提供货物或服务是否做出实质性响应，并提供技术规格偏离表。</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（3）测试所需必要设备与系统清单。</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18.3 招标文件在技术规格中指出的工艺、材料、设备标准及参照的牌号或样本仅作为说明并没有限制性，</w:t>
      </w:r>
      <w:r>
        <w:rPr>
          <w:rFonts w:hint="eastAsia" w:ascii="仿宋" w:hAnsi="仿宋" w:eastAsia="仿宋" w:cs="仿宋"/>
          <w:b/>
          <w:bCs/>
          <w:sz w:val="24"/>
          <w:szCs w:val="24"/>
          <w:highlight w:val="none"/>
          <w:u w:val="single"/>
        </w:rPr>
        <w:t>投标人可以在投标中选用替代标准，</w:t>
      </w:r>
      <w:r>
        <w:rPr>
          <w:rFonts w:hint="eastAsia" w:ascii="仿宋" w:hAnsi="仿宋" w:eastAsia="仿宋" w:cs="仿宋"/>
          <w:sz w:val="24"/>
          <w:szCs w:val="24"/>
          <w:highlight w:val="none"/>
        </w:rPr>
        <w:t>并作出偏离说明。</w:t>
      </w:r>
    </w:p>
    <w:p>
      <w:pPr>
        <w:widowControl/>
        <w:spacing w:line="360" w:lineRule="auto"/>
        <w:ind w:firstLine="480" w:firstLineChars="200"/>
        <w:rPr>
          <w:rFonts w:ascii="仿宋" w:hAnsi="仿宋" w:eastAsia="仿宋" w:cs="Times New Roman"/>
          <w:b/>
          <w:bCs/>
          <w:sz w:val="24"/>
          <w:szCs w:val="24"/>
          <w:highlight w:val="none"/>
          <w:u w:val="single"/>
        </w:rPr>
      </w:pPr>
      <w:r>
        <w:rPr>
          <w:rFonts w:hint="eastAsia" w:ascii="仿宋" w:hAnsi="仿宋" w:eastAsia="仿宋" w:cs="仿宋"/>
          <w:sz w:val="24"/>
          <w:szCs w:val="24"/>
          <w:highlight w:val="none"/>
        </w:rPr>
        <w:t>▲</w:t>
      </w:r>
      <w:r>
        <w:rPr>
          <w:rFonts w:hint="eastAsia" w:ascii="仿宋" w:hAnsi="仿宋" w:eastAsia="仿宋" w:cs="Times New Roman"/>
          <w:b/>
          <w:bCs/>
          <w:sz w:val="24"/>
          <w:szCs w:val="24"/>
          <w:highlight w:val="none"/>
          <w:u w:val="single"/>
        </w:rPr>
        <w:t>1</w:t>
      </w:r>
      <w:r>
        <w:rPr>
          <w:rFonts w:ascii="仿宋" w:hAnsi="仿宋" w:eastAsia="仿宋" w:cs="Times New Roman"/>
          <w:b/>
          <w:bCs/>
          <w:sz w:val="24"/>
          <w:szCs w:val="24"/>
          <w:highlight w:val="none"/>
          <w:u w:val="single"/>
        </w:rPr>
        <w:t xml:space="preserve">8.4 </w:t>
      </w:r>
      <w:r>
        <w:rPr>
          <w:rFonts w:hint="eastAsia" w:ascii="仿宋" w:hAnsi="仿宋" w:eastAsia="仿宋" w:cs="Times New Roman"/>
          <w:b/>
          <w:bCs/>
          <w:sz w:val="24"/>
          <w:szCs w:val="24"/>
          <w:highlight w:val="none"/>
          <w:u w:val="single"/>
        </w:rPr>
        <w:t>无论</w:t>
      </w:r>
      <w:r>
        <w:rPr>
          <w:rFonts w:hint="eastAsia" w:ascii="仿宋" w:hAnsi="仿宋" w:eastAsia="仿宋" w:cs="仿宋"/>
          <w:b/>
          <w:bCs/>
          <w:sz w:val="24"/>
          <w:szCs w:val="24"/>
          <w:highlight w:val="none"/>
          <w:u w:val="single"/>
        </w:rPr>
        <w:t>招标文件是否要求，投标人所投货物或服务均应符合国家强制性标准。</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19.投标保证金</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19.1 投标人应提交“投标人须知前附表”规定数额的投标保证金，并作为其投标文件的一部分。投标保证金是为了保护采购人免遭因投标人行为而蒙受的损失，采购人在因投标人的行为受到损害时可根据19.</w:t>
      </w:r>
      <w:r>
        <w:rPr>
          <w:rFonts w:ascii="仿宋" w:hAnsi="仿宋" w:eastAsia="仿宋" w:cs="仿宋"/>
          <w:sz w:val="24"/>
          <w:szCs w:val="24"/>
          <w:highlight w:val="none"/>
        </w:rPr>
        <w:t>5</w:t>
      </w:r>
      <w:r>
        <w:rPr>
          <w:rFonts w:hint="eastAsia" w:ascii="仿宋" w:hAnsi="仿宋" w:eastAsia="仿宋" w:cs="仿宋"/>
          <w:sz w:val="24"/>
          <w:szCs w:val="24"/>
          <w:highlight w:val="none"/>
        </w:rPr>
        <w:t>条规定没收其投标保证金。</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19.2 投标保证金形式</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投标保证金应当以支票、汇票、本票或者金融机构、担保机构出具的保函等非现金形式提交。</w:t>
      </w:r>
    </w:p>
    <w:p>
      <w:pPr>
        <w:spacing w:line="360" w:lineRule="auto"/>
        <w:ind w:firstLine="480" w:firstLineChars="200"/>
        <w:rPr>
          <w:rFonts w:ascii="仿宋" w:hAnsi="仿宋" w:eastAsia="仿宋" w:cs="仿宋"/>
          <w:b/>
          <w:sz w:val="24"/>
          <w:szCs w:val="24"/>
          <w:highlight w:val="none"/>
        </w:rPr>
      </w:pPr>
      <w:r>
        <w:rPr>
          <w:rFonts w:hint="eastAsia" w:ascii="仿宋" w:hAnsi="仿宋" w:eastAsia="仿宋" w:cs="仿宋"/>
          <w:sz w:val="24"/>
          <w:szCs w:val="24"/>
          <w:highlight w:val="none"/>
        </w:rPr>
        <w:t xml:space="preserve">▲19.3 </w:t>
      </w:r>
      <w:r>
        <w:rPr>
          <w:rFonts w:hint="eastAsia" w:ascii="仿宋" w:hAnsi="仿宋" w:eastAsia="仿宋" w:cs="仿宋"/>
          <w:b/>
          <w:sz w:val="24"/>
          <w:szCs w:val="24"/>
          <w:highlight w:val="none"/>
          <w:u w:val="single"/>
        </w:rPr>
        <w:t>对未按要求提交投标保证金的投标，将视为无效投标。</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19.4</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保证金的退还</w:t>
      </w:r>
    </w:p>
    <w:p>
      <w:pPr>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依照“投标人须知前附表”要求执行。</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19.5 下列任何情况发生时，投标保证金将不予退还：</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（1）投标人在投标有效期内撤回其投标。</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（2）中标人在规定期限内未能根据招标文件要求及相关法律法规规定签订合同，或不接受对错误的修正。</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w:t>
      </w:r>
      <w:r>
        <w:rPr>
          <w:rFonts w:ascii="仿宋" w:hAnsi="仿宋" w:eastAsia="仿宋" w:cs="仿宋"/>
          <w:sz w:val="24"/>
          <w:szCs w:val="24"/>
          <w:highlight w:val="none"/>
        </w:rPr>
        <w:t>3）投标人在采购活动中出现提供虚假材料或者串通等违法行为的。</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w:t>
      </w:r>
      <w:r>
        <w:rPr>
          <w:rFonts w:ascii="仿宋" w:hAnsi="仿宋" w:eastAsia="仿宋" w:cs="仿宋"/>
          <w:sz w:val="24"/>
          <w:szCs w:val="24"/>
          <w:highlight w:val="none"/>
        </w:rPr>
        <w:t>4）当招标文件规定代理服务费向中标人收取时，中标人拒绝支付代理服务费的（逾期支付代理服务费的，在代理服务费实际到账前投标保证金将不予退还）。</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5</w:t>
      </w:r>
      <w:r>
        <w:rPr>
          <w:rFonts w:hint="eastAsia" w:ascii="仿宋" w:hAnsi="仿宋" w:eastAsia="仿宋" w:cs="Times New Roman"/>
          <w:sz w:val="24"/>
          <w:szCs w:val="24"/>
          <w:highlight w:val="none"/>
        </w:rPr>
        <w:t>）相关法律法规规定的其他情形。</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当出现以上情形时，属于因投标人自身原因导致无法及时退还保证金。</w:t>
      </w:r>
    </w:p>
    <w:p>
      <w:pPr>
        <w:spacing w:line="360" w:lineRule="auto"/>
        <w:ind w:firstLine="480" w:firstLineChars="200"/>
        <w:rPr>
          <w:rFonts w:ascii="仿宋" w:hAnsi="仿宋" w:eastAsia="仿宋" w:cs="仿宋"/>
          <w:b/>
          <w:sz w:val="24"/>
          <w:szCs w:val="24"/>
          <w:highlight w:val="none"/>
          <w:u w:val="single"/>
        </w:rPr>
      </w:pPr>
      <w:r>
        <w:rPr>
          <w:rFonts w:hint="eastAsia" w:ascii="仿宋" w:hAnsi="仿宋" w:eastAsia="仿宋" w:cs="仿宋"/>
          <w:sz w:val="24"/>
          <w:szCs w:val="24"/>
          <w:highlight w:val="none"/>
        </w:rPr>
        <w:t>19.6 保证金的缴纳情况，以</w:t>
      </w:r>
      <w:r>
        <w:rPr>
          <w:rFonts w:hint="eastAsia" w:ascii="仿宋" w:hAnsi="仿宋" w:eastAsia="仿宋" w:cs="仿宋"/>
          <w:bCs/>
          <w:sz w:val="24"/>
          <w:szCs w:val="24"/>
          <w:highlight w:val="none"/>
        </w:rPr>
        <w:t>开标时查验投标人递交的相关缴纳凭据及实际</w:t>
      </w:r>
      <w:r>
        <w:rPr>
          <w:rFonts w:hint="eastAsia" w:ascii="仿宋" w:hAnsi="仿宋" w:eastAsia="仿宋" w:cs="仿宋"/>
          <w:sz w:val="24"/>
          <w:szCs w:val="24"/>
          <w:highlight w:val="none"/>
        </w:rPr>
        <w:t>到账（保函等提交）</w:t>
      </w:r>
      <w:r>
        <w:rPr>
          <w:rFonts w:hint="eastAsia" w:ascii="仿宋" w:hAnsi="仿宋" w:eastAsia="仿宋" w:cs="仿宋"/>
          <w:bCs/>
          <w:sz w:val="24"/>
          <w:szCs w:val="24"/>
          <w:highlight w:val="none"/>
        </w:rPr>
        <w:t>为准。</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20.投标有效期</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20.1 投标有效期以“投标人须知前附表”规定为准。</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20.2 特殊情况下，采购人可于投标有效期满之前要求投标人同意延长有效期，要求与答复均为书面形式。投标人可以拒绝采购人的延长投标有效期要求。对于同意该要求的投标人，既不能要求也不允许其修改投标文件。第19条有关投标保证金退还和没收规定在延长期内继续有效。</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21.投标文件的签署及式样</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21.1</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投标文件的形式及构成</w:t>
      </w:r>
    </w:p>
    <w:p>
      <w:pPr>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投标文件的形式及构成应符合“投标人须知前附表”要求，除特别说明之处外，本招标文件所称“投标文件”、“投标文件正本/副本”均指电子型文件。</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21.2</w:t>
      </w:r>
      <w:r>
        <w:rPr>
          <w:rFonts w:ascii="仿宋" w:hAnsi="仿宋" w:eastAsia="仿宋" w:cs="仿宋"/>
          <w:sz w:val="24"/>
          <w:szCs w:val="24"/>
          <w:highlight w:val="none"/>
        </w:rPr>
        <w:t xml:space="preserve"> 投标文件不论是书写、打印或复制，均应做到清晰、整洁、规范。</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21.3</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投标文件签字及盖章</w:t>
      </w:r>
    </w:p>
    <w:p>
      <w:pPr>
        <w:widowControl/>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21.3.1</w:t>
      </w:r>
      <w:r>
        <w:rPr>
          <w:rFonts w:ascii="仿宋" w:hAnsi="仿宋" w:eastAsia="仿宋" w:cs="仿宋"/>
          <w:sz w:val="24"/>
          <w:szCs w:val="24"/>
          <w:highlight w:val="none"/>
        </w:rPr>
        <w:t xml:space="preserve"> 凡招标文件中要求投标人</w:t>
      </w:r>
      <w:r>
        <w:rPr>
          <w:rFonts w:hint="eastAsia" w:ascii="仿宋" w:hAnsi="仿宋" w:eastAsia="仿宋" w:cs="仿宋"/>
          <w:sz w:val="24"/>
          <w:szCs w:val="24"/>
          <w:highlight w:val="none"/>
        </w:rPr>
        <w:t>签字（盖章）或</w:t>
      </w:r>
      <w:r>
        <w:rPr>
          <w:rFonts w:ascii="仿宋" w:hAnsi="仿宋" w:eastAsia="仿宋" w:cs="仿宋"/>
          <w:sz w:val="24"/>
          <w:szCs w:val="24"/>
          <w:highlight w:val="none"/>
        </w:rPr>
        <w:t>加盖公章之处，均应由投标人的单位负责人</w:t>
      </w:r>
      <w:r>
        <w:rPr>
          <w:rFonts w:hint="eastAsia" w:ascii="仿宋" w:hAnsi="仿宋" w:eastAsia="仿宋" w:cs="仿宋"/>
          <w:sz w:val="24"/>
          <w:szCs w:val="24"/>
          <w:highlight w:val="none"/>
        </w:rPr>
        <w:t>（法定代表人）</w:t>
      </w:r>
      <w:r>
        <w:rPr>
          <w:rFonts w:ascii="仿宋" w:hAnsi="仿宋" w:eastAsia="仿宋" w:cs="仿宋"/>
          <w:sz w:val="24"/>
          <w:szCs w:val="24"/>
          <w:highlight w:val="none"/>
        </w:rPr>
        <w:t>或经正式授权</w:t>
      </w:r>
      <w:r>
        <w:rPr>
          <w:rFonts w:hint="eastAsia" w:ascii="仿宋" w:hAnsi="仿宋" w:eastAsia="仿宋" w:cs="仿宋"/>
          <w:sz w:val="24"/>
          <w:szCs w:val="24"/>
          <w:highlight w:val="none"/>
        </w:rPr>
        <w:t>的</w:t>
      </w:r>
      <w:r>
        <w:rPr>
          <w:rFonts w:ascii="仿宋" w:hAnsi="仿宋" w:eastAsia="仿宋" w:cs="仿宋"/>
          <w:sz w:val="24"/>
          <w:szCs w:val="24"/>
          <w:highlight w:val="none"/>
        </w:rPr>
        <w:t>代表签字</w:t>
      </w:r>
      <w:r>
        <w:rPr>
          <w:rFonts w:hint="eastAsia" w:ascii="仿宋" w:hAnsi="仿宋" w:eastAsia="仿宋" w:cs="仿宋"/>
          <w:sz w:val="24"/>
          <w:szCs w:val="24"/>
          <w:highlight w:val="none"/>
        </w:rPr>
        <w:t>（盖章）或</w:t>
      </w:r>
      <w:r>
        <w:rPr>
          <w:rFonts w:ascii="仿宋" w:hAnsi="仿宋" w:eastAsia="仿宋" w:cs="仿宋"/>
          <w:sz w:val="24"/>
          <w:szCs w:val="24"/>
          <w:highlight w:val="none"/>
        </w:rPr>
        <w:t>加盖投标人公章</w:t>
      </w:r>
      <w:r>
        <w:rPr>
          <w:rFonts w:hint="eastAsia" w:ascii="仿宋" w:hAnsi="仿宋" w:eastAsia="仿宋" w:cs="仿宋"/>
          <w:sz w:val="24"/>
          <w:szCs w:val="24"/>
          <w:highlight w:val="none"/>
        </w:rPr>
        <w:t>，投标人为自然人或无公章的其他组织的，由自然人本人签字或组织负责人签字即可</w:t>
      </w:r>
      <w:r>
        <w:rPr>
          <w:rFonts w:ascii="仿宋" w:hAnsi="仿宋" w:eastAsia="仿宋" w:cs="仿宋"/>
          <w:sz w:val="24"/>
          <w:szCs w:val="24"/>
          <w:highlight w:val="none"/>
        </w:rPr>
        <w:t>。</w:t>
      </w:r>
    </w:p>
    <w:p>
      <w:pPr>
        <w:widowControl/>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在投标文件格式中，除特别说明需要联合体各方或某一成员方进行盖章、签字、证明或提供资料之处，均可由牵头人进行盖章、签字、证明或提供资料。</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w:t>
      </w:r>
      <w:r>
        <w:rPr>
          <w:rFonts w:ascii="仿宋" w:hAnsi="仿宋" w:eastAsia="仿宋" w:cs="仿宋"/>
          <w:sz w:val="24"/>
          <w:szCs w:val="24"/>
          <w:highlight w:val="none"/>
        </w:rPr>
        <w:t xml:space="preserve">1.3.2 </w:t>
      </w:r>
      <w:bookmarkStart w:id="71" w:name="_Hlk61775524"/>
      <w:r>
        <w:rPr>
          <w:rFonts w:hint="eastAsia" w:ascii="仿宋" w:hAnsi="仿宋" w:eastAsia="仿宋" w:cs="仿宋"/>
          <w:b/>
          <w:bCs/>
          <w:sz w:val="24"/>
          <w:szCs w:val="24"/>
          <w:highlight w:val="none"/>
          <w:u w:val="single"/>
        </w:rPr>
        <w:t>对于投标人为自然人的情况，本招标文件要求加盖公章之处及要求单位负责人（法定代表人）或经正式授权的代表签字（盖章）之处，均以投标人签字或盖章代替。</w:t>
      </w:r>
      <w:bookmarkEnd w:id="71"/>
    </w:p>
    <w:p>
      <w:pPr>
        <w:widowControl/>
        <w:spacing w:line="360" w:lineRule="auto"/>
        <w:ind w:firstLine="480" w:firstLineChars="200"/>
        <w:rPr>
          <w:rFonts w:ascii="仿宋" w:hAnsi="仿宋" w:eastAsia="仿宋" w:cs="仿宋"/>
          <w:b/>
          <w:bCs/>
          <w:sz w:val="24"/>
          <w:szCs w:val="24"/>
          <w:highlight w:val="none"/>
          <w:u w:val="single"/>
        </w:rPr>
      </w:pPr>
      <w:r>
        <w:rPr>
          <w:rFonts w:hint="eastAsia" w:ascii="仿宋" w:hAnsi="仿宋" w:eastAsia="仿宋" w:cs="仿宋"/>
          <w:sz w:val="24"/>
          <w:szCs w:val="24"/>
          <w:highlight w:val="none"/>
        </w:rPr>
        <w:t>▲21.3.3</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除投标人对错漏之处做必要修改或补充外，投标文件中不得有随意的行间插字、涂改和增删。</w:t>
      </w:r>
      <w:r>
        <w:rPr>
          <w:rFonts w:hint="eastAsia" w:ascii="仿宋" w:hAnsi="仿宋" w:eastAsia="仿宋" w:cs="仿宋"/>
          <w:b/>
          <w:bCs/>
          <w:sz w:val="24"/>
          <w:szCs w:val="24"/>
          <w:highlight w:val="none"/>
          <w:u w:val="single"/>
        </w:rPr>
        <w:t>如确有错漏之处确需要手工修改或补充，则必须由投标人的单位负责人（法定代表人）或其授权代表在修改或补充之处签字并加盖投标人公章。</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21.4</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投标文件电子档</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21.4.1</w:t>
      </w:r>
      <w:r>
        <w:rPr>
          <w:rFonts w:ascii="仿宋" w:hAnsi="仿宋" w:eastAsia="仿宋" w:cs="Times New Roman"/>
          <w:sz w:val="24"/>
          <w:szCs w:val="24"/>
          <w:highlight w:val="none"/>
        </w:rPr>
        <w:t xml:space="preserve"> </w:t>
      </w:r>
      <w:r>
        <w:rPr>
          <w:rFonts w:hint="eastAsia" w:ascii="仿宋" w:hAnsi="仿宋" w:eastAsia="仿宋" w:cs="Times New Roman"/>
          <w:sz w:val="24"/>
          <w:szCs w:val="24"/>
          <w:highlight w:val="none"/>
        </w:rPr>
        <w:t>“P</w:t>
      </w:r>
      <w:r>
        <w:rPr>
          <w:rFonts w:ascii="仿宋" w:hAnsi="仿宋" w:eastAsia="仿宋" w:cs="Times New Roman"/>
          <w:sz w:val="24"/>
          <w:szCs w:val="24"/>
          <w:highlight w:val="none"/>
        </w:rPr>
        <w:t>DF</w:t>
      </w:r>
      <w:r>
        <w:rPr>
          <w:rFonts w:hint="eastAsia" w:ascii="仿宋" w:hAnsi="仿宋" w:eastAsia="仿宋" w:cs="Times New Roman"/>
          <w:sz w:val="24"/>
          <w:szCs w:val="24"/>
          <w:highlight w:val="none"/>
        </w:rPr>
        <w:t>格式”电子文档</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“P</w:t>
      </w:r>
      <w:r>
        <w:rPr>
          <w:rFonts w:ascii="仿宋" w:hAnsi="仿宋" w:eastAsia="仿宋" w:cs="Times New Roman"/>
          <w:sz w:val="24"/>
          <w:szCs w:val="24"/>
          <w:highlight w:val="none"/>
        </w:rPr>
        <w:t>DF</w:t>
      </w:r>
      <w:r>
        <w:rPr>
          <w:rFonts w:hint="eastAsia" w:ascii="仿宋" w:hAnsi="仿宋" w:eastAsia="仿宋" w:cs="Times New Roman"/>
          <w:sz w:val="24"/>
          <w:szCs w:val="24"/>
          <w:highlight w:val="none"/>
        </w:rPr>
        <w:t>格式”电子文档应以</w:t>
      </w:r>
      <w:r>
        <w:rPr>
          <w:rFonts w:ascii="仿宋" w:hAnsi="仿宋" w:eastAsia="仿宋" w:cs="Times New Roman"/>
          <w:sz w:val="24"/>
          <w:szCs w:val="24"/>
          <w:highlight w:val="none"/>
        </w:rPr>
        <w:t>U盘或光盘为介质制作，</w:t>
      </w:r>
      <w:r>
        <w:rPr>
          <w:rFonts w:hint="eastAsia" w:ascii="仿宋" w:hAnsi="仿宋" w:eastAsia="仿宋" w:cs="Times New Roman"/>
          <w:sz w:val="24"/>
          <w:szCs w:val="24"/>
          <w:highlight w:val="none"/>
        </w:rPr>
        <w:t>其内容应为按照21.3条要求完成签字盖章的投标文件，文件格式应为“*.pdf”且不允许加密。</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21.4.2</w:t>
      </w:r>
      <w:r>
        <w:rPr>
          <w:rFonts w:ascii="仿宋" w:hAnsi="仿宋" w:eastAsia="仿宋" w:cs="Times New Roman"/>
          <w:sz w:val="24"/>
          <w:szCs w:val="24"/>
          <w:highlight w:val="none"/>
        </w:rPr>
        <w:t xml:space="preserve"> </w:t>
      </w:r>
      <w:r>
        <w:rPr>
          <w:rFonts w:hint="eastAsia" w:ascii="仿宋" w:hAnsi="仿宋" w:eastAsia="仿宋" w:cs="Times New Roman"/>
          <w:sz w:val="24"/>
          <w:szCs w:val="24"/>
          <w:highlight w:val="none"/>
        </w:rPr>
        <w:t>“Word文档格式”电子文档</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“Word文档格式”电子文档应以</w:t>
      </w:r>
      <w:r>
        <w:rPr>
          <w:rFonts w:ascii="仿宋" w:hAnsi="仿宋" w:eastAsia="仿宋" w:cs="Times New Roman"/>
          <w:sz w:val="24"/>
          <w:szCs w:val="24"/>
          <w:highlight w:val="none"/>
        </w:rPr>
        <w:t>U盘或光盘为介质制作，</w:t>
      </w:r>
      <w:r>
        <w:rPr>
          <w:rFonts w:hint="eastAsia" w:ascii="仿宋" w:hAnsi="仿宋" w:eastAsia="仿宋" w:cs="Times New Roman"/>
          <w:sz w:val="24"/>
          <w:szCs w:val="24"/>
          <w:highlight w:val="none"/>
        </w:rPr>
        <w:t>其</w:t>
      </w:r>
      <w:r>
        <w:rPr>
          <w:rFonts w:ascii="仿宋" w:hAnsi="仿宋" w:eastAsia="仿宋" w:cs="Times New Roman"/>
          <w:sz w:val="24"/>
          <w:szCs w:val="24"/>
          <w:highlight w:val="none"/>
        </w:rPr>
        <w:t>内容应与投标文件（此处</w:t>
      </w:r>
      <w:r>
        <w:rPr>
          <w:rFonts w:hint="eastAsia" w:ascii="仿宋" w:hAnsi="仿宋" w:eastAsia="仿宋" w:cs="Times New Roman"/>
          <w:sz w:val="24"/>
          <w:szCs w:val="24"/>
          <w:highlight w:val="none"/>
        </w:rPr>
        <w:t>所述</w:t>
      </w:r>
      <w:r>
        <w:rPr>
          <w:rFonts w:ascii="仿宋" w:hAnsi="仿宋" w:eastAsia="仿宋" w:cs="Times New Roman"/>
          <w:sz w:val="24"/>
          <w:szCs w:val="24"/>
          <w:highlight w:val="none"/>
        </w:rPr>
        <w:t>内容</w:t>
      </w:r>
      <w:r>
        <w:rPr>
          <w:rFonts w:hint="eastAsia" w:ascii="仿宋" w:hAnsi="仿宋" w:eastAsia="仿宋" w:cs="Times New Roman"/>
          <w:sz w:val="24"/>
          <w:szCs w:val="24"/>
          <w:highlight w:val="none"/>
        </w:rPr>
        <w:t>不含</w:t>
      </w:r>
      <w:r>
        <w:rPr>
          <w:rFonts w:ascii="仿宋" w:hAnsi="仿宋" w:eastAsia="仿宋" w:cs="Times New Roman"/>
          <w:sz w:val="24"/>
          <w:szCs w:val="24"/>
          <w:highlight w:val="none"/>
        </w:rPr>
        <w:t>签字、盖章</w:t>
      </w:r>
      <w:r>
        <w:rPr>
          <w:rFonts w:hint="eastAsia" w:ascii="仿宋" w:hAnsi="仿宋" w:eastAsia="仿宋" w:cs="Times New Roman"/>
          <w:sz w:val="24"/>
          <w:szCs w:val="24"/>
          <w:highlight w:val="none"/>
        </w:rPr>
        <w:t>部分</w:t>
      </w:r>
      <w:r>
        <w:rPr>
          <w:rFonts w:ascii="仿宋" w:hAnsi="仿宋" w:eastAsia="仿宋" w:cs="Times New Roman"/>
          <w:sz w:val="24"/>
          <w:szCs w:val="24"/>
          <w:highlight w:val="none"/>
        </w:rPr>
        <w:t>）一致</w:t>
      </w:r>
      <w:r>
        <w:rPr>
          <w:rFonts w:hint="eastAsia" w:ascii="仿宋" w:hAnsi="仿宋" w:eastAsia="仿宋" w:cs="Times New Roman"/>
          <w:sz w:val="24"/>
          <w:szCs w:val="24"/>
          <w:highlight w:val="none"/>
        </w:rPr>
        <w:t>，文件格式应为“*.</w:t>
      </w:r>
      <w:r>
        <w:rPr>
          <w:rFonts w:ascii="仿宋" w:hAnsi="仿宋" w:eastAsia="仿宋" w:cs="Times New Roman"/>
          <w:sz w:val="24"/>
          <w:szCs w:val="24"/>
          <w:highlight w:val="none"/>
        </w:rPr>
        <w:t>doc</w:t>
      </w:r>
      <w:r>
        <w:rPr>
          <w:rFonts w:hint="eastAsia" w:ascii="仿宋" w:hAnsi="仿宋" w:eastAsia="仿宋" w:cs="Times New Roman"/>
          <w:sz w:val="24"/>
          <w:szCs w:val="24"/>
          <w:highlight w:val="none"/>
        </w:rPr>
        <w:t>”或“*.</w:t>
      </w:r>
      <w:r>
        <w:rPr>
          <w:rFonts w:ascii="仿宋" w:hAnsi="仿宋" w:eastAsia="仿宋" w:cs="Times New Roman"/>
          <w:sz w:val="24"/>
          <w:szCs w:val="24"/>
          <w:highlight w:val="none"/>
        </w:rPr>
        <w:t>docx</w:t>
      </w:r>
      <w:r>
        <w:rPr>
          <w:rFonts w:hint="eastAsia" w:ascii="仿宋" w:hAnsi="仿宋" w:eastAsia="仿宋" w:cs="Times New Roman"/>
          <w:sz w:val="24"/>
          <w:szCs w:val="24"/>
          <w:highlight w:val="none"/>
        </w:rPr>
        <w:t>”且不允许加密。</w:t>
      </w:r>
    </w:p>
    <w:p>
      <w:pPr>
        <w:keepNext/>
        <w:keepLines/>
        <w:spacing w:line="360" w:lineRule="auto"/>
        <w:jc w:val="center"/>
        <w:outlineLvl w:val="1"/>
        <w:rPr>
          <w:rFonts w:ascii="仿宋" w:hAnsi="仿宋" w:eastAsia="仿宋" w:cs="仿宋"/>
          <w:b/>
          <w:bCs/>
          <w:sz w:val="28"/>
          <w:szCs w:val="28"/>
          <w:highlight w:val="none"/>
        </w:rPr>
      </w:pPr>
      <w:bookmarkStart w:id="72" w:name="_Toc340"/>
      <w:bookmarkStart w:id="73" w:name="_Toc18527"/>
      <w:bookmarkStart w:id="74" w:name="_Toc15640470"/>
      <w:bookmarkStart w:id="75" w:name="_Toc19616"/>
      <w:bookmarkStart w:id="76" w:name="_Toc15486"/>
      <w:bookmarkStart w:id="77" w:name="_Toc110245237"/>
      <w:bookmarkStart w:id="78" w:name="_Toc1612"/>
      <w:bookmarkStart w:id="79" w:name="_Toc13979"/>
      <w:bookmarkStart w:id="80" w:name="_Toc22406"/>
      <w:bookmarkStart w:id="81" w:name="_Toc5682"/>
      <w:r>
        <w:rPr>
          <w:rFonts w:hint="eastAsia" w:ascii="仿宋" w:hAnsi="仿宋" w:eastAsia="仿宋" w:cs="仿宋"/>
          <w:b/>
          <w:bCs/>
          <w:sz w:val="28"/>
          <w:szCs w:val="28"/>
          <w:highlight w:val="none"/>
        </w:rPr>
        <w:t>四、投标文件的递交</w:t>
      </w:r>
      <w:bookmarkEnd w:id="72"/>
      <w:bookmarkEnd w:id="73"/>
      <w:bookmarkEnd w:id="74"/>
      <w:bookmarkEnd w:id="75"/>
      <w:bookmarkEnd w:id="76"/>
      <w:bookmarkEnd w:id="77"/>
      <w:bookmarkEnd w:id="78"/>
      <w:bookmarkEnd w:id="79"/>
      <w:bookmarkEnd w:id="80"/>
      <w:bookmarkEnd w:id="81"/>
    </w:p>
    <w:p>
      <w:pPr>
        <w:wordWrap w:val="0"/>
        <w:spacing w:line="360" w:lineRule="auto"/>
        <w:ind w:firstLine="482" w:firstLineChars="200"/>
        <w:rPr>
          <w:rFonts w:ascii="仿宋" w:hAnsi="仿宋" w:eastAsia="仿宋" w:cs="仿宋"/>
          <w:b/>
          <w:sz w:val="24"/>
          <w:szCs w:val="24"/>
          <w:highlight w:val="none"/>
        </w:rPr>
      </w:pPr>
      <w:bookmarkStart w:id="82" w:name="_Toc15640471"/>
      <w:bookmarkStart w:id="83" w:name="_Toc3715"/>
      <w:bookmarkStart w:id="84" w:name="_Toc27720"/>
      <w:bookmarkStart w:id="85" w:name="_Toc3272"/>
      <w:bookmarkStart w:id="86" w:name="_Toc28200"/>
      <w:bookmarkStart w:id="87" w:name="_Toc29262"/>
      <w:bookmarkStart w:id="88" w:name="_Toc18730"/>
      <w:bookmarkStart w:id="89" w:name="_Toc24013"/>
      <w:bookmarkStart w:id="90" w:name="_Toc6729"/>
      <w:bookmarkStart w:id="91" w:name="_Toc110245238"/>
      <w:r>
        <w:rPr>
          <w:rFonts w:hint="eastAsia" w:ascii="仿宋" w:hAnsi="仿宋" w:eastAsia="仿宋" w:cs="仿宋"/>
          <w:b/>
          <w:sz w:val="24"/>
          <w:szCs w:val="24"/>
          <w:highlight w:val="none"/>
        </w:rPr>
        <w:t>22.投标文件的密封和标记</w:t>
      </w:r>
    </w:p>
    <w:p>
      <w:pPr>
        <w:wordWrap w:val="0"/>
        <w:spacing w:line="360" w:lineRule="auto"/>
        <w:ind w:firstLine="480" w:firstLineChars="200"/>
        <w:rPr>
          <w:rFonts w:ascii="仿宋" w:hAnsi="仿宋" w:eastAsia="仿宋" w:cs="仿宋"/>
          <w:bCs/>
          <w:sz w:val="24"/>
          <w:szCs w:val="24"/>
          <w:highlight w:val="none"/>
        </w:rPr>
      </w:pPr>
      <w:r>
        <w:rPr>
          <w:rFonts w:hint="eastAsia" w:ascii="仿宋" w:hAnsi="仿宋" w:eastAsia="仿宋" w:cs="仿宋"/>
          <w:sz w:val="24"/>
          <w:szCs w:val="24"/>
          <w:highlight w:val="none"/>
        </w:rPr>
        <w:t>22.1 投标人应将以下文件</w:t>
      </w:r>
      <w:r>
        <w:rPr>
          <w:rFonts w:hint="eastAsia" w:ascii="仿宋" w:hAnsi="仿宋" w:eastAsia="仿宋" w:cs="仿宋"/>
          <w:bCs/>
          <w:sz w:val="24"/>
          <w:szCs w:val="24"/>
          <w:highlight w:val="none"/>
        </w:rPr>
        <w:t>分别用封套密封：</w:t>
      </w:r>
    </w:p>
    <w:p>
      <w:pPr>
        <w:wordWrap w:val="0"/>
        <w:spacing w:line="360" w:lineRule="auto"/>
        <w:ind w:firstLine="480" w:firstLineChars="200"/>
        <w:rPr>
          <w:rFonts w:ascii="仿宋" w:hAnsi="仿宋" w:eastAsia="仿宋" w:cs="仿宋"/>
          <w:bCs/>
          <w:sz w:val="24"/>
          <w:szCs w:val="24"/>
          <w:highlight w:val="none"/>
        </w:rPr>
      </w:pPr>
      <w:r>
        <w:rPr>
          <w:rFonts w:hint="eastAsia" w:ascii="仿宋" w:hAnsi="仿宋" w:eastAsia="仿宋" w:cs="仿宋"/>
          <w:bCs/>
          <w:sz w:val="24"/>
          <w:szCs w:val="24"/>
          <w:highlight w:val="none"/>
        </w:rPr>
        <w:t>（1）投标文件电子档</w:t>
      </w:r>
    </w:p>
    <w:p>
      <w:pPr>
        <w:wordWrap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（2）纸质型保单保函原件（如有）</w:t>
      </w:r>
    </w:p>
    <w:p>
      <w:pPr>
        <w:wordWrap w:val="0"/>
        <w:spacing w:line="360" w:lineRule="auto"/>
        <w:ind w:firstLine="480" w:firstLineChars="200"/>
        <w:rPr>
          <w:rFonts w:hint="default" w:ascii="仿宋" w:hAnsi="仿宋" w:eastAsia="仿宋" w:cs="仿宋"/>
          <w:bCs/>
          <w:sz w:val="24"/>
          <w:szCs w:val="24"/>
          <w:highlight w:val="none"/>
          <w:lang w:val="en-US" w:eastAsia="zh-CN"/>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3）样品（如有）</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22.2 密封封套上应注明的内容</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（1）所封装文件的名称，如“投标文件电子档”、“保单保函原件”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样品”</w:t>
      </w:r>
      <w:r>
        <w:rPr>
          <w:rFonts w:hint="eastAsia" w:ascii="仿宋" w:hAnsi="仿宋" w:eastAsia="仿宋" w:cs="仿宋"/>
          <w:sz w:val="24"/>
          <w:szCs w:val="24"/>
          <w:highlight w:val="none"/>
        </w:rPr>
        <w:t>等字样；</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（2）项目名称，项目编号，项目标段/标包（如有）；</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（3）投标人名称（所注名称处加盖投标人公章），投标人地址；</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（4）“请勿在</w:t>
      </w:r>
      <w:r>
        <w:rPr>
          <w:rFonts w:hint="eastAsia" w:ascii="仿宋" w:hAnsi="仿宋" w:eastAsia="仿宋" w:cs="仿宋"/>
          <w:i/>
          <w:iCs/>
          <w:sz w:val="24"/>
          <w:szCs w:val="24"/>
          <w:highlight w:val="none"/>
          <w:u w:val="single"/>
        </w:rPr>
        <w:t>（开标时间）</w:t>
      </w:r>
      <w:r>
        <w:rPr>
          <w:rFonts w:hint="eastAsia" w:ascii="仿宋" w:hAnsi="仿宋" w:eastAsia="仿宋" w:cs="仿宋"/>
          <w:sz w:val="24"/>
          <w:szCs w:val="24"/>
          <w:highlight w:val="none"/>
        </w:rPr>
        <w:t>前启封”字样。</w:t>
      </w:r>
    </w:p>
    <w:p>
      <w:pPr>
        <w:wordWrap w:val="0"/>
        <w:spacing w:line="360" w:lineRule="auto"/>
        <w:ind w:firstLine="482" w:firstLineChars="200"/>
        <w:rPr>
          <w:rFonts w:ascii="仿宋" w:hAnsi="仿宋" w:eastAsia="仿宋" w:cs="仿宋"/>
          <w:b/>
          <w:bCs/>
          <w:sz w:val="24"/>
          <w:szCs w:val="24"/>
          <w:highlight w:val="none"/>
          <w:u w:val="single"/>
        </w:rPr>
      </w:pPr>
      <w:r>
        <w:rPr>
          <w:rFonts w:hint="eastAsia" w:ascii="仿宋" w:hAnsi="仿宋" w:eastAsia="仿宋" w:cs="仿宋"/>
          <w:b/>
          <w:bCs/>
          <w:sz w:val="24"/>
          <w:szCs w:val="24"/>
          <w:highlight w:val="none"/>
          <w:u w:val="single"/>
        </w:rPr>
        <w:t>采购人及采购代理机构将在开标时间前根据封套所注内容执行采购相关程序，若因封套上所注内容错误或不清晰导致误判，责任由投标人自行承担。</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22.3 密封要求</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投标人应使用无法从外观透视所封装内容的材料（如厚纸、塑胶箱、塑胶袋等）对文件进行密封。</w:t>
      </w:r>
    </w:p>
    <w:p>
      <w:pPr>
        <w:widowControl/>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22.</w:t>
      </w:r>
      <w:r>
        <w:rPr>
          <w:rFonts w:ascii="仿宋" w:hAnsi="仿宋" w:eastAsia="仿宋" w:cs="Times New Roman"/>
          <w:sz w:val="24"/>
          <w:szCs w:val="24"/>
          <w:highlight w:val="none"/>
        </w:rPr>
        <w:t xml:space="preserve">4 </w:t>
      </w:r>
      <w:r>
        <w:rPr>
          <w:rFonts w:hint="eastAsia" w:ascii="仿宋" w:hAnsi="仿宋" w:eastAsia="仿宋" w:cs="Times New Roman"/>
          <w:sz w:val="24"/>
          <w:szCs w:val="24"/>
          <w:highlight w:val="none"/>
        </w:rPr>
        <w:t>投标人投标保证金若选择纸质型保单保函形式缴纳</w:t>
      </w:r>
      <w:r>
        <w:rPr>
          <w:rFonts w:hint="eastAsia" w:ascii="仿宋" w:hAnsi="仿宋" w:eastAsia="仿宋" w:cs="Times New Roman"/>
          <w:b/>
          <w:bCs/>
          <w:sz w:val="24"/>
          <w:szCs w:val="24"/>
          <w:highlight w:val="none"/>
          <w:u w:val="single"/>
        </w:rPr>
        <w:t>须提供原件</w:t>
      </w:r>
      <w:r>
        <w:rPr>
          <w:rFonts w:hint="eastAsia" w:ascii="仿宋" w:hAnsi="仿宋" w:eastAsia="仿宋" w:cs="Times New Roman"/>
          <w:b/>
          <w:bCs/>
          <w:sz w:val="24"/>
          <w:szCs w:val="24"/>
          <w:highlight w:val="none"/>
        </w:rPr>
        <w:t>。</w:t>
      </w:r>
    </w:p>
    <w:p>
      <w:pPr>
        <w:wordWrap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23.投标文件的递交</w:t>
      </w:r>
    </w:p>
    <w:p>
      <w:pPr>
        <w:wordWrap w:val="0"/>
        <w:spacing w:line="360" w:lineRule="auto"/>
        <w:ind w:firstLine="480" w:firstLineChars="200"/>
        <w:rPr>
          <w:rFonts w:ascii="仿宋" w:hAnsi="仿宋" w:eastAsia="仿宋" w:cs="仿宋"/>
          <w:b/>
          <w:bCs/>
          <w:sz w:val="24"/>
          <w:szCs w:val="24"/>
          <w:highlight w:val="none"/>
        </w:rPr>
      </w:pPr>
      <w:r>
        <w:rPr>
          <w:rFonts w:hint="eastAsia" w:ascii="仿宋" w:hAnsi="仿宋" w:eastAsia="仿宋" w:cs="仿宋"/>
          <w:sz w:val="24"/>
          <w:szCs w:val="24"/>
          <w:highlight w:val="none"/>
        </w:rPr>
        <w:t>23.1 投标人应按“投标人须知前附表”规定时间递交投标文件至“投标人须知前附表”</w:t>
      </w:r>
      <w:r>
        <w:rPr>
          <w:rFonts w:ascii="仿宋" w:hAnsi="仿宋" w:eastAsia="仿宋" w:cs="仿宋"/>
          <w:sz w:val="24"/>
          <w:szCs w:val="24"/>
          <w:highlight w:val="none"/>
        </w:rPr>
        <w:t>规定</w:t>
      </w:r>
      <w:r>
        <w:rPr>
          <w:rFonts w:hint="eastAsia" w:ascii="仿宋" w:hAnsi="仿宋" w:eastAsia="仿宋" w:cs="仿宋"/>
          <w:sz w:val="24"/>
          <w:szCs w:val="24"/>
          <w:highlight w:val="none"/>
        </w:rPr>
        <w:t>地点。</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bCs/>
          <w:sz w:val="24"/>
          <w:szCs w:val="24"/>
          <w:highlight w:val="none"/>
        </w:rPr>
        <w:t>23.</w:t>
      </w:r>
      <w:r>
        <w:rPr>
          <w:rFonts w:ascii="仿宋" w:hAnsi="仿宋" w:eastAsia="仿宋" w:cs="仿宋"/>
          <w:bCs/>
          <w:sz w:val="24"/>
          <w:szCs w:val="24"/>
          <w:highlight w:val="none"/>
        </w:rPr>
        <w:t>2</w:t>
      </w:r>
      <w:r>
        <w:rPr>
          <w:rFonts w:ascii="仿宋" w:hAnsi="仿宋" w:eastAsia="仿宋" w:cs="仿宋"/>
          <w:b/>
          <w:sz w:val="24"/>
          <w:szCs w:val="24"/>
          <w:highlight w:val="none"/>
        </w:rPr>
        <w:t xml:space="preserve"> </w:t>
      </w:r>
      <w:r>
        <w:rPr>
          <w:rFonts w:hint="eastAsia" w:ascii="仿宋" w:hAnsi="仿宋" w:eastAsia="仿宋" w:cs="仿宋"/>
          <w:b/>
          <w:sz w:val="24"/>
          <w:szCs w:val="24"/>
          <w:highlight w:val="none"/>
          <w:u w:val="single"/>
        </w:rPr>
        <w:t>在“投标人须知前附表”规定开标时间（投标截止时间）后递交的投标文件（或某一组成部分）将被拒绝。</w:t>
      </w:r>
    </w:p>
    <w:p>
      <w:pPr>
        <w:wordWrap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24.投标文件的补充、修改或撤回</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24.</w:t>
      </w:r>
      <w:r>
        <w:rPr>
          <w:rFonts w:ascii="仿宋" w:hAnsi="仿宋" w:eastAsia="仿宋" w:cs="仿宋"/>
          <w:sz w:val="24"/>
          <w:szCs w:val="24"/>
          <w:highlight w:val="none"/>
        </w:rPr>
        <w:t xml:space="preserve">1 </w:t>
      </w:r>
      <w:r>
        <w:rPr>
          <w:rFonts w:hint="eastAsia" w:ascii="仿宋" w:hAnsi="仿宋" w:eastAsia="仿宋" w:cs="仿宋"/>
          <w:sz w:val="24"/>
          <w:szCs w:val="24"/>
          <w:highlight w:val="none"/>
        </w:rPr>
        <w:t>投标截止时间前，供应商如需对投标文件进行补充、修改或撤回，须依照拉萨市公共资源交易平台规范执行。</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w:t>
      </w:r>
      <w:r>
        <w:rPr>
          <w:rFonts w:ascii="仿宋" w:hAnsi="仿宋" w:eastAsia="仿宋" w:cs="仿宋"/>
          <w:sz w:val="24"/>
          <w:szCs w:val="24"/>
          <w:highlight w:val="none"/>
        </w:rPr>
        <w:t xml:space="preserve">4.2 </w:t>
      </w:r>
      <w:r>
        <w:rPr>
          <w:rFonts w:hint="eastAsia" w:ascii="仿宋" w:hAnsi="仿宋" w:eastAsia="仿宋" w:cs="仿宋"/>
          <w:sz w:val="24"/>
          <w:szCs w:val="24"/>
          <w:highlight w:val="none"/>
        </w:rPr>
        <w:t>投标截止时间后，除发生评标委员会依法要求投标人作出澄清的情况外，投标人不得对其投标文件进行补充、修改。</w:t>
      </w:r>
    </w:p>
    <w:p>
      <w:pPr>
        <w:wordWrap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24.</w:t>
      </w:r>
      <w:r>
        <w:rPr>
          <w:rFonts w:ascii="仿宋" w:hAnsi="仿宋" w:eastAsia="仿宋" w:cs="仿宋"/>
          <w:sz w:val="24"/>
          <w:szCs w:val="24"/>
          <w:highlight w:val="none"/>
        </w:rPr>
        <w:t xml:space="preserve">3 </w:t>
      </w:r>
      <w:r>
        <w:rPr>
          <w:rFonts w:hint="eastAsia" w:ascii="仿宋" w:hAnsi="仿宋" w:eastAsia="仿宋" w:cs="仿宋"/>
          <w:sz w:val="24"/>
          <w:szCs w:val="24"/>
          <w:highlight w:val="none"/>
        </w:rPr>
        <w:t>投标文件自投标截止时间至投标有效期满之时，投标人不得撤回其投标文件，否则其投标保证金将被没收或依照保函、保单索赔。</w:t>
      </w:r>
    </w:p>
    <w:p>
      <w:pPr>
        <w:wordWrap w:val="0"/>
        <w:spacing w:line="360" w:lineRule="auto"/>
        <w:ind w:firstLine="482" w:firstLineChars="200"/>
        <w:rPr>
          <w:rFonts w:ascii="仿宋" w:hAnsi="仿宋" w:eastAsia="仿宋" w:cs="仿宋"/>
          <w:b/>
          <w:bCs/>
          <w:sz w:val="24"/>
          <w:szCs w:val="24"/>
          <w:highlight w:val="none"/>
        </w:rPr>
      </w:pPr>
      <w:r>
        <w:rPr>
          <w:rFonts w:ascii="仿宋" w:hAnsi="仿宋" w:eastAsia="仿宋" w:cs="仿宋"/>
          <w:b/>
          <w:bCs/>
          <w:sz w:val="24"/>
          <w:szCs w:val="24"/>
          <w:highlight w:val="none"/>
        </w:rPr>
        <w:t>25.供应商</w:t>
      </w:r>
      <w:r>
        <w:rPr>
          <w:rFonts w:hint="eastAsia" w:ascii="仿宋" w:hAnsi="仿宋" w:eastAsia="仿宋" w:cs="仿宋"/>
          <w:b/>
          <w:bCs/>
          <w:sz w:val="24"/>
          <w:szCs w:val="24"/>
          <w:highlight w:val="none"/>
        </w:rPr>
        <w:t>获取</w:t>
      </w:r>
      <w:r>
        <w:rPr>
          <w:rFonts w:ascii="仿宋" w:hAnsi="仿宋" w:eastAsia="仿宋" w:cs="仿宋"/>
          <w:b/>
          <w:bCs/>
          <w:sz w:val="24"/>
          <w:szCs w:val="24"/>
          <w:highlight w:val="none"/>
        </w:rPr>
        <w:t>招标文件后，不参加投标的，应在投标截止时间</w:t>
      </w:r>
      <w:r>
        <w:rPr>
          <w:rFonts w:hint="eastAsia" w:ascii="仿宋" w:hAnsi="仿宋" w:eastAsia="仿宋" w:cs="仿宋"/>
          <w:b/>
          <w:bCs/>
          <w:sz w:val="24"/>
          <w:szCs w:val="24"/>
          <w:highlight w:val="none"/>
        </w:rPr>
        <w:t>3</w:t>
      </w:r>
      <w:r>
        <w:rPr>
          <w:rFonts w:ascii="仿宋" w:hAnsi="仿宋" w:eastAsia="仿宋" w:cs="仿宋"/>
          <w:b/>
          <w:bCs/>
          <w:sz w:val="24"/>
          <w:szCs w:val="24"/>
          <w:highlight w:val="none"/>
        </w:rPr>
        <w:t>日前以书面</w:t>
      </w:r>
      <w:r>
        <w:rPr>
          <w:rFonts w:hint="eastAsia" w:ascii="仿宋" w:hAnsi="仿宋" w:eastAsia="仿宋" w:cs="仿宋"/>
          <w:b/>
          <w:bCs/>
          <w:sz w:val="24"/>
          <w:szCs w:val="24"/>
          <w:highlight w:val="none"/>
        </w:rPr>
        <w:t>形式</w:t>
      </w:r>
      <w:r>
        <w:rPr>
          <w:rFonts w:ascii="仿宋" w:hAnsi="仿宋" w:eastAsia="仿宋" w:cs="仿宋"/>
          <w:b/>
          <w:bCs/>
          <w:sz w:val="24"/>
          <w:szCs w:val="24"/>
          <w:highlight w:val="none"/>
        </w:rPr>
        <w:t>告知采购代理机构，以提高采购效率，节约社会交易成本。</w:t>
      </w:r>
    </w:p>
    <w:p>
      <w:pPr>
        <w:keepNext/>
        <w:keepLines/>
        <w:spacing w:line="360" w:lineRule="auto"/>
        <w:jc w:val="center"/>
        <w:outlineLvl w:val="1"/>
        <w:rPr>
          <w:rFonts w:ascii="仿宋" w:hAnsi="仿宋" w:eastAsia="仿宋" w:cs="仿宋"/>
          <w:b/>
          <w:bCs/>
          <w:sz w:val="28"/>
          <w:szCs w:val="28"/>
          <w:highlight w:val="none"/>
        </w:rPr>
      </w:pPr>
      <w:r>
        <w:rPr>
          <w:rFonts w:hint="eastAsia" w:ascii="仿宋" w:hAnsi="仿宋" w:eastAsia="仿宋" w:cs="仿宋"/>
          <w:b/>
          <w:bCs/>
          <w:sz w:val="28"/>
          <w:szCs w:val="28"/>
          <w:highlight w:val="none"/>
        </w:rPr>
        <w:t>五、开标</w:t>
      </w:r>
      <w:bookmarkEnd w:id="82"/>
      <w:bookmarkEnd w:id="83"/>
      <w:bookmarkEnd w:id="84"/>
      <w:bookmarkEnd w:id="85"/>
      <w:bookmarkEnd w:id="86"/>
      <w:bookmarkEnd w:id="87"/>
      <w:bookmarkEnd w:id="88"/>
      <w:bookmarkEnd w:id="89"/>
      <w:bookmarkEnd w:id="90"/>
      <w:r>
        <w:rPr>
          <w:rFonts w:hint="eastAsia" w:ascii="仿宋" w:hAnsi="仿宋" w:eastAsia="仿宋" w:cs="仿宋"/>
          <w:b/>
          <w:bCs/>
          <w:sz w:val="28"/>
          <w:szCs w:val="28"/>
          <w:highlight w:val="none"/>
        </w:rPr>
        <w:t>与评标</w:t>
      </w:r>
      <w:bookmarkEnd w:id="91"/>
    </w:p>
    <w:p>
      <w:pPr>
        <w:spacing w:line="360" w:lineRule="auto"/>
        <w:ind w:firstLine="482" w:firstLineChars="200"/>
        <w:rPr>
          <w:rFonts w:ascii="仿宋" w:hAnsi="仿宋" w:eastAsia="仿宋" w:cs="仿宋"/>
          <w:b/>
          <w:sz w:val="24"/>
          <w:szCs w:val="24"/>
          <w:highlight w:val="none"/>
        </w:rPr>
      </w:pPr>
      <w:r>
        <w:rPr>
          <w:rFonts w:ascii="仿宋" w:hAnsi="仿宋" w:eastAsia="仿宋" w:cs="仿宋"/>
          <w:b/>
          <w:sz w:val="24"/>
          <w:szCs w:val="24"/>
          <w:highlight w:val="none"/>
        </w:rPr>
        <w:t>26</w:t>
      </w:r>
      <w:r>
        <w:rPr>
          <w:rFonts w:hint="eastAsia" w:ascii="仿宋" w:hAnsi="仿宋" w:eastAsia="仿宋" w:cs="仿宋"/>
          <w:b/>
          <w:sz w:val="24"/>
          <w:szCs w:val="24"/>
          <w:highlight w:val="none"/>
        </w:rPr>
        <w:t>.开标</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26</w:t>
      </w:r>
      <w:r>
        <w:rPr>
          <w:rFonts w:hint="eastAsia" w:ascii="仿宋" w:hAnsi="仿宋" w:eastAsia="仿宋" w:cs="仿宋"/>
          <w:sz w:val="24"/>
          <w:szCs w:val="24"/>
          <w:highlight w:val="none"/>
        </w:rPr>
        <w:t>.1 采购人及采购代理机构将按照“投标人须知前附表”规定的时间、地点组织开标。</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 xml:space="preserve">26.2 </w:t>
      </w:r>
      <w:r>
        <w:rPr>
          <w:rFonts w:hint="eastAsia" w:ascii="仿宋" w:hAnsi="仿宋" w:eastAsia="仿宋" w:cs="Times New Roman"/>
          <w:sz w:val="24"/>
          <w:szCs w:val="24"/>
          <w:highlight w:val="none"/>
        </w:rPr>
        <w:t>截至开标之时，投标人家数未达到法定条件的，不予开标。</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26</w:t>
      </w:r>
      <w:r>
        <w:rPr>
          <w:rFonts w:hint="eastAsia" w:ascii="仿宋" w:hAnsi="仿宋" w:eastAsia="仿宋" w:cs="仿宋"/>
          <w:sz w:val="24"/>
          <w:szCs w:val="24"/>
          <w:highlight w:val="none"/>
        </w:rPr>
        <w:t>.</w:t>
      </w:r>
      <w:r>
        <w:rPr>
          <w:rFonts w:ascii="仿宋" w:hAnsi="仿宋" w:eastAsia="仿宋" w:cs="仿宋"/>
          <w:sz w:val="24"/>
          <w:szCs w:val="24"/>
          <w:highlight w:val="none"/>
        </w:rPr>
        <w:t>3</w:t>
      </w:r>
      <w:r>
        <w:rPr>
          <w:rFonts w:hint="eastAsia" w:ascii="仿宋" w:hAnsi="仿宋" w:eastAsia="仿宋" w:cs="仿宋"/>
          <w:sz w:val="24"/>
          <w:szCs w:val="24"/>
          <w:highlight w:val="none"/>
        </w:rPr>
        <w:t xml:space="preserve"> 依照“投标人须知前附表”要求撤回的投标文件不予启封（解密）。</w:t>
      </w:r>
    </w:p>
    <w:p>
      <w:pPr>
        <w:spacing w:line="360" w:lineRule="auto"/>
        <w:ind w:firstLine="480" w:firstLineChars="200"/>
        <w:rPr>
          <w:rFonts w:ascii="仿宋" w:hAnsi="仿宋" w:eastAsia="仿宋" w:cs="仿宋"/>
          <w:sz w:val="28"/>
          <w:szCs w:val="28"/>
          <w:highlight w:val="none"/>
        </w:rPr>
      </w:pPr>
      <w:r>
        <w:rPr>
          <w:rFonts w:ascii="仿宋" w:hAnsi="仿宋" w:eastAsia="仿宋" w:cs="仿宋"/>
          <w:sz w:val="24"/>
          <w:szCs w:val="24"/>
          <w:highlight w:val="none"/>
        </w:rPr>
        <w:t>26</w:t>
      </w:r>
      <w:r>
        <w:rPr>
          <w:rFonts w:hint="eastAsia" w:ascii="仿宋" w:hAnsi="仿宋" w:eastAsia="仿宋" w:cs="仿宋"/>
          <w:sz w:val="24"/>
          <w:szCs w:val="24"/>
          <w:highlight w:val="none"/>
        </w:rPr>
        <w:t>.</w:t>
      </w:r>
      <w:r>
        <w:rPr>
          <w:rFonts w:ascii="仿宋" w:hAnsi="仿宋" w:eastAsia="仿宋" w:cs="仿宋"/>
          <w:sz w:val="24"/>
          <w:szCs w:val="24"/>
          <w:highlight w:val="none"/>
        </w:rPr>
        <w:t xml:space="preserve">4 </w:t>
      </w:r>
      <w:r>
        <w:rPr>
          <w:rFonts w:hint="eastAsia" w:ascii="仿宋" w:hAnsi="仿宋" w:eastAsia="仿宋" w:cs="仿宋"/>
          <w:sz w:val="24"/>
          <w:szCs w:val="24"/>
          <w:highlight w:val="none"/>
        </w:rPr>
        <w:t>开标时，采购人或采购代理机构将组织审查投标文件是否密封并当众宣读开标一览表内容、撤回投标的通知及招标文件规定需要宣读的其它内容。</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仿宋"/>
          <w:sz w:val="24"/>
          <w:szCs w:val="24"/>
          <w:highlight w:val="none"/>
        </w:rPr>
        <w:t>26</w:t>
      </w:r>
      <w:r>
        <w:rPr>
          <w:rFonts w:hint="eastAsia" w:ascii="仿宋" w:hAnsi="仿宋" w:eastAsia="仿宋" w:cs="仿宋"/>
          <w:sz w:val="24"/>
          <w:szCs w:val="24"/>
          <w:highlight w:val="none"/>
        </w:rPr>
        <w:t>.5 采购人或采购代理机构将做开标记录并由参加开标会的投标人法定代表人或授权代表签字确认，存档备案。</w:t>
      </w:r>
      <w:r>
        <w:rPr>
          <w:rFonts w:hint="eastAsia" w:ascii="仿宋" w:hAnsi="仿宋" w:eastAsia="仿宋" w:cs="Times New Roman"/>
          <w:sz w:val="24"/>
          <w:szCs w:val="24"/>
          <w:highlight w:val="none"/>
        </w:rPr>
        <w:t>投标人对开标环节的异议应在开标现场当场提出并在开标记录中写明异议内容后由</w:t>
      </w:r>
      <w:r>
        <w:rPr>
          <w:rFonts w:hint="eastAsia" w:ascii="仿宋" w:hAnsi="仿宋" w:eastAsia="仿宋" w:cs="仿宋"/>
          <w:sz w:val="24"/>
          <w:szCs w:val="24"/>
          <w:highlight w:val="none"/>
        </w:rPr>
        <w:t>法定代表人或授权代表</w:t>
      </w:r>
      <w:r>
        <w:rPr>
          <w:rFonts w:hint="eastAsia" w:ascii="仿宋" w:hAnsi="仿宋" w:eastAsia="仿宋" w:cs="Times New Roman"/>
          <w:sz w:val="24"/>
          <w:szCs w:val="24"/>
          <w:highlight w:val="none"/>
        </w:rPr>
        <w:t>签字确认。投标人拒绝在开标记录中签字确认的，视同认可开标记录及结果。</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26.</w:t>
      </w:r>
      <w:r>
        <w:rPr>
          <w:rFonts w:hint="eastAsia" w:ascii="仿宋" w:hAnsi="仿宋" w:eastAsia="仿宋" w:cs="Times New Roman"/>
          <w:sz w:val="24"/>
          <w:szCs w:val="24"/>
          <w:highlight w:val="none"/>
        </w:rPr>
        <w:t>6</w:t>
      </w:r>
      <w:r>
        <w:rPr>
          <w:rFonts w:ascii="仿宋" w:hAnsi="仿宋" w:eastAsia="仿宋" w:cs="Times New Roman"/>
          <w:sz w:val="24"/>
          <w:szCs w:val="24"/>
          <w:highlight w:val="none"/>
        </w:rPr>
        <w:t xml:space="preserve"> </w:t>
      </w:r>
      <w:r>
        <w:rPr>
          <w:rFonts w:hint="eastAsia" w:ascii="仿宋" w:hAnsi="仿宋" w:eastAsia="仿宋" w:cs="Times New Roman"/>
          <w:sz w:val="24"/>
          <w:szCs w:val="24"/>
          <w:highlight w:val="none"/>
        </w:rPr>
        <w:t>投标人未参与开标的，视同认可开标记录及结果。</w:t>
      </w:r>
    </w:p>
    <w:p>
      <w:pPr>
        <w:spacing w:line="360" w:lineRule="auto"/>
        <w:ind w:firstLine="482" w:firstLineChars="200"/>
        <w:rPr>
          <w:rFonts w:ascii="仿宋" w:hAnsi="仿宋" w:eastAsia="仿宋" w:cs="仿宋"/>
          <w:sz w:val="28"/>
          <w:szCs w:val="28"/>
          <w:highlight w:val="none"/>
        </w:rPr>
      </w:pPr>
      <w:r>
        <w:rPr>
          <w:rFonts w:ascii="仿宋" w:hAnsi="仿宋" w:eastAsia="仿宋" w:cs="仿宋"/>
          <w:b/>
          <w:sz w:val="24"/>
          <w:szCs w:val="24"/>
          <w:highlight w:val="none"/>
        </w:rPr>
        <w:t>27</w:t>
      </w:r>
      <w:r>
        <w:rPr>
          <w:rFonts w:hint="eastAsia" w:ascii="仿宋" w:hAnsi="仿宋" w:eastAsia="仿宋" w:cs="仿宋"/>
          <w:b/>
          <w:sz w:val="24"/>
          <w:szCs w:val="24"/>
          <w:highlight w:val="none"/>
        </w:rPr>
        <w:t>.评标</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27.</w:t>
      </w:r>
      <w:r>
        <w:rPr>
          <w:rFonts w:ascii="仿宋" w:hAnsi="仿宋" w:eastAsia="仿宋" w:cs="仿宋"/>
          <w:b/>
          <w:sz w:val="24"/>
          <w:szCs w:val="24"/>
          <w:highlight w:val="none"/>
        </w:rPr>
        <w:t>1</w:t>
      </w:r>
      <w:r>
        <w:rPr>
          <w:rFonts w:hint="eastAsia" w:ascii="仿宋" w:hAnsi="仿宋" w:eastAsia="仿宋" w:cs="仿宋"/>
          <w:b/>
          <w:sz w:val="24"/>
          <w:szCs w:val="24"/>
          <w:highlight w:val="none"/>
        </w:rPr>
        <w:t>评标过程的保密性</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27.1</w:t>
      </w:r>
      <w:r>
        <w:rPr>
          <w:rFonts w:ascii="仿宋" w:hAnsi="仿宋" w:eastAsia="仿宋" w:cs="仿宋"/>
          <w:sz w:val="24"/>
          <w:szCs w:val="24"/>
          <w:highlight w:val="none"/>
        </w:rPr>
        <w:t>.1</w:t>
      </w:r>
      <w:r>
        <w:rPr>
          <w:rFonts w:hint="eastAsia" w:ascii="仿宋" w:hAnsi="仿宋" w:eastAsia="仿宋" w:cs="仿宋"/>
          <w:sz w:val="24"/>
          <w:szCs w:val="24"/>
          <w:highlight w:val="none"/>
        </w:rPr>
        <w:t xml:space="preserve"> 凡是属于审查、澄清、评价和比较投标的有关资料以及授标建议等内容，采购相关人员均不得向投标人或其他无关人员透露。</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27.</w:t>
      </w:r>
      <w:r>
        <w:rPr>
          <w:rFonts w:ascii="仿宋" w:hAnsi="仿宋" w:eastAsia="仿宋" w:cs="仿宋"/>
          <w:sz w:val="24"/>
          <w:szCs w:val="24"/>
          <w:highlight w:val="none"/>
        </w:rPr>
        <w:t>1.</w:t>
      </w:r>
      <w:r>
        <w:rPr>
          <w:rFonts w:hint="eastAsia" w:ascii="仿宋" w:hAnsi="仿宋" w:eastAsia="仿宋" w:cs="仿宋"/>
          <w:sz w:val="24"/>
          <w:szCs w:val="24"/>
          <w:highlight w:val="none"/>
        </w:rPr>
        <w:t>2 投标人在评标过程中，试图向招标人施加任何影响的行为，都将可能导致投标失败，并承担相关法律责任。</w:t>
      </w:r>
    </w:p>
    <w:p>
      <w:pPr>
        <w:spacing w:line="360" w:lineRule="auto"/>
        <w:ind w:firstLine="482" w:firstLineChars="200"/>
        <w:rPr>
          <w:rFonts w:ascii="仿宋" w:hAnsi="仿宋" w:eastAsia="仿宋" w:cs="仿宋"/>
          <w:b/>
          <w:sz w:val="24"/>
          <w:szCs w:val="24"/>
          <w:highlight w:val="none"/>
        </w:rPr>
      </w:pPr>
      <w:r>
        <w:rPr>
          <w:rFonts w:ascii="仿宋" w:hAnsi="仿宋" w:eastAsia="仿宋" w:cs="仿宋"/>
          <w:b/>
          <w:sz w:val="24"/>
          <w:szCs w:val="24"/>
          <w:highlight w:val="none"/>
        </w:rPr>
        <w:t>27</w:t>
      </w:r>
      <w:r>
        <w:rPr>
          <w:rFonts w:hint="eastAsia" w:ascii="仿宋" w:hAnsi="仿宋" w:eastAsia="仿宋" w:cs="仿宋"/>
          <w:b/>
          <w:sz w:val="24"/>
          <w:szCs w:val="24"/>
          <w:highlight w:val="none"/>
        </w:rPr>
        <w:t>.</w:t>
      </w:r>
      <w:r>
        <w:rPr>
          <w:rFonts w:ascii="仿宋" w:hAnsi="仿宋" w:eastAsia="仿宋" w:cs="仿宋"/>
          <w:b/>
          <w:sz w:val="24"/>
          <w:szCs w:val="24"/>
          <w:highlight w:val="none"/>
        </w:rPr>
        <w:t>2</w:t>
      </w:r>
      <w:r>
        <w:rPr>
          <w:rFonts w:hint="eastAsia" w:ascii="仿宋" w:hAnsi="仿宋" w:eastAsia="仿宋" w:cs="仿宋"/>
          <w:b/>
          <w:sz w:val="24"/>
          <w:szCs w:val="24"/>
          <w:highlight w:val="none"/>
        </w:rPr>
        <w:t>投标文件的澄清</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w:t>
      </w:r>
      <w:r>
        <w:rPr>
          <w:rFonts w:ascii="仿宋" w:hAnsi="仿宋" w:eastAsia="仿宋" w:cs="仿宋"/>
          <w:sz w:val="24"/>
          <w:szCs w:val="24"/>
          <w:highlight w:val="none"/>
        </w:rPr>
        <w:t>7</w:t>
      </w:r>
      <w:r>
        <w:rPr>
          <w:rFonts w:hint="eastAsia" w:ascii="仿宋" w:hAnsi="仿宋" w:eastAsia="仿宋" w:cs="仿宋"/>
          <w:sz w:val="24"/>
          <w:szCs w:val="24"/>
          <w:highlight w:val="none"/>
        </w:rPr>
        <w:t>.</w:t>
      </w:r>
      <w:r>
        <w:rPr>
          <w:rFonts w:ascii="仿宋" w:hAnsi="仿宋" w:eastAsia="仿宋" w:cs="仿宋"/>
          <w:sz w:val="24"/>
          <w:szCs w:val="24"/>
          <w:highlight w:val="none"/>
        </w:rPr>
        <w:t>2.</w:t>
      </w:r>
      <w:r>
        <w:rPr>
          <w:rFonts w:hint="eastAsia" w:ascii="仿宋" w:hAnsi="仿宋" w:eastAsia="仿宋" w:cs="仿宋"/>
          <w:sz w:val="24"/>
          <w:szCs w:val="24"/>
          <w:highlight w:val="none"/>
        </w:rPr>
        <w:t>1 对于投标文件中含义不明确、同类问题表述不一致或者有明显文字和计算错误的内容，评标委员会或经评标委员会授权的采购代理机构可要求投标人在规定时间、地点内对其投标文件进行澄清、说明或者补正。</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w:t>
      </w:r>
      <w:r>
        <w:rPr>
          <w:rFonts w:ascii="仿宋" w:hAnsi="仿宋" w:eastAsia="仿宋" w:cs="仿宋"/>
          <w:sz w:val="24"/>
          <w:szCs w:val="24"/>
          <w:highlight w:val="none"/>
        </w:rPr>
        <w:t>7</w:t>
      </w:r>
      <w:r>
        <w:rPr>
          <w:rFonts w:hint="eastAsia" w:ascii="仿宋" w:hAnsi="仿宋" w:eastAsia="仿宋" w:cs="仿宋"/>
          <w:sz w:val="24"/>
          <w:szCs w:val="24"/>
          <w:highlight w:val="none"/>
        </w:rPr>
        <w:t>.</w:t>
      </w:r>
      <w:r>
        <w:rPr>
          <w:rFonts w:ascii="仿宋" w:hAnsi="仿宋" w:eastAsia="仿宋" w:cs="仿宋"/>
          <w:sz w:val="24"/>
          <w:szCs w:val="24"/>
          <w:highlight w:val="none"/>
        </w:rPr>
        <w:t xml:space="preserve">2.2 </w:t>
      </w:r>
      <w:r>
        <w:rPr>
          <w:rFonts w:hint="eastAsia" w:ascii="仿宋" w:hAnsi="仿宋" w:eastAsia="仿宋" w:cs="仿宋"/>
          <w:sz w:val="24"/>
          <w:szCs w:val="24"/>
          <w:highlight w:val="none"/>
        </w:rPr>
        <w:t>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w:t>
      </w:r>
      <w:r>
        <w:rPr>
          <w:rFonts w:ascii="仿宋" w:hAnsi="仿宋" w:eastAsia="仿宋" w:cs="仿宋"/>
          <w:sz w:val="24"/>
          <w:szCs w:val="24"/>
          <w:highlight w:val="none"/>
        </w:rPr>
        <w:t xml:space="preserve">7.2.3 </w:t>
      </w:r>
      <w:r>
        <w:rPr>
          <w:rFonts w:hint="eastAsia" w:ascii="仿宋" w:hAnsi="仿宋" w:eastAsia="仿宋" w:cs="仿宋"/>
          <w:sz w:val="24"/>
          <w:szCs w:val="24"/>
          <w:highlight w:val="none"/>
        </w:rPr>
        <w:t>投标人未按要求进行的澄清、说明或者补正将不被认可。</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w:t>
      </w:r>
      <w:r>
        <w:rPr>
          <w:rFonts w:ascii="仿宋" w:hAnsi="仿宋" w:eastAsia="仿宋" w:cs="仿宋"/>
          <w:b/>
          <w:sz w:val="24"/>
          <w:szCs w:val="24"/>
          <w:highlight w:val="none"/>
        </w:rPr>
        <w:t>7</w:t>
      </w:r>
      <w:r>
        <w:rPr>
          <w:rFonts w:hint="eastAsia" w:ascii="仿宋" w:hAnsi="仿宋" w:eastAsia="仿宋" w:cs="仿宋"/>
          <w:b/>
          <w:sz w:val="24"/>
          <w:szCs w:val="24"/>
          <w:highlight w:val="none"/>
        </w:rPr>
        <w:t>.</w:t>
      </w:r>
      <w:r>
        <w:rPr>
          <w:rFonts w:ascii="仿宋" w:hAnsi="仿宋" w:eastAsia="仿宋" w:cs="仿宋"/>
          <w:b/>
          <w:sz w:val="24"/>
          <w:szCs w:val="24"/>
          <w:highlight w:val="none"/>
        </w:rPr>
        <w:t xml:space="preserve">3 </w:t>
      </w:r>
      <w:r>
        <w:rPr>
          <w:rFonts w:hint="eastAsia" w:ascii="仿宋" w:hAnsi="仿宋" w:eastAsia="仿宋" w:cs="仿宋"/>
          <w:b/>
          <w:sz w:val="24"/>
          <w:szCs w:val="24"/>
          <w:highlight w:val="none"/>
        </w:rPr>
        <w:t>评标办法</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本次采购将按招标文件“第七章 评标办法”所规定的评标方法和标准进行评标。</w:t>
      </w:r>
    </w:p>
    <w:p>
      <w:pPr>
        <w:spacing w:line="360" w:lineRule="auto"/>
        <w:ind w:firstLine="482" w:firstLineChars="200"/>
        <w:rPr>
          <w:rFonts w:ascii="仿宋" w:hAnsi="仿宋" w:eastAsia="仿宋" w:cs="仿宋"/>
          <w:b/>
          <w:sz w:val="24"/>
          <w:szCs w:val="24"/>
          <w:highlight w:val="none"/>
        </w:rPr>
      </w:pPr>
      <w:r>
        <w:rPr>
          <w:rFonts w:ascii="仿宋" w:hAnsi="仿宋" w:eastAsia="仿宋" w:cs="仿宋"/>
          <w:b/>
          <w:sz w:val="24"/>
          <w:szCs w:val="24"/>
          <w:highlight w:val="none"/>
        </w:rPr>
        <w:t>27.4 评标结果</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评标委员会根据全体评标成员签字的原始评标记录和评标结果编写评标报告，依据招标文件规定确定中标候选人名单或者经采购人委托直接确定中标人（以本项目委托代理协议为准）。</w:t>
      </w:r>
    </w:p>
    <w:p>
      <w:pPr>
        <w:keepNext/>
        <w:keepLines/>
        <w:spacing w:line="360" w:lineRule="auto"/>
        <w:jc w:val="center"/>
        <w:outlineLvl w:val="1"/>
        <w:rPr>
          <w:rFonts w:ascii="仿宋" w:hAnsi="仿宋" w:eastAsia="仿宋" w:cs="仿宋"/>
          <w:b/>
          <w:bCs/>
          <w:sz w:val="28"/>
          <w:szCs w:val="28"/>
          <w:highlight w:val="none"/>
        </w:rPr>
      </w:pPr>
      <w:bookmarkStart w:id="92" w:name="_Toc58170382"/>
      <w:bookmarkStart w:id="93" w:name="_Toc110245239"/>
      <w:r>
        <w:rPr>
          <w:rFonts w:hint="eastAsia" w:ascii="仿宋" w:hAnsi="仿宋" w:eastAsia="仿宋" w:cs="仿宋"/>
          <w:b/>
          <w:bCs/>
          <w:sz w:val="28"/>
          <w:szCs w:val="28"/>
          <w:highlight w:val="none"/>
        </w:rPr>
        <w:t>六、确定中标人及授予合同</w:t>
      </w:r>
      <w:bookmarkEnd w:id="92"/>
      <w:bookmarkEnd w:id="93"/>
    </w:p>
    <w:p>
      <w:pPr>
        <w:spacing w:line="360" w:lineRule="auto"/>
        <w:ind w:firstLine="482" w:firstLineChars="200"/>
        <w:rPr>
          <w:rFonts w:ascii="仿宋" w:hAnsi="仿宋" w:eastAsia="仿宋" w:cs="仿宋"/>
          <w:b/>
          <w:sz w:val="24"/>
          <w:szCs w:val="24"/>
          <w:highlight w:val="none"/>
        </w:rPr>
      </w:pPr>
      <w:r>
        <w:rPr>
          <w:rFonts w:ascii="仿宋" w:hAnsi="仿宋" w:eastAsia="仿宋" w:cs="仿宋"/>
          <w:b/>
          <w:sz w:val="24"/>
          <w:szCs w:val="24"/>
          <w:highlight w:val="none"/>
        </w:rPr>
        <w:t>28</w:t>
      </w:r>
      <w:r>
        <w:rPr>
          <w:rFonts w:hint="eastAsia" w:ascii="仿宋" w:hAnsi="仿宋" w:eastAsia="仿宋" w:cs="仿宋"/>
          <w:b/>
          <w:sz w:val="24"/>
          <w:szCs w:val="24"/>
          <w:highlight w:val="none"/>
        </w:rPr>
        <w:t>.确定中标人</w:t>
      </w:r>
    </w:p>
    <w:p>
      <w:pPr>
        <w:widowControl/>
        <w:spacing w:line="360" w:lineRule="auto"/>
        <w:ind w:firstLine="480" w:firstLineChars="200"/>
        <w:rPr>
          <w:rFonts w:ascii="仿宋" w:hAnsi="仿宋" w:eastAsia="仿宋" w:cs="Times New Roman"/>
          <w:sz w:val="24"/>
          <w:szCs w:val="24"/>
          <w:highlight w:val="none"/>
        </w:rPr>
      </w:pPr>
      <w:bookmarkStart w:id="94" w:name="_Hlk61105257"/>
      <w:r>
        <w:rPr>
          <w:rFonts w:hint="eastAsia" w:ascii="仿宋" w:hAnsi="仿宋" w:eastAsia="仿宋" w:cs="Times New Roman"/>
          <w:sz w:val="24"/>
          <w:szCs w:val="24"/>
          <w:highlight w:val="none"/>
        </w:rPr>
        <w:t>采购人将按照评标报告推荐的中标候选人顺序及相关法律法规确定中标人，或由评标委员会直接确定中标人（以本项目委托代理协议为准）。</w:t>
      </w:r>
    </w:p>
    <w:bookmarkEnd w:id="94"/>
    <w:p>
      <w:pPr>
        <w:spacing w:line="360" w:lineRule="auto"/>
        <w:ind w:firstLine="482" w:firstLineChars="200"/>
        <w:rPr>
          <w:rFonts w:ascii="仿宋" w:hAnsi="仿宋" w:eastAsia="仿宋" w:cs="仿宋"/>
          <w:b/>
          <w:sz w:val="24"/>
          <w:szCs w:val="24"/>
          <w:highlight w:val="none"/>
        </w:rPr>
      </w:pPr>
      <w:r>
        <w:rPr>
          <w:rFonts w:ascii="仿宋" w:hAnsi="仿宋" w:eastAsia="仿宋" w:cs="仿宋"/>
          <w:b/>
          <w:sz w:val="24"/>
          <w:szCs w:val="24"/>
          <w:highlight w:val="none"/>
        </w:rPr>
        <w:t>29</w:t>
      </w:r>
      <w:r>
        <w:rPr>
          <w:rFonts w:hint="eastAsia" w:ascii="仿宋" w:hAnsi="仿宋" w:eastAsia="仿宋" w:cs="仿宋"/>
          <w:b/>
          <w:sz w:val="24"/>
          <w:szCs w:val="24"/>
          <w:highlight w:val="none"/>
        </w:rPr>
        <w:t>.中标结果</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w:t>
      </w:r>
      <w:r>
        <w:rPr>
          <w:rFonts w:ascii="仿宋" w:hAnsi="仿宋" w:eastAsia="仿宋" w:cs="仿宋"/>
          <w:sz w:val="24"/>
          <w:szCs w:val="24"/>
          <w:highlight w:val="none"/>
        </w:rPr>
        <w:t xml:space="preserve">9.1 </w:t>
      </w:r>
      <w:r>
        <w:rPr>
          <w:rFonts w:hint="eastAsia" w:ascii="仿宋" w:hAnsi="仿宋" w:eastAsia="仿宋" w:cs="仿宋"/>
          <w:sz w:val="24"/>
          <w:szCs w:val="24"/>
          <w:highlight w:val="none"/>
        </w:rPr>
        <w:t>确定中标人后，采购代理机构将向中标人发放《中标通知书》，同时通过相关媒体发布中标（结果）公告。</w:t>
      </w:r>
    </w:p>
    <w:p>
      <w:pPr>
        <w:widowControl/>
        <w:spacing w:line="360" w:lineRule="auto"/>
        <w:ind w:firstLine="480" w:firstLineChars="200"/>
        <w:rPr>
          <w:rFonts w:ascii="仿宋" w:hAnsi="仿宋" w:eastAsia="仿宋" w:cs="仿宋"/>
          <w:sz w:val="24"/>
          <w:szCs w:val="24"/>
          <w:highlight w:val="none"/>
        </w:rPr>
      </w:pPr>
      <w:r>
        <w:rPr>
          <w:rFonts w:ascii="仿宋" w:hAnsi="仿宋" w:eastAsia="仿宋" w:cs="Times New Roman"/>
          <w:sz w:val="24"/>
          <w:szCs w:val="24"/>
          <w:highlight w:val="none"/>
        </w:rPr>
        <w:t xml:space="preserve">29.2 </w:t>
      </w:r>
      <w:r>
        <w:rPr>
          <w:rFonts w:hint="eastAsia" w:ascii="仿宋" w:hAnsi="仿宋" w:eastAsia="仿宋" w:cs="Times New Roman"/>
          <w:sz w:val="24"/>
          <w:szCs w:val="24"/>
          <w:highlight w:val="none"/>
        </w:rPr>
        <w:t>除因质疑投诉或其他法定情况导致中标结果发生改变的情况外，</w:t>
      </w:r>
      <w:r>
        <w:rPr>
          <w:rFonts w:hint="eastAsia" w:ascii="仿宋" w:hAnsi="仿宋" w:eastAsia="仿宋" w:cs="仿宋"/>
          <w:sz w:val="24"/>
          <w:szCs w:val="24"/>
          <w:highlight w:val="none"/>
        </w:rPr>
        <w:t>《中标通知书》对采购人、采购代理机构及中标人均具有法律效力。</w:t>
      </w:r>
    </w:p>
    <w:p>
      <w:pPr>
        <w:widowControl/>
        <w:spacing w:line="360" w:lineRule="auto"/>
        <w:ind w:firstLine="482" w:firstLineChars="200"/>
        <w:rPr>
          <w:rFonts w:ascii="仿宋" w:hAnsi="仿宋" w:eastAsia="仿宋" w:cs="仿宋"/>
          <w:b/>
          <w:bCs/>
          <w:sz w:val="24"/>
          <w:szCs w:val="24"/>
          <w:highlight w:val="none"/>
        </w:rPr>
      </w:pPr>
      <w:r>
        <w:rPr>
          <w:rFonts w:hint="eastAsia" w:ascii="仿宋" w:hAnsi="仿宋" w:eastAsia="仿宋" w:cs="仿宋"/>
          <w:b/>
          <w:bCs/>
          <w:sz w:val="24"/>
          <w:szCs w:val="24"/>
          <w:highlight w:val="none"/>
        </w:rPr>
        <w:t>3</w:t>
      </w:r>
      <w:r>
        <w:rPr>
          <w:rFonts w:ascii="仿宋" w:hAnsi="仿宋" w:eastAsia="仿宋" w:cs="仿宋"/>
          <w:b/>
          <w:bCs/>
          <w:sz w:val="24"/>
          <w:szCs w:val="24"/>
          <w:highlight w:val="none"/>
        </w:rPr>
        <w:t>0.</w:t>
      </w:r>
      <w:r>
        <w:rPr>
          <w:rFonts w:hint="eastAsia" w:ascii="仿宋" w:hAnsi="仿宋" w:eastAsia="仿宋" w:cs="仿宋"/>
          <w:b/>
          <w:bCs/>
          <w:sz w:val="24"/>
          <w:szCs w:val="24"/>
          <w:highlight w:val="none"/>
        </w:rPr>
        <w:t>投标文件的处理</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3</w:t>
      </w:r>
      <w:r>
        <w:rPr>
          <w:rFonts w:ascii="仿宋" w:hAnsi="仿宋" w:eastAsia="仿宋" w:cs="Times New Roman"/>
          <w:sz w:val="24"/>
          <w:szCs w:val="24"/>
          <w:highlight w:val="none"/>
        </w:rPr>
        <w:t xml:space="preserve">0.1 </w:t>
      </w:r>
      <w:r>
        <w:rPr>
          <w:rFonts w:hint="eastAsia" w:ascii="仿宋" w:hAnsi="仿宋" w:eastAsia="仿宋" w:cs="Times New Roman"/>
          <w:sz w:val="24"/>
          <w:szCs w:val="24"/>
          <w:highlight w:val="none"/>
        </w:rPr>
        <w:t>所有已启封（解密）并唱出的投标文件，均由采购人及采购代理机构存档，无论中标与否，投标文件均不退回。</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3</w:t>
      </w:r>
      <w:r>
        <w:rPr>
          <w:rFonts w:ascii="仿宋" w:hAnsi="仿宋" w:eastAsia="仿宋" w:cs="Times New Roman"/>
          <w:sz w:val="24"/>
          <w:szCs w:val="24"/>
          <w:highlight w:val="none"/>
        </w:rPr>
        <w:t xml:space="preserve">0.2 </w:t>
      </w:r>
      <w:r>
        <w:rPr>
          <w:rFonts w:hint="eastAsia" w:ascii="仿宋" w:hAnsi="仿宋" w:eastAsia="仿宋" w:cs="Times New Roman"/>
          <w:sz w:val="24"/>
          <w:szCs w:val="24"/>
          <w:highlight w:val="none"/>
        </w:rPr>
        <w:t>依法暂停（停止）开评标活动的，已递交的投标文件由采购人或采购代理机构封存。</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3</w:t>
      </w:r>
      <w:r>
        <w:rPr>
          <w:rFonts w:ascii="仿宋" w:hAnsi="仿宋" w:eastAsia="仿宋" w:cs="Times New Roman"/>
          <w:sz w:val="24"/>
          <w:szCs w:val="24"/>
          <w:highlight w:val="none"/>
        </w:rPr>
        <w:t xml:space="preserve">0.3 </w:t>
      </w:r>
      <w:r>
        <w:rPr>
          <w:rFonts w:hint="eastAsia" w:ascii="仿宋" w:hAnsi="仿宋" w:eastAsia="仿宋" w:cs="Times New Roman"/>
          <w:sz w:val="24"/>
          <w:szCs w:val="24"/>
          <w:highlight w:val="none"/>
        </w:rPr>
        <w:t>截至开标之时，投标人家数不满足法定开标条件的，投标文件不予启封（解密）并退回投标人。</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3</w:t>
      </w:r>
      <w:r>
        <w:rPr>
          <w:rFonts w:ascii="仿宋" w:hAnsi="仿宋" w:eastAsia="仿宋" w:cs="仿宋"/>
          <w:b/>
          <w:sz w:val="24"/>
          <w:szCs w:val="24"/>
          <w:highlight w:val="none"/>
        </w:rPr>
        <w:t>1</w:t>
      </w:r>
      <w:r>
        <w:rPr>
          <w:rFonts w:hint="eastAsia" w:ascii="仿宋" w:hAnsi="仿宋" w:eastAsia="仿宋" w:cs="仿宋"/>
          <w:b/>
          <w:sz w:val="24"/>
          <w:szCs w:val="24"/>
          <w:highlight w:val="none"/>
        </w:rPr>
        <w:t>.合同授予标准</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合同将授予其投标符合招标文件要求，并有能力履行合同的、满足招标文件规定中标原则的投标人。</w:t>
      </w:r>
    </w:p>
    <w:p>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3</w:t>
      </w:r>
      <w:r>
        <w:rPr>
          <w:rFonts w:ascii="仿宋" w:hAnsi="仿宋" w:eastAsia="仿宋" w:cs="仿宋"/>
          <w:b/>
          <w:sz w:val="24"/>
          <w:szCs w:val="24"/>
          <w:highlight w:val="none"/>
        </w:rPr>
        <w:t>2</w:t>
      </w:r>
      <w:r>
        <w:rPr>
          <w:rFonts w:hint="eastAsia" w:ascii="仿宋" w:hAnsi="仿宋" w:eastAsia="仿宋" w:cs="仿宋"/>
          <w:b/>
          <w:sz w:val="24"/>
          <w:szCs w:val="24"/>
          <w:highlight w:val="none"/>
        </w:rPr>
        <w:t>.签订合同</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2</w:t>
      </w:r>
      <w:r>
        <w:rPr>
          <w:rFonts w:hint="eastAsia" w:ascii="仿宋" w:hAnsi="仿宋" w:eastAsia="仿宋" w:cs="仿宋"/>
          <w:sz w:val="24"/>
          <w:szCs w:val="24"/>
          <w:highlight w:val="none"/>
        </w:rPr>
        <w:t>.1 中标人按《中标通知书》规定的时间、地点与采购人签订合同。采购文件、中标人的投标文件、澄清文件及《中标通知书》等，均为合同不可分割的部分。</w:t>
      </w:r>
    </w:p>
    <w:p>
      <w:pPr>
        <w:widowControl/>
        <w:spacing w:line="360" w:lineRule="auto"/>
        <w:ind w:firstLine="482" w:firstLineChars="200"/>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3</w:t>
      </w:r>
      <w:r>
        <w:rPr>
          <w:rFonts w:ascii="仿宋" w:hAnsi="仿宋" w:eastAsia="仿宋" w:cs="仿宋"/>
          <w:b/>
          <w:bCs/>
          <w:sz w:val="24"/>
          <w:szCs w:val="24"/>
          <w:highlight w:val="none"/>
        </w:rPr>
        <w:t>2</w:t>
      </w:r>
      <w:r>
        <w:rPr>
          <w:rFonts w:hint="eastAsia" w:ascii="仿宋" w:hAnsi="仿宋" w:eastAsia="仿宋" w:cs="仿宋"/>
          <w:b/>
          <w:bCs/>
          <w:sz w:val="24"/>
          <w:szCs w:val="24"/>
          <w:highlight w:val="none"/>
        </w:rPr>
        <w:t xml:space="preserve">.2 </w:t>
      </w:r>
      <w:r>
        <w:rPr>
          <w:rFonts w:hint="eastAsia" w:ascii="仿宋" w:hAnsi="仿宋" w:eastAsia="仿宋" w:cs="仿宋"/>
          <w:b/>
          <w:bCs/>
          <w:sz w:val="24"/>
          <w:szCs w:val="24"/>
          <w:highlight w:val="none"/>
          <w:u w:val="single"/>
        </w:rPr>
        <w:t>中标人应当在与采购人签订合同后2个工作日内向采购代理机构递送有效合同原件，以便公示及备案，逾期递送造成的相关不利后果由中标人承担。</w:t>
      </w:r>
    </w:p>
    <w:p>
      <w:pPr>
        <w:spacing w:line="360" w:lineRule="auto"/>
        <w:ind w:firstLine="482" w:firstLineChars="200"/>
        <w:rPr>
          <w:rFonts w:ascii="仿宋" w:hAnsi="仿宋" w:eastAsia="仿宋" w:cs="仿宋"/>
          <w:b/>
          <w:sz w:val="24"/>
          <w:szCs w:val="24"/>
          <w:highlight w:val="none"/>
        </w:rPr>
      </w:pPr>
      <w:r>
        <w:rPr>
          <w:rFonts w:ascii="仿宋" w:hAnsi="仿宋" w:eastAsia="仿宋" w:cs="仿宋"/>
          <w:b/>
          <w:sz w:val="24"/>
          <w:szCs w:val="24"/>
          <w:highlight w:val="none"/>
        </w:rPr>
        <w:t>33.</w:t>
      </w:r>
      <w:r>
        <w:rPr>
          <w:rFonts w:hint="eastAsia" w:ascii="仿宋" w:hAnsi="仿宋" w:eastAsia="仿宋" w:cs="仿宋"/>
          <w:b/>
          <w:sz w:val="24"/>
          <w:szCs w:val="24"/>
          <w:highlight w:val="none"/>
        </w:rPr>
        <w:t>代理服务费</w:t>
      </w:r>
    </w:p>
    <w:p>
      <w:pPr>
        <w:widowControl/>
        <w:spacing w:line="360" w:lineRule="auto"/>
        <w:ind w:firstLine="480" w:firstLineChars="200"/>
        <w:rPr>
          <w:rFonts w:ascii="仿宋" w:hAnsi="仿宋" w:eastAsia="仿宋" w:cs="Times New Roman"/>
          <w:bCs/>
          <w:sz w:val="24"/>
          <w:szCs w:val="24"/>
          <w:highlight w:val="none"/>
        </w:rPr>
      </w:pPr>
      <w:r>
        <w:rPr>
          <w:rFonts w:hint="eastAsia" w:ascii="仿宋" w:hAnsi="仿宋" w:eastAsia="仿宋" w:cs="仿宋"/>
          <w:bCs/>
          <w:sz w:val="24"/>
          <w:szCs w:val="24"/>
          <w:highlight w:val="none"/>
        </w:rPr>
        <w:t>3</w:t>
      </w:r>
      <w:r>
        <w:rPr>
          <w:rFonts w:ascii="仿宋" w:hAnsi="仿宋" w:eastAsia="仿宋" w:cs="仿宋"/>
          <w:bCs/>
          <w:sz w:val="24"/>
          <w:szCs w:val="24"/>
          <w:highlight w:val="none"/>
        </w:rPr>
        <w:t xml:space="preserve">3.1 </w:t>
      </w:r>
      <w:r>
        <w:rPr>
          <w:rFonts w:hint="eastAsia" w:ascii="仿宋" w:hAnsi="仿宋" w:eastAsia="仿宋" w:cs="仿宋"/>
          <w:bCs/>
          <w:sz w:val="24"/>
          <w:szCs w:val="24"/>
          <w:highlight w:val="none"/>
        </w:rPr>
        <w:t>本项目代理服务费按照发改批复计取</w:t>
      </w:r>
      <w:r>
        <w:rPr>
          <w:rFonts w:hint="eastAsia" w:ascii="仿宋" w:hAnsi="仿宋" w:eastAsia="仿宋" w:cs="Times New Roman"/>
          <w:bCs/>
          <w:sz w:val="24"/>
          <w:szCs w:val="24"/>
          <w:highlight w:val="none"/>
        </w:rPr>
        <w:t>。</w:t>
      </w:r>
    </w:p>
    <w:p>
      <w:pPr>
        <w:keepNext/>
        <w:keepLines/>
        <w:spacing w:line="360" w:lineRule="auto"/>
        <w:jc w:val="center"/>
        <w:outlineLvl w:val="1"/>
        <w:rPr>
          <w:rFonts w:ascii="仿宋" w:hAnsi="仿宋" w:eastAsia="仿宋" w:cs="仿宋"/>
          <w:b/>
          <w:bCs/>
          <w:sz w:val="28"/>
          <w:szCs w:val="28"/>
          <w:highlight w:val="none"/>
        </w:rPr>
      </w:pPr>
      <w:bookmarkStart w:id="95" w:name="_Toc110245240"/>
      <w:r>
        <w:rPr>
          <w:rFonts w:hint="eastAsia" w:ascii="仿宋" w:hAnsi="仿宋" w:eastAsia="仿宋" w:cs="仿宋"/>
          <w:b/>
          <w:bCs/>
          <w:sz w:val="28"/>
          <w:szCs w:val="28"/>
          <w:highlight w:val="none"/>
        </w:rPr>
        <w:t>七、其他</w:t>
      </w:r>
      <w:bookmarkEnd w:id="95"/>
    </w:p>
    <w:p>
      <w:pPr>
        <w:spacing w:line="360" w:lineRule="auto"/>
        <w:ind w:firstLine="482" w:firstLineChars="200"/>
        <w:rPr>
          <w:rFonts w:ascii="仿宋" w:hAnsi="仿宋" w:eastAsia="仿宋" w:cs="仿宋"/>
          <w:b/>
          <w:sz w:val="24"/>
          <w:szCs w:val="24"/>
          <w:highlight w:val="none"/>
        </w:rPr>
      </w:pPr>
      <w:bookmarkStart w:id="96" w:name="_Toc12830"/>
      <w:bookmarkStart w:id="97" w:name="_Toc27866"/>
      <w:bookmarkStart w:id="98" w:name="_Toc7565"/>
      <w:bookmarkStart w:id="99" w:name="_Toc22419"/>
      <w:bookmarkStart w:id="100" w:name="_Toc6483"/>
      <w:bookmarkStart w:id="101" w:name="_Toc14978"/>
      <w:bookmarkStart w:id="102" w:name="_Toc28127"/>
      <w:r>
        <w:rPr>
          <w:rFonts w:hint="eastAsia" w:ascii="仿宋" w:hAnsi="仿宋" w:eastAsia="仿宋" w:cs="仿宋"/>
          <w:b/>
          <w:sz w:val="24"/>
          <w:szCs w:val="24"/>
          <w:highlight w:val="none"/>
        </w:rPr>
        <w:t>3</w:t>
      </w:r>
      <w:r>
        <w:rPr>
          <w:rFonts w:ascii="仿宋" w:hAnsi="仿宋" w:eastAsia="仿宋" w:cs="仿宋"/>
          <w:b/>
          <w:sz w:val="24"/>
          <w:szCs w:val="24"/>
          <w:highlight w:val="none"/>
        </w:rPr>
        <w:t>4</w:t>
      </w:r>
      <w:r>
        <w:rPr>
          <w:rFonts w:hint="eastAsia" w:ascii="仿宋" w:hAnsi="仿宋" w:eastAsia="仿宋" w:cs="仿宋"/>
          <w:b/>
          <w:sz w:val="24"/>
          <w:szCs w:val="24"/>
          <w:highlight w:val="none"/>
        </w:rPr>
        <w:t>.落实的政府采购政策</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 xml:space="preserve">4.1 </w:t>
      </w:r>
      <w:r>
        <w:rPr>
          <w:rFonts w:hint="eastAsia" w:ascii="仿宋" w:hAnsi="仿宋" w:eastAsia="仿宋" w:cs="仿宋"/>
          <w:sz w:val="24"/>
          <w:szCs w:val="24"/>
          <w:highlight w:val="none"/>
        </w:rPr>
        <w:t>根据《政府采购促进中小企业发展管理办法》（财库〔</w:t>
      </w:r>
      <w:r>
        <w:rPr>
          <w:rFonts w:ascii="仿宋" w:hAnsi="仿宋" w:eastAsia="仿宋" w:cs="仿宋"/>
          <w:sz w:val="24"/>
          <w:szCs w:val="24"/>
          <w:highlight w:val="none"/>
        </w:rPr>
        <w:t>2020〕46号）、</w:t>
      </w:r>
      <w:r>
        <w:rPr>
          <w:rFonts w:hint="eastAsia" w:ascii="仿宋" w:hAnsi="仿宋" w:eastAsia="仿宋" w:cs="仿宋"/>
          <w:sz w:val="24"/>
          <w:szCs w:val="24"/>
          <w:highlight w:val="none"/>
        </w:rPr>
        <w:t>《关于进一步加大政府采购支持中小企业力度的通知》（财库〔</w:t>
      </w:r>
      <w:r>
        <w:rPr>
          <w:rFonts w:ascii="仿宋" w:hAnsi="仿宋" w:eastAsia="仿宋" w:cs="仿宋"/>
          <w:sz w:val="24"/>
          <w:szCs w:val="24"/>
          <w:highlight w:val="none"/>
        </w:rPr>
        <w:t>2022〕19号）</w:t>
      </w:r>
      <w:r>
        <w:rPr>
          <w:rFonts w:hint="eastAsia" w:ascii="仿宋" w:hAnsi="仿宋" w:eastAsia="仿宋" w:cs="仿宋"/>
          <w:sz w:val="24"/>
          <w:szCs w:val="24"/>
          <w:highlight w:val="none"/>
        </w:rPr>
        <w:t>、</w:t>
      </w:r>
      <w:r>
        <w:rPr>
          <w:rFonts w:ascii="仿宋" w:hAnsi="仿宋" w:eastAsia="仿宋" w:cs="仿宋"/>
          <w:sz w:val="24"/>
          <w:szCs w:val="24"/>
          <w:highlight w:val="none"/>
        </w:rPr>
        <w:t>《关于政府采购支持监狱企业发展有关问题的通知》（财库〔2014〕68号）、《财政部民政部中国残疾人联合会关于促进残疾人就业政府采购政策的通知》（财库〔2017〕141号）</w:t>
      </w:r>
      <w:r>
        <w:rPr>
          <w:rFonts w:hint="eastAsia" w:ascii="仿宋" w:hAnsi="仿宋" w:eastAsia="仿宋" w:cs="仿宋"/>
          <w:sz w:val="24"/>
          <w:szCs w:val="24"/>
          <w:highlight w:val="none"/>
        </w:rPr>
        <w:t>落实政府采购支持政策。</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4.2</w:t>
      </w:r>
      <w:r>
        <w:rPr>
          <w:rFonts w:hint="eastAsia" w:ascii="仿宋" w:hAnsi="仿宋" w:eastAsia="仿宋" w:cs="仿宋"/>
          <w:sz w:val="24"/>
          <w:szCs w:val="24"/>
          <w:highlight w:val="none"/>
        </w:rPr>
        <w:t xml:space="preserve"> 采购人拟采购的产品属于节能（节水）产品、环境标志产品品目清单（详见财库〔</w:t>
      </w:r>
      <w:r>
        <w:rPr>
          <w:rFonts w:ascii="仿宋" w:hAnsi="仿宋" w:eastAsia="仿宋" w:cs="仿宋"/>
          <w:sz w:val="24"/>
          <w:szCs w:val="24"/>
          <w:highlight w:val="none"/>
        </w:rPr>
        <w:t>2019〕18号、财库〔2019〕19号文件）范围的，本项目采购过程中将依据国家确定的认证机构出具的、处于有效期之内的节能产品、环境标志产品认证证书，对获得证书的产品实施政府优先采购或强制采购。</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 xml:space="preserve">4.3 </w:t>
      </w:r>
      <w:r>
        <w:rPr>
          <w:rFonts w:hint="eastAsia" w:ascii="仿宋" w:hAnsi="仿宋" w:eastAsia="仿宋" w:cs="仿宋"/>
          <w:sz w:val="24"/>
          <w:szCs w:val="24"/>
          <w:highlight w:val="none"/>
        </w:rPr>
        <w:t>落实《商品包装政府采购需求标准（试行）》、《快递包装政府采购需求标准（试行）》相关政策。</w:t>
      </w:r>
    </w:p>
    <w:p>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sz w:val="24"/>
          <w:szCs w:val="24"/>
          <w:highlight w:val="none"/>
        </w:rPr>
        <w:t>3</w:t>
      </w:r>
      <w:r>
        <w:rPr>
          <w:rFonts w:ascii="仿宋" w:hAnsi="仿宋" w:eastAsia="仿宋" w:cs="仿宋"/>
          <w:sz w:val="24"/>
          <w:szCs w:val="24"/>
          <w:highlight w:val="none"/>
        </w:rPr>
        <w:t xml:space="preserve">4.4 </w:t>
      </w:r>
      <w:r>
        <w:rPr>
          <w:rFonts w:hint="eastAsia" w:ascii="仿宋" w:hAnsi="仿宋" w:eastAsia="仿宋" w:cs="仿宋"/>
          <w:sz w:val="24"/>
          <w:szCs w:val="24"/>
          <w:highlight w:val="none"/>
        </w:rPr>
        <w:t>落实西藏自治区</w:t>
      </w:r>
      <w:r>
        <w:rPr>
          <w:rFonts w:hint="eastAsia" w:ascii="仿宋" w:hAnsi="仿宋" w:eastAsia="仿宋" w:cs="仿宋"/>
          <w:bCs/>
          <w:sz w:val="24"/>
          <w:szCs w:val="24"/>
          <w:highlight w:val="none"/>
        </w:rPr>
        <w:t>财政厅《区财政厅关于进一步加强政府采购进口产品管理有关事宜的通知》（藏财采办〔2019〕22号）相关政策。</w:t>
      </w:r>
      <w:bookmarkEnd w:id="96"/>
      <w:bookmarkEnd w:id="97"/>
      <w:bookmarkEnd w:id="98"/>
      <w:bookmarkEnd w:id="99"/>
      <w:bookmarkEnd w:id="100"/>
      <w:bookmarkEnd w:id="101"/>
      <w:bookmarkEnd w:id="102"/>
    </w:p>
    <w:p>
      <w:pPr>
        <w:widowControl/>
        <w:wordWrap w:val="0"/>
        <w:spacing w:line="360" w:lineRule="auto"/>
        <w:ind w:firstLine="480" w:firstLineChars="200"/>
        <w:rPr>
          <w:rFonts w:ascii="仿宋" w:hAnsi="仿宋" w:eastAsia="仿宋"/>
          <w:b/>
          <w:bCs/>
          <w:kern w:val="0"/>
          <w:sz w:val="24"/>
          <w:szCs w:val="24"/>
          <w:highlight w:val="none"/>
          <w:u w:val="single"/>
        </w:rPr>
      </w:pPr>
      <w:r>
        <w:rPr>
          <w:rFonts w:hint="eastAsia" w:ascii="仿宋" w:hAnsi="仿宋" w:eastAsia="仿宋"/>
          <w:kern w:val="0"/>
          <w:sz w:val="24"/>
          <w:szCs w:val="24"/>
          <w:highlight w:val="none"/>
        </w:rPr>
        <w:t>▲</w:t>
      </w:r>
      <w:r>
        <w:rPr>
          <w:rFonts w:hint="eastAsia" w:ascii="仿宋" w:hAnsi="仿宋" w:eastAsia="仿宋"/>
          <w:b/>
          <w:bCs/>
          <w:kern w:val="0"/>
          <w:sz w:val="24"/>
          <w:szCs w:val="24"/>
          <w:highlight w:val="none"/>
          <w:u w:val="single"/>
        </w:rPr>
        <w:t>3</w:t>
      </w:r>
      <w:r>
        <w:rPr>
          <w:rFonts w:hint="eastAsia" w:ascii="仿宋" w:hAnsi="仿宋" w:eastAsia="仿宋"/>
          <w:b/>
          <w:bCs/>
          <w:kern w:val="0"/>
          <w:sz w:val="24"/>
          <w:szCs w:val="24"/>
          <w:highlight w:val="none"/>
          <w:u w:val="single"/>
          <w:lang w:val="en-US" w:eastAsia="zh-CN"/>
        </w:rPr>
        <w:t>5</w:t>
      </w:r>
      <w:r>
        <w:rPr>
          <w:rFonts w:ascii="仿宋" w:hAnsi="仿宋" w:eastAsia="仿宋"/>
          <w:b/>
          <w:bCs/>
          <w:kern w:val="0"/>
          <w:sz w:val="24"/>
          <w:szCs w:val="24"/>
          <w:highlight w:val="none"/>
          <w:u w:val="single"/>
        </w:rPr>
        <w:t>.</w:t>
      </w:r>
      <w:r>
        <w:rPr>
          <w:rFonts w:hint="eastAsia" w:ascii="仿宋" w:hAnsi="仿宋" w:eastAsia="仿宋"/>
          <w:b/>
          <w:bCs/>
          <w:kern w:val="0"/>
          <w:sz w:val="24"/>
          <w:szCs w:val="24"/>
          <w:highlight w:val="none"/>
          <w:u w:val="single"/>
        </w:rPr>
        <w:t>西藏自治区公共资源交易系统开评标及投标相关事项</w:t>
      </w:r>
    </w:p>
    <w:p>
      <w:pPr>
        <w:widowControl/>
        <w:spacing w:line="360" w:lineRule="auto"/>
        <w:ind w:firstLine="480" w:firstLineChars="200"/>
        <w:rPr>
          <w:rFonts w:ascii="仿宋" w:hAnsi="仿宋" w:eastAsia="仿宋"/>
          <w:kern w:val="0"/>
          <w:sz w:val="24"/>
          <w:szCs w:val="24"/>
          <w:highlight w:val="none"/>
        </w:rPr>
      </w:pPr>
      <w:r>
        <w:rPr>
          <w:rFonts w:hint="eastAsia" w:ascii="仿宋" w:hAnsi="仿宋" w:eastAsia="仿宋"/>
          <w:kern w:val="0"/>
          <w:sz w:val="24"/>
          <w:szCs w:val="24"/>
          <w:highlight w:val="none"/>
        </w:rPr>
        <w:t>1</w:t>
      </w:r>
      <w:r>
        <w:rPr>
          <w:rFonts w:ascii="仿宋" w:hAnsi="仿宋" w:eastAsia="仿宋"/>
          <w:kern w:val="0"/>
          <w:sz w:val="24"/>
          <w:szCs w:val="24"/>
          <w:highlight w:val="none"/>
        </w:rPr>
        <w:t>.各投标人须在</w:t>
      </w:r>
      <w:r>
        <w:rPr>
          <w:rFonts w:ascii="仿宋" w:hAnsi="仿宋" w:eastAsia="仿宋"/>
          <w:b/>
          <w:bCs/>
          <w:kern w:val="0"/>
          <w:sz w:val="24"/>
          <w:szCs w:val="24"/>
          <w:highlight w:val="none"/>
        </w:rPr>
        <w:t>投标截止时间前上传加密的电子投标文件至“</w:t>
      </w:r>
      <w:r>
        <w:rPr>
          <w:rFonts w:hint="eastAsia" w:ascii="仿宋" w:hAnsi="仿宋" w:eastAsia="仿宋"/>
          <w:b/>
          <w:bCs/>
          <w:kern w:val="0"/>
          <w:sz w:val="24"/>
          <w:szCs w:val="24"/>
          <w:highlight w:val="none"/>
        </w:rPr>
        <w:t>西藏自治区公共资源电子交易系统</w:t>
      </w:r>
      <w:r>
        <w:rPr>
          <w:rFonts w:ascii="仿宋" w:hAnsi="仿宋" w:eastAsia="仿宋"/>
          <w:b/>
          <w:bCs/>
          <w:kern w:val="0"/>
          <w:sz w:val="24"/>
          <w:szCs w:val="24"/>
          <w:highlight w:val="none"/>
        </w:rPr>
        <w:t>”</w:t>
      </w:r>
      <w:r>
        <w:rPr>
          <w:rFonts w:ascii="仿宋" w:hAnsi="仿宋" w:eastAsia="仿宋"/>
          <w:kern w:val="0"/>
          <w:sz w:val="24"/>
          <w:szCs w:val="24"/>
          <w:highlight w:val="none"/>
        </w:rPr>
        <w:t>。各投标人未在投标截止时间前上传电子投标文件的，视为自动放弃投标。</w:t>
      </w:r>
    </w:p>
    <w:p>
      <w:pPr>
        <w:widowControl/>
        <w:spacing w:line="360" w:lineRule="auto"/>
        <w:ind w:firstLine="480" w:firstLineChars="200"/>
        <w:rPr>
          <w:rFonts w:ascii="仿宋" w:hAnsi="仿宋" w:eastAsia="仿宋" w:cs="仿宋"/>
          <w:b/>
          <w:bCs/>
          <w:sz w:val="28"/>
          <w:szCs w:val="28"/>
          <w:highlight w:val="none"/>
        </w:rPr>
      </w:pPr>
      <w:r>
        <w:rPr>
          <w:rFonts w:ascii="仿宋" w:hAnsi="仿宋" w:eastAsia="仿宋" w:cs="Times New Roman"/>
          <w:sz w:val="24"/>
          <w:szCs w:val="24"/>
          <w:highlight w:val="none"/>
        </w:rPr>
        <w:t>2..</w:t>
      </w:r>
      <w:r>
        <w:rPr>
          <w:rFonts w:hint="eastAsia" w:ascii="仿宋" w:hAnsi="仿宋" w:eastAsia="仿宋" w:cs="Times New Roman"/>
          <w:sz w:val="24"/>
          <w:szCs w:val="24"/>
          <w:highlight w:val="none"/>
        </w:rPr>
        <w:t>投标人所投电子投标文件的制作、递交、补充、修改或撤回，及在西藏自治区公共资源电子交易系统中进行投标的相关事宜，除需符合招标文件要求外，还必须满足西藏自治区公共资源电子交易系统相关要求和技术规范。如因投标人自身原因，无法正确使用西藏自治区公共资源电子交易系统进行投标或无法满足西藏自治区公共资源电子交易系统相关要求和技术规范而导致不利后果，责任由投标人自行承担。</w:t>
      </w:r>
      <w:r>
        <w:rPr>
          <w:rFonts w:ascii="仿宋" w:hAnsi="仿宋" w:eastAsia="仿宋" w:cs="仿宋"/>
          <w:b/>
          <w:bCs/>
          <w:sz w:val="28"/>
          <w:szCs w:val="28"/>
          <w:highlight w:val="none"/>
        </w:rPr>
        <w:br w:type="page"/>
      </w:r>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p>
    <w:p>
      <w:pPr>
        <w:jc w:val="center"/>
        <w:outlineLvl w:val="0"/>
        <w:rPr>
          <w:rFonts w:ascii="仿宋" w:hAnsi="仿宋" w:eastAsia="仿宋" w:cs="仿宋"/>
          <w:b/>
          <w:bCs/>
          <w:sz w:val="44"/>
          <w:szCs w:val="44"/>
          <w:highlight w:val="none"/>
        </w:rPr>
      </w:pPr>
      <w:bookmarkStart w:id="103" w:name="_Toc110245241"/>
      <w:r>
        <w:rPr>
          <w:rFonts w:hint="eastAsia" w:ascii="仿宋" w:hAnsi="仿宋" w:eastAsia="仿宋" w:cs="仿宋"/>
          <w:b/>
          <w:bCs/>
          <w:sz w:val="44"/>
          <w:szCs w:val="44"/>
          <w:highlight w:val="none"/>
        </w:rPr>
        <w:t>第四章 合同格式</w:t>
      </w:r>
      <w:bookmarkEnd w:id="103"/>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r>
        <w:rPr>
          <w:rFonts w:ascii="仿宋" w:hAnsi="仿宋" w:eastAsia="仿宋" w:cs="仿宋"/>
          <w:b/>
          <w:bCs/>
          <w:sz w:val="28"/>
          <w:szCs w:val="28"/>
          <w:highlight w:val="none"/>
        </w:rPr>
        <w:br w:type="page"/>
      </w:r>
    </w:p>
    <w:p>
      <w:pPr>
        <w:keepNext/>
        <w:keepLines/>
        <w:rPr>
          <w:rFonts w:ascii="仿宋" w:hAnsi="仿宋" w:eastAsia="仿宋" w:cs="仿宋"/>
          <w:sz w:val="24"/>
          <w:szCs w:val="24"/>
          <w:highlight w:val="none"/>
        </w:rPr>
      </w:pPr>
      <w:bookmarkStart w:id="104" w:name="_Hlk66099334"/>
      <w:r>
        <w:rPr>
          <w:rFonts w:hint="eastAsia" w:ascii="仿宋" w:hAnsi="仿宋" w:eastAsia="仿宋" w:cs="仿宋"/>
          <w:sz w:val="24"/>
          <w:szCs w:val="24"/>
          <w:highlight w:val="none"/>
        </w:rPr>
        <w:t>注：政府采购合同应当包括采购人与中标（成交）供应商的名称和住所、标的、数量、质量、价款或者报酬、履行期限及地点和方式、验收要求、违约责任、解决争议的方法等内容。本章为合同模板，供应商和采购人可根据项目实际情况进行编制，但不得偏离招标文件要约及投标文件承诺的实质性内容。</w:t>
      </w:r>
    </w:p>
    <w:bookmarkEnd w:id="104"/>
    <w:p>
      <w:pPr>
        <w:adjustRightInd w:val="0"/>
        <w:snapToGrid w:val="0"/>
        <w:spacing w:line="360" w:lineRule="auto"/>
        <w:jc w:val="left"/>
        <w:rPr>
          <w:rFonts w:ascii="仿宋" w:hAnsi="仿宋" w:eastAsia="仿宋" w:cs="Times New Roman"/>
          <w:b/>
          <w:bCs/>
          <w:snapToGrid w:val="0"/>
          <w:sz w:val="24"/>
          <w:szCs w:val="24"/>
          <w:highlight w:val="none"/>
        </w:rPr>
      </w:pPr>
    </w:p>
    <w:p>
      <w:pPr>
        <w:adjustRightInd w:val="0"/>
        <w:snapToGrid w:val="0"/>
        <w:spacing w:line="360" w:lineRule="auto"/>
        <w:rPr>
          <w:rFonts w:ascii="仿宋" w:hAnsi="仿宋" w:eastAsia="仿宋" w:cs="Times New Roman"/>
          <w:b/>
          <w:bCs/>
          <w:snapToGrid w:val="0"/>
          <w:sz w:val="24"/>
          <w:szCs w:val="24"/>
          <w:highlight w:val="none"/>
        </w:rPr>
      </w:pPr>
      <w:r>
        <w:rPr>
          <w:rFonts w:hint="eastAsia" w:ascii="仿宋" w:hAnsi="仿宋" w:eastAsia="仿宋" w:cs="Times New Roman"/>
          <w:b/>
          <w:bCs/>
          <w:snapToGrid w:val="0"/>
          <w:sz w:val="24"/>
          <w:szCs w:val="24"/>
          <w:highlight w:val="none"/>
        </w:rPr>
        <w:t>甲方：</w:t>
      </w:r>
      <w:r>
        <w:rPr>
          <w:rFonts w:hint="eastAsia" w:ascii="仿宋" w:hAnsi="仿宋" w:eastAsia="仿宋" w:cs="Times New Roman"/>
          <w:b/>
          <w:bCs/>
          <w:snapToGrid w:val="0"/>
          <w:sz w:val="24"/>
          <w:szCs w:val="24"/>
          <w:highlight w:val="none"/>
          <w:u w:val="single"/>
        </w:rPr>
        <w:t>西藏自治区农业农村厅</w:t>
      </w:r>
    </w:p>
    <w:p>
      <w:pPr>
        <w:widowControl/>
        <w:adjustRightInd w:val="0"/>
        <w:snapToGrid w:val="0"/>
        <w:spacing w:line="360" w:lineRule="auto"/>
        <w:rPr>
          <w:rFonts w:ascii="仿宋" w:hAnsi="仿宋" w:eastAsia="仿宋"/>
          <w:b/>
          <w:bCs/>
          <w:snapToGrid w:val="0"/>
          <w:sz w:val="24"/>
          <w:szCs w:val="24"/>
          <w:highlight w:val="none"/>
        </w:rPr>
      </w:pPr>
      <w:r>
        <w:rPr>
          <w:rFonts w:hint="eastAsia" w:ascii="仿宋" w:hAnsi="仿宋" w:eastAsia="仿宋" w:cs="Times New Roman"/>
          <w:b/>
          <w:bCs/>
          <w:snapToGrid w:val="0"/>
          <w:sz w:val="24"/>
          <w:szCs w:val="24"/>
          <w:highlight w:val="none"/>
        </w:rPr>
        <w:t>乙方：</w:t>
      </w:r>
      <w:r>
        <w:rPr>
          <w:rFonts w:hint="eastAsia" w:ascii="仿宋" w:hAnsi="仿宋" w:eastAsia="仿宋" w:cs="Times New Roman"/>
          <w:b/>
          <w:bCs/>
          <w:snapToGrid w:val="0"/>
          <w:sz w:val="24"/>
          <w:szCs w:val="24"/>
          <w:highlight w:val="none"/>
          <w:u w:val="single"/>
        </w:rPr>
        <w:t xml:space="preserve">                </w:t>
      </w:r>
      <w:r>
        <w:rPr>
          <w:rFonts w:ascii="仿宋" w:hAnsi="仿宋" w:eastAsia="仿宋" w:cs="Times New Roman"/>
          <w:b/>
          <w:bCs/>
          <w:snapToGrid w:val="0"/>
          <w:sz w:val="24"/>
          <w:szCs w:val="24"/>
          <w:highlight w:val="none"/>
          <w:u w:val="single"/>
        </w:rPr>
        <w:t xml:space="preserve"> </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根据《中华人民共和国政府采购法》《中华人民共和国民法典》等法律法规的规定，在西藏自治区财政厅等相关部门的监督管理下，甲方按照政府采购程序进行采购，确定乙方为中标/成交供应商。甲乙双方经过协商，本着自愿及平等的原则签订本合同，达成如下条款：</w:t>
      </w:r>
    </w:p>
    <w:p>
      <w:pPr>
        <w:widowControl/>
        <w:adjustRightInd w:val="0"/>
        <w:snapToGrid w:val="0"/>
        <w:spacing w:before="156" w:beforeLines="50" w:line="360" w:lineRule="auto"/>
        <w:rPr>
          <w:rFonts w:ascii="仿宋" w:hAnsi="仿宋" w:eastAsia="仿宋"/>
          <w:snapToGrid w:val="0"/>
          <w:sz w:val="24"/>
          <w:szCs w:val="24"/>
          <w:highlight w:val="none"/>
        </w:rPr>
      </w:pPr>
      <w:r>
        <w:rPr>
          <w:rFonts w:hint="eastAsia" w:ascii="仿宋" w:hAnsi="仿宋" w:eastAsia="仿宋"/>
          <w:b/>
          <w:snapToGrid w:val="0"/>
          <w:sz w:val="24"/>
          <w:szCs w:val="24"/>
          <w:highlight w:val="none"/>
        </w:rPr>
        <w:t>一、合同标的</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乙方根据甲方需求提供下列货物：_____________</w:t>
      </w:r>
    </w:p>
    <w:p>
      <w:pPr>
        <w:widowControl/>
        <w:adjustRightInd w:val="0"/>
        <w:snapToGrid w:val="0"/>
        <w:spacing w:line="360" w:lineRule="auto"/>
        <w:ind w:firstLine="480" w:firstLineChars="200"/>
        <w:rPr>
          <w:rFonts w:asciiTheme="minorHAnsi" w:hAnsiTheme="minorHAnsi" w:eastAsiaTheme="minorEastAsia" w:cstheme="minorBidi"/>
          <w:highlight w:val="none"/>
        </w:rPr>
      </w:pPr>
      <w:r>
        <w:rPr>
          <w:rFonts w:hint="eastAsia" w:ascii="仿宋" w:hAnsi="仿宋" w:eastAsia="仿宋"/>
          <w:snapToGrid w:val="0"/>
          <w:sz w:val="24"/>
          <w:szCs w:val="24"/>
          <w:highlight w:val="none"/>
        </w:rPr>
        <w:t>乙方根据甲方需求提供下列服务或完成下列相关工作：_____________</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货物名称、规格及数量详见附件“供货一览表”。</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二、合同总价款</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本合同总价款为___________万元(大写)￥________万元(小写)，分项价款在投标文件“分项标价表”中明确。</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本合同总价款是合同标的物及应履行的所有义务的含税费用。还应包含乙方应当提供的售后服务费用。</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三、组成本合同的有关文件</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下列本项目采购文件及投标文件，属于本合同的相关文件，与本合同具有同等法律效力：(1)乙方提供的投标文件和开标一览表;(2)供货一览表;(3)交货地点一览表;(4)技术部分;(5)技术偏离表/商务、合同条款偏离表;(6)服务承诺;(7)中标或成交通知书;(8)甲乙双方商定的其他文件。</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四、质量保证</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1．乙方所提供的货物的技术规格应与招标文件规定的技术规格及所附的“技术部分”相一致;若技术性能无特殊说明，则按国家有关部门最新颁布的标准及规范为准。</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2．乙方应保证货物是全新、未使用过的原装合格正品，并完全符合合同规定的质量、规格和性能的要求。</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3．乙方应保证所提供货物在使用时不会侵犯任何第三方的专利权、商标权、工业设计权或其他权利。</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五、包装要求和运输</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1．乙方提供的全部货物均应按标准保护措施进行包装。由于包装不善所引起的货物损失均由乙方承担。</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2．每一包装单元内应附详细的装箱单和质量合格凭证。</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3．乙方负责货物运输，货物的运输方式：</w:t>
      </w:r>
      <w:r>
        <w:rPr>
          <w:rFonts w:hint="eastAsia"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。货物运输合理损耗及计算方法：</w:t>
      </w:r>
      <w:r>
        <w:rPr>
          <w:rFonts w:hint="eastAsia"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六、交货和验收</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1．乙方应按照本合同或采购文件规定的时间和方式向甲方交付货物，交货地点为__________。</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2．乙方交付的货物应当完全符合本合同或者采购文件所规定的货物、数量和规格要求。乙方提供的货物不符合采购文件或合同规定的，甲方有权拒收货物，由此引起的风险，由乙方承担。</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3．货物的到货验收包括：型号、规格、数量、外观质量、及货物包装是否完好。</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4．乙方必须按本合同所约定的货物清单及要求供货。</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5．乙方应将所提供：</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 xml:space="preserve">货物的装箱清单、用户手册、原厂保修卡、随机资料及配件、随机工具等同时交付给甲方。如有缺失应及时补齐，否则视为逾期交货。 </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6．甲方应当在到货后的___个工作日内对货物进行验收;需要乙方对货物或系统进行安装调试的，甲方应在货物安装调试完毕后的___个工作日内进行质量验收。验收合格的，由甲方签署验收单并加盖单位公章，甲乙双方各执一份。</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7．货物和系统调试验收的标准：按行业通行标准、厂方出厂标准和乙方投标文件的承诺(详见合同附件载明的标准，并不低于国家相关标准)。</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8．在验收过程中发现乙方有违约问题，可暂缓资金结算，待违约问题解决后，方可办理资金结算事宜。</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9．项目履约验收须执行《西藏自治区政府采购履约验收管理办法》（藏财采办〔2019〕36号）及有关法律法规与相关规定。</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七、售后服务</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1．乙方应按照国家有关法律法规规章和“三包”规定以及合同所附的“服务承诺”提供服务。</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2．乙方提供本货物的质量保证期为自验收合格之日起</w:t>
      </w:r>
      <w:r>
        <w:rPr>
          <w:rFonts w:hint="eastAsia"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，如乙方承诺质量保证期超过</w:t>
      </w:r>
      <w:r>
        <w:rPr>
          <w:rFonts w:hint="eastAsia" w:ascii="仿宋" w:hAnsi="仿宋" w:eastAsia="仿宋"/>
          <w:snapToGrid w:val="0"/>
          <w:sz w:val="24"/>
          <w:szCs w:val="24"/>
          <w:highlight w:val="none"/>
          <w:u w:val="single"/>
        </w:rPr>
        <w:t xml:space="preserve">  </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以上的，根据乙方承诺质保期执行。在质保期内发现因货物本身的质量问题，乙方应负责免费更换或免费修理或更换零部件。对达不到技术要求者，根据实际情况，经双方协商，可按以下办法处理：</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⑴更换：由乙方承担所发生的全部费用。</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⑵贬值处理：由甲方、乙方双方合议定价。</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⑶退货处理：乙方应退还甲方支付的货物款，同时应承担该货物的直接费用（运输、保险、检验、货款利息及银行手续费等）。</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3．在质保期内，乙方应对货物出现的质量及安全问题负责处理解决并承担一切费用。</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八、保证金</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ascii="仿宋" w:hAnsi="仿宋" w:eastAsia="仿宋"/>
          <w:snapToGrid w:val="0"/>
          <w:sz w:val="24"/>
          <w:szCs w:val="24"/>
          <w:highlight w:val="none"/>
        </w:rPr>
        <w:t>1</w:t>
      </w:r>
      <w:r>
        <w:rPr>
          <w:rFonts w:hint="eastAsia" w:ascii="仿宋" w:hAnsi="仿宋" w:eastAsia="仿宋"/>
          <w:snapToGrid w:val="0"/>
          <w:sz w:val="24"/>
          <w:szCs w:val="24"/>
          <w:highlight w:val="none"/>
        </w:rPr>
        <w:t>．履约保证金相关事宜应依据采购文件规定执行，若无相关规定，则按照下款执行。</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2．乙方在合同签订前，向甲方交纳合同总价款的___%____________元(大写) ￥________元(小写)，作为履约保证金，货物验收合格后自动转为质保金。货物验收合格后____年内无质量及售后服务问题，甲方一次性退还乙方。</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九、货款支付</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1．本合同项下所有款项均以人民币支付。</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2．国产货物，</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日内（进口货物，</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日内）交验合格后，甲方在</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个工作日内，提交下列文件向财政部门申请支付货款：</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(1)乙方提供的合法发票;</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(2)经甲方签署的验收单。</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(3)合同副本。</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3．甲方如因财政原因无法按期支付合同款，应及时通知乙方，支付顺延。</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十、违约责任</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1．乙方不能交付货物，甲方有权扣留全部履约保证金;乙方逾期交付货物的，每逾期1天，乙方向甲方偿付逾期交货部分货款总额的___%滞纳金；乙方所交付的货物品种、型号、规格不符合合同规定的，甲方有权拒收。甲方拒收的，乙方应向甲方支付货款总额___%的违约金。</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2．甲方无正当理由拒收货物、拒付货物款的，由甲方向乙方偿付合同总价的__%违约金。</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3．乙方未按本合同和投标文件中规定的服务承诺提供售后服务的，乙方应按本合同合计金额</w:t>
      </w:r>
      <w:r>
        <w:rPr>
          <w:rFonts w:hint="eastAsia"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向甲方支付违约金。</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4．乙方提供的货物如侵犯了第三方合法权益而引发的任何纠纷或诉讼，均由乙方负责交涉并承担全部责任。</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十一、合同争议解决方式</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因履行本合同引起的或与本合同有关的争议，甲乙双方应首先通过友好协商解决，如果协商不能解决，可向甲方当地法院提起诉讼。</w:t>
      </w:r>
    </w:p>
    <w:p>
      <w:pPr>
        <w:widowControl/>
        <w:adjustRightInd w:val="0"/>
        <w:snapToGrid w:val="0"/>
        <w:spacing w:before="156" w:beforeLines="50" w:line="360" w:lineRule="auto"/>
        <w:rPr>
          <w:rFonts w:ascii="仿宋" w:hAnsi="仿宋" w:eastAsia="仿宋"/>
          <w:b/>
          <w:snapToGrid w:val="0"/>
          <w:sz w:val="24"/>
          <w:szCs w:val="24"/>
          <w:highlight w:val="none"/>
        </w:rPr>
      </w:pPr>
      <w:r>
        <w:rPr>
          <w:rFonts w:hint="eastAsia" w:ascii="仿宋" w:hAnsi="仿宋" w:eastAsia="仿宋"/>
          <w:b/>
          <w:snapToGrid w:val="0"/>
          <w:sz w:val="24"/>
          <w:szCs w:val="24"/>
          <w:highlight w:val="none"/>
        </w:rPr>
        <w:t>十二、合同生效及其他</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1．本合同自签订之日起生效。</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2．本合同一式</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u w:val="single"/>
        </w:rPr>
        <w:t xml:space="preserve">六 </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份，甲乙双方各执</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u w:val="single"/>
        </w:rPr>
        <w:t xml:space="preserve">二 </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份，</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u w:val="single"/>
        </w:rPr>
        <w:t xml:space="preserve">二 </w:t>
      </w:r>
      <w:r>
        <w:rPr>
          <w:rFonts w:ascii="仿宋" w:hAnsi="仿宋" w:eastAsia="仿宋"/>
          <w:snapToGrid w:val="0"/>
          <w:sz w:val="24"/>
          <w:szCs w:val="24"/>
          <w:highlight w:val="none"/>
          <w:u w:val="single"/>
        </w:rPr>
        <w:t xml:space="preserve"> </w:t>
      </w:r>
      <w:r>
        <w:rPr>
          <w:rFonts w:hint="eastAsia" w:ascii="仿宋" w:hAnsi="仿宋" w:eastAsia="仿宋"/>
          <w:snapToGrid w:val="0"/>
          <w:sz w:val="24"/>
          <w:szCs w:val="24"/>
          <w:highlight w:val="none"/>
        </w:rPr>
        <w:t>份交</w:t>
      </w:r>
      <w:r>
        <w:rPr>
          <w:rFonts w:hint="eastAsia" w:ascii="仿宋" w:hAnsi="仿宋" w:eastAsia="仿宋"/>
          <w:snapToGrid w:val="0"/>
          <w:sz w:val="24"/>
          <w:szCs w:val="24"/>
          <w:highlight w:val="none"/>
          <w:lang w:eastAsia="zh-CN"/>
        </w:rPr>
        <w:t>重庆信科设计有限公司</w:t>
      </w:r>
      <w:r>
        <w:rPr>
          <w:rFonts w:hint="eastAsia" w:ascii="仿宋" w:hAnsi="仿宋" w:eastAsia="仿宋"/>
          <w:snapToGrid w:val="0"/>
          <w:sz w:val="24"/>
          <w:szCs w:val="24"/>
          <w:highlight w:val="none"/>
        </w:rPr>
        <w:t>存留。</w:t>
      </w:r>
    </w:p>
    <w:p>
      <w:pPr>
        <w:widowControl/>
        <w:adjustRightInd w:val="0"/>
        <w:snapToGrid w:val="0"/>
        <w:spacing w:line="360" w:lineRule="auto"/>
        <w:ind w:firstLine="480" w:firstLineChars="200"/>
        <w:rPr>
          <w:rFonts w:ascii="仿宋" w:hAnsi="仿宋" w:eastAsia="仿宋"/>
          <w:snapToGrid w:val="0"/>
          <w:sz w:val="24"/>
          <w:szCs w:val="24"/>
          <w:highlight w:val="none"/>
        </w:rPr>
      </w:pPr>
      <w:r>
        <w:rPr>
          <w:rFonts w:hint="eastAsia" w:ascii="仿宋" w:hAnsi="仿宋" w:eastAsia="仿宋"/>
          <w:snapToGrid w:val="0"/>
          <w:sz w:val="24"/>
          <w:szCs w:val="24"/>
          <w:highlight w:val="none"/>
        </w:rPr>
        <w:t>履约地：</w:t>
      </w:r>
      <w:r>
        <w:rPr>
          <w:rFonts w:hint="eastAsia" w:ascii="仿宋" w:hAnsi="仿宋" w:eastAsia="仿宋"/>
          <w:snapToGrid w:val="0"/>
          <w:sz w:val="24"/>
          <w:szCs w:val="24"/>
          <w:highlight w:val="none"/>
          <w:u w:val="single"/>
        </w:rPr>
        <w:t xml:space="preserve"> </w:t>
      </w:r>
      <w:r>
        <w:rPr>
          <w:rFonts w:ascii="仿宋" w:hAnsi="仿宋" w:eastAsia="仿宋"/>
          <w:snapToGrid w:val="0"/>
          <w:sz w:val="24"/>
          <w:szCs w:val="24"/>
          <w:highlight w:val="none"/>
          <w:u w:val="single"/>
        </w:rPr>
        <w:t xml:space="preserve">    </w:t>
      </w:r>
    </w:p>
    <w:p>
      <w:pPr>
        <w:spacing w:line="500" w:lineRule="exact"/>
        <w:ind w:firstLine="480" w:firstLineChars="200"/>
        <w:rPr>
          <w:rFonts w:ascii="仿宋" w:hAnsi="仿宋" w:eastAsia="仿宋" w:cs="仿宋"/>
          <w:sz w:val="24"/>
          <w:szCs w:val="24"/>
          <w:highlight w:val="none"/>
        </w:rPr>
      </w:pPr>
      <w:r>
        <w:rPr>
          <w:rFonts w:ascii="仿宋" w:hAnsi="仿宋" w:eastAsia="仿宋" w:cs="仿宋"/>
          <w:sz w:val="24"/>
          <w:szCs w:val="24"/>
          <w:highlight w:val="none"/>
        </w:rPr>
        <w:br w:type="page"/>
      </w:r>
      <w:r>
        <w:rPr>
          <w:rFonts w:hint="eastAsia" w:ascii="仿宋" w:hAnsi="仿宋" w:eastAsia="仿宋" w:cs="仿宋"/>
          <w:sz w:val="24"/>
          <w:szCs w:val="24"/>
          <w:highlight w:val="none"/>
        </w:rPr>
        <w:t>（此页无正文）</w:t>
      </w:r>
    </w:p>
    <w:p>
      <w:pPr>
        <w:widowControl/>
        <w:topLinePunct/>
        <w:adjustRightInd w:val="0"/>
        <w:snapToGrid w:val="0"/>
        <w:jc w:val="left"/>
        <w:rPr>
          <w:rFonts w:ascii="仿宋" w:hAnsi="仿宋" w:eastAsia="仿宋"/>
          <w:b/>
          <w:bCs/>
          <w:sz w:val="24"/>
          <w:szCs w:val="24"/>
          <w:highlight w:val="none"/>
        </w:rPr>
      </w:pPr>
    </w:p>
    <w:p>
      <w:pPr>
        <w:widowControl/>
        <w:topLinePunct/>
        <w:adjustRightInd w:val="0"/>
        <w:snapToGrid w:val="0"/>
        <w:jc w:val="left"/>
        <w:rPr>
          <w:rFonts w:ascii="仿宋" w:hAnsi="仿宋" w:eastAsia="仿宋"/>
          <w:b/>
          <w:bCs/>
          <w:sz w:val="24"/>
          <w:szCs w:val="24"/>
          <w:highlight w:val="none"/>
        </w:rPr>
      </w:pPr>
    </w:p>
    <w:p>
      <w:pPr>
        <w:widowControl/>
        <w:topLinePunct/>
        <w:adjustRightInd w:val="0"/>
        <w:snapToGrid w:val="0"/>
        <w:jc w:val="left"/>
        <w:rPr>
          <w:rFonts w:ascii="仿宋" w:hAnsi="仿宋" w:eastAsia="仿宋"/>
          <w:b/>
          <w:bCs/>
          <w:sz w:val="24"/>
          <w:szCs w:val="24"/>
          <w:highlight w:val="none"/>
        </w:rPr>
      </w:pPr>
    </w:p>
    <w:p>
      <w:pPr>
        <w:widowControl/>
        <w:topLinePunct/>
        <w:adjustRightInd w:val="0"/>
        <w:snapToGrid w:val="0"/>
        <w:jc w:val="left"/>
        <w:rPr>
          <w:rFonts w:ascii="仿宋" w:hAnsi="仿宋" w:eastAsia="仿宋"/>
          <w:b/>
          <w:bCs/>
          <w:sz w:val="24"/>
          <w:szCs w:val="24"/>
          <w:highlight w:val="none"/>
        </w:rPr>
      </w:pPr>
    </w:p>
    <w:p>
      <w:pPr>
        <w:widowControl/>
        <w:topLinePunct/>
        <w:adjustRightInd w:val="0"/>
        <w:snapToGrid w:val="0"/>
        <w:jc w:val="left"/>
        <w:rPr>
          <w:rFonts w:ascii="仿宋" w:hAnsi="仿宋" w:eastAsia="仿宋"/>
          <w:b/>
          <w:bCs/>
          <w:sz w:val="24"/>
          <w:szCs w:val="24"/>
          <w:highlight w:val="none"/>
        </w:rPr>
      </w:pPr>
    </w:p>
    <w:p>
      <w:pPr>
        <w:widowControl/>
        <w:topLinePunct/>
        <w:adjustRightInd w:val="0"/>
        <w:snapToGrid w:val="0"/>
        <w:jc w:val="left"/>
        <w:rPr>
          <w:rFonts w:ascii="仿宋" w:hAnsi="仿宋" w:eastAsia="仿宋"/>
          <w:b/>
          <w:bCs/>
          <w:sz w:val="24"/>
          <w:szCs w:val="24"/>
          <w:highlight w:val="none"/>
        </w:rPr>
      </w:pPr>
    </w:p>
    <w:p>
      <w:pPr>
        <w:widowControl/>
        <w:topLinePunct/>
        <w:adjustRightInd w:val="0"/>
        <w:snapToGrid w:val="0"/>
        <w:jc w:val="left"/>
        <w:rPr>
          <w:rFonts w:ascii="仿宋" w:hAnsi="仿宋" w:eastAsia="仿宋"/>
          <w:b/>
          <w:bCs/>
          <w:sz w:val="24"/>
          <w:szCs w:val="24"/>
          <w:highlight w:val="none"/>
        </w:rPr>
      </w:pPr>
    </w:p>
    <w:p>
      <w:pPr>
        <w:widowControl/>
        <w:topLinePunct/>
        <w:adjustRightInd w:val="0"/>
        <w:snapToGrid w:val="0"/>
        <w:jc w:val="left"/>
        <w:rPr>
          <w:rFonts w:ascii="仿宋" w:hAnsi="仿宋" w:eastAsia="仿宋"/>
          <w:b/>
          <w:bCs/>
          <w:sz w:val="24"/>
          <w:szCs w:val="24"/>
          <w:highlight w:val="none"/>
        </w:rPr>
      </w:pPr>
    </w:p>
    <w:p>
      <w:pPr>
        <w:widowControl/>
        <w:topLinePunct/>
        <w:adjustRightInd w:val="0"/>
        <w:snapToGrid w:val="0"/>
        <w:jc w:val="left"/>
        <w:rPr>
          <w:rFonts w:ascii="仿宋" w:hAnsi="仿宋" w:eastAsia="仿宋"/>
          <w:b/>
          <w:bCs/>
          <w:sz w:val="24"/>
          <w:szCs w:val="24"/>
          <w:highlight w:val="none"/>
        </w:rPr>
      </w:pPr>
    </w:p>
    <w:p>
      <w:pPr>
        <w:widowControl/>
        <w:topLinePunct/>
        <w:adjustRightInd w:val="0"/>
        <w:snapToGrid w:val="0"/>
        <w:jc w:val="left"/>
        <w:rPr>
          <w:rFonts w:ascii="仿宋" w:hAnsi="仿宋" w:eastAsia="仿宋"/>
          <w:b/>
          <w:bCs/>
          <w:sz w:val="24"/>
          <w:szCs w:val="24"/>
          <w:highlight w:val="none"/>
        </w:rPr>
      </w:pPr>
    </w:p>
    <w:tbl>
      <w:tblPr>
        <w:tblStyle w:val="9"/>
        <w:tblW w:w="9023" w:type="dxa"/>
        <w:jc w:val="center"/>
        <w:tblLayout w:type="fixed"/>
        <w:tblCellMar>
          <w:top w:w="0" w:type="dxa"/>
          <w:left w:w="108" w:type="dxa"/>
          <w:bottom w:w="0" w:type="dxa"/>
          <w:right w:w="108" w:type="dxa"/>
        </w:tblCellMar>
      </w:tblPr>
      <w:tblGrid>
        <w:gridCol w:w="4748"/>
        <w:gridCol w:w="4275"/>
      </w:tblGrid>
      <w:tr>
        <w:tblPrEx>
          <w:tblCellMar>
            <w:top w:w="0" w:type="dxa"/>
            <w:left w:w="108" w:type="dxa"/>
            <w:bottom w:w="0" w:type="dxa"/>
            <w:right w:w="108" w:type="dxa"/>
          </w:tblCellMar>
        </w:tblPrEx>
        <w:trPr>
          <w:jc w:val="center"/>
        </w:trPr>
        <w:tc>
          <w:tcPr>
            <w:tcW w:w="4748" w:type="dxa"/>
          </w:tcPr>
          <w:p>
            <w:pPr>
              <w:adjustRightInd w:val="0"/>
              <w:snapToGrid w:val="0"/>
              <w:spacing w:line="360" w:lineRule="auto"/>
              <w:rPr>
                <w:rFonts w:ascii="仿宋" w:hAnsi="仿宋" w:eastAsia="仿宋" w:cs="仿宋"/>
                <w:spacing w:val="-8"/>
                <w:sz w:val="24"/>
                <w:szCs w:val="24"/>
                <w:highlight w:val="none"/>
              </w:rPr>
            </w:pPr>
            <w:r>
              <w:rPr>
                <w:rFonts w:hint="eastAsia" w:ascii="仿宋" w:hAnsi="仿宋" w:eastAsia="仿宋" w:cs="仿宋"/>
                <w:b/>
                <w:bCs/>
                <w:sz w:val="24"/>
                <w:szCs w:val="24"/>
                <w:highlight w:val="none"/>
              </w:rPr>
              <w:t>甲方：</w:t>
            </w:r>
            <w:r>
              <w:rPr>
                <w:rFonts w:hint="eastAsia" w:ascii="仿宋" w:hAnsi="仿宋" w:eastAsia="仿宋" w:cs="仿宋"/>
                <w:sz w:val="24"/>
                <w:szCs w:val="24"/>
                <w:highlight w:val="none"/>
              </w:rPr>
              <w:t xml:space="preserve">            （公章）</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法定代表人  ：</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项目负责人  ：</w:t>
            </w:r>
          </w:p>
          <w:p>
            <w:pPr>
              <w:adjustRightInd w:val="0"/>
              <w:snapToGrid w:val="0"/>
              <w:spacing w:line="360" w:lineRule="auto"/>
              <w:ind w:left="1234" w:hanging="1233" w:hangingChars="514"/>
              <w:rPr>
                <w:rFonts w:ascii="仿宋" w:hAnsi="仿宋" w:eastAsia="仿宋" w:cs="仿宋"/>
                <w:sz w:val="24"/>
                <w:szCs w:val="24"/>
                <w:highlight w:val="none"/>
              </w:rPr>
            </w:pPr>
            <w:r>
              <w:rPr>
                <w:rFonts w:hint="eastAsia" w:ascii="仿宋" w:hAnsi="仿宋" w:eastAsia="仿宋" w:cs="仿宋"/>
                <w:sz w:val="24"/>
                <w:szCs w:val="24"/>
                <w:highlight w:val="none"/>
              </w:rPr>
              <w:t>单 位 地 址 ：</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电        话：</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邮        编：</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联   系   人：</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时        间：</w:t>
            </w:r>
          </w:p>
        </w:tc>
        <w:tc>
          <w:tcPr>
            <w:tcW w:w="4275" w:type="dxa"/>
          </w:tcPr>
          <w:p>
            <w:pPr>
              <w:adjustRightInd w:val="0"/>
              <w:snapToGrid w:val="0"/>
              <w:spacing w:line="360" w:lineRule="auto"/>
              <w:rPr>
                <w:rFonts w:ascii="仿宋" w:hAnsi="仿宋" w:eastAsia="仿宋" w:cs="仿宋"/>
                <w:spacing w:val="-8"/>
                <w:sz w:val="24"/>
                <w:szCs w:val="24"/>
                <w:highlight w:val="none"/>
              </w:rPr>
            </w:pPr>
            <w:r>
              <w:rPr>
                <w:rFonts w:hint="eastAsia" w:ascii="仿宋" w:hAnsi="仿宋" w:eastAsia="仿宋" w:cs="仿宋"/>
                <w:b/>
                <w:bCs/>
                <w:sz w:val="24"/>
                <w:szCs w:val="24"/>
                <w:highlight w:val="none"/>
              </w:rPr>
              <w:t>乙方：</w:t>
            </w:r>
            <w:r>
              <w:rPr>
                <w:rFonts w:hint="eastAsia" w:ascii="仿宋" w:hAnsi="仿宋" w:eastAsia="仿宋" w:cs="仿宋"/>
                <w:sz w:val="24"/>
                <w:szCs w:val="24"/>
                <w:highlight w:val="none"/>
              </w:rPr>
              <w:t xml:space="preserve">    </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 xml:space="preserve">    （公章）</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法定代表人  ：</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项目负责人  ：</w:t>
            </w:r>
          </w:p>
          <w:p>
            <w:pPr>
              <w:adjustRightInd w:val="0"/>
              <w:snapToGrid w:val="0"/>
              <w:spacing w:line="360" w:lineRule="auto"/>
              <w:ind w:left="1234" w:hanging="1233" w:hangingChars="514"/>
              <w:rPr>
                <w:rFonts w:ascii="仿宋" w:hAnsi="仿宋" w:eastAsia="仿宋" w:cs="仿宋"/>
                <w:sz w:val="24"/>
                <w:szCs w:val="24"/>
                <w:highlight w:val="none"/>
              </w:rPr>
            </w:pPr>
            <w:r>
              <w:rPr>
                <w:rFonts w:hint="eastAsia" w:ascii="仿宋" w:hAnsi="仿宋" w:eastAsia="仿宋" w:cs="仿宋"/>
                <w:sz w:val="24"/>
                <w:szCs w:val="24"/>
                <w:highlight w:val="none"/>
              </w:rPr>
              <w:t>公 司 地  址：</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电        话：</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邮        编：</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开  户 银 行：</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账        号：</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联   系   人：</w:t>
            </w:r>
          </w:p>
          <w:p>
            <w:pPr>
              <w:adjustRightInd w:val="0"/>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时        间：</w:t>
            </w:r>
          </w:p>
        </w:tc>
      </w:tr>
    </w:tbl>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r>
        <w:rPr>
          <w:rFonts w:ascii="仿宋" w:hAnsi="仿宋" w:eastAsia="仿宋" w:cs="仿宋"/>
          <w:b/>
          <w:bCs/>
          <w:sz w:val="28"/>
          <w:szCs w:val="28"/>
          <w:highlight w:val="none"/>
        </w:rPr>
        <w:br w:type="page"/>
      </w:r>
    </w:p>
    <w:p>
      <w:pPr>
        <w:jc w:val="center"/>
        <w:rPr>
          <w:rFonts w:ascii="仿宋" w:hAnsi="仿宋" w:eastAsia="仿宋" w:cs="仿宋"/>
          <w:b/>
          <w:bCs/>
          <w:sz w:val="28"/>
          <w:szCs w:val="28"/>
          <w:highlight w:val="none"/>
        </w:rPr>
      </w:pPr>
      <w:bookmarkStart w:id="105" w:name="_Hlk111471155"/>
    </w:p>
    <w:p>
      <w:pPr>
        <w:jc w:val="center"/>
        <w:rPr>
          <w:rFonts w:ascii="仿宋" w:hAnsi="仿宋" w:eastAsia="仿宋" w:cs="仿宋"/>
          <w:b/>
          <w:bCs/>
          <w:sz w:val="28"/>
          <w:szCs w:val="28"/>
          <w:highlight w:val="none"/>
        </w:rPr>
      </w:pPr>
    </w:p>
    <w:p>
      <w:pPr>
        <w:jc w:val="center"/>
        <w:outlineLvl w:val="0"/>
        <w:rPr>
          <w:rFonts w:ascii="仿宋" w:hAnsi="仿宋" w:eastAsia="仿宋" w:cs="仿宋"/>
          <w:b/>
          <w:bCs/>
          <w:sz w:val="44"/>
          <w:szCs w:val="44"/>
          <w:highlight w:val="none"/>
        </w:rPr>
      </w:pPr>
      <w:bookmarkStart w:id="106" w:name="_Toc110245242"/>
      <w:r>
        <w:rPr>
          <w:rFonts w:hint="eastAsia" w:ascii="仿宋" w:hAnsi="仿宋" w:eastAsia="仿宋" w:cs="仿宋"/>
          <w:b/>
          <w:bCs/>
          <w:sz w:val="44"/>
          <w:szCs w:val="44"/>
          <w:highlight w:val="none"/>
        </w:rPr>
        <w:t>第五章 投标文件格式</w:t>
      </w:r>
      <w:bookmarkEnd w:id="106"/>
    </w:p>
    <w:p>
      <w:pPr>
        <w:spacing w:line="360" w:lineRule="auto"/>
        <w:ind w:left="1143" w:leftChars="200" w:hanging="723" w:hangingChars="300"/>
        <w:rPr>
          <w:rFonts w:ascii="仿宋" w:hAnsi="仿宋" w:eastAsia="仿宋" w:cs="仿宋"/>
          <w:b/>
          <w:kern w:val="1"/>
          <w:sz w:val="24"/>
          <w:szCs w:val="24"/>
          <w:highlight w:val="none"/>
        </w:rPr>
      </w:pPr>
    </w:p>
    <w:p>
      <w:pPr>
        <w:spacing w:line="360" w:lineRule="auto"/>
        <w:ind w:left="1143" w:leftChars="200" w:hanging="723" w:hangingChars="300"/>
        <w:rPr>
          <w:rFonts w:hint="eastAsia" w:ascii="仿宋" w:hAnsi="仿宋" w:eastAsia="仿宋" w:cs="仿宋"/>
          <w:b/>
          <w:kern w:val="1"/>
          <w:sz w:val="24"/>
          <w:szCs w:val="24"/>
          <w:highlight w:val="none"/>
          <w:lang w:eastAsia="zh-CN"/>
        </w:rPr>
      </w:pPr>
      <w:r>
        <w:rPr>
          <w:rFonts w:hint="eastAsia" w:ascii="仿宋" w:hAnsi="仿宋" w:eastAsia="仿宋" w:cs="仿宋"/>
          <w:b/>
          <w:kern w:val="1"/>
          <w:sz w:val="24"/>
          <w:szCs w:val="24"/>
          <w:highlight w:val="none"/>
        </w:rPr>
        <w:t>说明：1</w:t>
      </w:r>
      <w:r>
        <w:rPr>
          <w:rFonts w:ascii="仿宋" w:hAnsi="仿宋" w:eastAsia="仿宋" w:cs="仿宋"/>
          <w:b/>
          <w:kern w:val="1"/>
          <w:sz w:val="24"/>
          <w:szCs w:val="24"/>
          <w:highlight w:val="none"/>
        </w:rPr>
        <w:t>.</w:t>
      </w:r>
      <w:r>
        <w:rPr>
          <w:rFonts w:hint="eastAsia" w:ascii="仿宋" w:hAnsi="仿宋" w:eastAsia="仿宋" w:cs="仿宋"/>
          <w:b/>
          <w:kern w:val="1"/>
          <w:sz w:val="24"/>
          <w:szCs w:val="24"/>
          <w:highlight w:val="none"/>
        </w:rPr>
        <w:t>招标文件要求提供的一切资料，无论是否要求另行提交，均应在投标文件中体现；</w:t>
      </w:r>
    </w:p>
    <w:p>
      <w:pPr>
        <w:spacing w:line="360" w:lineRule="auto"/>
        <w:ind w:left="1143" w:leftChars="200" w:hanging="723" w:hangingChars="300"/>
        <w:rPr>
          <w:rFonts w:ascii="仿宋" w:hAnsi="仿宋" w:eastAsia="仿宋" w:cs="仿宋"/>
          <w:b/>
          <w:kern w:val="1"/>
          <w:sz w:val="24"/>
          <w:szCs w:val="24"/>
          <w:highlight w:val="none"/>
        </w:rPr>
      </w:pPr>
      <w:r>
        <w:rPr>
          <w:rFonts w:hint="eastAsia" w:ascii="仿宋" w:hAnsi="仿宋" w:eastAsia="仿宋" w:cs="仿宋"/>
          <w:b/>
          <w:kern w:val="1"/>
          <w:sz w:val="24"/>
          <w:szCs w:val="24"/>
          <w:highlight w:val="none"/>
        </w:rPr>
        <w:t>2</w:t>
      </w:r>
      <w:r>
        <w:rPr>
          <w:rFonts w:ascii="仿宋" w:hAnsi="仿宋" w:eastAsia="仿宋" w:cs="仿宋"/>
          <w:b/>
          <w:kern w:val="1"/>
          <w:sz w:val="24"/>
          <w:szCs w:val="24"/>
          <w:highlight w:val="none"/>
        </w:rPr>
        <w:t>.</w:t>
      </w:r>
      <w:r>
        <w:rPr>
          <w:rFonts w:hint="eastAsia" w:ascii="仿宋" w:hAnsi="仿宋" w:eastAsia="仿宋" w:cs="仿宋"/>
          <w:b/>
          <w:kern w:val="1"/>
          <w:sz w:val="24"/>
          <w:szCs w:val="24"/>
          <w:highlight w:val="none"/>
        </w:rPr>
        <w:t>本章格式与西藏自治区公共资源电子交易系统相关要求有冲突之处，以西藏自治区公共资源电子交易系统要求及规范为准。</w:t>
      </w:r>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r>
        <w:rPr>
          <w:rFonts w:ascii="仿宋" w:hAnsi="仿宋" w:eastAsia="仿宋" w:cs="仿宋"/>
          <w:b/>
          <w:bCs/>
          <w:sz w:val="28"/>
          <w:szCs w:val="28"/>
          <w:highlight w:val="none"/>
        </w:rPr>
        <w:br w:type="page"/>
      </w:r>
    </w:p>
    <w:p>
      <w:pPr>
        <w:spacing w:line="360" w:lineRule="auto"/>
        <w:jc w:val="center"/>
        <w:outlineLvl w:val="1"/>
        <w:rPr>
          <w:rFonts w:ascii="仿宋" w:hAnsi="仿宋" w:eastAsia="仿宋" w:cs="仿宋"/>
          <w:b/>
          <w:sz w:val="24"/>
          <w:szCs w:val="24"/>
          <w:highlight w:val="none"/>
        </w:rPr>
      </w:pPr>
      <w:bookmarkStart w:id="107" w:name="_Toc298458725"/>
      <w:bookmarkStart w:id="108" w:name="_Toc298434671"/>
      <w:bookmarkStart w:id="109" w:name="_Toc414445763"/>
      <w:bookmarkStart w:id="110" w:name="_Toc298434528"/>
      <w:bookmarkStart w:id="111" w:name="_Toc44499005"/>
      <w:bookmarkStart w:id="112" w:name="_Toc22735"/>
      <w:bookmarkStart w:id="113" w:name="_Toc416103813"/>
      <w:bookmarkStart w:id="114" w:name="_Toc350418253"/>
      <w:bookmarkStart w:id="115" w:name="_Toc298745650"/>
      <w:bookmarkStart w:id="116" w:name="_Toc410631171"/>
      <w:bookmarkStart w:id="117" w:name="_Toc332094984"/>
      <w:bookmarkStart w:id="118" w:name="_Toc4228"/>
      <w:bookmarkStart w:id="119" w:name="_Toc2190"/>
      <w:bookmarkStart w:id="120" w:name="_Toc23024"/>
      <w:bookmarkStart w:id="121" w:name="_Toc298745568"/>
      <w:bookmarkStart w:id="122" w:name="_Toc327276295"/>
      <w:bookmarkStart w:id="123" w:name="_Toc110245243"/>
      <w:r>
        <w:rPr>
          <w:rFonts w:hint="eastAsia" w:ascii="仿宋" w:hAnsi="仿宋" w:eastAsia="仿宋" w:cs="仿宋"/>
          <w:b/>
          <w:sz w:val="24"/>
          <w:szCs w:val="24"/>
          <w:highlight w:val="none"/>
        </w:rPr>
        <w:t>投标文件索引</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tbl>
      <w:tblPr>
        <w:tblStyle w:val="9"/>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5"/>
        <w:gridCol w:w="1722"/>
        <w:gridCol w:w="4536"/>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722"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评审条款</w:t>
            </w:r>
          </w:p>
        </w:tc>
        <w:tc>
          <w:tcPr>
            <w:tcW w:w="4536"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评审要求</w:t>
            </w:r>
          </w:p>
        </w:tc>
        <w:tc>
          <w:tcPr>
            <w:tcW w:w="1619"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投标文件对应页码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一</w:t>
            </w:r>
          </w:p>
        </w:tc>
        <w:tc>
          <w:tcPr>
            <w:tcW w:w="1722"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资格审查</w:t>
            </w: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1</w:t>
            </w:r>
          </w:p>
        </w:tc>
        <w:tc>
          <w:tcPr>
            <w:tcW w:w="1722" w:type="dxa"/>
            <w:vAlign w:val="center"/>
          </w:tcPr>
          <w:p>
            <w:pPr>
              <w:snapToGrid w:val="0"/>
              <w:jc w:val="center"/>
              <w:rPr>
                <w:rFonts w:ascii="仿宋" w:hAnsi="仿宋" w:eastAsia="仿宋" w:cs="仿宋"/>
                <w:b/>
                <w:sz w:val="24"/>
                <w:szCs w:val="24"/>
                <w:highlight w:val="none"/>
              </w:rPr>
            </w:pP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2</w:t>
            </w:r>
          </w:p>
        </w:tc>
        <w:tc>
          <w:tcPr>
            <w:tcW w:w="1722" w:type="dxa"/>
            <w:vAlign w:val="center"/>
          </w:tcPr>
          <w:p>
            <w:pPr>
              <w:snapToGrid w:val="0"/>
              <w:jc w:val="center"/>
              <w:rPr>
                <w:rFonts w:ascii="仿宋" w:hAnsi="仿宋" w:eastAsia="仿宋" w:cs="仿宋"/>
                <w:b/>
                <w:sz w:val="24"/>
                <w:szCs w:val="24"/>
                <w:highlight w:val="none"/>
              </w:rPr>
            </w:pP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w:t>
            </w:r>
          </w:p>
        </w:tc>
        <w:tc>
          <w:tcPr>
            <w:tcW w:w="1722" w:type="dxa"/>
            <w:vAlign w:val="center"/>
          </w:tcPr>
          <w:p>
            <w:pPr>
              <w:snapToGrid w:val="0"/>
              <w:jc w:val="center"/>
              <w:rPr>
                <w:rFonts w:ascii="仿宋" w:hAnsi="仿宋" w:eastAsia="仿宋" w:cs="仿宋"/>
                <w:b/>
                <w:sz w:val="24"/>
                <w:szCs w:val="24"/>
                <w:highlight w:val="none"/>
              </w:rPr>
            </w:pP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二</w:t>
            </w:r>
          </w:p>
        </w:tc>
        <w:tc>
          <w:tcPr>
            <w:tcW w:w="1722"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符合性审查</w:t>
            </w: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1</w:t>
            </w:r>
          </w:p>
        </w:tc>
        <w:tc>
          <w:tcPr>
            <w:tcW w:w="1722" w:type="dxa"/>
            <w:vAlign w:val="center"/>
          </w:tcPr>
          <w:p>
            <w:pPr>
              <w:snapToGrid w:val="0"/>
              <w:jc w:val="center"/>
              <w:rPr>
                <w:rFonts w:ascii="仿宋" w:hAnsi="仿宋" w:eastAsia="仿宋" w:cs="仿宋"/>
                <w:b/>
                <w:sz w:val="24"/>
                <w:szCs w:val="24"/>
                <w:highlight w:val="none"/>
              </w:rPr>
            </w:pP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2</w:t>
            </w:r>
          </w:p>
        </w:tc>
        <w:tc>
          <w:tcPr>
            <w:tcW w:w="1722" w:type="dxa"/>
            <w:vAlign w:val="center"/>
          </w:tcPr>
          <w:p>
            <w:pPr>
              <w:snapToGrid w:val="0"/>
              <w:jc w:val="center"/>
              <w:rPr>
                <w:rFonts w:ascii="仿宋" w:hAnsi="仿宋" w:eastAsia="仿宋" w:cs="仿宋"/>
                <w:b/>
                <w:sz w:val="24"/>
                <w:szCs w:val="24"/>
                <w:highlight w:val="none"/>
              </w:rPr>
            </w:pP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w:t>
            </w:r>
          </w:p>
        </w:tc>
        <w:tc>
          <w:tcPr>
            <w:tcW w:w="1722" w:type="dxa"/>
            <w:vAlign w:val="center"/>
          </w:tcPr>
          <w:p>
            <w:pPr>
              <w:snapToGrid w:val="0"/>
              <w:jc w:val="center"/>
              <w:rPr>
                <w:rFonts w:ascii="仿宋" w:hAnsi="仿宋" w:eastAsia="仿宋" w:cs="仿宋"/>
                <w:b/>
                <w:sz w:val="24"/>
                <w:szCs w:val="24"/>
                <w:highlight w:val="none"/>
              </w:rPr>
            </w:pP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三</w:t>
            </w:r>
          </w:p>
        </w:tc>
        <w:tc>
          <w:tcPr>
            <w:tcW w:w="1722"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综合评分</w:t>
            </w: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1</w:t>
            </w:r>
          </w:p>
        </w:tc>
        <w:tc>
          <w:tcPr>
            <w:tcW w:w="1722" w:type="dxa"/>
            <w:vAlign w:val="center"/>
          </w:tcPr>
          <w:p>
            <w:pPr>
              <w:snapToGrid w:val="0"/>
              <w:jc w:val="center"/>
              <w:rPr>
                <w:rFonts w:ascii="仿宋" w:hAnsi="仿宋" w:eastAsia="仿宋" w:cs="仿宋"/>
                <w:b/>
                <w:sz w:val="24"/>
                <w:szCs w:val="24"/>
                <w:highlight w:val="none"/>
              </w:rPr>
            </w:pP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2</w:t>
            </w:r>
          </w:p>
        </w:tc>
        <w:tc>
          <w:tcPr>
            <w:tcW w:w="1722" w:type="dxa"/>
            <w:vAlign w:val="center"/>
          </w:tcPr>
          <w:p>
            <w:pPr>
              <w:snapToGrid w:val="0"/>
              <w:jc w:val="center"/>
              <w:rPr>
                <w:rFonts w:ascii="仿宋" w:hAnsi="仿宋" w:eastAsia="仿宋" w:cs="仿宋"/>
                <w:b/>
                <w:sz w:val="24"/>
                <w:szCs w:val="24"/>
                <w:highlight w:val="none"/>
              </w:rPr>
            </w:pP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w:t>
            </w:r>
          </w:p>
        </w:tc>
        <w:tc>
          <w:tcPr>
            <w:tcW w:w="1722" w:type="dxa"/>
            <w:vAlign w:val="center"/>
          </w:tcPr>
          <w:p>
            <w:pPr>
              <w:snapToGrid w:val="0"/>
              <w:jc w:val="center"/>
              <w:rPr>
                <w:rFonts w:ascii="仿宋" w:hAnsi="仿宋" w:eastAsia="仿宋" w:cs="仿宋"/>
                <w:b/>
                <w:sz w:val="24"/>
                <w:szCs w:val="24"/>
                <w:highlight w:val="none"/>
              </w:rPr>
            </w:pPr>
          </w:p>
        </w:tc>
        <w:tc>
          <w:tcPr>
            <w:tcW w:w="4536" w:type="dxa"/>
            <w:vAlign w:val="center"/>
          </w:tcPr>
          <w:p>
            <w:pPr>
              <w:snapToGrid w:val="0"/>
              <w:jc w:val="center"/>
              <w:rPr>
                <w:rFonts w:ascii="仿宋" w:hAnsi="仿宋" w:eastAsia="仿宋" w:cs="仿宋"/>
                <w:b/>
                <w:sz w:val="24"/>
                <w:szCs w:val="24"/>
                <w:highlight w:val="none"/>
              </w:rPr>
            </w:pPr>
          </w:p>
        </w:tc>
        <w:tc>
          <w:tcPr>
            <w:tcW w:w="1619" w:type="dxa"/>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四</w:t>
            </w:r>
          </w:p>
        </w:tc>
        <w:tc>
          <w:tcPr>
            <w:tcW w:w="172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其他</w:t>
            </w:r>
          </w:p>
        </w:tc>
        <w:tc>
          <w:tcPr>
            <w:tcW w:w="45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p>
        </w:tc>
        <w:tc>
          <w:tcPr>
            <w:tcW w:w="1619" w:type="dxa"/>
            <w:tcBorders>
              <w:top w:val="single" w:color="auto" w:sz="4" w:space="0"/>
              <w:left w:val="single" w:color="auto" w:sz="4" w:space="0"/>
              <w:bottom w:val="single" w:color="auto" w:sz="4" w:space="0"/>
              <w:right w:val="single" w:color="auto" w:sz="4" w:space="0"/>
            </w:tcBorders>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1</w:t>
            </w:r>
          </w:p>
        </w:tc>
        <w:tc>
          <w:tcPr>
            <w:tcW w:w="172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p>
        </w:tc>
        <w:tc>
          <w:tcPr>
            <w:tcW w:w="45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p>
        </w:tc>
        <w:tc>
          <w:tcPr>
            <w:tcW w:w="1619" w:type="dxa"/>
            <w:tcBorders>
              <w:top w:val="single" w:color="auto" w:sz="4" w:space="0"/>
              <w:left w:val="single" w:color="auto" w:sz="4" w:space="0"/>
              <w:bottom w:val="single" w:color="auto" w:sz="4" w:space="0"/>
              <w:right w:val="single" w:color="auto" w:sz="4" w:space="0"/>
            </w:tcBorders>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2</w:t>
            </w:r>
          </w:p>
        </w:tc>
        <w:tc>
          <w:tcPr>
            <w:tcW w:w="172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p>
        </w:tc>
        <w:tc>
          <w:tcPr>
            <w:tcW w:w="45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p>
        </w:tc>
        <w:tc>
          <w:tcPr>
            <w:tcW w:w="1619" w:type="dxa"/>
            <w:tcBorders>
              <w:top w:val="single" w:color="auto" w:sz="4" w:space="0"/>
              <w:left w:val="single" w:color="auto" w:sz="4" w:space="0"/>
              <w:bottom w:val="single" w:color="auto" w:sz="4" w:space="0"/>
              <w:right w:val="single" w:color="auto" w:sz="4" w:space="0"/>
            </w:tcBorders>
            <w:vAlign w:val="center"/>
          </w:tcPr>
          <w:p>
            <w:pPr>
              <w:snapToGrid w:val="0"/>
              <w:ind w:firstLine="480"/>
              <w:jc w:val="center"/>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r>
              <w:rPr>
                <w:rFonts w:hint="eastAsia" w:ascii="仿宋" w:hAnsi="仿宋" w:eastAsia="仿宋" w:cs="仿宋"/>
                <w:b/>
                <w:sz w:val="24"/>
                <w:szCs w:val="24"/>
                <w:highlight w:val="none"/>
              </w:rPr>
              <w:t>…</w:t>
            </w:r>
          </w:p>
        </w:tc>
        <w:tc>
          <w:tcPr>
            <w:tcW w:w="172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p>
        </w:tc>
        <w:tc>
          <w:tcPr>
            <w:tcW w:w="45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
                <w:b/>
                <w:sz w:val="24"/>
                <w:szCs w:val="24"/>
                <w:highlight w:val="none"/>
              </w:rPr>
            </w:pPr>
          </w:p>
        </w:tc>
        <w:tc>
          <w:tcPr>
            <w:tcW w:w="1619" w:type="dxa"/>
            <w:tcBorders>
              <w:top w:val="single" w:color="auto" w:sz="4" w:space="0"/>
              <w:left w:val="single" w:color="auto" w:sz="4" w:space="0"/>
              <w:bottom w:val="single" w:color="auto" w:sz="4" w:space="0"/>
              <w:right w:val="single" w:color="auto" w:sz="4" w:space="0"/>
            </w:tcBorders>
            <w:vAlign w:val="center"/>
          </w:tcPr>
          <w:p>
            <w:pPr>
              <w:snapToGrid w:val="0"/>
              <w:ind w:firstLine="480"/>
              <w:jc w:val="center"/>
              <w:rPr>
                <w:rFonts w:ascii="仿宋" w:hAnsi="仿宋" w:eastAsia="仿宋" w:cs="仿宋"/>
                <w:b/>
                <w:sz w:val="24"/>
                <w:szCs w:val="24"/>
                <w:highlight w:val="none"/>
              </w:rPr>
            </w:pPr>
          </w:p>
        </w:tc>
      </w:tr>
    </w:tbl>
    <w:p>
      <w:pPr>
        <w:spacing w:line="360" w:lineRule="auto"/>
        <w:ind w:firstLine="480"/>
        <w:jc w:val="left"/>
        <w:rPr>
          <w:rFonts w:ascii="仿宋" w:hAnsi="仿宋" w:eastAsia="仿宋" w:cs="仿宋"/>
          <w:b/>
          <w:sz w:val="24"/>
          <w:szCs w:val="24"/>
          <w:highlight w:val="none"/>
        </w:rPr>
      </w:pPr>
    </w:p>
    <w:p>
      <w:pPr>
        <w:rPr>
          <w:rFonts w:ascii="仿宋" w:hAnsi="仿宋" w:eastAsia="仿宋" w:cs="仿宋"/>
          <w:b/>
          <w:sz w:val="24"/>
          <w:szCs w:val="24"/>
          <w:highlight w:val="none"/>
        </w:rPr>
      </w:pPr>
      <w:r>
        <w:rPr>
          <w:rFonts w:hint="eastAsia" w:ascii="仿宋" w:hAnsi="仿宋" w:eastAsia="仿宋" w:cs="仿宋"/>
          <w:b/>
          <w:sz w:val="24"/>
          <w:szCs w:val="24"/>
          <w:highlight w:val="none"/>
        </w:rPr>
        <w:t>说明：该投标文件索引表格放在投标文件目录后，正文的第一页。</w:t>
      </w:r>
    </w:p>
    <w:p>
      <w:pPr>
        <w:rPr>
          <w:rFonts w:asciiTheme="minorHAnsi" w:hAnsiTheme="minorHAnsi" w:eastAsiaTheme="minorEastAsia" w:cstheme="minorBidi"/>
          <w:highlight w:val="none"/>
        </w:rPr>
      </w:pPr>
      <w:r>
        <w:rPr>
          <w:rFonts w:asciiTheme="minorHAnsi" w:hAnsiTheme="minorHAnsi" w:eastAsiaTheme="minorEastAsia" w:cstheme="minorBidi"/>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24" w:name="_Toc10836"/>
      <w:bookmarkStart w:id="125" w:name="_Toc9784"/>
      <w:bookmarkStart w:id="126" w:name="_Toc21033"/>
      <w:bookmarkStart w:id="127" w:name="_Toc441690211"/>
      <w:bookmarkStart w:id="128" w:name="_Toc110245244"/>
      <w:bookmarkStart w:id="129" w:name="_Toc56085561"/>
      <w:r>
        <w:rPr>
          <w:rFonts w:hint="eastAsia" w:ascii="仿宋" w:hAnsi="仿宋" w:eastAsia="仿宋" w:cs="仿宋"/>
          <w:b/>
          <w:bCs/>
          <w:kern w:val="1"/>
          <w:sz w:val="24"/>
          <w:szCs w:val="24"/>
          <w:highlight w:val="none"/>
        </w:rPr>
        <w:t>附件1</w:t>
      </w:r>
      <w:r>
        <w:rPr>
          <w:rFonts w:ascii="仿宋" w:hAnsi="仿宋" w:eastAsia="仿宋" w:cs="仿宋"/>
          <w:b/>
          <w:bCs/>
          <w:kern w:val="1"/>
          <w:sz w:val="24"/>
          <w:szCs w:val="24"/>
          <w:highlight w:val="none"/>
        </w:rPr>
        <w:t xml:space="preserve"> </w:t>
      </w:r>
      <w:r>
        <w:rPr>
          <w:rFonts w:hint="eastAsia" w:ascii="仿宋" w:hAnsi="仿宋" w:eastAsia="仿宋" w:cs="仿宋"/>
          <w:b/>
          <w:bCs/>
          <w:kern w:val="1"/>
          <w:sz w:val="24"/>
          <w:szCs w:val="24"/>
          <w:highlight w:val="none"/>
        </w:rPr>
        <w:t xml:space="preserve"> </w:t>
      </w:r>
      <w:bookmarkEnd w:id="124"/>
      <w:bookmarkEnd w:id="125"/>
      <w:bookmarkEnd w:id="126"/>
      <w:bookmarkEnd w:id="127"/>
      <w:r>
        <w:rPr>
          <w:rFonts w:hint="eastAsia" w:ascii="仿宋" w:hAnsi="仿宋" w:eastAsia="仿宋" w:cs="仿宋"/>
          <w:b/>
          <w:bCs/>
          <w:kern w:val="1"/>
          <w:sz w:val="24"/>
          <w:szCs w:val="24"/>
          <w:highlight w:val="none"/>
        </w:rPr>
        <w:t>投标函</w:t>
      </w:r>
      <w:bookmarkEnd w:id="128"/>
      <w:bookmarkEnd w:id="129"/>
    </w:p>
    <w:p>
      <w:pPr>
        <w:ind w:firstLine="562" w:firstLineChars="200"/>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投标函</w:t>
      </w:r>
    </w:p>
    <w:p>
      <w:pPr>
        <w:spacing w:line="360" w:lineRule="auto"/>
        <w:rPr>
          <w:rFonts w:hint="eastAsia" w:ascii="仿宋" w:hAnsi="仿宋" w:eastAsia="仿宋" w:cs="仿宋"/>
          <w:kern w:val="1"/>
          <w:sz w:val="24"/>
          <w:szCs w:val="24"/>
          <w:highlight w:val="none"/>
          <w:lang w:eastAsia="zh-CN"/>
        </w:rPr>
      </w:pPr>
      <w:r>
        <w:rPr>
          <w:rFonts w:hint="eastAsia" w:ascii="仿宋" w:hAnsi="仿宋" w:eastAsia="仿宋" w:cs="仿宋"/>
          <w:kern w:val="1"/>
          <w:sz w:val="24"/>
          <w:szCs w:val="24"/>
          <w:highlight w:val="none"/>
        </w:rPr>
        <w:t>致：</w:t>
      </w:r>
      <w:r>
        <w:rPr>
          <w:rFonts w:hint="eastAsia" w:ascii="仿宋" w:hAnsi="仿宋" w:eastAsia="仿宋" w:cs="仿宋"/>
          <w:kern w:val="1"/>
          <w:sz w:val="24"/>
          <w:szCs w:val="24"/>
          <w:highlight w:val="none"/>
          <w:lang w:eastAsia="zh-CN"/>
        </w:rPr>
        <w:t>重庆信科设计有限公司</w:t>
      </w:r>
    </w:p>
    <w:p>
      <w:pPr>
        <w:wordWrap w:val="0"/>
        <w:spacing w:line="360" w:lineRule="auto"/>
        <w:ind w:firstLine="480" w:firstLineChars="200"/>
        <w:rPr>
          <w:rFonts w:ascii="仿宋" w:hAnsi="仿宋" w:eastAsia="仿宋" w:cs="仿宋"/>
          <w:kern w:val="1"/>
          <w:sz w:val="24"/>
          <w:szCs w:val="24"/>
          <w:highlight w:val="none"/>
        </w:rPr>
      </w:pPr>
      <w:r>
        <w:rPr>
          <w:rFonts w:hint="eastAsia" w:ascii="仿宋" w:hAnsi="仿宋" w:eastAsia="仿宋" w:cs="仿宋"/>
          <w:kern w:val="1"/>
          <w:sz w:val="24"/>
          <w:szCs w:val="24"/>
          <w:highlight w:val="none"/>
        </w:rPr>
        <w:t>根据</w:t>
      </w:r>
      <w:r>
        <w:rPr>
          <w:rFonts w:hint="eastAsia" w:ascii="仿宋" w:hAnsi="仿宋" w:eastAsia="仿宋" w:cs="仿宋"/>
          <w:kern w:val="1"/>
          <w:sz w:val="24"/>
          <w:szCs w:val="24"/>
          <w:highlight w:val="none"/>
          <w:u w:val="single"/>
        </w:rPr>
        <w:t xml:space="preserve"> </w:t>
      </w:r>
      <w:r>
        <w:rPr>
          <w:rFonts w:hint="eastAsia" w:ascii="仿宋" w:hAnsi="仿宋" w:eastAsia="仿宋" w:cs="仿宋"/>
          <w:i/>
          <w:iCs/>
          <w:kern w:val="1"/>
          <w:sz w:val="24"/>
          <w:szCs w:val="24"/>
          <w:highlight w:val="none"/>
          <w:u w:val="single"/>
        </w:rPr>
        <w:t>（项目名称、项目编号、项目标段）</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招标文件（包括更正、澄清文件）要求，</w:t>
      </w:r>
      <w:r>
        <w:rPr>
          <w:rFonts w:hint="eastAsia" w:ascii="仿宋" w:hAnsi="仿宋" w:eastAsia="仿宋" w:cs="仿宋"/>
          <w:kern w:val="1"/>
          <w:sz w:val="24"/>
          <w:szCs w:val="24"/>
          <w:highlight w:val="none"/>
          <w:u w:val="single"/>
        </w:rPr>
        <w:t xml:space="preserve"> </w:t>
      </w:r>
      <w:r>
        <w:rPr>
          <w:rFonts w:hint="eastAsia" w:ascii="仿宋" w:hAnsi="仿宋" w:eastAsia="仿宋" w:cs="仿宋"/>
          <w:i/>
          <w:iCs/>
          <w:kern w:val="1"/>
          <w:sz w:val="24"/>
          <w:szCs w:val="24"/>
          <w:highlight w:val="none"/>
          <w:u w:val="single"/>
        </w:rPr>
        <w:t>（授权代表全名、职务）</w:t>
      </w:r>
      <w:r>
        <w:rPr>
          <w:rFonts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经正式授权并代表投标人</w:t>
      </w:r>
      <w:r>
        <w:rPr>
          <w:rFonts w:hint="eastAsia" w:ascii="仿宋" w:hAnsi="仿宋" w:eastAsia="仿宋" w:cs="仿宋"/>
          <w:kern w:val="1"/>
          <w:sz w:val="24"/>
          <w:szCs w:val="24"/>
          <w:highlight w:val="none"/>
          <w:u w:val="single"/>
        </w:rPr>
        <w:t xml:space="preserve"> </w:t>
      </w:r>
      <w:r>
        <w:rPr>
          <w:rFonts w:hint="eastAsia" w:ascii="仿宋" w:hAnsi="仿宋" w:eastAsia="仿宋" w:cs="仿宋"/>
          <w:i/>
          <w:iCs/>
          <w:kern w:val="1"/>
          <w:sz w:val="24"/>
          <w:szCs w:val="24"/>
          <w:highlight w:val="none"/>
          <w:u w:val="single"/>
        </w:rPr>
        <w:t>（投标人名称、地址）</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提交投标文件及本项目招标文件要求的相关资料。授权代表宣布同意如下：</w:t>
      </w:r>
    </w:p>
    <w:p>
      <w:pPr>
        <w:wordWrap w:val="0"/>
        <w:spacing w:line="360" w:lineRule="auto"/>
        <w:ind w:firstLine="480" w:firstLineChars="200"/>
        <w:rPr>
          <w:rFonts w:ascii="仿宋" w:hAnsi="仿宋" w:eastAsia="仿宋" w:cs="仿宋"/>
          <w:kern w:val="1"/>
          <w:sz w:val="24"/>
          <w:szCs w:val="24"/>
          <w:highlight w:val="none"/>
          <w:u w:val="single"/>
        </w:rPr>
      </w:pPr>
      <w:r>
        <w:rPr>
          <w:rFonts w:hint="eastAsia" w:ascii="仿宋" w:hAnsi="仿宋" w:eastAsia="仿宋" w:cs="仿宋"/>
          <w:kern w:val="1"/>
          <w:sz w:val="24"/>
          <w:szCs w:val="24"/>
          <w:highlight w:val="none"/>
        </w:rPr>
        <w:t>1.我方所附投标报价中规定的应提供的全部标的内容投标总价为</w:t>
      </w:r>
      <w:r>
        <w:rPr>
          <w:rFonts w:hint="eastAsia" w:ascii="仿宋" w:hAnsi="仿宋" w:eastAsia="仿宋" w:cs="仿宋"/>
          <w:kern w:val="1"/>
          <w:sz w:val="24"/>
          <w:szCs w:val="24"/>
          <w:highlight w:val="none"/>
          <w:u w:val="single"/>
        </w:rPr>
        <w:t xml:space="preserve"> </w:t>
      </w:r>
      <w:r>
        <w:rPr>
          <w:rFonts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u w:val="single"/>
        </w:rPr>
        <w:t>（注明币种，并用文字和数字表示的投标总价）</w:t>
      </w:r>
      <w:r>
        <w:rPr>
          <w:rFonts w:hint="eastAsia" w:ascii="仿宋" w:hAnsi="仿宋" w:eastAsia="仿宋" w:cs="仿宋"/>
          <w:kern w:val="1"/>
          <w:sz w:val="24"/>
          <w:szCs w:val="24"/>
          <w:highlight w:val="none"/>
        </w:rPr>
        <w:t>。</w:t>
      </w:r>
    </w:p>
    <w:p>
      <w:pPr>
        <w:spacing w:line="360" w:lineRule="auto"/>
        <w:ind w:firstLine="480" w:firstLineChars="200"/>
        <w:rPr>
          <w:rFonts w:ascii="仿宋" w:hAnsi="仿宋" w:eastAsia="仿宋" w:cs="仿宋"/>
          <w:kern w:val="1"/>
          <w:sz w:val="24"/>
          <w:szCs w:val="24"/>
          <w:highlight w:val="none"/>
        </w:rPr>
      </w:pPr>
      <w:r>
        <w:rPr>
          <w:rFonts w:hint="eastAsia" w:ascii="仿宋" w:hAnsi="仿宋" w:eastAsia="仿宋" w:cs="仿宋"/>
          <w:kern w:val="1"/>
          <w:sz w:val="24"/>
          <w:szCs w:val="24"/>
          <w:highlight w:val="none"/>
        </w:rPr>
        <w:t>2.我方将按招标文件的规定履行合同责任和义务。</w:t>
      </w:r>
    </w:p>
    <w:p>
      <w:pPr>
        <w:spacing w:line="360" w:lineRule="auto"/>
        <w:ind w:firstLine="480" w:firstLineChars="200"/>
        <w:rPr>
          <w:rFonts w:ascii="仿宋" w:hAnsi="仿宋" w:eastAsia="仿宋" w:cs="仿宋"/>
          <w:kern w:val="1"/>
          <w:sz w:val="24"/>
          <w:szCs w:val="24"/>
          <w:highlight w:val="none"/>
        </w:rPr>
      </w:pPr>
      <w:r>
        <w:rPr>
          <w:rFonts w:hint="eastAsia" w:ascii="仿宋" w:hAnsi="仿宋" w:eastAsia="仿宋" w:cs="仿宋"/>
          <w:kern w:val="1"/>
          <w:sz w:val="24"/>
          <w:szCs w:val="24"/>
          <w:highlight w:val="none"/>
        </w:rPr>
        <w:t>3.我方已详细审查全部招标文件及补充文件，我方完全理解并同意放弃对这方面有不明及误解的权力。</w:t>
      </w:r>
    </w:p>
    <w:p>
      <w:pPr>
        <w:spacing w:line="360" w:lineRule="auto"/>
        <w:ind w:firstLine="480" w:firstLineChars="200"/>
        <w:rPr>
          <w:rFonts w:ascii="仿宋" w:hAnsi="仿宋" w:eastAsia="仿宋" w:cs="仿宋"/>
          <w:kern w:val="1"/>
          <w:sz w:val="24"/>
          <w:szCs w:val="24"/>
          <w:highlight w:val="none"/>
        </w:rPr>
      </w:pPr>
      <w:r>
        <w:rPr>
          <w:rFonts w:ascii="仿宋" w:hAnsi="仿宋" w:eastAsia="仿宋" w:cs="仿宋"/>
          <w:kern w:val="1"/>
          <w:sz w:val="24"/>
          <w:szCs w:val="24"/>
          <w:highlight w:val="none"/>
        </w:rPr>
        <w:t>4.</w:t>
      </w:r>
      <w:r>
        <w:rPr>
          <w:rFonts w:hint="eastAsia" w:ascii="仿宋" w:hAnsi="仿宋" w:eastAsia="仿宋" w:cs="仿宋"/>
          <w:kern w:val="1"/>
          <w:sz w:val="24"/>
          <w:szCs w:val="24"/>
          <w:highlight w:val="none"/>
        </w:rPr>
        <w:t>本投标的投标有效期为自投标截止之日起</w:t>
      </w:r>
      <w:r>
        <w:rPr>
          <w:rFonts w:ascii="仿宋" w:hAnsi="仿宋" w:eastAsia="仿宋" w:cs="仿宋"/>
          <w:kern w:val="1"/>
          <w:sz w:val="24"/>
          <w:szCs w:val="24"/>
          <w:highlight w:val="none"/>
          <w:u w:val="single"/>
        </w:rPr>
        <w:t>90</w:t>
      </w:r>
      <w:r>
        <w:rPr>
          <w:rFonts w:ascii="仿宋" w:hAnsi="仿宋" w:eastAsia="仿宋" w:cs="仿宋"/>
          <w:kern w:val="1"/>
          <w:sz w:val="24"/>
          <w:szCs w:val="24"/>
          <w:highlight w:val="none"/>
        </w:rPr>
        <w:t>个日历天。</w:t>
      </w:r>
    </w:p>
    <w:p>
      <w:pPr>
        <w:spacing w:line="360" w:lineRule="auto"/>
        <w:ind w:firstLine="480" w:firstLineChars="200"/>
        <w:rPr>
          <w:rFonts w:ascii="仿宋" w:hAnsi="仿宋" w:eastAsia="仿宋" w:cs="仿宋"/>
          <w:kern w:val="1"/>
          <w:sz w:val="24"/>
          <w:szCs w:val="24"/>
          <w:highlight w:val="none"/>
        </w:rPr>
      </w:pPr>
      <w:r>
        <w:rPr>
          <w:rFonts w:ascii="仿宋" w:hAnsi="仿宋" w:eastAsia="仿宋" w:cs="仿宋"/>
          <w:kern w:val="1"/>
          <w:sz w:val="24"/>
          <w:szCs w:val="24"/>
          <w:highlight w:val="none"/>
        </w:rPr>
        <w:t>5</w:t>
      </w:r>
      <w:r>
        <w:rPr>
          <w:rFonts w:hint="eastAsia" w:ascii="仿宋" w:hAnsi="仿宋" w:eastAsia="仿宋" w:cs="仿宋"/>
          <w:kern w:val="1"/>
          <w:sz w:val="24"/>
          <w:szCs w:val="24"/>
          <w:highlight w:val="none"/>
        </w:rPr>
        <w:t>.我方承诺在投标有效期内不撤回投标。否则，你方可不予退还我方的投标保证金。</w:t>
      </w:r>
    </w:p>
    <w:p>
      <w:pPr>
        <w:spacing w:line="360" w:lineRule="auto"/>
        <w:ind w:firstLine="480" w:firstLineChars="200"/>
        <w:rPr>
          <w:rFonts w:ascii="仿宋" w:hAnsi="仿宋" w:eastAsia="仿宋" w:cs="仿宋"/>
          <w:kern w:val="1"/>
          <w:sz w:val="24"/>
          <w:szCs w:val="24"/>
          <w:highlight w:val="none"/>
        </w:rPr>
      </w:pPr>
      <w:r>
        <w:rPr>
          <w:rFonts w:ascii="仿宋" w:hAnsi="仿宋" w:eastAsia="仿宋" w:cs="仿宋"/>
          <w:kern w:val="1"/>
          <w:sz w:val="24"/>
          <w:szCs w:val="24"/>
          <w:highlight w:val="none"/>
        </w:rPr>
        <w:t>6</w:t>
      </w:r>
      <w:r>
        <w:rPr>
          <w:rFonts w:hint="eastAsia" w:ascii="仿宋" w:hAnsi="仿宋" w:eastAsia="仿宋" w:cs="仿宋"/>
          <w:kern w:val="1"/>
          <w:sz w:val="24"/>
          <w:szCs w:val="24"/>
          <w:highlight w:val="none"/>
        </w:rPr>
        <w:t>.同意向你方提供可能另外要求的与投标有关的任何资料，完全理解贵方不一定接受最低价的投标或收到的任何投标。</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7.</w:t>
      </w:r>
      <w:r>
        <w:rPr>
          <w:rFonts w:hint="eastAsia" w:ascii="仿宋" w:hAnsi="仿宋" w:eastAsia="仿宋" w:cs="仿宋"/>
          <w:sz w:val="24"/>
          <w:szCs w:val="24"/>
          <w:highlight w:val="none"/>
        </w:rPr>
        <w:t>与本响应有关的一切正式往来信函请寄：</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地址__________________________ 传真__________________________</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电话__________________________ 邮编__________________________</w:t>
      </w:r>
    </w:p>
    <w:p>
      <w:pPr>
        <w:spacing w:line="360" w:lineRule="auto"/>
        <w:ind w:firstLine="480" w:firstLineChars="200"/>
        <w:rPr>
          <w:rFonts w:ascii="仿宋" w:hAnsi="仿宋" w:eastAsia="仿宋" w:cs="仿宋"/>
          <w:sz w:val="24"/>
          <w:szCs w:val="24"/>
          <w:highlight w:val="none"/>
        </w:rPr>
      </w:pPr>
    </w:p>
    <w:p>
      <w:pPr>
        <w:spacing w:line="360" w:lineRule="auto"/>
        <w:ind w:firstLine="480" w:firstLineChars="200"/>
        <w:rPr>
          <w:rFonts w:ascii="仿宋" w:hAnsi="仿宋" w:eastAsia="仿宋" w:cs="仿宋"/>
          <w:sz w:val="24"/>
          <w:szCs w:val="24"/>
          <w:highlight w:val="none"/>
        </w:rPr>
      </w:pP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投标人（投标人公章）：________________________________________</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法定代表人或其授权代表（签字或盖章）：______________________________</w:t>
      </w:r>
    </w:p>
    <w:p>
      <w:pPr>
        <w:spacing w:line="360" w:lineRule="auto"/>
        <w:ind w:firstLine="480" w:firstLineChars="200"/>
        <w:rPr>
          <w:rFonts w:ascii="仿宋" w:hAnsi="仿宋" w:eastAsia="仿宋" w:cs="仿宋"/>
          <w:sz w:val="24"/>
          <w:szCs w:val="24"/>
          <w:highlight w:val="none"/>
        </w:rPr>
      </w:pPr>
    </w:p>
    <w:p>
      <w:pPr>
        <w:spacing w:line="360" w:lineRule="auto"/>
        <w:ind w:firstLine="480" w:firstLineChars="200"/>
        <w:rPr>
          <w:rFonts w:ascii="仿宋" w:hAnsi="仿宋" w:eastAsia="仿宋" w:cs="仿宋"/>
          <w:sz w:val="24"/>
          <w:szCs w:val="24"/>
          <w:highlight w:val="none"/>
        </w:rPr>
      </w:pPr>
    </w:p>
    <w:p>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出具日期：202</w:t>
      </w:r>
      <w:r>
        <w:rPr>
          <w:rFonts w:ascii="仿宋" w:hAnsi="仿宋" w:eastAsia="仿宋" w:cs="仿宋"/>
          <w:sz w:val="24"/>
          <w:szCs w:val="24"/>
          <w:highlight w:val="none"/>
        </w:rPr>
        <w:t>3</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pPr>
        <w:rPr>
          <w:rFonts w:asciiTheme="minorHAnsi" w:hAnsiTheme="minorHAnsi" w:eastAsiaTheme="minorEastAsia" w:cstheme="minorBidi"/>
          <w:highlight w:val="none"/>
        </w:rPr>
      </w:pPr>
      <w:r>
        <w:rPr>
          <w:rFonts w:asciiTheme="minorHAnsi" w:hAnsiTheme="minorHAnsi" w:eastAsiaTheme="minorEastAsia" w:cstheme="minorBidi"/>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30" w:name="_Toc110245245"/>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2  </w:t>
      </w:r>
      <w:r>
        <w:rPr>
          <w:rFonts w:hint="eastAsia" w:ascii="仿宋" w:hAnsi="仿宋" w:eastAsia="仿宋" w:cs="仿宋"/>
          <w:b/>
          <w:bCs/>
          <w:kern w:val="1"/>
          <w:sz w:val="24"/>
          <w:szCs w:val="24"/>
          <w:highlight w:val="none"/>
        </w:rPr>
        <w:t>开标一览表</w:t>
      </w:r>
      <w:bookmarkEnd w:id="130"/>
    </w:p>
    <w:p>
      <w:pPr>
        <w:ind w:firstLine="562" w:firstLineChars="200"/>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开标一览表</w:t>
      </w:r>
    </w:p>
    <w:p>
      <w:pPr>
        <w:ind w:firstLine="480" w:firstLineChars="200"/>
        <w:rPr>
          <w:rFonts w:ascii="仿宋" w:hAnsi="仿宋" w:eastAsia="仿宋" w:cs="仿宋"/>
          <w:kern w:val="1"/>
          <w:sz w:val="24"/>
          <w:szCs w:val="24"/>
          <w:highlight w:val="none"/>
        </w:rPr>
      </w:pPr>
      <w:r>
        <w:rPr>
          <w:rFonts w:hint="eastAsia" w:ascii="仿宋" w:hAnsi="仿宋" w:eastAsia="仿宋" w:cs="仿宋"/>
          <w:kern w:val="1"/>
          <w:sz w:val="24"/>
          <w:szCs w:val="24"/>
          <w:highlight w:val="none"/>
        </w:rPr>
        <w:t>投标人名称：</w:t>
      </w:r>
    </w:p>
    <w:tbl>
      <w:tblPr>
        <w:tblStyle w:val="9"/>
        <w:tblW w:w="9226" w:type="dxa"/>
        <w:jc w:val="center"/>
        <w:tblLayout w:type="fixed"/>
        <w:tblCellMar>
          <w:top w:w="0" w:type="dxa"/>
          <w:left w:w="108" w:type="dxa"/>
          <w:bottom w:w="0" w:type="dxa"/>
          <w:right w:w="108" w:type="dxa"/>
        </w:tblCellMar>
      </w:tblPr>
      <w:tblGrid>
        <w:gridCol w:w="2390"/>
        <w:gridCol w:w="4693"/>
        <w:gridCol w:w="2143"/>
      </w:tblGrid>
      <w:tr>
        <w:tblPrEx>
          <w:tblCellMar>
            <w:top w:w="0" w:type="dxa"/>
            <w:left w:w="108" w:type="dxa"/>
            <w:bottom w:w="0" w:type="dxa"/>
            <w:right w:w="108" w:type="dxa"/>
          </w:tblCellMar>
        </w:tblPrEx>
        <w:trPr>
          <w:trHeight w:val="567" w:hRule="atLeast"/>
          <w:jc w:val="center"/>
        </w:trPr>
        <w:tc>
          <w:tcPr>
            <w:tcW w:w="23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项目名称</w:t>
            </w:r>
          </w:p>
        </w:tc>
        <w:tc>
          <w:tcPr>
            <w:tcW w:w="683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p>
        </w:tc>
      </w:tr>
      <w:tr>
        <w:tblPrEx>
          <w:tblCellMar>
            <w:top w:w="0" w:type="dxa"/>
            <w:left w:w="108" w:type="dxa"/>
            <w:bottom w:w="0" w:type="dxa"/>
            <w:right w:w="108" w:type="dxa"/>
          </w:tblCellMar>
        </w:tblPrEx>
        <w:trPr>
          <w:trHeight w:val="567" w:hRule="atLeast"/>
          <w:jc w:val="center"/>
        </w:trPr>
        <w:tc>
          <w:tcPr>
            <w:tcW w:w="23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项目编号</w:t>
            </w:r>
          </w:p>
        </w:tc>
        <w:tc>
          <w:tcPr>
            <w:tcW w:w="6836" w:type="dxa"/>
            <w:gridSpan w:val="2"/>
            <w:tcBorders>
              <w:top w:val="single" w:color="000000" w:sz="4" w:space="0"/>
              <w:left w:val="single" w:color="000000" w:sz="4" w:space="0"/>
              <w:bottom w:val="single" w:color="auto" w:sz="4" w:space="0"/>
              <w:right w:val="single" w:color="000000" w:sz="4" w:space="0"/>
            </w:tcBorders>
            <w:vAlign w:val="center"/>
          </w:tcPr>
          <w:p>
            <w:pPr>
              <w:jc w:val="center"/>
              <w:rPr>
                <w:rFonts w:ascii="仿宋" w:hAnsi="仿宋" w:eastAsia="仿宋" w:cs="仿宋"/>
                <w:b/>
                <w:kern w:val="1"/>
                <w:sz w:val="28"/>
                <w:szCs w:val="28"/>
                <w:highlight w:val="none"/>
              </w:rPr>
            </w:pPr>
          </w:p>
        </w:tc>
      </w:tr>
      <w:tr>
        <w:tblPrEx>
          <w:tblCellMar>
            <w:top w:w="0" w:type="dxa"/>
            <w:left w:w="108" w:type="dxa"/>
            <w:bottom w:w="0" w:type="dxa"/>
            <w:right w:w="108" w:type="dxa"/>
          </w:tblCellMar>
        </w:tblPrEx>
        <w:trPr>
          <w:trHeight w:val="567" w:hRule="atLeast"/>
          <w:jc w:val="center"/>
        </w:trPr>
        <w:tc>
          <w:tcPr>
            <w:tcW w:w="23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项目标段/标包</w:t>
            </w:r>
          </w:p>
        </w:tc>
        <w:tc>
          <w:tcPr>
            <w:tcW w:w="6836" w:type="dxa"/>
            <w:gridSpan w:val="2"/>
            <w:tcBorders>
              <w:top w:val="single" w:color="000000" w:sz="4" w:space="0"/>
              <w:left w:val="single" w:color="000000" w:sz="4" w:space="0"/>
              <w:bottom w:val="single" w:color="auto" w:sz="4" w:space="0"/>
              <w:right w:val="single" w:color="000000" w:sz="4" w:space="0"/>
            </w:tcBorders>
            <w:vAlign w:val="center"/>
          </w:tcPr>
          <w:p>
            <w:pPr>
              <w:jc w:val="center"/>
              <w:rPr>
                <w:rFonts w:ascii="仿宋" w:hAnsi="仿宋" w:eastAsia="仿宋" w:cs="仿宋"/>
                <w:b/>
                <w:kern w:val="1"/>
                <w:sz w:val="28"/>
                <w:szCs w:val="28"/>
                <w:highlight w:val="none"/>
              </w:rPr>
            </w:pPr>
          </w:p>
        </w:tc>
      </w:tr>
      <w:tr>
        <w:tblPrEx>
          <w:tblCellMar>
            <w:top w:w="0" w:type="dxa"/>
            <w:left w:w="108" w:type="dxa"/>
            <w:bottom w:w="0" w:type="dxa"/>
            <w:right w:w="108" w:type="dxa"/>
          </w:tblCellMar>
        </w:tblPrEx>
        <w:trPr>
          <w:trHeight w:val="567" w:hRule="atLeast"/>
          <w:jc w:val="center"/>
        </w:trPr>
        <w:tc>
          <w:tcPr>
            <w:tcW w:w="2390" w:type="dxa"/>
            <w:vMerge w:val="restart"/>
            <w:tcBorders>
              <w:top w:val="single" w:color="000000" w:sz="4" w:space="0"/>
              <w:left w:val="single" w:color="000000" w:sz="4" w:space="0"/>
              <w:bottom w:val="single" w:color="000000" w:sz="4" w:space="0"/>
              <w:right w:val="single" w:color="auto" w:sz="4" w:space="0"/>
            </w:tcBorders>
            <w:vAlign w:val="center"/>
          </w:tcPr>
          <w:p>
            <w:pPr>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投标报价</w:t>
            </w:r>
          </w:p>
        </w:tc>
        <w:tc>
          <w:tcPr>
            <w:tcW w:w="4693" w:type="dxa"/>
            <w:tcBorders>
              <w:top w:val="single" w:color="auto" w:sz="4" w:space="0"/>
              <w:left w:val="single" w:color="auto" w:sz="4" w:space="0"/>
              <w:bottom w:val="single" w:color="auto" w:sz="4" w:space="0"/>
              <w:right w:val="nil"/>
            </w:tcBorders>
            <w:vAlign w:val="center"/>
          </w:tcPr>
          <w:p>
            <w:pPr>
              <w:widowControl/>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人民币小写：________</w:t>
            </w:r>
            <w:r>
              <w:rPr>
                <w:rFonts w:ascii="仿宋" w:hAnsi="仿宋" w:eastAsia="仿宋" w:cs="仿宋"/>
                <w:b/>
                <w:kern w:val="1"/>
                <w:sz w:val="28"/>
                <w:szCs w:val="28"/>
                <w:highlight w:val="none"/>
              </w:rPr>
              <w:t xml:space="preserve"> </w:t>
            </w:r>
          </w:p>
        </w:tc>
        <w:tc>
          <w:tcPr>
            <w:tcW w:w="2143" w:type="dxa"/>
            <w:tcBorders>
              <w:top w:val="single" w:color="auto" w:sz="4" w:space="0"/>
              <w:left w:val="nil"/>
              <w:bottom w:val="single" w:color="auto" w:sz="4" w:space="0"/>
              <w:right w:val="single" w:color="auto" w:sz="4" w:space="0"/>
            </w:tcBorders>
            <w:vAlign w:val="center"/>
          </w:tcPr>
          <w:p>
            <w:pPr>
              <w:widowControl/>
              <w:rPr>
                <w:rFonts w:ascii="仿宋" w:hAnsi="仿宋" w:eastAsia="仿宋" w:cs="仿宋"/>
                <w:bCs/>
                <w:kern w:val="1"/>
                <w:sz w:val="22"/>
                <w:highlight w:val="none"/>
              </w:rPr>
            </w:pPr>
          </w:p>
        </w:tc>
      </w:tr>
      <w:tr>
        <w:tblPrEx>
          <w:tblCellMar>
            <w:top w:w="0" w:type="dxa"/>
            <w:left w:w="108" w:type="dxa"/>
            <w:bottom w:w="0" w:type="dxa"/>
            <w:right w:w="108" w:type="dxa"/>
          </w:tblCellMar>
        </w:tblPrEx>
        <w:trPr>
          <w:trHeight w:val="567" w:hRule="atLeast"/>
          <w:jc w:val="center"/>
        </w:trPr>
        <w:tc>
          <w:tcPr>
            <w:tcW w:w="239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b/>
                <w:kern w:val="1"/>
                <w:sz w:val="28"/>
                <w:szCs w:val="28"/>
                <w:highlight w:val="none"/>
              </w:rPr>
            </w:pPr>
          </w:p>
        </w:tc>
        <w:tc>
          <w:tcPr>
            <w:tcW w:w="6836" w:type="dxa"/>
            <w:gridSpan w:val="2"/>
            <w:tcBorders>
              <w:top w:val="single" w:color="auto" w:sz="4" w:space="0"/>
              <w:left w:val="single" w:color="000000" w:sz="4" w:space="0"/>
              <w:bottom w:val="single" w:color="000000" w:sz="4" w:space="0"/>
              <w:right w:val="single" w:color="000000" w:sz="4" w:space="0"/>
            </w:tcBorders>
            <w:vAlign w:val="center"/>
          </w:tcPr>
          <w:p>
            <w:pP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人民币大写：</w:t>
            </w:r>
          </w:p>
        </w:tc>
      </w:tr>
      <w:tr>
        <w:tblPrEx>
          <w:tblCellMar>
            <w:top w:w="0" w:type="dxa"/>
            <w:left w:w="108" w:type="dxa"/>
            <w:bottom w:w="0" w:type="dxa"/>
            <w:right w:w="108" w:type="dxa"/>
          </w:tblCellMar>
        </w:tblPrEx>
        <w:trPr>
          <w:trHeight w:val="567" w:hRule="atLeast"/>
          <w:jc w:val="center"/>
        </w:trPr>
        <w:tc>
          <w:tcPr>
            <w:tcW w:w="2390"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投标保证金</w:t>
            </w:r>
          </w:p>
        </w:tc>
        <w:tc>
          <w:tcPr>
            <w:tcW w:w="4693" w:type="dxa"/>
            <w:tcBorders>
              <w:top w:val="single" w:color="000000" w:sz="4" w:space="0"/>
              <w:left w:val="single" w:color="000000" w:sz="4" w:space="0"/>
              <w:bottom w:val="single" w:color="000000" w:sz="4" w:space="0"/>
              <w:right w:val="nil"/>
            </w:tcBorders>
            <w:vAlign w:val="center"/>
          </w:tcPr>
          <w:p>
            <w:pPr>
              <w:widowControl/>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人民币小写：________</w:t>
            </w:r>
            <w:r>
              <w:rPr>
                <w:rFonts w:ascii="仿宋" w:hAnsi="仿宋" w:eastAsia="仿宋" w:cs="仿宋"/>
                <w:b/>
                <w:kern w:val="1"/>
                <w:sz w:val="28"/>
                <w:szCs w:val="28"/>
                <w:highlight w:val="none"/>
              </w:rPr>
              <w:t xml:space="preserve"> </w:t>
            </w:r>
          </w:p>
        </w:tc>
        <w:tc>
          <w:tcPr>
            <w:tcW w:w="2143"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cs="仿宋"/>
                <w:b/>
                <w:kern w:val="1"/>
                <w:sz w:val="28"/>
                <w:szCs w:val="28"/>
                <w:highlight w:val="none"/>
              </w:rPr>
            </w:pPr>
          </w:p>
        </w:tc>
      </w:tr>
      <w:tr>
        <w:tblPrEx>
          <w:tblCellMar>
            <w:top w:w="0" w:type="dxa"/>
            <w:left w:w="108" w:type="dxa"/>
            <w:bottom w:w="0" w:type="dxa"/>
            <w:right w:w="108" w:type="dxa"/>
          </w:tblCellMar>
        </w:tblPrEx>
        <w:trPr>
          <w:trHeight w:val="567" w:hRule="atLeast"/>
          <w:jc w:val="center"/>
        </w:trPr>
        <w:tc>
          <w:tcPr>
            <w:tcW w:w="239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仿宋" w:hAnsi="仿宋" w:eastAsia="仿宋" w:cs="仿宋"/>
                <w:b/>
                <w:kern w:val="1"/>
                <w:sz w:val="28"/>
                <w:szCs w:val="28"/>
                <w:highlight w:val="none"/>
              </w:rPr>
            </w:pPr>
          </w:p>
        </w:tc>
        <w:tc>
          <w:tcPr>
            <w:tcW w:w="6836"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人民币大写：</w:t>
            </w:r>
          </w:p>
        </w:tc>
      </w:tr>
      <w:tr>
        <w:tblPrEx>
          <w:tblCellMar>
            <w:top w:w="0" w:type="dxa"/>
            <w:left w:w="108" w:type="dxa"/>
            <w:bottom w:w="0" w:type="dxa"/>
            <w:right w:w="108" w:type="dxa"/>
          </w:tblCellMar>
        </w:tblPrEx>
        <w:trPr>
          <w:trHeight w:val="567" w:hRule="atLeast"/>
          <w:jc w:val="center"/>
        </w:trPr>
        <w:tc>
          <w:tcPr>
            <w:tcW w:w="23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履约时间</w:t>
            </w:r>
          </w:p>
        </w:tc>
        <w:tc>
          <w:tcPr>
            <w:tcW w:w="683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p>
        </w:tc>
      </w:tr>
      <w:tr>
        <w:tblPrEx>
          <w:tblCellMar>
            <w:top w:w="0" w:type="dxa"/>
            <w:left w:w="108" w:type="dxa"/>
            <w:bottom w:w="0" w:type="dxa"/>
            <w:right w:w="108" w:type="dxa"/>
          </w:tblCellMar>
        </w:tblPrEx>
        <w:trPr>
          <w:trHeight w:val="567" w:hRule="atLeast"/>
          <w:jc w:val="center"/>
        </w:trPr>
        <w:tc>
          <w:tcPr>
            <w:tcW w:w="23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履约地点</w:t>
            </w:r>
          </w:p>
        </w:tc>
        <w:tc>
          <w:tcPr>
            <w:tcW w:w="683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p>
        </w:tc>
      </w:tr>
      <w:tr>
        <w:tblPrEx>
          <w:tblCellMar>
            <w:top w:w="0" w:type="dxa"/>
            <w:left w:w="108" w:type="dxa"/>
            <w:bottom w:w="0" w:type="dxa"/>
            <w:right w:w="108" w:type="dxa"/>
          </w:tblCellMar>
        </w:tblPrEx>
        <w:trPr>
          <w:trHeight w:val="567" w:hRule="atLeast"/>
          <w:jc w:val="center"/>
        </w:trPr>
        <w:tc>
          <w:tcPr>
            <w:tcW w:w="23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备注</w:t>
            </w:r>
          </w:p>
        </w:tc>
        <w:tc>
          <w:tcPr>
            <w:tcW w:w="6836" w:type="dxa"/>
            <w:gridSpan w:val="2"/>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
                <w:kern w:val="1"/>
                <w:sz w:val="28"/>
                <w:szCs w:val="28"/>
                <w:highlight w:val="none"/>
              </w:rPr>
            </w:pPr>
          </w:p>
        </w:tc>
      </w:tr>
    </w:tbl>
    <w:p>
      <w:pPr>
        <w:ind w:firstLine="480" w:firstLineChars="200"/>
        <w:rPr>
          <w:rFonts w:ascii="仿宋" w:hAnsi="仿宋" w:eastAsia="仿宋" w:cs="仿宋"/>
          <w:kern w:val="1"/>
          <w:sz w:val="24"/>
          <w:szCs w:val="24"/>
          <w:highlight w:val="none"/>
        </w:rPr>
      </w:pPr>
    </w:p>
    <w:tbl>
      <w:tblPr>
        <w:tblStyle w:val="9"/>
        <w:tblW w:w="0" w:type="auto"/>
        <w:jc w:val="center"/>
        <w:tblLayout w:type="fixed"/>
        <w:tblCellMar>
          <w:top w:w="0" w:type="dxa"/>
          <w:left w:w="108" w:type="dxa"/>
          <w:bottom w:w="0" w:type="dxa"/>
          <w:right w:w="108" w:type="dxa"/>
        </w:tblCellMar>
      </w:tblPr>
      <w:tblGrid>
        <w:gridCol w:w="1670"/>
        <w:gridCol w:w="2805"/>
        <w:gridCol w:w="2250"/>
        <w:gridCol w:w="2423"/>
      </w:tblGrid>
      <w:tr>
        <w:tblPrEx>
          <w:tblCellMar>
            <w:top w:w="0" w:type="dxa"/>
            <w:left w:w="108" w:type="dxa"/>
            <w:bottom w:w="0" w:type="dxa"/>
            <w:right w:w="108" w:type="dxa"/>
          </w:tblCellMar>
        </w:tblPrEx>
        <w:trPr>
          <w:trHeight w:val="1099" w:hRule="atLeast"/>
          <w:jc w:val="center"/>
        </w:trPr>
        <w:tc>
          <w:tcPr>
            <w:tcW w:w="1670"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805" w:type="dxa"/>
            <w:vAlign w:val="center"/>
          </w:tcPr>
          <w:p>
            <w:pPr>
              <w:spacing w:line="360" w:lineRule="exact"/>
              <w:jc w:val="center"/>
              <w:rPr>
                <w:rFonts w:ascii="仿宋" w:hAnsi="仿宋" w:eastAsia="仿宋" w:cs="仿宋"/>
                <w:sz w:val="24"/>
                <w:szCs w:val="24"/>
                <w:highlight w:val="none"/>
              </w:rPr>
            </w:pPr>
          </w:p>
        </w:tc>
        <w:tc>
          <w:tcPr>
            <w:tcW w:w="2250"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423" w:type="dxa"/>
            <w:vAlign w:val="center"/>
          </w:tcPr>
          <w:p>
            <w:pPr>
              <w:jc w:val="center"/>
              <w:rPr>
                <w:rFonts w:ascii="仿宋" w:hAnsi="仿宋" w:eastAsia="仿宋" w:cs="仿宋"/>
                <w:b/>
                <w:bCs/>
                <w:sz w:val="28"/>
                <w:szCs w:val="28"/>
                <w:highlight w:val="none"/>
              </w:rPr>
            </w:pPr>
          </w:p>
        </w:tc>
      </w:tr>
      <w:tr>
        <w:tblPrEx>
          <w:tblCellMar>
            <w:top w:w="0" w:type="dxa"/>
            <w:left w:w="108" w:type="dxa"/>
            <w:bottom w:w="0" w:type="dxa"/>
            <w:right w:w="108" w:type="dxa"/>
          </w:tblCellMar>
        </w:tblPrEx>
        <w:trPr>
          <w:trHeight w:val="748" w:hRule="atLeast"/>
          <w:jc w:val="center"/>
        </w:trPr>
        <w:tc>
          <w:tcPr>
            <w:tcW w:w="1670" w:type="dxa"/>
            <w:vAlign w:val="center"/>
          </w:tcPr>
          <w:p>
            <w:pPr>
              <w:jc w:val="center"/>
              <w:rPr>
                <w:rFonts w:ascii="仿宋" w:hAnsi="仿宋" w:eastAsia="仿宋" w:cs="仿宋"/>
                <w:sz w:val="24"/>
                <w:szCs w:val="24"/>
                <w:highlight w:val="none"/>
              </w:rPr>
            </w:pPr>
          </w:p>
        </w:tc>
        <w:tc>
          <w:tcPr>
            <w:tcW w:w="2805"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250" w:type="dxa"/>
            <w:vAlign w:val="center"/>
          </w:tcPr>
          <w:p>
            <w:pPr>
              <w:jc w:val="center"/>
              <w:rPr>
                <w:rFonts w:ascii="仿宋" w:hAnsi="仿宋" w:eastAsia="仿宋" w:cs="仿宋"/>
                <w:sz w:val="24"/>
                <w:szCs w:val="24"/>
                <w:highlight w:val="none"/>
              </w:rPr>
            </w:pPr>
          </w:p>
        </w:tc>
        <w:tc>
          <w:tcPr>
            <w:tcW w:w="2423" w:type="dxa"/>
            <w:vAlign w:val="center"/>
          </w:tcPr>
          <w:p>
            <w:pPr>
              <w:jc w:val="center"/>
              <w:rPr>
                <w:rFonts w:ascii="仿宋" w:hAnsi="仿宋" w:eastAsia="仿宋" w:cs="仿宋"/>
                <w:b/>
                <w:bCs/>
                <w:sz w:val="24"/>
                <w:szCs w:val="24"/>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907" w:hRule="atLeast"/>
          <w:jc w:val="center"/>
        </w:trPr>
        <w:tc>
          <w:tcPr>
            <w:tcW w:w="4475" w:type="dxa"/>
            <w:gridSpan w:val="2"/>
            <w:vAlign w:val="center"/>
          </w:tcPr>
          <w:p>
            <w:pPr>
              <w:ind w:left="2520" w:leftChars="1200"/>
              <w:rPr>
                <w:rFonts w:ascii="仿宋" w:hAnsi="仿宋" w:eastAsia="仿宋" w:cs="仿宋"/>
                <w:sz w:val="24"/>
                <w:szCs w:val="24"/>
                <w:highlight w:val="none"/>
              </w:rPr>
            </w:pPr>
            <w:r>
              <w:rPr>
                <w:rFonts w:hint="eastAsia" w:ascii="仿宋" w:hAnsi="仿宋" w:eastAsia="仿宋" w:cs="仿宋"/>
                <w:sz w:val="24"/>
                <w:szCs w:val="24"/>
                <w:highlight w:val="none"/>
              </w:rPr>
              <w:t>年    月    日</w:t>
            </w:r>
          </w:p>
        </w:tc>
        <w:tc>
          <w:tcPr>
            <w:tcW w:w="4673" w:type="dxa"/>
            <w:gridSpan w:val="2"/>
            <w:vAlign w:val="center"/>
          </w:tcPr>
          <w:p>
            <w:pPr>
              <w:ind w:left="2520" w:leftChars="1200"/>
              <w:rPr>
                <w:rFonts w:ascii="仿宋" w:hAnsi="仿宋" w:eastAsia="仿宋" w:cs="仿宋"/>
                <w:sz w:val="24"/>
                <w:szCs w:val="24"/>
                <w:highlight w:val="none"/>
              </w:rPr>
            </w:pPr>
            <w:r>
              <w:rPr>
                <w:rFonts w:hint="eastAsia" w:ascii="仿宋" w:hAnsi="仿宋" w:eastAsia="仿宋" w:cs="仿宋"/>
                <w:sz w:val="24"/>
                <w:szCs w:val="24"/>
                <w:highlight w:val="none"/>
              </w:rPr>
              <w:t>年    月    日</w:t>
            </w:r>
          </w:p>
        </w:tc>
      </w:tr>
    </w:tbl>
    <w:p>
      <w:pPr>
        <w:spacing w:line="276" w:lineRule="auto"/>
        <w:ind w:firstLine="480" w:firstLineChars="200"/>
        <w:rPr>
          <w:rFonts w:ascii="仿宋" w:hAnsi="仿宋" w:eastAsia="仿宋" w:cs="仿宋"/>
          <w:bCs/>
          <w:kern w:val="1"/>
          <w:sz w:val="24"/>
          <w:szCs w:val="24"/>
          <w:highlight w:val="none"/>
        </w:rPr>
      </w:pPr>
    </w:p>
    <w:p>
      <w:pPr>
        <w:spacing w:line="276" w:lineRule="auto"/>
        <w:ind w:firstLine="480" w:firstLineChars="200"/>
        <w:rPr>
          <w:rFonts w:ascii="仿宋" w:hAnsi="仿宋" w:eastAsia="仿宋" w:cs="仿宋"/>
          <w:bCs/>
          <w:kern w:val="1"/>
          <w:sz w:val="24"/>
          <w:szCs w:val="24"/>
          <w:highlight w:val="none"/>
        </w:rPr>
      </w:pPr>
    </w:p>
    <w:p>
      <w:pPr>
        <w:spacing w:line="360" w:lineRule="auto"/>
        <w:ind w:left="840" w:leftChars="200" w:hanging="420" w:hangingChars="200"/>
        <w:rPr>
          <w:rFonts w:ascii="仿宋" w:hAnsi="仿宋" w:eastAsia="仿宋" w:cs="仿宋"/>
          <w:bCs/>
          <w:kern w:val="1"/>
          <w:szCs w:val="21"/>
          <w:highlight w:val="none"/>
        </w:rPr>
      </w:pPr>
      <w:r>
        <w:rPr>
          <w:rFonts w:hint="eastAsia" w:ascii="仿宋" w:hAnsi="仿宋" w:eastAsia="仿宋" w:cs="仿宋"/>
          <w:bCs/>
          <w:kern w:val="1"/>
          <w:szCs w:val="21"/>
          <w:highlight w:val="none"/>
        </w:rPr>
        <w:t>说明：本表应填写总价，总价应包含完成本项目的全部费用（含税费）。</w:t>
      </w:r>
    </w:p>
    <w:p>
      <w:pPr>
        <w:rPr>
          <w:rFonts w:asciiTheme="minorHAnsi" w:hAnsiTheme="minorHAnsi" w:eastAsiaTheme="minorEastAsia" w:cstheme="minorBidi"/>
          <w:highlight w:val="none"/>
        </w:rPr>
      </w:pPr>
      <w:r>
        <w:rPr>
          <w:rFonts w:asciiTheme="minorHAnsi" w:hAnsiTheme="minorHAnsi" w:eastAsiaTheme="minorEastAsia" w:cstheme="minorBidi"/>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31" w:name="_Toc110245246"/>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3  </w:t>
      </w:r>
      <w:r>
        <w:rPr>
          <w:rFonts w:hint="eastAsia" w:ascii="仿宋" w:hAnsi="仿宋" w:eastAsia="仿宋" w:cs="仿宋"/>
          <w:b/>
          <w:bCs/>
          <w:kern w:val="1"/>
          <w:sz w:val="24"/>
          <w:szCs w:val="24"/>
          <w:highlight w:val="none"/>
        </w:rPr>
        <w:t>分项报价表</w:t>
      </w:r>
      <w:bookmarkEnd w:id="131"/>
    </w:p>
    <w:p>
      <w:pPr>
        <w:ind w:firstLine="562" w:firstLineChars="200"/>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投标分项报价表</w:t>
      </w:r>
    </w:p>
    <w:p>
      <w:pPr>
        <w:tabs>
          <w:tab w:val="left" w:pos="1980"/>
        </w:tabs>
        <w:jc w:val="left"/>
        <w:rPr>
          <w:rFonts w:ascii="仿宋" w:hAnsi="仿宋" w:eastAsia="仿宋" w:cs="仿宋"/>
          <w:kern w:val="1"/>
          <w:sz w:val="24"/>
          <w:szCs w:val="24"/>
          <w:highlight w:val="none"/>
        </w:rPr>
      </w:pPr>
      <w:r>
        <w:rPr>
          <w:rFonts w:hint="eastAsia" w:ascii="仿宋" w:hAnsi="仿宋" w:eastAsia="仿宋" w:cs="仿宋"/>
          <w:kern w:val="1"/>
          <w:sz w:val="24"/>
          <w:szCs w:val="24"/>
          <w:highlight w:val="none"/>
        </w:rPr>
        <w:t>项目名称：_________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项目编号：_________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标段（标包）：_________</w:t>
      </w:r>
    </w:p>
    <w:p>
      <w:pPr>
        <w:tabs>
          <w:tab w:val="left" w:pos="1980"/>
        </w:tabs>
        <w:jc w:val="left"/>
        <w:rPr>
          <w:rFonts w:ascii="仿宋" w:hAnsi="仿宋" w:eastAsia="仿宋" w:cs="仿宋"/>
          <w:kern w:val="1"/>
          <w:sz w:val="24"/>
          <w:szCs w:val="24"/>
          <w:highlight w:val="none"/>
        </w:rPr>
      </w:pPr>
    </w:p>
    <w:tbl>
      <w:tblPr>
        <w:tblStyle w:val="9"/>
        <w:tblW w:w="9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844"/>
        <w:gridCol w:w="1560"/>
        <w:gridCol w:w="1508"/>
        <w:gridCol w:w="1125"/>
        <w:gridCol w:w="855"/>
        <w:gridCol w:w="915"/>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2" w:hRule="exact"/>
          <w:jc w:val="center"/>
        </w:trPr>
        <w:tc>
          <w:tcPr>
            <w:tcW w:w="562" w:type="dxa"/>
            <w:vAlign w:val="center"/>
          </w:tcPr>
          <w:p>
            <w:pPr>
              <w:widowControl/>
              <w:spacing w:line="360" w:lineRule="atLeast"/>
              <w:jc w:val="center"/>
              <w:rPr>
                <w:rFonts w:ascii="仿宋" w:hAnsi="仿宋" w:eastAsia="仿宋"/>
                <w:sz w:val="24"/>
                <w:szCs w:val="24"/>
                <w:highlight w:val="none"/>
              </w:rPr>
            </w:pPr>
            <w:bookmarkStart w:id="132" w:name="_Hlk56244821"/>
            <w:r>
              <w:rPr>
                <w:rFonts w:hint="eastAsia" w:ascii="仿宋" w:hAnsi="仿宋" w:eastAsia="仿宋"/>
                <w:sz w:val="24"/>
                <w:szCs w:val="24"/>
                <w:highlight w:val="none"/>
              </w:rPr>
              <w:t>序号</w:t>
            </w:r>
          </w:p>
        </w:tc>
        <w:tc>
          <w:tcPr>
            <w:tcW w:w="1844" w:type="dxa"/>
            <w:vAlign w:val="center"/>
          </w:tcPr>
          <w:p>
            <w:pPr>
              <w:widowControl/>
              <w:spacing w:line="360" w:lineRule="atLeast"/>
              <w:jc w:val="center"/>
              <w:rPr>
                <w:rFonts w:ascii="仿宋" w:hAnsi="仿宋" w:eastAsia="仿宋"/>
                <w:sz w:val="24"/>
                <w:szCs w:val="24"/>
                <w:highlight w:val="none"/>
              </w:rPr>
            </w:pPr>
            <w:r>
              <w:rPr>
                <w:rFonts w:hint="eastAsia" w:ascii="仿宋" w:hAnsi="仿宋" w:eastAsia="仿宋"/>
                <w:sz w:val="24"/>
                <w:szCs w:val="24"/>
                <w:highlight w:val="none"/>
              </w:rPr>
              <w:t>货物名称</w:t>
            </w:r>
          </w:p>
        </w:tc>
        <w:tc>
          <w:tcPr>
            <w:tcW w:w="1560" w:type="dxa"/>
            <w:vAlign w:val="center"/>
          </w:tcPr>
          <w:p>
            <w:pPr>
              <w:widowControl/>
              <w:spacing w:line="360" w:lineRule="atLeast"/>
              <w:jc w:val="center"/>
              <w:rPr>
                <w:rFonts w:ascii="仿宋" w:hAnsi="仿宋" w:eastAsia="仿宋"/>
                <w:sz w:val="24"/>
                <w:szCs w:val="24"/>
                <w:highlight w:val="none"/>
              </w:rPr>
            </w:pPr>
            <w:r>
              <w:rPr>
                <w:rFonts w:hint="eastAsia" w:ascii="仿宋" w:hAnsi="仿宋" w:eastAsia="仿宋"/>
                <w:sz w:val="24"/>
                <w:szCs w:val="24"/>
                <w:highlight w:val="none"/>
              </w:rPr>
              <w:t>品牌</w:t>
            </w:r>
          </w:p>
          <w:p>
            <w:pPr>
              <w:widowControl/>
              <w:spacing w:line="360" w:lineRule="atLeast"/>
              <w:jc w:val="center"/>
              <w:rPr>
                <w:rFonts w:ascii="仿宋" w:hAnsi="仿宋" w:eastAsia="仿宋"/>
                <w:sz w:val="24"/>
                <w:szCs w:val="24"/>
                <w:highlight w:val="none"/>
              </w:rPr>
            </w:pPr>
            <w:r>
              <w:rPr>
                <w:rFonts w:hint="eastAsia" w:ascii="仿宋" w:hAnsi="仿宋" w:eastAsia="仿宋"/>
                <w:sz w:val="24"/>
                <w:szCs w:val="24"/>
                <w:highlight w:val="none"/>
              </w:rPr>
              <w:t>（厂家）</w:t>
            </w:r>
          </w:p>
        </w:tc>
        <w:tc>
          <w:tcPr>
            <w:tcW w:w="1508" w:type="dxa"/>
            <w:vAlign w:val="center"/>
          </w:tcPr>
          <w:p>
            <w:pPr>
              <w:widowControl/>
              <w:spacing w:line="360" w:lineRule="atLeast"/>
              <w:jc w:val="center"/>
              <w:rPr>
                <w:rFonts w:ascii="仿宋" w:hAnsi="仿宋" w:eastAsia="仿宋"/>
                <w:sz w:val="24"/>
                <w:szCs w:val="24"/>
                <w:highlight w:val="none"/>
              </w:rPr>
            </w:pPr>
            <w:r>
              <w:rPr>
                <w:rFonts w:hint="eastAsia" w:ascii="仿宋" w:hAnsi="仿宋" w:eastAsia="仿宋"/>
                <w:sz w:val="24"/>
                <w:szCs w:val="24"/>
                <w:highlight w:val="none"/>
              </w:rPr>
              <w:t>规格型号</w:t>
            </w:r>
          </w:p>
        </w:tc>
        <w:tc>
          <w:tcPr>
            <w:tcW w:w="1125" w:type="dxa"/>
            <w:vAlign w:val="center"/>
          </w:tcPr>
          <w:p>
            <w:pPr>
              <w:widowControl/>
              <w:spacing w:line="360" w:lineRule="atLeast"/>
              <w:jc w:val="center"/>
              <w:rPr>
                <w:rFonts w:ascii="仿宋" w:hAnsi="仿宋" w:eastAsia="仿宋"/>
                <w:sz w:val="24"/>
                <w:szCs w:val="24"/>
                <w:highlight w:val="none"/>
              </w:rPr>
            </w:pPr>
            <w:bookmarkStart w:id="133" w:name="_Toc56085568"/>
            <w:bookmarkStart w:id="134" w:name="_Toc56078701"/>
            <w:r>
              <w:rPr>
                <w:rFonts w:hint="eastAsia" w:ascii="仿宋" w:hAnsi="仿宋" w:eastAsia="仿宋"/>
                <w:sz w:val="24"/>
                <w:szCs w:val="24"/>
                <w:highlight w:val="none"/>
              </w:rPr>
              <w:t>数量</w:t>
            </w:r>
            <w:bookmarkEnd w:id="133"/>
            <w:bookmarkEnd w:id="134"/>
          </w:p>
        </w:tc>
        <w:tc>
          <w:tcPr>
            <w:tcW w:w="855" w:type="dxa"/>
            <w:vAlign w:val="center"/>
          </w:tcPr>
          <w:p>
            <w:pPr>
              <w:widowControl/>
              <w:spacing w:line="360" w:lineRule="atLeast"/>
              <w:jc w:val="center"/>
              <w:rPr>
                <w:rFonts w:ascii="仿宋" w:hAnsi="仿宋" w:eastAsia="仿宋"/>
                <w:sz w:val="24"/>
                <w:szCs w:val="24"/>
                <w:highlight w:val="none"/>
              </w:rPr>
            </w:pPr>
            <w:bookmarkStart w:id="135" w:name="_Toc56078702"/>
            <w:bookmarkStart w:id="136" w:name="_Toc56085569"/>
            <w:r>
              <w:rPr>
                <w:rFonts w:hint="eastAsia" w:ascii="仿宋" w:hAnsi="仿宋" w:eastAsia="仿宋"/>
                <w:sz w:val="24"/>
                <w:szCs w:val="24"/>
                <w:highlight w:val="none"/>
              </w:rPr>
              <w:t>单价</w:t>
            </w:r>
            <w:bookmarkEnd w:id="135"/>
            <w:bookmarkEnd w:id="136"/>
          </w:p>
        </w:tc>
        <w:tc>
          <w:tcPr>
            <w:tcW w:w="915" w:type="dxa"/>
            <w:vAlign w:val="center"/>
          </w:tcPr>
          <w:p>
            <w:pPr>
              <w:widowControl/>
              <w:spacing w:line="360" w:lineRule="atLeast"/>
              <w:jc w:val="center"/>
              <w:rPr>
                <w:rFonts w:ascii="仿宋" w:hAnsi="仿宋" w:eastAsia="仿宋"/>
                <w:sz w:val="24"/>
                <w:szCs w:val="24"/>
                <w:highlight w:val="none"/>
              </w:rPr>
            </w:pPr>
            <w:r>
              <w:rPr>
                <w:rFonts w:hint="eastAsia" w:ascii="仿宋" w:hAnsi="仿宋" w:eastAsia="仿宋"/>
                <w:sz w:val="24"/>
                <w:szCs w:val="24"/>
                <w:highlight w:val="none"/>
              </w:rPr>
              <w:t>合价</w:t>
            </w:r>
          </w:p>
        </w:tc>
        <w:tc>
          <w:tcPr>
            <w:tcW w:w="967" w:type="dxa"/>
            <w:vAlign w:val="center"/>
          </w:tcPr>
          <w:p>
            <w:pPr>
              <w:widowControl/>
              <w:spacing w:line="360" w:lineRule="atLeast"/>
              <w:rPr>
                <w:rFonts w:ascii="仿宋" w:hAnsi="仿宋" w:eastAsia="仿宋"/>
                <w:sz w:val="24"/>
                <w:szCs w:val="24"/>
                <w:highlight w:val="none"/>
              </w:rPr>
            </w:pPr>
            <w:r>
              <w:rPr>
                <w:rFonts w:hint="eastAsia" w:ascii="仿宋" w:hAnsi="仿宋" w:eastAsia="仿宋"/>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62" w:type="dxa"/>
            <w:vAlign w:val="center"/>
          </w:tcPr>
          <w:p>
            <w:pPr>
              <w:widowControl/>
              <w:spacing w:line="360" w:lineRule="atLeast"/>
              <w:jc w:val="center"/>
              <w:rPr>
                <w:rFonts w:ascii="仿宋" w:hAnsi="仿宋" w:eastAsia="仿宋"/>
                <w:sz w:val="24"/>
                <w:szCs w:val="24"/>
                <w:highlight w:val="none"/>
              </w:rPr>
            </w:pPr>
            <w:r>
              <w:rPr>
                <w:rFonts w:ascii="仿宋" w:hAnsi="仿宋" w:eastAsia="仿宋"/>
                <w:sz w:val="24"/>
                <w:szCs w:val="24"/>
                <w:highlight w:val="none"/>
              </w:rPr>
              <w:t>1</w:t>
            </w:r>
          </w:p>
        </w:tc>
        <w:tc>
          <w:tcPr>
            <w:tcW w:w="1844" w:type="dxa"/>
            <w:vAlign w:val="center"/>
          </w:tcPr>
          <w:p>
            <w:pPr>
              <w:widowControl/>
              <w:spacing w:line="360" w:lineRule="atLeast"/>
              <w:ind w:firstLine="470" w:firstLineChars="196"/>
              <w:jc w:val="left"/>
              <w:rPr>
                <w:rFonts w:ascii="仿宋" w:hAnsi="仿宋" w:eastAsia="仿宋"/>
                <w:sz w:val="24"/>
                <w:szCs w:val="24"/>
                <w:highlight w:val="none"/>
              </w:rPr>
            </w:pPr>
          </w:p>
        </w:tc>
        <w:tc>
          <w:tcPr>
            <w:tcW w:w="1560" w:type="dxa"/>
            <w:vAlign w:val="center"/>
          </w:tcPr>
          <w:p>
            <w:pPr>
              <w:widowControl/>
              <w:spacing w:line="360" w:lineRule="atLeast"/>
              <w:ind w:firstLine="470" w:firstLineChars="196"/>
              <w:jc w:val="left"/>
              <w:rPr>
                <w:rFonts w:ascii="仿宋" w:hAnsi="仿宋" w:eastAsia="仿宋"/>
                <w:sz w:val="24"/>
                <w:szCs w:val="24"/>
                <w:highlight w:val="none"/>
              </w:rPr>
            </w:pPr>
          </w:p>
        </w:tc>
        <w:tc>
          <w:tcPr>
            <w:tcW w:w="1508" w:type="dxa"/>
            <w:vAlign w:val="center"/>
          </w:tcPr>
          <w:p>
            <w:pPr>
              <w:widowControl/>
              <w:spacing w:line="360" w:lineRule="atLeast"/>
              <w:ind w:firstLine="470" w:firstLineChars="196"/>
              <w:jc w:val="left"/>
              <w:rPr>
                <w:rFonts w:ascii="仿宋" w:hAnsi="仿宋" w:eastAsia="仿宋"/>
                <w:sz w:val="24"/>
                <w:szCs w:val="24"/>
                <w:highlight w:val="none"/>
              </w:rPr>
            </w:pPr>
          </w:p>
        </w:tc>
        <w:tc>
          <w:tcPr>
            <w:tcW w:w="1125" w:type="dxa"/>
            <w:vAlign w:val="center"/>
          </w:tcPr>
          <w:p>
            <w:pPr>
              <w:widowControl/>
              <w:spacing w:line="360" w:lineRule="atLeast"/>
              <w:ind w:firstLine="470" w:firstLineChars="196"/>
              <w:jc w:val="left"/>
              <w:rPr>
                <w:rFonts w:ascii="仿宋" w:hAnsi="仿宋" w:eastAsia="仿宋"/>
                <w:sz w:val="24"/>
                <w:szCs w:val="24"/>
                <w:highlight w:val="none"/>
              </w:rPr>
            </w:pPr>
          </w:p>
        </w:tc>
        <w:tc>
          <w:tcPr>
            <w:tcW w:w="855" w:type="dxa"/>
            <w:vAlign w:val="center"/>
          </w:tcPr>
          <w:p>
            <w:pPr>
              <w:widowControl/>
              <w:spacing w:line="360" w:lineRule="atLeast"/>
              <w:ind w:firstLine="470" w:firstLineChars="196"/>
              <w:jc w:val="left"/>
              <w:rPr>
                <w:rFonts w:ascii="仿宋" w:hAnsi="仿宋" w:eastAsia="仿宋"/>
                <w:sz w:val="24"/>
                <w:szCs w:val="24"/>
                <w:highlight w:val="none"/>
              </w:rPr>
            </w:pPr>
          </w:p>
        </w:tc>
        <w:tc>
          <w:tcPr>
            <w:tcW w:w="915" w:type="dxa"/>
            <w:vAlign w:val="center"/>
          </w:tcPr>
          <w:p>
            <w:pPr>
              <w:widowControl/>
              <w:spacing w:line="360" w:lineRule="atLeast"/>
              <w:ind w:firstLine="470" w:firstLineChars="196"/>
              <w:jc w:val="left"/>
              <w:rPr>
                <w:rFonts w:ascii="仿宋" w:hAnsi="仿宋" w:eastAsia="仿宋"/>
                <w:sz w:val="24"/>
                <w:szCs w:val="24"/>
                <w:highlight w:val="none"/>
              </w:rPr>
            </w:pPr>
          </w:p>
        </w:tc>
        <w:tc>
          <w:tcPr>
            <w:tcW w:w="967" w:type="dxa"/>
            <w:vAlign w:val="center"/>
          </w:tcPr>
          <w:p>
            <w:pPr>
              <w:widowControl/>
              <w:spacing w:line="360" w:lineRule="atLeast"/>
              <w:ind w:firstLine="470" w:firstLineChars="196"/>
              <w:jc w:val="left"/>
              <w:rPr>
                <w:rFonts w:ascii="仿宋" w:hAnsi="仿宋" w:eastAsia="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62" w:type="dxa"/>
            <w:vAlign w:val="center"/>
          </w:tcPr>
          <w:p>
            <w:pPr>
              <w:widowControl/>
              <w:spacing w:line="360" w:lineRule="atLeast"/>
              <w:jc w:val="center"/>
              <w:rPr>
                <w:rFonts w:ascii="仿宋" w:hAnsi="仿宋" w:eastAsia="仿宋"/>
                <w:sz w:val="24"/>
                <w:szCs w:val="24"/>
                <w:highlight w:val="none"/>
              </w:rPr>
            </w:pPr>
            <w:r>
              <w:rPr>
                <w:rFonts w:hint="eastAsia" w:ascii="仿宋" w:hAnsi="仿宋" w:eastAsia="仿宋"/>
                <w:sz w:val="24"/>
                <w:szCs w:val="24"/>
                <w:highlight w:val="none"/>
              </w:rPr>
              <w:t>2</w:t>
            </w:r>
          </w:p>
        </w:tc>
        <w:tc>
          <w:tcPr>
            <w:tcW w:w="1844" w:type="dxa"/>
            <w:vAlign w:val="center"/>
          </w:tcPr>
          <w:p>
            <w:pPr>
              <w:widowControl/>
              <w:spacing w:line="360" w:lineRule="atLeast"/>
              <w:ind w:firstLine="470" w:firstLineChars="196"/>
              <w:jc w:val="left"/>
              <w:rPr>
                <w:rFonts w:ascii="仿宋" w:hAnsi="仿宋" w:eastAsia="仿宋"/>
                <w:sz w:val="24"/>
                <w:szCs w:val="24"/>
                <w:highlight w:val="none"/>
              </w:rPr>
            </w:pPr>
          </w:p>
        </w:tc>
        <w:tc>
          <w:tcPr>
            <w:tcW w:w="1560" w:type="dxa"/>
            <w:vAlign w:val="center"/>
          </w:tcPr>
          <w:p>
            <w:pPr>
              <w:widowControl/>
              <w:spacing w:line="360" w:lineRule="atLeast"/>
              <w:ind w:firstLine="470" w:firstLineChars="196"/>
              <w:jc w:val="left"/>
              <w:rPr>
                <w:rFonts w:ascii="仿宋" w:hAnsi="仿宋" w:eastAsia="仿宋"/>
                <w:sz w:val="24"/>
                <w:szCs w:val="24"/>
                <w:highlight w:val="none"/>
              </w:rPr>
            </w:pPr>
          </w:p>
        </w:tc>
        <w:tc>
          <w:tcPr>
            <w:tcW w:w="1508" w:type="dxa"/>
            <w:vAlign w:val="center"/>
          </w:tcPr>
          <w:p>
            <w:pPr>
              <w:widowControl/>
              <w:spacing w:line="360" w:lineRule="atLeast"/>
              <w:ind w:firstLine="470" w:firstLineChars="196"/>
              <w:jc w:val="left"/>
              <w:rPr>
                <w:rFonts w:ascii="仿宋" w:hAnsi="仿宋" w:eastAsia="仿宋"/>
                <w:sz w:val="24"/>
                <w:szCs w:val="24"/>
                <w:highlight w:val="none"/>
              </w:rPr>
            </w:pPr>
          </w:p>
        </w:tc>
        <w:tc>
          <w:tcPr>
            <w:tcW w:w="1125" w:type="dxa"/>
            <w:vAlign w:val="center"/>
          </w:tcPr>
          <w:p>
            <w:pPr>
              <w:widowControl/>
              <w:spacing w:line="360" w:lineRule="atLeast"/>
              <w:ind w:firstLine="470" w:firstLineChars="196"/>
              <w:jc w:val="left"/>
              <w:rPr>
                <w:rFonts w:ascii="仿宋" w:hAnsi="仿宋" w:eastAsia="仿宋"/>
                <w:sz w:val="24"/>
                <w:szCs w:val="24"/>
                <w:highlight w:val="none"/>
              </w:rPr>
            </w:pPr>
          </w:p>
        </w:tc>
        <w:tc>
          <w:tcPr>
            <w:tcW w:w="855" w:type="dxa"/>
            <w:vAlign w:val="center"/>
          </w:tcPr>
          <w:p>
            <w:pPr>
              <w:widowControl/>
              <w:spacing w:line="360" w:lineRule="atLeast"/>
              <w:ind w:firstLine="470" w:firstLineChars="196"/>
              <w:jc w:val="left"/>
              <w:rPr>
                <w:rFonts w:ascii="仿宋" w:hAnsi="仿宋" w:eastAsia="仿宋"/>
                <w:sz w:val="24"/>
                <w:szCs w:val="24"/>
                <w:highlight w:val="none"/>
              </w:rPr>
            </w:pPr>
          </w:p>
        </w:tc>
        <w:tc>
          <w:tcPr>
            <w:tcW w:w="915" w:type="dxa"/>
            <w:vAlign w:val="center"/>
          </w:tcPr>
          <w:p>
            <w:pPr>
              <w:widowControl/>
              <w:spacing w:line="360" w:lineRule="atLeast"/>
              <w:ind w:firstLine="470" w:firstLineChars="196"/>
              <w:jc w:val="left"/>
              <w:rPr>
                <w:rFonts w:ascii="仿宋" w:hAnsi="仿宋" w:eastAsia="仿宋"/>
                <w:sz w:val="24"/>
                <w:szCs w:val="24"/>
                <w:highlight w:val="none"/>
              </w:rPr>
            </w:pPr>
          </w:p>
        </w:tc>
        <w:tc>
          <w:tcPr>
            <w:tcW w:w="967" w:type="dxa"/>
            <w:vAlign w:val="center"/>
          </w:tcPr>
          <w:p>
            <w:pPr>
              <w:widowControl/>
              <w:spacing w:line="360" w:lineRule="atLeast"/>
              <w:ind w:firstLine="470" w:firstLineChars="196"/>
              <w:jc w:val="left"/>
              <w:rPr>
                <w:rFonts w:ascii="仿宋" w:hAnsi="仿宋" w:eastAsia="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62" w:type="dxa"/>
            <w:vAlign w:val="center"/>
          </w:tcPr>
          <w:p>
            <w:pPr>
              <w:widowControl/>
              <w:spacing w:line="360" w:lineRule="atLeast"/>
              <w:jc w:val="left"/>
              <w:rPr>
                <w:rFonts w:ascii="仿宋" w:hAnsi="仿宋" w:eastAsia="仿宋"/>
                <w:sz w:val="24"/>
                <w:szCs w:val="24"/>
                <w:highlight w:val="none"/>
              </w:rPr>
            </w:pPr>
            <w:r>
              <w:rPr>
                <w:rFonts w:ascii="仿宋" w:hAnsi="仿宋" w:eastAsia="仿宋"/>
                <w:sz w:val="24"/>
                <w:szCs w:val="24"/>
                <w:highlight w:val="none"/>
              </w:rPr>
              <w:t>…</w:t>
            </w:r>
          </w:p>
        </w:tc>
        <w:tc>
          <w:tcPr>
            <w:tcW w:w="1844" w:type="dxa"/>
            <w:vAlign w:val="center"/>
          </w:tcPr>
          <w:p>
            <w:pPr>
              <w:widowControl/>
              <w:spacing w:line="360" w:lineRule="atLeast"/>
              <w:ind w:firstLine="470" w:firstLineChars="196"/>
              <w:jc w:val="left"/>
              <w:rPr>
                <w:rFonts w:ascii="仿宋" w:hAnsi="仿宋" w:eastAsia="仿宋"/>
                <w:sz w:val="24"/>
                <w:szCs w:val="24"/>
                <w:highlight w:val="none"/>
              </w:rPr>
            </w:pPr>
          </w:p>
        </w:tc>
        <w:tc>
          <w:tcPr>
            <w:tcW w:w="1560" w:type="dxa"/>
            <w:vAlign w:val="center"/>
          </w:tcPr>
          <w:p>
            <w:pPr>
              <w:widowControl/>
              <w:spacing w:line="360" w:lineRule="atLeast"/>
              <w:ind w:firstLine="470" w:firstLineChars="196"/>
              <w:jc w:val="left"/>
              <w:rPr>
                <w:rFonts w:ascii="仿宋" w:hAnsi="仿宋" w:eastAsia="仿宋"/>
                <w:sz w:val="24"/>
                <w:szCs w:val="24"/>
                <w:highlight w:val="none"/>
              </w:rPr>
            </w:pPr>
          </w:p>
        </w:tc>
        <w:tc>
          <w:tcPr>
            <w:tcW w:w="1508" w:type="dxa"/>
            <w:vAlign w:val="center"/>
          </w:tcPr>
          <w:p>
            <w:pPr>
              <w:widowControl/>
              <w:spacing w:line="360" w:lineRule="atLeast"/>
              <w:ind w:firstLine="470" w:firstLineChars="196"/>
              <w:jc w:val="left"/>
              <w:rPr>
                <w:rFonts w:ascii="仿宋" w:hAnsi="仿宋" w:eastAsia="仿宋"/>
                <w:sz w:val="24"/>
                <w:szCs w:val="24"/>
                <w:highlight w:val="none"/>
              </w:rPr>
            </w:pPr>
          </w:p>
        </w:tc>
        <w:tc>
          <w:tcPr>
            <w:tcW w:w="1125" w:type="dxa"/>
            <w:vAlign w:val="center"/>
          </w:tcPr>
          <w:p>
            <w:pPr>
              <w:widowControl/>
              <w:spacing w:line="360" w:lineRule="atLeast"/>
              <w:ind w:firstLine="470" w:firstLineChars="196"/>
              <w:jc w:val="left"/>
              <w:rPr>
                <w:rFonts w:ascii="仿宋" w:hAnsi="仿宋" w:eastAsia="仿宋"/>
                <w:sz w:val="24"/>
                <w:szCs w:val="24"/>
                <w:highlight w:val="none"/>
              </w:rPr>
            </w:pPr>
          </w:p>
        </w:tc>
        <w:tc>
          <w:tcPr>
            <w:tcW w:w="855" w:type="dxa"/>
            <w:vAlign w:val="center"/>
          </w:tcPr>
          <w:p>
            <w:pPr>
              <w:widowControl/>
              <w:spacing w:line="360" w:lineRule="atLeast"/>
              <w:ind w:firstLine="470" w:firstLineChars="196"/>
              <w:jc w:val="left"/>
              <w:rPr>
                <w:rFonts w:ascii="仿宋" w:hAnsi="仿宋" w:eastAsia="仿宋"/>
                <w:sz w:val="24"/>
                <w:szCs w:val="24"/>
                <w:highlight w:val="none"/>
              </w:rPr>
            </w:pPr>
          </w:p>
        </w:tc>
        <w:tc>
          <w:tcPr>
            <w:tcW w:w="915" w:type="dxa"/>
            <w:vAlign w:val="center"/>
          </w:tcPr>
          <w:p>
            <w:pPr>
              <w:widowControl/>
              <w:spacing w:line="360" w:lineRule="atLeast"/>
              <w:ind w:firstLine="470" w:firstLineChars="196"/>
              <w:jc w:val="left"/>
              <w:rPr>
                <w:rFonts w:ascii="仿宋" w:hAnsi="仿宋" w:eastAsia="仿宋"/>
                <w:sz w:val="24"/>
                <w:szCs w:val="24"/>
                <w:highlight w:val="none"/>
              </w:rPr>
            </w:pPr>
          </w:p>
        </w:tc>
        <w:tc>
          <w:tcPr>
            <w:tcW w:w="967" w:type="dxa"/>
            <w:vAlign w:val="center"/>
          </w:tcPr>
          <w:p>
            <w:pPr>
              <w:widowControl/>
              <w:spacing w:line="360" w:lineRule="atLeast"/>
              <w:ind w:firstLine="470" w:firstLineChars="196"/>
              <w:jc w:val="left"/>
              <w:rPr>
                <w:rFonts w:ascii="仿宋" w:hAnsi="仿宋" w:eastAsia="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9336" w:type="dxa"/>
            <w:gridSpan w:val="8"/>
            <w:vAlign w:val="center"/>
          </w:tcPr>
          <w:p>
            <w:pPr>
              <w:widowControl/>
              <w:spacing w:line="360" w:lineRule="atLeast"/>
              <w:ind w:firstLine="470" w:firstLineChars="196"/>
              <w:jc w:val="left"/>
              <w:rPr>
                <w:rFonts w:ascii="仿宋" w:hAnsi="仿宋" w:eastAsia="仿宋"/>
                <w:sz w:val="24"/>
                <w:szCs w:val="24"/>
                <w:highlight w:val="none"/>
              </w:rPr>
            </w:pPr>
            <w:r>
              <w:rPr>
                <w:rFonts w:hint="eastAsia" w:ascii="仿宋" w:hAnsi="仿宋" w:eastAsia="仿宋"/>
                <w:sz w:val="24"/>
                <w:szCs w:val="24"/>
                <w:highlight w:val="none"/>
              </w:rPr>
              <w:t>本表总报价：</w:t>
            </w: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bl>
    <w:p>
      <w:pPr>
        <w:ind w:right="480"/>
        <w:jc w:val="left"/>
        <w:rPr>
          <w:rFonts w:ascii="仿宋" w:hAnsi="仿宋" w:eastAsia="仿宋" w:cs="Times New Roman"/>
          <w:szCs w:val="21"/>
          <w:highlight w:val="none"/>
        </w:rPr>
      </w:pPr>
    </w:p>
    <w:p>
      <w:pPr>
        <w:ind w:right="480"/>
        <w:jc w:val="left"/>
        <w:rPr>
          <w:rFonts w:ascii="仿宋" w:hAnsi="仿宋" w:eastAsia="仿宋" w:cs="Times New Roman"/>
          <w:szCs w:val="21"/>
          <w:highlight w:val="none"/>
        </w:rPr>
      </w:pPr>
    </w:p>
    <w:bookmarkEnd w:id="132"/>
    <w:tbl>
      <w:tblPr>
        <w:tblStyle w:val="9"/>
        <w:tblW w:w="9148" w:type="dxa"/>
        <w:jc w:val="center"/>
        <w:tblLayout w:type="fixed"/>
        <w:tblCellMar>
          <w:top w:w="0" w:type="dxa"/>
          <w:left w:w="108" w:type="dxa"/>
          <w:bottom w:w="0" w:type="dxa"/>
          <w:right w:w="108" w:type="dxa"/>
        </w:tblCellMar>
      </w:tblPr>
      <w:tblGrid>
        <w:gridCol w:w="1670"/>
        <w:gridCol w:w="2805"/>
        <w:gridCol w:w="2250"/>
        <w:gridCol w:w="2423"/>
      </w:tblGrid>
      <w:tr>
        <w:tblPrEx>
          <w:tblCellMar>
            <w:top w:w="0" w:type="dxa"/>
            <w:left w:w="108" w:type="dxa"/>
            <w:bottom w:w="0" w:type="dxa"/>
            <w:right w:w="108" w:type="dxa"/>
          </w:tblCellMar>
        </w:tblPrEx>
        <w:trPr>
          <w:trHeight w:val="1099" w:hRule="atLeast"/>
          <w:jc w:val="center"/>
        </w:trPr>
        <w:tc>
          <w:tcPr>
            <w:tcW w:w="1670"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805"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250"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423"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907" w:hRule="atLeast"/>
          <w:jc w:val="center"/>
        </w:trPr>
        <w:tc>
          <w:tcPr>
            <w:tcW w:w="4475" w:type="dxa"/>
            <w:gridSpan w:val="2"/>
            <w:vAlign w:val="center"/>
          </w:tcPr>
          <w:p>
            <w:pPr>
              <w:ind w:left="2520" w:leftChars="1200"/>
              <w:rPr>
                <w:rFonts w:ascii="仿宋" w:hAnsi="仿宋" w:eastAsia="仿宋" w:cs="仿宋"/>
                <w:sz w:val="24"/>
                <w:szCs w:val="24"/>
                <w:highlight w:val="none"/>
              </w:rPr>
            </w:pPr>
          </w:p>
        </w:tc>
        <w:tc>
          <w:tcPr>
            <w:tcW w:w="4673" w:type="dxa"/>
            <w:gridSpan w:val="2"/>
            <w:vAlign w:val="center"/>
          </w:tcPr>
          <w:p>
            <w:pPr>
              <w:ind w:left="2520" w:leftChars="1200"/>
              <w:rPr>
                <w:rFonts w:ascii="仿宋" w:hAnsi="仿宋" w:eastAsia="仿宋" w:cs="仿宋"/>
                <w:sz w:val="24"/>
                <w:szCs w:val="24"/>
                <w:highlight w:val="none"/>
              </w:rPr>
            </w:pPr>
            <w:r>
              <w:rPr>
                <w:rFonts w:hint="eastAsia" w:ascii="仿宋" w:hAnsi="仿宋" w:eastAsia="仿宋" w:cs="仿宋"/>
                <w:sz w:val="24"/>
                <w:szCs w:val="24"/>
                <w:highlight w:val="none"/>
              </w:rPr>
              <w:t>年    月    日</w:t>
            </w:r>
          </w:p>
        </w:tc>
      </w:tr>
    </w:tbl>
    <w:p>
      <w:pPr>
        <w:ind w:right="240"/>
        <w:jc w:val="right"/>
        <w:rPr>
          <w:rFonts w:asciiTheme="minorHAnsi" w:hAnsiTheme="minorHAnsi" w:eastAsiaTheme="minorEastAsia" w:cstheme="minorBidi"/>
          <w:highlight w:val="none"/>
        </w:rPr>
      </w:pPr>
    </w:p>
    <w:p>
      <w:pPr>
        <w:ind w:right="240"/>
        <w:jc w:val="right"/>
        <w:rPr>
          <w:rFonts w:asciiTheme="minorHAnsi" w:hAnsiTheme="minorHAnsi" w:eastAsiaTheme="minorEastAsia" w:cstheme="minorBidi"/>
          <w:highlight w:val="none"/>
        </w:rPr>
      </w:pPr>
    </w:p>
    <w:p>
      <w:pPr>
        <w:ind w:right="240"/>
        <w:jc w:val="right"/>
        <w:rPr>
          <w:rFonts w:asciiTheme="minorHAnsi" w:hAnsiTheme="minorHAnsi" w:eastAsiaTheme="minorEastAsia" w:cstheme="minorBidi"/>
          <w:highlight w:val="none"/>
        </w:rPr>
      </w:pPr>
    </w:p>
    <w:p>
      <w:pPr>
        <w:widowControl/>
        <w:snapToGrid w:val="0"/>
        <w:spacing w:line="360" w:lineRule="auto"/>
        <w:rPr>
          <w:rFonts w:ascii="仿宋" w:hAnsi="仿宋" w:eastAsia="仿宋"/>
          <w:szCs w:val="21"/>
          <w:highlight w:val="none"/>
        </w:rPr>
      </w:pPr>
      <w:bookmarkStart w:id="137" w:name="_Toc56085572"/>
      <w:bookmarkStart w:id="138" w:name="_Toc56078705"/>
      <w:r>
        <w:rPr>
          <w:rFonts w:hint="eastAsia" w:ascii="仿宋" w:hAnsi="仿宋" w:eastAsia="仿宋"/>
          <w:szCs w:val="21"/>
          <w:highlight w:val="none"/>
        </w:rPr>
        <w:t>说明：</w:t>
      </w:r>
    </w:p>
    <w:p>
      <w:pPr>
        <w:widowControl/>
        <w:snapToGrid w:val="0"/>
        <w:spacing w:line="360" w:lineRule="auto"/>
        <w:rPr>
          <w:rFonts w:ascii="仿宋" w:hAnsi="仿宋" w:eastAsia="仿宋"/>
          <w:szCs w:val="21"/>
          <w:highlight w:val="none"/>
        </w:rPr>
      </w:pPr>
      <w:r>
        <w:rPr>
          <w:rFonts w:hint="eastAsia" w:ascii="仿宋" w:hAnsi="仿宋" w:eastAsia="仿宋"/>
          <w:szCs w:val="21"/>
          <w:highlight w:val="none"/>
        </w:rPr>
        <w:t>1.投标人必须按招标文件技术部分要求报出投标总价各个组成部分的报价。</w:t>
      </w:r>
      <w:bookmarkEnd w:id="137"/>
      <w:bookmarkEnd w:id="138"/>
    </w:p>
    <w:p>
      <w:pPr>
        <w:widowControl/>
        <w:snapToGrid w:val="0"/>
        <w:spacing w:line="360" w:lineRule="auto"/>
        <w:rPr>
          <w:rFonts w:ascii="仿宋" w:hAnsi="仿宋" w:eastAsia="仿宋"/>
          <w:szCs w:val="21"/>
          <w:highlight w:val="none"/>
        </w:rPr>
      </w:pPr>
      <w:bookmarkStart w:id="139" w:name="_Toc56085573"/>
      <w:bookmarkStart w:id="140" w:name="_Toc56078706"/>
      <w:r>
        <w:rPr>
          <w:rFonts w:hint="eastAsia" w:ascii="仿宋" w:hAnsi="仿宋" w:eastAsia="仿宋"/>
          <w:szCs w:val="21"/>
          <w:highlight w:val="none"/>
        </w:rPr>
        <w:t>2.“分项报价表”各分项报价合计应当与“开标一览表”报价相等。</w:t>
      </w:r>
      <w:bookmarkEnd w:id="139"/>
      <w:bookmarkEnd w:id="140"/>
    </w:p>
    <w:p>
      <w:pPr>
        <w:ind w:right="480"/>
        <w:rPr>
          <w:rFonts w:ascii="仿宋" w:hAnsi="仿宋" w:eastAsia="仿宋" w:cs="Times New Roman"/>
          <w:szCs w:val="21"/>
          <w:highlight w:val="none"/>
        </w:rPr>
      </w:pPr>
      <w:r>
        <w:rPr>
          <w:rFonts w:hint="eastAsia" w:ascii="仿宋" w:hAnsi="仿宋" w:eastAsia="仿宋" w:cs="Times New Roman"/>
          <w:szCs w:val="21"/>
          <w:highlight w:val="none"/>
        </w:rPr>
        <w:t>3.投标人可根据项目实际情况调整投标分项报价表格式。</w:t>
      </w:r>
    </w:p>
    <w:p>
      <w:pPr>
        <w:ind w:right="240"/>
        <w:jc w:val="right"/>
        <w:rPr>
          <w:rFonts w:asciiTheme="minorHAnsi" w:hAnsiTheme="minorHAnsi" w:eastAsiaTheme="minorEastAsia" w:cstheme="minorBidi"/>
          <w:highlight w:val="none"/>
        </w:rPr>
      </w:pPr>
    </w:p>
    <w:p>
      <w:pPr>
        <w:ind w:right="240"/>
        <w:jc w:val="right"/>
        <w:rPr>
          <w:rFonts w:asciiTheme="minorHAnsi" w:hAnsiTheme="minorHAnsi" w:eastAsiaTheme="minorEastAsia" w:cstheme="minorBidi"/>
          <w:highlight w:val="none"/>
        </w:rPr>
      </w:pPr>
      <w:r>
        <w:rPr>
          <w:rFonts w:asciiTheme="minorHAnsi" w:hAnsiTheme="minorHAnsi" w:eastAsiaTheme="minorEastAsia" w:cstheme="minorBidi"/>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41" w:name="_Toc110245247"/>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4  </w:t>
      </w:r>
      <w:r>
        <w:rPr>
          <w:rFonts w:hint="eastAsia" w:ascii="仿宋" w:hAnsi="仿宋" w:eastAsia="仿宋" w:cs="仿宋"/>
          <w:b/>
          <w:bCs/>
          <w:kern w:val="1"/>
          <w:sz w:val="24"/>
          <w:szCs w:val="24"/>
          <w:highlight w:val="none"/>
        </w:rPr>
        <w:t>商务、合同条款偏离表</w:t>
      </w:r>
      <w:bookmarkEnd w:id="141"/>
    </w:p>
    <w:p>
      <w:pPr>
        <w:rPr>
          <w:rFonts w:asciiTheme="minorHAnsi" w:hAnsiTheme="minorHAnsi" w:eastAsiaTheme="minorEastAsia" w:cstheme="minorBidi"/>
          <w:highlight w:val="none"/>
        </w:rPr>
      </w:pPr>
    </w:p>
    <w:p>
      <w:pPr>
        <w:spacing w:before="312" w:beforeLines="100" w:after="312" w:afterLines="100"/>
        <w:ind w:firstLine="482" w:firstLineChars="200"/>
        <w:jc w:val="center"/>
        <w:rPr>
          <w:rFonts w:ascii="仿宋" w:hAnsi="仿宋" w:eastAsia="仿宋" w:cs="仿宋"/>
          <w:b/>
          <w:kern w:val="1"/>
          <w:sz w:val="24"/>
          <w:szCs w:val="24"/>
          <w:highlight w:val="none"/>
        </w:rPr>
      </w:pPr>
      <w:r>
        <w:rPr>
          <w:rFonts w:hint="eastAsia" w:ascii="仿宋" w:hAnsi="仿宋" w:eastAsia="仿宋" w:cs="仿宋"/>
          <w:b/>
          <w:bCs/>
          <w:kern w:val="1"/>
          <w:sz w:val="24"/>
          <w:szCs w:val="24"/>
          <w:highlight w:val="none"/>
        </w:rPr>
        <w:t>商务、合同条款偏离表</w:t>
      </w:r>
    </w:p>
    <w:p>
      <w:pPr>
        <w:tabs>
          <w:tab w:val="left" w:pos="1980"/>
        </w:tabs>
        <w:jc w:val="left"/>
        <w:rPr>
          <w:rFonts w:ascii="仿宋" w:hAnsi="仿宋" w:eastAsia="仿宋" w:cs="仿宋"/>
          <w:kern w:val="1"/>
          <w:sz w:val="24"/>
          <w:szCs w:val="24"/>
          <w:highlight w:val="none"/>
        </w:rPr>
      </w:pPr>
      <w:r>
        <w:rPr>
          <w:rFonts w:hint="eastAsia" w:ascii="仿宋" w:hAnsi="仿宋" w:eastAsia="仿宋" w:cs="仿宋"/>
          <w:kern w:val="1"/>
          <w:sz w:val="24"/>
          <w:szCs w:val="24"/>
          <w:highlight w:val="none"/>
        </w:rPr>
        <w:t>项目名称：__________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项目编号：__________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标段（标包）：__________</w:t>
      </w:r>
    </w:p>
    <w:tbl>
      <w:tblPr>
        <w:tblStyle w:val="9"/>
        <w:tblW w:w="8721" w:type="dxa"/>
        <w:jc w:val="center"/>
        <w:tblLayout w:type="fixed"/>
        <w:tblCellMar>
          <w:top w:w="0" w:type="dxa"/>
          <w:left w:w="108" w:type="dxa"/>
          <w:bottom w:w="0" w:type="dxa"/>
          <w:right w:w="108" w:type="dxa"/>
        </w:tblCellMar>
      </w:tblPr>
      <w:tblGrid>
        <w:gridCol w:w="996"/>
        <w:gridCol w:w="4102"/>
        <w:gridCol w:w="1843"/>
        <w:gridCol w:w="1780"/>
      </w:tblGrid>
      <w:tr>
        <w:trPr>
          <w:cantSplit/>
          <w:trHeight w:val="660" w:hRule="atLeast"/>
          <w:jc w:val="center"/>
        </w:trPr>
        <w:tc>
          <w:tcPr>
            <w:tcW w:w="996" w:type="dxa"/>
            <w:tcBorders>
              <w:top w:val="single" w:color="000000" w:sz="4" w:space="0"/>
              <w:left w:val="single" w:color="000000" w:sz="4" w:space="0"/>
              <w:bottom w:val="single" w:color="000000" w:sz="4" w:space="0"/>
              <w:right w:val="single" w:color="000000" w:sz="4" w:space="0"/>
            </w:tcBorders>
            <w:vAlign w:val="center"/>
          </w:tcPr>
          <w:p>
            <w:pPr>
              <w:spacing w:before="312" w:beforeLines="100" w:after="312" w:afterLines="100"/>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序号</w:t>
            </w:r>
          </w:p>
        </w:tc>
        <w:tc>
          <w:tcPr>
            <w:tcW w:w="4102" w:type="dxa"/>
            <w:tcBorders>
              <w:top w:val="single" w:color="000000" w:sz="4" w:space="0"/>
              <w:left w:val="single" w:color="000000" w:sz="4" w:space="0"/>
              <w:bottom w:val="single" w:color="000000" w:sz="4" w:space="0"/>
              <w:right w:val="single" w:color="000000" w:sz="4" w:space="0"/>
            </w:tcBorders>
            <w:vAlign w:val="center"/>
          </w:tcPr>
          <w:p>
            <w:pPr>
              <w:spacing w:before="312" w:beforeLines="100" w:after="312" w:afterLines="100"/>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招标文件规定的商务、合同条款</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before="312" w:beforeLines="100" w:after="312" w:afterLines="100"/>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偏离情况</w:t>
            </w:r>
          </w:p>
        </w:tc>
        <w:tc>
          <w:tcPr>
            <w:tcW w:w="1780" w:type="dxa"/>
            <w:tcBorders>
              <w:top w:val="single" w:color="000000" w:sz="4" w:space="0"/>
              <w:left w:val="single" w:color="000000" w:sz="4" w:space="0"/>
              <w:bottom w:val="single" w:color="000000" w:sz="4" w:space="0"/>
              <w:right w:val="single" w:color="000000" w:sz="4" w:space="0"/>
            </w:tcBorders>
            <w:vAlign w:val="center"/>
          </w:tcPr>
          <w:p>
            <w:pPr>
              <w:spacing w:before="312" w:beforeLines="100" w:after="312" w:afterLines="100"/>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偏离说明</w:t>
            </w:r>
          </w:p>
        </w:tc>
      </w:tr>
      <w:tr>
        <w:trPr>
          <w:cantSplit/>
          <w:trHeight w:val="720" w:hRule="atLeast"/>
          <w:jc w:val="center"/>
        </w:trPr>
        <w:tc>
          <w:tcPr>
            <w:tcW w:w="9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r>
              <w:rPr>
                <w:rFonts w:hint="eastAsia" w:ascii="仿宋" w:hAnsi="仿宋" w:eastAsia="仿宋" w:cs="仿宋"/>
                <w:kern w:val="1"/>
                <w:szCs w:val="21"/>
                <w:highlight w:val="none"/>
              </w:rPr>
              <w:t>1</w:t>
            </w:r>
          </w:p>
        </w:tc>
        <w:tc>
          <w:tcPr>
            <w:tcW w:w="41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r>
              <w:rPr>
                <w:rFonts w:hint="eastAsia" w:ascii="仿宋" w:hAnsi="仿宋" w:eastAsia="仿宋" w:cs="仿宋"/>
                <w:kern w:val="1"/>
                <w:szCs w:val="21"/>
                <w:highlight w:val="none"/>
              </w:rPr>
              <w:t>（无偏离/正偏离/负偏离）</w:t>
            </w:r>
          </w:p>
        </w:tc>
        <w:tc>
          <w:tcPr>
            <w:tcW w:w="178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p>
        </w:tc>
      </w:tr>
      <w:tr>
        <w:tblPrEx>
          <w:tblCellMar>
            <w:top w:w="0" w:type="dxa"/>
            <w:left w:w="108" w:type="dxa"/>
            <w:bottom w:w="0" w:type="dxa"/>
            <w:right w:w="108" w:type="dxa"/>
          </w:tblCellMar>
        </w:tblPrEx>
        <w:trPr>
          <w:cantSplit/>
          <w:trHeight w:val="720" w:hRule="atLeast"/>
          <w:jc w:val="center"/>
        </w:trPr>
        <w:tc>
          <w:tcPr>
            <w:tcW w:w="9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r>
              <w:rPr>
                <w:rFonts w:hint="eastAsia" w:ascii="仿宋" w:hAnsi="仿宋" w:eastAsia="仿宋" w:cs="仿宋"/>
                <w:kern w:val="1"/>
                <w:szCs w:val="21"/>
                <w:highlight w:val="none"/>
              </w:rPr>
              <w:t>2</w:t>
            </w:r>
          </w:p>
        </w:tc>
        <w:tc>
          <w:tcPr>
            <w:tcW w:w="41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p>
        </w:tc>
        <w:tc>
          <w:tcPr>
            <w:tcW w:w="178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p>
        </w:tc>
      </w:tr>
      <w:tr>
        <w:trPr>
          <w:cantSplit/>
          <w:trHeight w:val="720" w:hRule="atLeast"/>
          <w:jc w:val="center"/>
        </w:trPr>
        <w:tc>
          <w:tcPr>
            <w:tcW w:w="9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r>
              <w:rPr>
                <w:rFonts w:ascii="仿宋" w:hAnsi="仿宋" w:eastAsia="仿宋" w:cs="仿宋"/>
                <w:kern w:val="1"/>
                <w:szCs w:val="21"/>
                <w:highlight w:val="none"/>
              </w:rPr>
              <w:t>…</w:t>
            </w:r>
          </w:p>
        </w:tc>
        <w:tc>
          <w:tcPr>
            <w:tcW w:w="41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p>
        </w:tc>
        <w:tc>
          <w:tcPr>
            <w:tcW w:w="178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Cs w:val="21"/>
                <w:highlight w:val="none"/>
              </w:rPr>
            </w:pPr>
          </w:p>
        </w:tc>
      </w:tr>
    </w:tbl>
    <w:p>
      <w:pPr>
        <w:spacing w:line="360" w:lineRule="auto"/>
        <w:ind w:left="3780" w:leftChars="1800" w:firstLine="480" w:firstLineChars="200"/>
        <w:jc w:val="left"/>
        <w:rPr>
          <w:rFonts w:ascii="仿宋" w:hAnsi="仿宋" w:eastAsia="仿宋" w:cs="仿宋"/>
          <w:kern w:val="1"/>
          <w:sz w:val="24"/>
          <w:szCs w:val="24"/>
          <w:highlight w:val="none"/>
        </w:rPr>
      </w:pPr>
    </w:p>
    <w:tbl>
      <w:tblPr>
        <w:tblStyle w:val="9"/>
        <w:tblW w:w="8512" w:type="dxa"/>
        <w:jc w:val="center"/>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jc w:val="center"/>
        </w:trPr>
        <w:tc>
          <w:tcPr>
            <w:tcW w:w="1553"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610"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4"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894" w:hRule="atLeast"/>
          <w:jc w:val="center"/>
        </w:trPr>
        <w:tc>
          <w:tcPr>
            <w:tcW w:w="4164" w:type="dxa"/>
            <w:gridSpan w:val="2"/>
            <w:vAlign w:val="center"/>
          </w:tcPr>
          <w:p>
            <w:pPr>
              <w:ind w:left="2520" w:leftChars="1200"/>
              <w:rPr>
                <w:rFonts w:ascii="仿宋" w:hAnsi="仿宋" w:eastAsia="仿宋" w:cs="仿宋"/>
                <w:sz w:val="24"/>
                <w:szCs w:val="24"/>
                <w:highlight w:val="none"/>
              </w:rPr>
            </w:pPr>
          </w:p>
        </w:tc>
        <w:tc>
          <w:tcPr>
            <w:tcW w:w="4348" w:type="dxa"/>
            <w:gridSpan w:val="2"/>
            <w:vAlign w:val="center"/>
          </w:tcPr>
          <w:p>
            <w:pPr>
              <w:ind w:left="2520" w:leftChars="1200"/>
              <w:rPr>
                <w:rFonts w:ascii="仿宋" w:hAnsi="仿宋" w:eastAsia="仿宋" w:cs="仿宋"/>
                <w:sz w:val="24"/>
                <w:szCs w:val="24"/>
                <w:highlight w:val="none"/>
              </w:rPr>
            </w:pPr>
            <w:r>
              <w:rPr>
                <w:rFonts w:hint="eastAsia" w:ascii="仿宋" w:hAnsi="仿宋" w:eastAsia="仿宋" w:cs="仿宋"/>
                <w:sz w:val="24"/>
                <w:szCs w:val="24"/>
                <w:highlight w:val="none"/>
              </w:rPr>
              <w:t>年   月   日</w:t>
            </w:r>
          </w:p>
        </w:tc>
      </w:tr>
    </w:tbl>
    <w:p>
      <w:pPr>
        <w:spacing w:line="360" w:lineRule="auto"/>
        <w:ind w:left="3780" w:leftChars="1800" w:firstLine="480" w:firstLineChars="200"/>
        <w:jc w:val="left"/>
        <w:rPr>
          <w:rFonts w:ascii="仿宋" w:hAnsi="仿宋" w:eastAsia="仿宋" w:cs="仿宋"/>
          <w:kern w:val="1"/>
          <w:sz w:val="24"/>
          <w:szCs w:val="24"/>
          <w:highlight w:val="none"/>
        </w:rPr>
      </w:pPr>
    </w:p>
    <w:p>
      <w:pPr>
        <w:snapToGrid w:val="0"/>
        <w:spacing w:line="360" w:lineRule="auto"/>
        <w:ind w:firstLine="420" w:firstLineChars="200"/>
        <w:rPr>
          <w:rFonts w:ascii="仿宋" w:hAnsi="仿宋" w:eastAsia="仿宋" w:cs="仿宋"/>
          <w:szCs w:val="24"/>
          <w:highlight w:val="none"/>
        </w:rPr>
      </w:pPr>
      <w:r>
        <w:rPr>
          <w:rFonts w:hint="eastAsia" w:ascii="仿宋" w:hAnsi="仿宋" w:eastAsia="仿宋" w:cs="仿宋"/>
          <w:szCs w:val="24"/>
          <w:highlight w:val="none"/>
        </w:rPr>
        <w:t>说明：</w:t>
      </w:r>
    </w:p>
    <w:p>
      <w:pPr>
        <w:snapToGrid w:val="0"/>
        <w:spacing w:line="360" w:lineRule="auto"/>
        <w:ind w:firstLine="420" w:firstLineChars="200"/>
        <w:rPr>
          <w:rFonts w:ascii="仿宋" w:hAnsi="仿宋" w:eastAsia="仿宋" w:cs="仿宋"/>
          <w:szCs w:val="24"/>
          <w:highlight w:val="none"/>
        </w:rPr>
      </w:pPr>
      <w:r>
        <w:rPr>
          <w:rFonts w:hint="eastAsia" w:ascii="仿宋" w:hAnsi="仿宋" w:eastAsia="仿宋" w:cs="仿宋"/>
          <w:szCs w:val="24"/>
          <w:highlight w:val="none"/>
        </w:rPr>
        <w:t>1</w:t>
      </w:r>
      <w:r>
        <w:rPr>
          <w:rFonts w:ascii="仿宋" w:hAnsi="仿宋" w:eastAsia="仿宋" w:cs="仿宋"/>
          <w:szCs w:val="24"/>
          <w:highlight w:val="none"/>
        </w:rPr>
        <w:t>.</w:t>
      </w:r>
      <w:r>
        <w:rPr>
          <w:rFonts w:hint="eastAsia" w:ascii="仿宋" w:hAnsi="仿宋" w:eastAsia="仿宋" w:cs="仿宋"/>
          <w:szCs w:val="24"/>
          <w:highlight w:val="none"/>
        </w:rPr>
        <w:t>投标人根据本招标文件的投标人须知及合同条款填写本表。</w:t>
      </w:r>
    </w:p>
    <w:p>
      <w:pPr>
        <w:snapToGrid w:val="0"/>
        <w:spacing w:line="360" w:lineRule="auto"/>
        <w:ind w:firstLine="420" w:firstLineChars="200"/>
        <w:rPr>
          <w:rFonts w:ascii="仿宋" w:hAnsi="仿宋" w:eastAsia="仿宋" w:cs="仿宋"/>
          <w:szCs w:val="24"/>
          <w:highlight w:val="none"/>
        </w:rPr>
      </w:pPr>
      <w:r>
        <w:rPr>
          <w:rFonts w:hint="eastAsia" w:ascii="仿宋" w:hAnsi="仿宋" w:eastAsia="仿宋" w:cs="仿宋"/>
          <w:szCs w:val="24"/>
          <w:highlight w:val="none"/>
        </w:rPr>
        <w:t>2</w:t>
      </w:r>
      <w:r>
        <w:rPr>
          <w:rFonts w:ascii="仿宋" w:hAnsi="仿宋" w:eastAsia="仿宋" w:cs="仿宋"/>
          <w:szCs w:val="24"/>
          <w:highlight w:val="none"/>
        </w:rPr>
        <w:t>.</w:t>
      </w:r>
      <w:r>
        <w:rPr>
          <w:rFonts w:hint="eastAsia" w:ascii="仿宋" w:hAnsi="仿宋" w:eastAsia="仿宋" w:cs="仿宋"/>
          <w:szCs w:val="24"/>
          <w:highlight w:val="none"/>
        </w:rPr>
        <w:t>对完全响应的条目在本表相应列中标注“无偏离”。对有偏离的条目在本表相应列中标注“正偏离”或“负偏离”，同时在“偏离说明”栏中描述偏离的具体内容。</w:t>
      </w:r>
    </w:p>
    <w:p>
      <w:pPr>
        <w:snapToGrid w:val="0"/>
        <w:spacing w:line="360" w:lineRule="auto"/>
        <w:ind w:firstLine="420" w:firstLineChars="200"/>
        <w:rPr>
          <w:rFonts w:ascii="仿宋" w:hAnsi="仿宋" w:eastAsia="仿宋" w:cs="仿宋"/>
          <w:szCs w:val="24"/>
          <w:highlight w:val="none"/>
        </w:rPr>
      </w:pPr>
      <w:r>
        <w:rPr>
          <w:rFonts w:hint="eastAsia" w:ascii="仿宋" w:hAnsi="仿宋" w:eastAsia="仿宋" w:cs="仿宋"/>
          <w:szCs w:val="24"/>
          <w:highlight w:val="none"/>
        </w:rPr>
        <w:t>3</w:t>
      </w:r>
      <w:r>
        <w:rPr>
          <w:rFonts w:ascii="仿宋" w:hAnsi="仿宋" w:eastAsia="仿宋" w:cs="仿宋"/>
          <w:szCs w:val="24"/>
          <w:highlight w:val="none"/>
        </w:rPr>
        <w:t>.</w:t>
      </w:r>
      <w:r>
        <w:rPr>
          <w:rFonts w:hint="eastAsia" w:ascii="仿宋" w:hAnsi="仿宋" w:eastAsia="仿宋" w:cs="仿宋"/>
          <w:szCs w:val="24"/>
          <w:highlight w:val="none"/>
        </w:rPr>
        <w:t>正偏离是指响应内容高于（优于）招标文件要求且对项目实施有利，负偏离是指响应内容低于（劣于）招标文件要求或对项目实施不利。</w:t>
      </w:r>
    </w:p>
    <w:p>
      <w:pPr>
        <w:snapToGrid w:val="0"/>
        <w:spacing w:line="360" w:lineRule="auto"/>
        <w:ind w:firstLine="420" w:firstLineChars="200"/>
        <w:rPr>
          <w:rFonts w:ascii="仿宋" w:hAnsi="仿宋" w:eastAsia="仿宋" w:cs="仿宋"/>
          <w:szCs w:val="24"/>
          <w:highlight w:val="none"/>
        </w:rPr>
      </w:pPr>
      <w:r>
        <w:rPr>
          <w:rFonts w:hint="eastAsia" w:ascii="仿宋" w:hAnsi="仿宋" w:eastAsia="仿宋" w:cs="仿宋"/>
          <w:szCs w:val="24"/>
          <w:highlight w:val="none"/>
        </w:rPr>
        <w:t>4</w:t>
      </w:r>
      <w:r>
        <w:rPr>
          <w:rFonts w:ascii="仿宋" w:hAnsi="仿宋" w:eastAsia="仿宋" w:cs="仿宋"/>
          <w:szCs w:val="24"/>
          <w:highlight w:val="none"/>
        </w:rPr>
        <w:t>.</w:t>
      </w:r>
      <w:r>
        <w:rPr>
          <w:rFonts w:hint="eastAsia" w:ascii="仿宋" w:hAnsi="仿宋" w:eastAsia="仿宋" w:cs="仿宋"/>
          <w:szCs w:val="24"/>
          <w:highlight w:val="none"/>
        </w:rPr>
        <w:t>投标人须完整填写响应表。如果未完整填写本表的各项内容则视作投标人已经对招标文件相关要求和内容完全理解并同意，其投标报价为在此基础上的全部价格。</w:t>
      </w:r>
    </w:p>
    <w:p>
      <w:pPr>
        <w:snapToGrid w:val="0"/>
        <w:spacing w:line="360" w:lineRule="auto"/>
        <w:ind w:firstLine="420" w:firstLineChars="200"/>
        <w:rPr>
          <w:rFonts w:ascii="仿宋" w:hAnsi="仿宋" w:eastAsia="仿宋" w:cs="仿宋"/>
          <w:szCs w:val="24"/>
          <w:highlight w:val="none"/>
        </w:rPr>
      </w:pPr>
      <w:r>
        <w:rPr>
          <w:rFonts w:hint="eastAsia" w:ascii="仿宋" w:hAnsi="仿宋" w:eastAsia="仿宋" w:cs="仿宋"/>
          <w:szCs w:val="24"/>
          <w:highlight w:val="none"/>
        </w:rPr>
        <w:t>5</w:t>
      </w:r>
      <w:r>
        <w:rPr>
          <w:rFonts w:ascii="仿宋" w:hAnsi="仿宋" w:eastAsia="仿宋" w:cs="仿宋"/>
          <w:szCs w:val="24"/>
          <w:highlight w:val="none"/>
        </w:rPr>
        <w:t>.</w:t>
      </w:r>
      <w:r>
        <w:rPr>
          <w:rFonts w:hint="eastAsia" w:ascii="仿宋" w:hAnsi="仿宋" w:eastAsia="仿宋" w:cs="仿宋"/>
          <w:szCs w:val="24"/>
          <w:highlight w:val="none"/>
        </w:rPr>
        <w:t>在采购人与中标人签订合同时，如中标人未在投标文件“偏离表”中列出偏离情况，无论已发生或即将发生任何情形，均视为完全符合招标文件要求，并写入合同。若中标人在合同签订前，以上述事项为借口而不履行合同签订手续及执行合同，则视作拒绝与采购人签订合同</w:t>
      </w:r>
      <w:r>
        <w:rPr>
          <w:rFonts w:hint="eastAsia" w:ascii="仿宋" w:hAnsi="仿宋" w:eastAsia="仿宋" w:cs="仿宋"/>
          <w:szCs w:val="21"/>
          <w:highlight w:val="none"/>
        </w:rPr>
        <w:t>，并承当相关法律责任</w:t>
      </w:r>
      <w:r>
        <w:rPr>
          <w:rFonts w:ascii="仿宋" w:hAnsi="仿宋" w:eastAsia="仿宋" w:cs="仿宋"/>
          <w:szCs w:val="21"/>
          <w:highlight w:val="none"/>
        </w:rPr>
        <w:t>。</w:t>
      </w:r>
    </w:p>
    <w:p>
      <w:pPr>
        <w:ind w:right="240"/>
        <w:jc w:val="right"/>
        <w:rPr>
          <w:rFonts w:asciiTheme="minorHAnsi" w:hAnsiTheme="minorHAnsi" w:eastAsiaTheme="minorEastAsia" w:cstheme="minorBidi"/>
          <w:highlight w:val="none"/>
        </w:rPr>
      </w:pPr>
      <w:r>
        <w:rPr>
          <w:rFonts w:asciiTheme="minorHAnsi" w:hAnsiTheme="minorHAnsi" w:eastAsiaTheme="minorEastAsia" w:cstheme="minorBidi"/>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42" w:name="_Toc110245248"/>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5  </w:t>
      </w:r>
      <w:r>
        <w:rPr>
          <w:rFonts w:hint="eastAsia" w:ascii="仿宋" w:hAnsi="仿宋" w:eastAsia="仿宋" w:cs="仿宋"/>
          <w:b/>
          <w:bCs/>
          <w:kern w:val="1"/>
          <w:sz w:val="24"/>
          <w:szCs w:val="24"/>
          <w:highlight w:val="none"/>
        </w:rPr>
        <w:t>资格审查资料</w:t>
      </w:r>
      <w:bookmarkEnd w:id="142"/>
    </w:p>
    <w:p>
      <w:pPr>
        <w:keepNext/>
        <w:keepLines/>
        <w:spacing w:before="280" w:after="290" w:line="360" w:lineRule="auto"/>
        <w:ind w:left="284"/>
        <w:jc w:val="center"/>
        <w:rPr>
          <w:rFonts w:ascii="仿宋" w:hAnsi="仿宋" w:eastAsia="仿宋"/>
          <w:b/>
          <w:bCs/>
          <w:sz w:val="24"/>
          <w:szCs w:val="24"/>
          <w:highlight w:val="none"/>
        </w:rPr>
      </w:pPr>
      <w:bookmarkStart w:id="143" w:name="_Toc353957538"/>
      <w:bookmarkStart w:id="144" w:name="_Toc353957810"/>
      <w:bookmarkStart w:id="145" w:name="_Toc341805354"/>
      <w:r>
        <w:rPr>
          <w:rFonts w:hint="eastAsia" w:ascii="仿宋" w:hAnsi="仿宋" w:eastAsia="仿宋"/>
          <w:b/>
          <w:bCs/>
          <w:sz w:val="24"/>
          <w:szCs w:val="24"/>
          <w:highlight w:val="none"/>
        </w:rPr>
        <w:t>（一）承诺函</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我方作为本次采购项目的投标人，根据招标文件要求，现郑重承诺如下：</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一、我方具备《中华人民共和国政府采购法》第二十二条和本项目规定的条件：</w:t>
      </w:r>
    </w:p>
    <w:p>
      <w:pPr>
        <w:spacing w:line="360" w:lineRule="auto"/>
        <w:ind w:firstLine="240" w:firstLineChars="100"/>
        <w:rPr>
          <w:rFonts w:ascii="仿宋" w:hAnsi="仿宋" w:eastAsia="仿宋" w:cs="Times New Roman"/>
          <w:sz w:val="24"/>
          <w:szCs w:val="32"/>
          <w:highlight w:val="none"/>
        </w:rPr>
      </w:pPr>
      <w:r>
        <w:rPr>
          <w:rFonts w:hint="eastAsia" w:ascii="仿宋" w:hAnsi="仿宋" w:eastAsia="仿宋" w:cs="Times New Roman"/>
          <w:sz w:val="24"/>
          <w:szCs w:val="32"/>
          <w:highlight w:val="none"/>
        </w:rPr>
        <w:t xml:space="preserve">（一）具有独立承担民事责任的能力； </w:t>
      </w:r>
    </w:p>
    <w:p>
      <w:pPr>
        <w:spacing w:line="360" w:lineRule="auto"/>
        <w:ind w:firstLine="240" w:firstLineChars="100"/>
        <w:rPr>
          <w:rFonts w:ascii="仿宋" w:hAnsi="仿宋" w:eastAsia="仿宋" w:cs="Times New Roman"/>
          <w:sz w:val="24"/>
          <w:szCs w:val="32"/>
          <w:highlight w:val="none"/>
        </w:rPr>
      </w:pPr>
      <w:r>
        <w:rPr>
          <w:rFonts w:hint="eastAsia" w:ascii="仿宋" w:hAnsi="仿宋" w:eastAsia="仿宋" w:cs="Times New Roman"/>
          <w:sz w:val="24"/>
          <w:szCs w:val="32"/>
          <w:highlight w:val="none"/>
        </w:rPr>
        <w:t xml:space="preserve">（二）具有良好的商业信誉和健全的财务会计制度； </w:t>
      </w:r>
    </w:p>
    <w:p>
      <w:pPr>
        <w:spacing w:line="360" w:lineRule="auto"/>
        <w:ind w:firstLine="240" w:firstLineChars="100"/>
        <w:rPr>
          <w:rFonts w:ascii="仿宋" w:hAnsi="仿宋" w:eastAsia="仿宋" w:cs="Times New Roman"/>
          <w:sz w:val="24"/>
          <w:szCs w:val="32"/>
          <w:highlight w:val="none"/>
        </w:rPr>
      </w:pPr>
      <w:r>
        <w:rPr>
          <w:rFonts w:hint="eastAsia" w:ascii="仿宋" w:hAnsi="仿宋" w:eastAsia="仿宋" w:cs="Times New Roman"/>
          <w:sz w:val="24"/>
          <w:szCs w:val="32"/>
          <w:highlight w:val="none"/>
        </w:rPr>
        <w:t xml:space="preserve">（三）具有履行合同所必需的设备和专业技术能力； </w:t>
      </w:r>
    </w:p>
    <w:p>
      <w:pPr>
        <w:spacing w:line="360" w:lineRule="auto"/>
        <w:ind w:firstLine="240" w:firstLineChars="100"/>
        <w:rPr>
          <w:rFonts w:ascii="仿宋" w:hAnsi="仿宋" w:eastAsia="仿宋" w:cs="Times New Roman"/>
          <w:sz w:val="24"/>
          <w:szCs w:val="32"/>
          <w:highlight w:val="none"/>
        </w:rPr>
      </w:pPr>
      <w:r>
        <w:rPr>
          <w:rFonts w:hint="eastAsia" w:ascii="仿宋" w:hAnsi="仿宋" w:eastAsia="仿宋" w:cs="Times New Roman"/>
          <w:sz w:val="24"/>
          <w:szCs w:val="32"/>
          <w:highlight w:val="none"/>
        </w:rPr>
        <w:t xml:space="preserve">（四）有依法缴纳税收和社会保障资金的良好记录； </w:t>
      </w:r>
    </w:p>
    <w:p>
      <w:pPr>
        <w:spacing w:line="360" w:lineRule="auto"/>
        <w:ind w:firstLine="240" w:firstLineChars="100"/>
        <w:rPr>
          <w:rFonts w:ascii="仿宋" w:hAnsi="仿宋" w:eastAsia="仿宋" w:cs="Times New Roman"/>
          <w:sz w:val="24"/>
          <w:szCs w:val="32"/>
          <w:highlight w:val="none"/>
        </w:rPr>
      </w:pPr>
      <w:r>
        <w:rPr>
          <w:rFonts w:hint="eastAsia" w:ascii="仿宋" w:hAnsi="仿宋" w:eastAsia="仿宋" w:cs="Times New Roman"/>
          <w:sz w:val="24"/>
          <w:szCs w:val="32"/>
          <w:highlight w:val="none"/>
        </w:rPr>
        <w:t xml:space="preserve">（五）参加政府采购活动前三年内，在经营活动中没有重大违法记录； </w:t>
      </w:r>
    </w:p>
    <w:p>
      <w:pPr>
        <w:spacing w:line="360" w:lineRule="auto"/>
        <w:ind w:firstLine="240" w:firstLineChars="100"/>
        <w:rPr>
          <w:rFonts w:ascii="仿宋" w:hAnsi="仿宋" w:eastAsia="仿宋" w:cs="Times New Roman"/>
          <w:sz w:val="24"/>
          <w:szCs w:val="32"/>
          <w:highlight w:val="none"/>
        </w:rPr>
      </w:pPr>
      <w:r>
        <w:rPr>
          <w:rFonts w:hint="eastAsia" w:ascii="仿宋" w:hAnsi="仿宋" w:eastAsia="仿宋" w:cs="Times New Roman"/>
          <w:sz w:val="24"/>
          <w:szCs w:val="32"/>
          <w:highlight w:val="none"/>
        </w:rPr>
        <w:t>（六）供应商及所投产品还符合法律、行政法规规定的其它强制性条件。</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二、我方截至投标截止时间</w:t>
      </w:r>
      <w:r>
        <w:rPr>
          <w:rFonts w:hint="eastAsia" w:ascii="仿宋" w:hAnsi="仿宋" w:eastAsia="仿宋" w:cs="Times New Roman"/>
          <w:sz w:val="24"/>
          <w:szCs w:val="32"/>
          <w:highlight w:val="none"/>
          <w:u w:val="single"/>
        </w:rPr>
        <w:t xml:space="preserve"> 未被列入 </w:t>
      </w:r>
      <w:r>
        <w:rPr>
          <w:rFonts w:hint="eastAsia" w:ascii="仿宋" w:hAnsi="仿宋" w:eastAsia="仿宋" w:cs="Times New Roman"/>
          <w:sz w:val="24"/>
          <w:szCs w:val="32"/>
          <w:highlight w:val="none"/>
        </w:rPr>
        <w:t>失信被执行人、税收违法黑名单、政府采购严重违法失信行为记录名单。</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三、为采购项目提供整体设计、规范编制或者项目管理、监理、检测等服务的供应商，不得再参加该采购项目的其他采购活动，我方承诺</w:t>
      </w:r>
      <w:r>
        <w:rPr>
          <w:rFonts w:hint="eastAsia" w:ascii="仿宋" w:hAnsi="仿宋" w:eastAsia="仿宋" w:cs="Times New Roman"/>
          <w:sz w:val="24"/>
          <w:szCs w:val="32"/>
          <w:highlight w:val="none"/>
          <w:u w:val="single"/>
        </w:rPr>
        <w:t xml:space="preserve"> 不属于 </w:t>
      </w:r>
      <w:r>
        <w:rPr>
          <w:rFonts w:hint="eastAsia" w:ascii="仿宋" w:hAnsi="仿宋" w:eastAsia="仿宋" w:cs="Times New Roman"/>
          <w:sz w:val="24"/>
          <w:szCs w:val="32"/>
          <w:highlight w:val="none"/>
        </w:rPr>
        <w:t>此类禁止参加本项目的供应商。</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四、参加本次招标采购活动，我方</w:t>
      </w:r>
      <w:r>
        <w:rPr>
          <w:rFonts w:hint="eastAsia" w:ascii="仿宋" w:hAnsi="仿宋" w:eastAsia="仿宋" w:cs="Times New Roman"/>
          <w:sz w:val="24"/>
          <w:szCs w:val="32"/>
          <w:highlight w:val="none"/>
          <w:u w:val="single"/>
        </w:rPr>
        <w:t xml:space="preserve"> 不存在 </w:t>
      </w:r>
      <w:r>
        <w:rPr>
          <w:rFonts w:hint="eastAsia" w:ascii="仿宋" w:hAnsi="仿宋" w:eastAsia="仿宋" w:cs="Times New Roman"/>
          <w:sz w:val="24"/>
          <w:szCs w:val="32"/>
          <w:highlight w:val="none"/>
        </w:rPr>
        <w:t>和其他供应商在同一合同项下的采购项目中同时委托同一个自然人、同一家庭的人员、同一单位的人员作为代理人的行为。</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五、与我方单位负责人为同一人或者存在控股、管理关系的不同单位，</w:t>
      </w:r>
      <w:r>
        <w:rPr>
          <w:rFonts w:hint="eastAsia" w:ascii="仿宋" w:hAnsi="仿宋" w:eastAsia="仿宋" w:cs="Times New Roman"/>
          <w:sz w:val="24"/>
          <w:szCs w:val="32"/>
          <w:highlight w:val="none"/>
          <w:u w:val="single"/>
        </w:rPr>
        <w:t xml:space="preserve"> 未同时 </w:t>
      </w:r>
      <w:r>
        <w:rPr>
          <w:rFonts w:hint="eastAsia" w:ascii="仿宋" w:hAnsi="仿宋" w:eastAsia="仿宋" w:cs="Times New Roman"/>
          <w:sz w:val="24"/>
          <w:szCs w:val="32"/>
          <w:highlight w:val="none"/>
        </w:rPr>
        <w:t>参加本项目，具体情况如下：</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（一）与我方的法定代表人（单位负责人）为同一人的单位：</w:t>
      </w:r>
    </w:p>
    <w:p>
      <w:pPr>
        <w:spacing w:line="360" w:lineRule="auto"/>
        <w:ind w:firstLine="480" w:firstLineChars="200"/>
        <w:rPr>
          <w:rFonts w:ascii="仿宋" w:hAnsi="仿宋" w:eastAsia="仿宋" w:cs="Times New Roman"/>
          <w:sz w:val="24"/>
          <w:szCs w:val="32"/>
          <w:highlight w:val="none"/>
          <w:u w:val="single"/>
        </w:rPr>
      </w:pPr>
      <w:r>
        <w:rPr>
          <w:rFonts w:hint="eastAsia" w:ascii="仿宋" w:hAnsi="仿宋" w:eastAsia="仿宋" w:cs="Times New Roman"/>
          <w:sz w:val="24"/>
          <w:szCs w:val="32"/>
          <w:highlight w:val="none"/>
          <w:u w:val="single"/>
        </w:rPr>
        <w:t xml:space="preserve"> </w:t>
      </w:r>
      <w:r>
        <w:rPr>
          <w:rFonts w:ascii="仿宋" w:hAnsi="仿宋" w:eastAsia="仿宋" w:cs="Times New Roman"/>
          <w:sz w:val="24"/>
          <w:szCs w:val="32"/>
          <w:highlight w:val="none"/>
          <w:u w:val="single"/>
        </w:rPr>
        <w:t xml:space="preserve">                                                             </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（二）我方的控股股东：</w:t>
      </w:r>
    </w:p>
    <w:p>
      <w:pPr>
        <w:spacing w:line="360" w:lineRule="auto"/>
        <w:ind w:firstLine="480" w:firstLineChars="200"/>
        <w:rPr>
          <w:rFonts w:ascii="仿宋" w:hAnsi="仿宋" w:eastAsia="仿宋" w:cs="Times New Roman"/>
          <w:sz w:val="24"/>
          <w:szCs w:val="32"/>
          <w:highlight w:val="none"/>
          <w:u w:val="single"/>
        </w:rPr>
      </w:pPr>
      <w:r>
        <w:rPr>
          <w:rFonts w:hint="eastAsia" w:ascii="仿宋" w:hAnsi="仿宋" w:eastAsia="仿宋" w:cs="Times New Roman"/>
          <w:sz w:val="24"/>
          <w:szCs w:val="32"/>
          <w:highlight w:val="none"/>
          <w:u w:val="single"/>
        </w:rPr>
        <w:t xml:space="preserve"> </w:t>
      </w:r>
      <w:r>
        <w:rPr>
          <w:rFonts w:ascii="仿宋" w:hAnsi="仿宋" w:eastAsia="仿宋" w:cs="Times New Roman"/>
          <w:sz w:val="24"/>
          <w:szCs w:val="32"/>
          <w:highlight w:val="none"/>
          <w:u w:val="single"/>
        </w:rPr>
        <w:t xml:space="preserve">                                                             </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（三）我方直接控股的单位：</w:t>
      </w:r>
    </w:p>
    <w:p>
      <w:pPr>
        <w:spacing w:line="360" w:lineRule="auto"/>
        <w:ind w:firstLine="480" w:firstLineChars="200"/>
        <w:rPr>
          <w:rFonts w:ascii="仿宋" w:hAnsi="仿宋" w:eastAsia="仿宋" w:cs="Times New Roman"/>
          <w:sz w:val="24"/>
          <w:szCs w:val="32"/>
          <w:highlight w:val="none"/>
          <w:u w:val="single"/>
        </w:rPr>
      </w:pPr>
      <w:r>
        <w:rPr>
          <w:rFonts w:hint="eastAsia" w:ascii="仿宋" w:hAnsi="仿宋" w:eastAsia="仿宋" w:cs="Times New Roman"/>
          <w:sz w:val="24"/>
          <w:szCs w:val="32"/>
          <w:highlight w:val="none"/>
          <w:u w:val="single"/>
        </w:rPr>
        <w:t xml:space="preserve"> </w:t>
      </w:r>
      <w:r>
        <w:rPr>
          <w:rFonts w:ascii="仿宋" w:hAnsi="仿宋" w:eastAsia="仿宋" w:cs="Times New Roman"/>
          <w:sz w:val="24"/>
          <w:szCs w:val="32"/>
          <w:highlight w:val="none"/>
          <w:u w:val="single"/>
        </w:rPr>
        <w:t xml:space="preserve">                                                             </w:t>
      </w: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（四）与我方存在管理、被管理关系的单位名称：</w:t>
      </w:r>
    </w:p>
    <w:p>
      <w:pPr>
        <w:spacing w:line="360" w:lineRule="auto"/>
        <w:ind w:firstLine="480" w:firstLineChars="200"/>
        <w:rPr>
          <w:rFonts w:ascii="仿宋" w:hAnsi="仿宋" w:eastAsia="仿宋" w:cs="Times New Roman"/>
          <w:sz w:val="24"/>
          <w:szCs w:val="32"/>
          <w:highlight w:val="none"/>
          <w:u w:val="single"/>
        </w:rPr>
      </w:pPr>
      <w:r>
        <w:rPr>
          <w:rFonts w:hint="eastAsia" w:ascii="仿宋" w:hAnsi="仿宋" w:eastAsia="仿宋" w:cs="Times New Roman"/>
          <w:sz w:val="24"/>
          <w:szCs w:val="32"/>
          <w:highlight w:val="none"/>
          <w:u w:val="single"/>
        </w:rPr>
        <w:t xml:space="preserve"> </w:t>
      </w:r>
      <w:r>
        <w:rPr>
          <w:rFonts w:ascii="仿宋" w:hAnsi="仿宋" w:eastAsia="仿宋" w:cs="Times New Roman"/>
          <w:sz w:val="24"/>
          <w:szCs w:val="32"/>
          <w:highlight w:val="none"/>
          <w:u w:val="single"/>
        </w:rPr>
        <w:t xml:space="preserve">                                                             </w:t>
      </w:r>
    </w:p>
    <w:p>
      <w:pPr>
        <w:numPr>
          <w:ilvl w:val="0"/>
          <w:numId w:val="1"/>
        </w:num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我方提供所有文件、资料真实有效。</w:t>
      </w:r>
    </w:p>
    <w:p>
      <w:pPr>
        <w:numPr>
          <w:ilvl w:val="0"/>
          <w:numId w:val="1"/>
        </w:num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投标文件不含有采购人不能接受的附加条件，且满足招标文件其他实质性要求。</w:t>
      </w:r>
    </w:p>
    <w:p>
      <w:pPr>
        <w:spacing w:line="360" w:lineRule="auto"/>
        <w:ind w:firstLine="480" w:firstLineChars="200"/>
        <w:rPr>
          <w:rFonts w:ascii="仿宋" w:hAnsi="仿宋" w:eastAsia="仿宋" w:cs="Times New Roman"/>
          <w:sz w:val="24"/>
          <w:szCs w:val="32"/>
          <w:highlight w:val="none"/>
        </w:rPr>
      </w:pPr>
    </w:p>
    <w:p>
      <w:pPr>
        <w:spacing w:line="360" w:lineRule="auto"/>
        <w:ind w:firstLine="480" w:firstLineChars="200"/>
        <w:rPr>
          <w:rFonts w:ascii="仿宋" w:hAnsi="仿宋" w:eastAsia="仿宋" w:cs="Times New Roman"/>
          <w:sz w:val="24"/>
          <w:szCs w:val="32"/>
          <w:highlight w:val="none"/>
        </w:rPr>
      </w:pPr>
      <w:r>
        <w:rPr>
          <w:rFonts w:hint="eastAsia" w:ascii="仿宋" w:hAnsi="仿宋" w:eastAsia="仿宋" w:cs="Times New Roman"/>
          <w:sz w:val="24"/>
          <w:szCs w:val="32"/>
          <w:highlight w:val="none"/>
        </w:rPr>
        <w:t>本公司对上述承诺的内容事项真实性负责。如经查实上述承诺的内容事项存在虚假，我公司愿意接受以提供虚假材料谋取中标追究法律责任。</w:t>
      </w:r>
    </w:p>
    <w:p>
      <w:pPr>
        <w:spacing w:line="360" w:lineRule="auto"/>
        <w:ind w:firstLine="480" w:firstLineChars="200"/>
        <w:rPr>
          <w:rFonts w:ascii="仿宋" w:hAnsi="仿宋" w:eastAsia="仿宋" w:cs="Times New Roman"/>
          <w:sz w:val="24"/>
          <w:szCs w:val="32"/>
          <w:highlight w:val="none"/>
        </w:rPr>
      </w:pPr>
    </w:p>
    <w:tbl>
      <w:tblPr>
        <w:tblStyle w:val="9"/>
        <w:tblW w:w="9148" w:type="dxa"/>
        <w:jc w:val="center"/>
        <w:tblLayout w:type="fixed"/>
        <w:tblCellMar>
          <w:top w:w="0" w:type="dxa"/>
          <w:left w:w="108" w:type="dxa"/>
          <w:bottom w:w="0" w:type="dxa"/>
          <w:right w:w="108" w:type="dxa"/>
        </w:tblCellMar>
      </w:tblPr>
      <w:tblGrid>
        <w:gridCol w:w="1670"/>
        <w:gridCol w:w="2805"/>
        <w:gridCol w:w="2250"/>
        <w:gridCol w:w="2423"/>
      </w:tblGrid>
      <w:tr>
        <w:tblPrEx>
          <w:tblCellMar>
            <w:top w:w="0" w:type="dxa"/>
            <w:left w:w="108" w:type="dxa"/>
            <w:bottom w:w="0" w:type="dxa"/>
            <w:right w:w="108" w:type="dxa"/>
          </w:tblCellMar>
        </w:tblPrEx>
        <w:trPr>
          <w:trHeight w:val="1099" w:hRule="atLeast"/>
          <w:jc w:val="center"/>
        </w:trPr>
        <w:tc>
          <w:tcPr>
            <w:tcW w:w="1670"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805"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250"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423"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907" w:hRule="atLeast"/>
          <w:jc w:val="center"/>
        </w:trPr>
        <w:tc>
          <w:tcPr>
            <w:tcW w:w="4475" w:type="dxa"/>
            <w:gridSpan w:val="2"/>
            <w:vAlign w:val="center"/>
          </w:tcPr>
          <w:p>
            <w:pPr>
              <w:ind w:left="2520" w:leftChars="1200"/>
              <w:rPr>
                <w:rFonts w:ascii="仿宋" w:hAnsi="仿宋" w:eastAsia="仿宋" w:cs="仿宋"/>
                <w:sz w:val="24"/>
                <w:szCs w:val="24"/>
                <w:highlight w:val="none"/>
              </w:rPr>
            </w:pPr>
          </w:p>
        </w:tc>
        <w:tc>
          <w:tcPr>
            <w:tcW w:w="4673" w:type="dxa"/>
            <w:gridSpan w:val="2"/>
            <w:vAlign w:val="center"/>
          </w:tcPr>
          <w:p>
            <w:pPr>
              <w:ind w:left="2520" w:leftChars="1200"/>
              <w:rPr>
                <w:rFonts w:ascii="仿宋" w:hAnsi="仿宋" w:eastAsia="仿宋" w:cs="仿宋"/>
                <w:sz w:val="24"/>
                <w:szCs w:val="24"/>
                <w:highlight w:val="none"/>
              </w:rPr>
            </w:pPr>
            <w:r>
              <w:rPr>
                <w:rFonts w:hint="eastAsia" w:ascii="仿宋" w:hAnsi="仿宋" w:eastAsia="仿宋" w:cs="仿宋"/>
                <w:sz w:val="24"/>
                <w:szCs w:val="24"/>
                <w:highlight w:val="none"/>
              </w:rPr>
              <w:t>年    月    日</w:t>
            </w:r>
          </w:p>
        </w:tc>
      </w:tr>
    </w:tbl>
    <w:p>
      <w:pPr>
        <w:jc w:val="center"/>
        <w:rPr>
          <w:rFonts w:ascii="仿宋" w:hAnsi="仿宋" w:eastAsia="仿宋" w:cs="仿宋"/>
          <w:b/>
          <w:sz w:val="24"/>
          <w:szCs w:val="24"/>
          <w:highlight w:val="none"/>
        </w:rPr>
      </w:pPr>
      <w:r>
        <w:rPr>
          <w:rFonts w:ascii="仿宋" w:hAnsi="仿宋" w:eastAsia="仿宋" w:cs="仿宋"/>
          <w:b/>
          <w:sz w:val="24"/>
          <w:szCs w:val="24"/>
          <w:highlight w:val="none"/>
        </w:rPr>
        <w:br w:type="page"/>
      </w:r>
      <w:r>
        <w:rPr>
          <w:rFonts w:hint="eastAsia" w:ascii="仿宋" w:hAnsi="仿宋" w:eastAsia="仿宋" w:cs="仿宋"/>
          <w:b/>
          <w:sz w:val="24"/>
          <w:szCs w:val="24"/>
          <w:highlight w:val="none"/>
        </w:rPr>
        <w:t>（二）供应商基本情况表</w:t>
      </w:r>
      <w:bookmarkEnd w:id="143"/>
      <w:bookmarkEnd w:id="144"/>
      <w:bookmarkEnd w:id="145"/>
    </w:p>
    <w:tbl>
      <w:tblPr>
        <w:tblStyle w:val="9"/>
        <w:tblW w:w="8814" w:type="dxa"/>
        <w:jc w:val="center"/>
        <w:tblLayout w:type="fixed"/>
        <w:tblCellMar>
          <w:top w:w="0" w:type="dxa"/>
          <w:left w:w="108" w:type="dxa"/>
          <w:bottom w:w="0" w:type="dxa"/>
          <w:right w:w="108" w:type="dxa"/>
        </w:tblCellMar>
      </w:tblPr>
      <w:tblGrid>
        <w:gridCol w:w="1322"/>
        <w:gridCol w:w="1589"/>
        <w:gridCol w:w="1200"/>
        <w:gridCol w:w="1517"/>
        <w:gridCol w:w="1189"/>
        <w:gridCol w:w="1997"/>
      </w:tblGrid>
      <w:tr>
        <w:tblPrEx>
          <w:tblCellMar>
            <w:top w:w="0" w:type="dxa"/>
            <w:left w:w="108" w:type="dxa"/>
            <w:bottom w:w="0" w:type="dxa"/>
            <w:right w:w="108" w:type="dxa"/>
          </w:tblCellMar>
        </w:tblPrEx>
        <w:trPr>
          <w:trHeight w:val="405" w:hRule="atLeast"/>
          <w:jc w:val="center"/>
        </w:trPr>
        <w:tc>
          <w:tcPr>
            <w:tcW w:w="132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企业名称</w:t>
            </w:r>
          </w:p>
        </w:tc>
        <w:tc>
          <w:tcPr>
            <w:tcW w:w="278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p>
        </w:tc>
        <w:tc>
          <w:tcPr>
            <w:tcW w:w="15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负 责 人</w:t>
            </w:r>
          </w:p>
        </w:tc>
        <w:tc>
          <w:tcPr>
            <w:tcW w:w="318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p>
        </w:tc>
      </w:tr>
      <w:tr>
        <w:tblPrEx>
          <w:tblCellMar>
            <w:top w:w="0" w:type="dxa"/>
            <w:left w:w="108" w:type="dxa"/>
            <w:bottom w:w="0" w:type="dxa"/>
            <w:right w:w="108" w:type="dxa"/>
          </w:tblCellMar>
        </w:tblPrEx>
        <w:trPr>
          <w:trHeight w:val="405" w:hRule="atLeast"/>
          <w:jc w:val="center"/>
        </w:trPr>
        <w:tc>
          <w:tcPr>
            <w:tcW w:w="132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注册地址</w:t>
            </w:r>
          </w:p>
        </w:tc>
        <w:tc>
          <w:tcPr>
            <w:tcW w:w="278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p>
        </w:tc>
        <w:tc>
          <w:tcPr>
            <w:tcW w:w="15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邮政编码</w:t>
            </w:r>
          </w:p>
        </w:tc>
        <w:tc>
          <w:tcPr>
            <w:tcW w:w="318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p>
        </w:tc>
      </w:tr>
      <w:tr>
        <w:tblPrEx>
          <w:tblCellMar>
            <w:top w:w="0" w:type="dxa"/>
            <w:left w:w="108" w:type="dxa"/>
            <w:bottom w:w="0" w:type="dxa"/>
            <w:right w:w="108" w:type="dxa"/>
          </w:tblCellMar>
        </w:tblPrEx>
        <w:trPr>
          <w:trHeight w:val="435" w:hRule="atLeast"/>
          <w:jc w:val="center"/>
        </w:trPr>
        <w:tc>
          <w:tcPr>
            <w:tcW w:w="132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成立时间</w:t>
            </w:r>
          </w:p>
        </w:tc>
        <w:tc>
          <w:tcPr>
            <w:tcW w:w="158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p>
        </w:tc>
        <w:tc>
          <w:tcPr>
            <w:tcW w:w="120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电话</w:t>
            </w:r>
          </w:p>
        </w:tc>
        <w:tc>
          <w:tcPr>
            <w:tcW w:w="15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p>
        </w:tc>
        <w:tc>
          <w:tcPr>
            <w:tcW w:w="118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传真</w:t>
            </w:r>
          </w:p>
        </w:tc>
        <w:tc>
          <w:tcPr>
            <w:tcW w:w="199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p>
        </w:tc>
      </w:tr>
      <w:tr>
        <w:tblPrEx>
          <w:tblCellMar>
            <w:top w:w="0" w:type="dxa"/>
            <w:left w:w="108" w:type="dxa"/>
            <w:bottom w:w="0" w:type="dxa"/>
            <w:right w:w="108" w:type="dxa"/>
          </w:tblCellMar>
        </w:tblPrEx>
        <w:trPr>
          <w:trHeight w:val="7240" w:hRule="atLeast"/>
          <w:jc w:val="center"/>
        </w:trPr>
        <w:tc>
          <w:tcPr>
            <w:tcW w:w="132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r>
              <w:rPr>
                <w:rFonts w:hint="eastAsia" w:ascii="仿宋" w:hAnsi="仿宋" w:eastAsia="仿宋" w:cs="仿宋"/>
                <w:kern w:val="1"/>
                <w:sz w:val="24"/>
                <w:szCs w:val="24"/>
                <w:highlight w:val="none"/>
              </w:rPr>
              <w:t>企业简介</w:t>
            </w:r>
          </w:p>
        </w:tc>
        <w:tc>
          <w:tcPr>
            <w:tcW w:w="7492"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1"/>
                <w:sz w:val="24"/>
                <w:szCs w:val="24"/>
                <w:highlight w:val="none"/>
              </w:rPr>
            </w:pPr>
          </w:p>
        </w:tc>
      </w:tr>
    </w:tbl>
    <w:p>
      <w:pPr>
        <w:rPr>
          <w:rFonts w:ascii="仿宋" w:hAnsi="仿宋" w:eastAsia="仿宋" w:cs="Times New Roman"/>
          <w:b/>
          <w:bCs/>
          <w:sz w:val="24"/>
          <w:szCs w:val="24"/>
          <w:highlight w:val="none"/>
        </w:rPr>
      </w:pPr>
    </w:p>
    <w:tbl>
      <w:tblPr>
        <w:tblStyle w:val="9"/>
        <w:tblW w:w="9148" w:type="dxa"/>
        <w:jc w:val="center"/>
        <w:tblLayout w:type="fixed"/>
        <w:tblCellMar>
          <w:top w:w="0" w:type="dxa"/>
          <w:left w:w="108" w:type="dxa"/>
          <w:bottom w:w="0" w:type="dxa"/>
          <w:right w:w="108" w:type="dxa"/>
        </w:tblCellMar>
      </w:tblPr>
      <w:tblGrid>
        <w:gridCol w:w="1670"/>
        <w:gridCol w:w="2805"/>
        <w:gridCol w:w="2250"/>
        <w:gridCol w:w="2423"/>
      </w:tblGrid>
      <w:tr>
        <w:tblPrEx>
          <w:tblCellMar>
            <w:top w:w="0" w:type="dxa"/>
            <w:left w:w="108" w:type="dxa"/>
            <w:bottom w:w="0" w:type="dxa"/>
            <w:right w:w="108" w:type="dxa"/>
          </w:tblCellMar>
        </w:tblPrEx>
        <w:trPr>
          <w:trHeight w:val="1099" w:hRule="atLeast"/>
          <w:jc w:val="center"/>
        </w:trPr>
        <w:tc>
          <w:tcPr>
            <w:tcW w:w="1670"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805"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250"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423"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907" w:hRule="atLeast"/>
          <w:jc w:val="center"/>
        </w:trPr>
        <w:tc>
          <w:tcPr>
            <w:tcW w:w="4475" w:type="dxa"/>
            <w:gridSpan w:val="2"/>
            <w:vAlign w:val="center"/>
          </w:tcPr>
          <w:p>
            <w:pPr>
              <w:ind w:left="2520" w:leftChars="1200"/>
              <w:rPr>
                <w:rFonts w:ascii="仿宋" w:hAnsi="仿宋" w:eastAsia="仿宋" w:cs="仿宋"/>
                <w:sz w:val="24"/>
                <w:szCs w:val="24"/>
                <w:highlight w:val="none"/>
              </w:rPr>
            </w:pPr>
          </w:p>
        </w:tc>
        <w:tc>
          <w:tcPr>
            <w:tcW w:w="4673" w:type="dxa"/>
            <w:gridSpan w:val="2"/>
            <w:vAlign w:val="center"/>
          </w:tcPr>
          <w:p>
            <w:pPr>
              <w:ind w:left="2520" w:leftChars="1200"/>
              <w:rPr>
                <w:rFonts w:ascii="仿宋" w:hAnsi="仿宋" w:eastAsia="仿宋" w:cs="仿宋"/>
                <w:sz w:val="24"/>
                <w:szCs w:val="24"/>
                <w:highlight w:val="none"/>
              </w:rPr>
            </w:pPr>
            <w:r>
              <w:rPr>
                <w:rFonts w:hint="eastAsia" w:ascii="仿宋" w:hAnsi="仿宋" w:eastAsia="仿宋" w:cs="仿宋"/>
                <w:sz w:val="24"/>
                <w:szCs w:val="24"/>
                <w:highlight w:val="none"/>
              </w:rPr>
              <w:t>年    月    日</w:t>
            </w:r>
          </w:p>
        </w:tc>
      </w:tr>
    </w:tbl>
    <w:p>
      <w:pPr>
        <w:rPr>
          <w:rFonts w:ascii="仿宋" w:hAnsi="仿宋" w:eastAsia="仿宋" w:cs="仿宋"/>
          <w:b/>
          <w:kern w:val="1"/>
          <w:sz w:val="36"/>
          <w:szCs w:val="36"/>
          <w:highlight w:val="none"/>
        </w:rPr>
      </w:pPr>
    </w:p>
    <w:p>
      <w:pPr>
        <w:spacing w:line="360" w:lineRule="auto"/>
        <w:jc w:val="center"/>
        <w:rPr>
          <w:rFonts w:ascii="仿宋" w:hAnsi="仿宋" w:eastAsia="仿宋" w:cs="仿宋"/>
          <w:b/>
          <w:sz w:val="24"/>
          <w:szCs w:val="24"/>
          <w:highlight w:val="none"/>
        </w:rPr>
      </w:pPr>
      <w:bookmarkStart w:id="146" w:name="_Toc341805355"/>
      <w:bookmarkStart w:id="147" w:name="_Toc353957811"/>
      <w:bookmarkStart w:id="148" w:name="_Toc353957539"/>
      <w:r>
        <w:rPr>
          <w:rFonts w:ascii="仿宋" w:hAnsi="仿宋" w:eastAsia="仿宋" w:cs="仿宋"/>
          <w:b/>
          <w:sz w:val="24"/>
          <w:szCs w:val="24"/>
          <w:highlight w:val="none"/>
        </w:rPr>
        <w:br w:type="page"/>
      </w:r>
    </w:p>
    <w:p>
      <w:pPr>
        <w:spacing w:line="360" w:lineRule="auto"/>
        <w:jc w:val="center"/>
        <w:rPr>
          <w:rFonts w:ascii="仿宋" w:hAnsi="仿宋" w:eastAsia="仿宋" w:cs="仿宋"/>
          <w:b/>
          <w:sz w:val="24"/>
          <w:szCs w:val="24"/>
          <w:highlight w:val="none"/>
        </w:rPr>
      </w:pPr>
      <w:r>
        <w:rPr>
          <w:rFonts w:hint="eastAsia" w:ascii="仿宋" w:hAnsi="仿宋" w:eastAsia="仿宋" w:cs="仿宋"/>
          <w:b/>
          <w:sz w:val="24"/>
          <w:szCs w:val="24"/>
          <w:highlight w:val="none"/>
        </w:rPr>
        <w:t>（三）具有独立承担民事责任的能力</w:t>
      </w:r>
    </w:p>
    <w:p>
      <w:pPr>
        <w:spacing w:line="360" w:lineRule="auto"/>
        <w:rPr>
          <w:rFonts w:ascii="仿宋" w:hAnsi="仿宋" w:eastAsia="仿宋" w:cs="仿宋"/>
          <w:b/>
          <w:sz w:val="24"/>
          <w:szCs w:val="24"/>
          <w:highlight w:val="none"/>
        </w:rPr>
      </w:pPr>
    </w:p>
    <w:p>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bCs/>
          <w:sz w:val="24"/>
          <w:szCs w:val="24"/>
          <w:highlight w:val="none"/>
        </w:rPr>
        <w:t>（</w:t>
      </w:r>
      <w:r>
        <w:rPr>
          <w:rFonts w:ascii="仿宋" w:hAnsi="仿宋" w:eastAsia="仿宋" w:cs="仿宋"/>
          <w:bCs/>
          <w:sz w:val="24"/>
          <w:szCs w:val="24"/>
          <w:highlight w:val="none"/>
        </w:rPr>
        <w:t>1）供应商若为企业法人：提供“统一社会信用代码营业执照”；</w:t>
      </w:r>
    </w:p>
    <w:p>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bCs/>
          <w:sz w:val="24"/>
          <w:szCs w:val="24"/>
          <w:highlight w:val="none"/>
        </w:rPr>
        <w:t>（</w:t>
      </w:r>
      <w:r>
        <w:rPr>
          <w:rFonts w:ascii="仿宋" w:hAnsi="仿宋" w:eastAsia="仿宋" w:cs="仿宋"/>
          <w:bCs/>
          <w:sz w:val="24"/>
          <w:szCs w:val="24"/>
          <w:highlight w:val="none"/>
        </w:rPr>
        <w:t>2）若为事业法人：提供“统一社会信用代码事业单位法人证书”；</w:t>
      </w:r>
    </w:p>
    <w:p>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bCs/>
          <w:sz w:val="24"/>
          <w:szCs w:val="24"/>
          <w:highlight w:val="none"/>
        </w:rPr>
        <w:t>（</w:t>
      </w:r>
      <w:r>
        <w:rPr>
          <w:rFonts w:ascii="仿宋" w:hAnsi="仿宋" w:eastAsia="仿宋" w:cs="仿宋"/>
          <w:bCs/>
          <w:sz w:val="24"/>
          <w:szCs w:val="24"/>
          <w:highlight w:val="none"/>
        </w:rPr>
        <w:t>3）若为其他组织：提供“对应主管部门颁发的准许执业证明文件或营业执照”；</w:t>
      </w:r>
    </w:p>
    <w:p>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bCs/>
          <w:sz w:val="24"/>
          <w:szCs w:val="24"/>
          <w:highlight w:val="none"/>
        </w:rPr>
        <w:t>（</w:t>
      </w:r>
      <w:r>
        <w:rPr>
          <w:rFonts w:ascii="仿宋" w:hAnsi="仿宋" w:eastAsia="仿宋" w:cs="仿宋"/>
          <w:bCs/>
          <w:sz w:val="24"/>
          <w:szCs w:val="24"/>
          <w:highlight w:val="none"/>
        </w:rPr>
        <w:t>4）若为自然人：提供“身份证明材料”。</w:t>
      </w:r>
    </w:p>
    <w:p>
      <w:pPr>
        <w:spacing w:line="360" w:lineRule="auto"/>
        <w:rPr>
          <w:rFonts w:ascii="仿宋" w:hAnsi="仿宋" w:eastAsia="仿宋" w:cs="仿宋"/>
          <w:bCs/>
          <w:sz w:val="24"/>
          <w:szCs w:val="24"/>
          <w:highlight w:val="none"/>
        </w:rPr>
      </w:pPr>
    </w:p>
    <w:p>
      <w:pPr>
        <w:spacing w:line="360" w:lineRule="auto"/>
        <w:ind w:firstLine="420" w:firstLineChars="200"/>
        <w:jc w:val="left"/>
        <w:rPr>
          <w:rFonts w:ascii="仿宋" w:hAnsi="仿宋" w:eastAsia="仿宋" w:cs="仿宋"/>
          <w:bCs/>
          <w:szCs w:val="21"/>
          <w:highlight w:val="none"/>
        </w:rPr>
      </w:pPr>
      <w:r>
        <w:rPr>
          <w:rFonts w:hint="eastAsia" w:ascii="仿宋" w:hAnsi="仿宋" w:eastAsia="仿宋" w:cs="仿宋"/>
          <w:bCs/>
          <w:szCs w:val="21"/>
          <w:highlight w:val="none"/>
        </w:rPr>
        <w:t>说明：证明材料需提供复印件加盖投标人公章。</w:t>
      </w:r>
    </w:p>
    <w:p>
      <w:pPr>
        <w:spacing w:line="360" w:lineRule="auto"/>
        <w:jc w:val="center"/>
        <w:rPr>
          <w:rFonts w:ascii="仿宋" w:hAnsi="仿宋" w:eastAsia="仿宋" w:cs="仿宋"/>
          <w:b/>
          <w:sz w:val="24"/>
          <w:szCs w:val="24"/>
          <w:highlight w:val="none"/>
        </w:rPr>
      </w:pPr>
      <w:r>
        <w:rPr>
          <w:rFonts w:ascii="仿宋" w:hAnsi="仿宋" w:eastAsia="仿宋" w:cs="仿宋"/>
          <w:b/>
          <w:sz w:val="24"/>
          <w:szCs w:val="24"/>
          <w:highlight w:val="none"/>
        </w:rPr>
        <w:br w:type="page"/>
      </w:r>
    </w:p>
    <w:p>
      <w:pPr>
        <w:spacing w:line="360" w:lineRule="auto"/>
        <w:jc w:val="center"/>
        <w:rPr>
          <w:rFonts w:ascii="仿宋" w:hAnsi="仿宋" w:eastAsia="仿宋" w:cs="仿宋"/>
          <w:b/>
          <w:sz w:val="24"/>
          <w:szCs w:val="24"/>
          <w:highlight w:val="none"/>
        </w:rPr>
      </w:pPr>
      <w:r>
        <w:rPr>
          <w:rFonts w:hint="eastAsia" w:ascii="仿宋" w:hAnsi="仿宋" w:eastAsia="仿宋" w:cs="仿宋"/>
          <w:b/>
          <w:sz w:val="24"/>
          <w:szCs w:val="24"/>
          <w:highlight w:val="none"/>
        </w:rPr>
        <w:t>（四）</w:t>
      </w:r>
      <w:bookmarkEnd w:id="146"/>
      <w:bookmarkEnd w:id="147"/>
      <w:bookmarkEnd w:id="148"/>
      <w:r>
        <w:rPr>
          <w:rFonts w:hint="eastAsia" w:ascii="仿宋" w:hAnsi="仿宋" w:eastAsia="仿宋" w:cs="仿宋"/>
          <w:b/>
          <w:sz w:val="24"/>
          <w:szCs w:val="24"/>
          <w:highlight w:val="none"/>
        </w:rPr>
        <w:t>具有良好的商业信誉和健全的财务会计制度</w:t>
      </w:r>
    </w:p>
    <w:p>
      <w:pPr>
        <w:spacing w:line="360" w:lineRule="auto"/>
        <w:ind w:firstLine="480" w:firstLineChars="200"/>
        <w:jc w:val="left"/>
        <w:rPr>
          <w:rFonts w:ascii="仿宋" w:hAnsi="仿宋" w:eastAsia="仿宋" w:cs="仿宋"/>
          <w:sz w:val="24"/>
          <w:szCs w:val="24"/>
          <w:highlight w:val="none"/>
        </w:rPr>
      </w:pPr>
    </w:p>
    <w:p>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bCs/>
          <w:sz w:val="24"/>
          <w:szCs w:val="24"/>
          <w:highlight w:val="none"/>
        </w:rPr>
        <w:t>提供</w:t>
      </w:r>
      <w:r>
        <w:rPr>
          <w:rFonts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1</w:t>
      </w:r>
      <w:r>
        <w:rPr>
          <w:rFonts w:ascii="仿宋" w:hAnsi="仿宋" w:eastAsia="仿宋" w:cs="仿宋"/>
          <w:bCs/>
          <w:sz w:val="24"/>
          <w:szCs w:val="24"/>
          <w:highlight w:val="none"/>
        </w:rPr>
        <w:t>年度或202</w:t>
      </w: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年度的财务状况报告。</w:t>
      </w:r>
    </w:p>
    <w:p>
      <w:pPr>
        <w:spacing w:line="360" w:lineRule="auto"/>
        <w:ind w:firstLine="480" w:firstLineChars="200"/>
        <w:jc w:val="left"/>
        <w:rPr>
          <w:rFonts w:ascii="仿宋" w:hAnsi="仿宋" w:eastAsia="仿宋" w:cs="仿宋"/>
          <w:sz w:val="24"/>
          <w:szCs w:val="24"/>
          <w:highlight w:val="none"/>
        </w:rPr>
      </w:pPr>
    </w:p>
    <w:p>
      <w:pPr>
        <w:spacing w:line="360" w:lineRule="auto"/>
        <w:ind w:firstLine="480" w:firstLineChars="200"/>
        <w:jc w:val="left"/>
        <w:rPr>
          <w:rFonts w:ascii="仿宋" w:hAnsi="仿宋" w:eastAsia="仿宋" w:cs="仿宋"/>
          <w:sz w:val="24"/>
          <w:szCs w:val="24"/>
          <w:highlight w:val="none"/>
        </w:rPr>
      </w:pPr>
    </w:p>
    <w:p>
      <w:pPr>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说明：</w:t>
      </w:r>
    </w:p>
    <w:p>
      <w:pPr>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1</w:t>
      </w:r>
      <w:r>
        <w:rPr>
          <w:rFonts w:ascii="仿宋" w:hAnsi="仿宋" w:eastAsia="仿宋" w:cs="仿宋"/>
          <w:szCs w:val="21"/>
          <w:highlight w:val="none"/>
        </w:rPr>
        <w:t>.</w:t>
      </w:r>
      <w:r>
        <w:rPr>
          <w:rFonts w:hint="eastAsia" w:asciiTheme="minorHAnsi" w:hAnsiTheme="minorHAnsi" w:eastAsiaTheme="minorEastAsia" w:cstheme="minorBidi"/>
          <w:sz w:val="18"/>
          <w:szCs w:val="20"/>
          <w:highlight w:val="none"/>
        </w:rPr>
        <w:t xml:space="preserve"> </w:t>
      </w:r>
      <w:r>
        <w:rPr>
          <w:rFonts w:hint="eastAsia" w:ascii="仿宋" w:hAnsi="仿宋" w:eastAsia="仿宋" w:cs="仿宋"/>
          <w:szCs w:val="21"/>
          <w:highlight w:val="none"/>
        </w:rPr>
        <w:t>新成立企业提交投标文件截止时间前六个月内其基本账户开户银行出具的资信证明并附开户许可证或开户备案证明（或提供财政部门认可的专业担保机构对供应商进行</w:t>
      </w:r>
      <w:r>
        <w:rPr>
          <w:rFonts w:ascii="仿宋" w:hAnsi="仿宋" w:eastAsia="仿宋" w:cs="仿宋"/>
          <w:szCs w:val="21"/>
          <w:highlight w:val="none"/>
        </w:rPr>
        <w:t>资信审查后出具投标担保函</w:t>
      </w:r>
      <w:r>
        <w:rPr>
          <w:rFonts w:hint="eastAsia" w:ascii="仿宋" w:hAnsi="仿宋" w:eastAsia="仿宋" w:cs="仿宋"/>
          <w:szCs w:val="21"/>
          <w:highlight w:val="none"/>
        </w:rPr>
        <w:t>）。</w:t>
      </w:r>
    </w:p>
    <w:p>
      <w:pPr>
        <w:spacing w:line="360" w:lineRule="auto"/>
        <w:ind w:firstLine="420" w:firstLineChars="200"/>
        <w:rPr>
          <w:rFonts w:ascii="仿宋" w:hAnsi="仿宋" w:eastAsia="仿宋" w:cs="仿宋"/>
          <w:szCs w:val="21"/>
          <w:highlight w:val="none"/>
        </w:rPr>
      </w:pPr>
      <w:r>
        <w:rPr>
          <w:rFonts w:ascii="仿宋" w:hAnsi="仿宋" w:eastAsia="仿宋" w:cs="仿宋"/>
          <w:szCs w:val="21"/>
          <w:highlight w:val="none"/>
        </w:rPr>
        <w:t>2.</w:t>
      </w:r>
      <w:r>
        <w:rPr>
          <w:rFonts w:hint="eastAsia" w:asciiTheme="minorHAnsi" w:hAnsiTheme="minorHAnsi" w:eastAsiaTheme="minorEastAsia" w:cstheme="minorBidi"/>
          <w:sz w:val="18"/>
          <w:szCs w:val="20"/>
          <w:highlight w:val="none"/>
        </w:rPr>
        <w:t xml:space="preserve"> </w:t>
      </w:r>
      <w:r>
        <w:rPr>
          <w:rFonts w:hint="eastAsia" w:ascii="仿宋" w:hAnsi="仿宋" w:eastAsia="仿宋" w:cs="仿宋"/>
          <w:szCs w:val="21"/>
          <w:highlight w:val="none"/>
        </w:rPr>
        <w:t>其他组织和自然人提供财务报表或银行出具的资信证明（或提供财政部门认可的专业担保机构对供应商进行</w:t>
      </w:r>
      <w:r>
        <w:rPr>
          <w:rFonts w:ascii="仿宋" w:hAnsi="仿宋" w:eastAsia="仿宋" w:cs="仿宋"/>
          <w:szCs w:val="21"/>
          <w:highlight w:val="none"/>
        </w:rPr>
        <w:t>资信审查后出具投标担保函</w:t>
      </w:r>
      <w:r>
        <w:rPr>
          <w:rFonts w:hint="eastAsia" w:ascii="仿宋" w:hAnsi="仿宋" w:eastAsia="仿宋" w:cs="仿宋"/>
          <w:szCs w:val="21"/>
          <w:highlight w:val="none"/>
        </w:rPr>
        <w:t>）。</w:t>
      </w:r>
    </w:p>
    <w:p>
      <w:pPr>
        <w:spacing w:line="360" w:lineRule="auto"/>
        <w:ind w:firstLine="420" w:firstLineChars="200"/>
        <w:rPr>
          <w:rFonts w:ascii="仿宋" w:hAnsi="仿宋" w:eastAsia="仿宋" w:cs="仿宋"/>
          <w:szCs w:val="21"/>
          <w:highlight w:val="none"/>
        </w:rPr>
      </w:pPr>
      <w:r>
        <w:rPr>
          <w:rFonts w:hint="eastAsia" w:ascii="仿宋" w:hAnsi="仿宋" w:eastAsia="仿宋" w:cs="仿宋"/>
          <w:bCs/>
          <w:szCs w:val="21"/>
          <w:highlight w:val="none"/>
        </w:rPr>
        <w:t>3</w:t>
      </w:r>
      <w:r>
        <w:rPr>
          <w:rFonts w:ascii="仿宋" w:hAnsi="仿宋" w:eastAsia="仿宋" w:cs="仿宋"/>
          <w:bCs/>
          <w:szCs w:val="21"/>
          <w:highlight w:val="none"/>
        </w:rPr>
        <w:t xml:space="preserve">. </w:t>
      </w:r>
      <w:r>
        <w:rPr>
          <w:rFonts w:hint="eastAsia" w:ascii="仿宋" w:hAnsi="仿宋" w:eastAsia="仿宋" w:cs="仿宋"/>
          <w:bCs/>
          <w:szCs w:val="21"/>
          <w:highlight w:val="none"/>
        </w:rPr>
        <w:t>证明材料需提供复印件加盖投标人公章。</w:t>
      </w:r>
    </w:p>
    <w:p>
      <w:pPr>
        <w:ind w:right="286" w:firstLine="480" w:firstLineChars="200"/>
        <w:jc w:val="center"/>
        <w:rPr>
          <w:rFonts w:ascii="仿宋" w:hAnsi="仿宋" w:eastAsia="仿宋" w:cs="仿宋"/>
          <w:b/>
          <w:sz w:val="24"/>
          <w:szCs w:val="24"/>
          <w:highlight w:val="none"/>
        </w:rPr>
      </w:pPr>
      <w:r>
        <w:rPr>
          <w:rFonts w:hint="eastAsia" w:ascii="仿宋" w:hAnsi="仿宋" w:eastAsia="仿宋" w:cs="仿宋"/>
          <w:kern w:val="1"/>
          <w:sz w:val="24"/>
          <w:szCs w:val="24"/>
          <w:highlight w:val="none"/>
        </w:rPr>
        <w:br w:type="page"/>
      </w:r>
      <w:r>
        <w:rPr>
          <w:rFonts w:hint="eastAsia" w:ascii="仿宋" w:hAnsi="仿宋" w:eastAsia="仿宋" w:cs="仿宋"/>
          <w:b/>
          <w:sz w:val="24"/>
          <w:szCs w:val="24"/>
          <w:highlight w:val="none"/>
        </w:rPr>
        <w:t>（五）供应商依法缴纳税收和社会保障资金的良好记录</w:t>
      </w:r>
    </w:p>
    <w:p>
      <w:pPr>
        <w:rPr>
          <w:rFonts w:ascii="仿宋" w:hAnsi="仿宋" w:eastAsia="仿宋" w:cs="仿宋"/>
          <w:sz w:val="24"/>
          <w:szCs w:val="24"/>
          <w:highlight w:val="none"/>
        </w:rPr>
      </w:pPr>
    </w:p>
    <w:p>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bCs/>
          <w:sz w:val="24"/>
          <w:szCs w:val="24"/>
          <w:highlight w:val="none"/>
        </w:rPr>
        <w:t>（1）提供投标截止时间，前1</w:t>
      </w:r>
      <w:r>
        <w:rPr>
          <w:rFonts w:ascii="仿宋" w:hAnsi="仿宋" w:eastAsia="仿宋" w:cs="仿宋"/>
          <w:bCs/>
          <w:sz w:val="24"/>
          <w:szCs w:val="24"/>
          <w:highlight w:val="none"/>
        </w:rPr>
        <w:t>2</w:t>
      </w:r>
      <w:r>
        <w:rPr>
          <w:rFonts w:hint="eastAsia" w:ascii="仿宋" w:hAnsi="仿宋" w:eastAsia="仿宋" w:cs="仿宋"/>
          <w:bCs/>
          <w:sz w:val="24"/>
          <w:szCs w:val="24"/>
          <w:highlight w:val="none"/>
        </w:rPr>
        <w:t>个月内至少1个月已缴纳（申报）税收的凭据，依法免税的投标人应提供相关文件证明。</w:t>
      </w:r>
    </w:p>
    <w:p>
      <w:pPr>
        <w:spacing w:line="360" w:lineRule="auto"/>
        <w:ind w:firstLine="480" w:firstLineChars="200"/>
        <w:rPr>
          <w:rFonts w:ascii="仿宋" w:hAnsi="仿宋" w:eastAsia="仿宋" w:cs="仿宋"/>
          <w:bCs/>
          <w:sz w:val="24"/>
          <w:szCs w:val="24"/>
          <w:highlight w:val="none"/>
        </w:rPr>
      </w:pPr>
    </w:p>
    <w:p>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bCs/>
          <w:sz w:val="24"/>
          <w:szCs w:val="24"/>
          <w:highlight w:val="none"/>
        </w:rPr>
        <w:t>（2）提供投标截止时间，前1</w:t>
      </w:r>
      <w:r>
        <w:rPr>
          <w:rFonts w:ascii="仿宋" w:hAnsi="仿宋" w:eastAsia="仿宋" w:cs="仿宋"/>
          <w:bCs/>
          <w:sz w:val="24"/>
          <w:szCs w:val="24"/>
          <w:highlight w:val="none"/>
        </w:rPr>
        <w:t>2</w:t>
      </w:r>
      <w:r>
        <w:rPr>
          <w:rFonts w:hint="eastAsia" w:ascii="仿宋" w:hAnsi="仿宋" w:eastAsia="仿宋" w:cs="仿宋"/>
          <w:bCs/>
          <w:sz w:val="24"/>
          <w:szCs w:val="24"/>
          <w:highlight w:val="none"/>
        </w:rPr>
        <w:t>个月内至少1个月已缴纳的社会保障资金的凭据，依法不需要缴纳社会保障资金的投标人应提供相关文件证明。</w:t>
      </w:r>
    </w:p>
    <w:p>
      <w:pPr>
        <w:spacing w:line="360" w:lineRule="auto"/>
        <w:ind w:firstLine="480" w:firstLineChars="200"/>
        <w:rPr>
          <w:rFonts w:ascii="仿宋" w:hAnsi="仿宋" w:eastAsia="仿宋" w:cs="仿宋"/>
          <w:bCs/>
          <w:sz w:val="24"/>
          <w:szCs w:val="24"/>
          <w:highlight w:val="none"/>
        </w:rPr>
      </w:pPr>
    </w:p>
    <w:p>
      <w:pPr>
        <w:jc w:val="center"/>
        <w:rPr>
          <w:rFonts w:ascii="仿宋" w:hAnsi="仿宋" w:eastAsia="仿宋" w:cs="仿宋"/>
          <w:sz w:val="24"/>
          <w:szCs w:val="24"/>
          <w:highlight w:val="none"/>
        </w:rPr>
      </w:pPr>
    </w:p>
    <w:p>
      <w:pPr>
        <w:jc w:val="center"/>
        <w:rPr>
          <w:rFonts w:ascii="仿宋" w:hAnsi="仿宋" w:eastAsia="仿宋" w:cs="仿宋"/>
          <w:sz w:val="24"/>
          <w:szCs w:val="24"/>
          <w:highlight w:val="none"/>
        </w:rPr>
      </w:pPr>
    </w:p>
    <w:p>
      <w:pPr>
        <w:spacing w:line="360" w:lineRule="auto"/>
        <w:ind w:firstLine="420" w:firstLineChars="200"/>
        <w:rPr>
          <w:rFonts w:ascii="仿宋" w:hAnsi="仿宋" w:eastAsia="仿宋" w:cs="仿宋"/>
          <w:bCs/>
          <w:szCs w:val="21"/>
          <w:highlight w:val="none"/>
        </w:rPr>
      </w:pPr>
      <w:r>
        <w:rPr>
          <w:rFonts w:hint="eastAsia" w:ascii="仿宋" w:hAnsi="仿宋" w:eastAsia="仿宋" w:cs="仿宋"/>
          <w:bCs/>
          <w:szCs w:val="21"/>
          <w:highlight w:val="none"/>
        </w:rPr>
        <w:t>说明：证明材料需提供复印件加盖投标人公章</w:t>
      </w:r>
    </w:p>
    <w:p>
      <w:pPr>
        <w:jc w:val="center"/>
        <w:rPr>
          <w:rFonts w:ascii="仿宋" w:hAnsi="仿宋" w:eastAsia="仿宋" w:cs="仿宋"/>
          <w:sz w:val="24"/>
          <w:szCs w:val="24"/>
          <w:highlight w:val="none"/>
        </w:rPr>
      </w:pPr>
    </w:p>
    <w:p>
      <w:pPr>
        <w:jc w:val="center"/>
        <w:rPr>
          <w:rFonts w:ascii="仿宋" w:hAnsi="仿宋" w:eastAsia="仿宋" w:cs="仿宋"/>
          <w:b/>
          <w:sz w:val="24"/>
          <w:szCs w:val="24"/>
          <w:highlight w:val="none"/>
        </w:rPr>
      </w:pPr>
      <w:r>
        <w:rPr>
          <w:rFonts w:ascii="Calibri" w:hAnsi="Calibri" w:cs="Times New Roman"/>
          <w:szCs w:val="24"/>
          <w:highlight w:val="none"/>
        </w:rPr>
        <w:br w:type="page"/>
      </w:r>
      <w:r>
        <w:rPr>
          <w:rFonts w:hint="eastAsia" w:ascii="仿宋" w:hAnsi="仿宋" w:eastAsia="仿宋" w:cs="仿宋"/>
          <w:b/>
          <w:sz w:val="24"/>
          <w:szCs w:val="24"/>
          <w:highlight w:val="none"/>
        </w:rPr>
        <w:t>（六）供应商参加政府采购活动前三年内，在经营活动中没有重大违法记录</w:t>
      </w:r>
    </w:p>
    <w:p>
      <w:pPr>
        <w:jc w:val="center"/>
        <w:rPr>
          <w:rFonts w:ascii="仿宋" w:hAnsi="仿宋" w:eastAsia="仿宋" w:cs="Times New Roman"/>
          <w:szCs w:val="24"/>
          <w:highlight w:val="none"/>
        </w:rPr>
      </w:pPr>
    </w:p>
    <w:p>
      <w:pPr>
        <w:spacing w:line="360" w:lineRule="auto"/>
        <w:jc w:val="center"/>
        <w:rPr>
          <w:rFonts w:ascii="仿宋" w:hAnsi="仿宋" w:eastAsia="仿宋" w:cs="仿宋"/>
          <w:sz w:val="24"/>
          <w:szCs w:val="24"/>
          <w:highlight w:val="none"/>
        </w:rPr>
      </w:pP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我公司郑重承诺在参加本项目政府采购活动前三年内，在经营活动中无重大违法记录。公司未受到刑事处罚；责令停产停业、吊销许可证（或执照）、无较大数额罚款等行政处罚；未处于财产被接管、冻结、破产状况。</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特此声明。</w:t>
      </w:r>
    </w:p>
    <w:p>
      <w:pPr>
        <w:ind w:firstLine="480" w:firstLineChars="200"/>
        <w:jc w:val="left"/>
        <w:rPr>
          <w:rFonts w:ascii="仿宋" w:hAnsi="仿宋" w:eastAsia="仿宋" w:cs="仿宋"/>
          <w:sz w:val="24"/>
          <w:szCs w:val="24"/>
          <w:highlight w:val="none"/>
        </w:rPr>
      </w:pPr>
    </w:p>
    <w:tbl>
      <w:tblPr>
        <w:tblStyle w:val="9"/>
        <w:tblW w:w="8512" w:type="dxa"/>
        <w:jc w:val="center"/>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jc w:val="center"/>
        </w:trPr>
        <w:tc>
          <w:tcPr>
            <w:tcW w:w="1553"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610"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4"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894" w:hRule="atLeast"/>
          <w:jc w:val="center"/>
        </w:trPr>
        <w:tc>
          <w:tcPr>
            <w:tcW w:w="4164" w:type="dxa"/>
            <w:gridSpan w:val="2"/>
            <w:vAlign w:val="center"/>
          </w:tcPr>
          <w:p>
            <w:pPr>
              <w:ind w:left="2520" w:leftChars="1200"/>
              <w:rPr>
                <w:rFonts w:ascii="仿宋" w:hAnsi="仿宋" w:eastAsia="仿宋" w:cs="仿宋"/>
                <w:sz w:val="24"/>
                <w:szCs w:val="24"/>
                <w:highlight w:val="none"/>
              </w:rPr>
            </w:pPr>
          </w:p>
        </w:tc>
        <w:tc>
          <w:tcPr>
            <w:tcW w:w="4348" w:type="dxa"/>
            <w:gridSpan w:val="2"/>
            <w:vAlign w:val="center"/>
          </w:tcPr>
          <w:p>
            <w:pPr>
              <w:ind w:left="2520" w:leftChars="1200"/>
              <w:rPr>
                <w:rFonts w:ascii="仿宋" w:hAnsi="仿宋" w:eastAsia="仿宋" w:cs="仿宋"/>
                <w:sz w:val="24"/>
                <w:szCs w:val="24"/>
                <w:highlight w:val="none"/>
              </w:rPr>
            </w:pPr>
            <w:r>
              <w:rPr>
                <w:rFonts w:hint="eastAsia" w:ascii="仿宋" w:hAnsi="仿宋" w:eastAsia="仿宋" w:cs="仿宋"/>
                <w:sz w:val="24"/>
                <w:szCs w:val="24"/>
                <w:highlight w:val="none"/>
              </w:rPr>
              <w:t>年   月   日</w:t>
            </w:r>
          </w:p>
        </w:tc>
      </w:tr>
    </w:tbl>
    <w:p>
      <w:pPr>
        <w:ind w:firstLine="480" w:firstLineChars="200"/>
        <w:jc w:val="left"/>
        <w:rPr>
          <w:rFonts w:ascii="仿宋" w:hAnsi="仿宋" w:eastAsia="仿宋" w:cs="仿宋"/>
          <w:sz w:val="24"/>
          <w:szCs w:val="24"/>
          <w:highlight w:val="none"/>
        </w:rPr>
      </w:pPr>
    </w:p>
    <w:p>
      <w:pPr>
        <w:jc w:val="center"/>
        <w:rPr>
          <w:rFonts w:ascii="仿宋" w:hAnsi="仿宋" w:eastAsia="仿宋" w:cs="仿宋"/>
          <w:b/>
          <w:sz w:val="24"/>
          <w:szCs w:val="24"/>
          <w:highlight w:val="none"/>
        </w:rPr>
      </w:pPr>
      <w:r>
        <w:rPr>
          <w:rFonts w:ascii="Calibri" w:hAnsi="Calibri" w:cs="Times New Roman"/>
          <w:szCs w:val="24"/>
          <w:highlight w:val="none"/>
        </w:rPr>
        <w:br w:type="page"/>
      </w:r>
      <w:r>
        <w:rPr>
          <w:rFonts w:hint="eastAsia" w:ascii="仿宋" w:hAnsi="仿宋" w:eastAsia="仿宋" w:cs="仿宋"/>
          <w:b/>
          <w:sz w:val="24"/>
          <w:szCs w:val="24"/>
          <w:highlight w:val="none"/>
        </w:rPr>
        <w:t>（七）具有履行合同所必需的设备和专业技术能力</w:t>
      </w: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i/>
          <w:iCs/>
          <w:sz w:val="24"/>
          <w:szCs w:val="24"/>
          <w:highlight w:val="none"/>
        </w:rPr>
      </w:pPr>
      <w:r>
        <w:rPr>
          <w:rFonts w:hint="eastAsia" w:ascii="仿宋" w:hAnsi="仿宋" w:eastAsia="仿宋" w:cs="仿宋"/>
          <w:bCs/>
          <w:i/>
          <w:iCs/>
          <w:sz w:val="24"/>
          <w:szCs w:val="24"/>
          <w:highlight w:val="none"/>
        </w:rPr>
        <w:t>提供声明函或相关证明材料，内容格式自拟</w:t>
      </w: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p>
      <w:pPr>
        <w:jc w:val="center"/>
        <w:rPr>
          <w:rFonts w:ascii="仿宋" w:hAnsi="仿宋" w:eastAsia="仿宋" w:cs="仿宋"/>
          <w:bCs/>
          <w:sz w:val="24"/>
          <w:szCs w:val="24"/>
          <w:highlight w:val="none"/>
        </w:rPr>
      </w:pPr>
    </w:p>
    <w:tbl>
      <w:tblPr>
        <w:tblStyle w:val="9"/>
        <w:tblW w:w="8512" w:type="dxa"/>
        <w:jc w:val="center"/>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jc w:val="center"/>
        </w:trPr>
        <w:tc>
          <w:tcPr>
            <w:tcW w:w="1553"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610"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4"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894" w:hRule="atLeast"/>
          <w:jc w:val="center"/>
        </w:trPr>
        <w:tc>
          <w:tcPr>
            <w:tcW w:w="4164" w:type="dxa"/>
            <w:gridSpan w:val="2"/>
            <w:vAlign w:val="center"/>
          </w:tcPr>
          <w:p>
            <w:pPr>
              <w:ind w:left="2520" w:leftChars="1200"/>
              <w:rPr>
                <w:rFonts w:ascii="仿宋" w:hAnsi="仿宋" w:eastAsia="仿宋" w:cs="仿宋"/>
                <w:sz w:val="24"/>
                <w:szCs w:val="24"/>
                <w:highlight w:val="none"/>
              </w:rPr>
            </w:pPr>
          </w:p>
        </w:tc>
        <w:tc>
          <w:tcPr>
            <w:tcW w:w="4348" w:type="dxa"/>
            <w:gridSpan w:val="2"/>
            <w:vAlign w:val="center"/>
          </w:tcPr>
          <w:p>
            <w:pPr>
              <w:ind w:left="2520" w:leftChars="1200"/>
              <w:rPr>
                <w:rFonts w:ascii="仿宋" w:hAnsi="仿宋" w:eastAsia="仿宋" w:cs="仿宋"/>
                <w:sz w:val="24"/>
                <w:szCs w:val="24"/>
                <w:highlight w:val="none"/>
              </w:rPr>
            </w:pPr>
            <w:r>
              <w:rPr>
                <w:rFonts w:hint="eastAsia" w:ascii="仿宋" w:hAnsi="仿宋" w:eastAsia="仿宋" w:cs="仿宋"/>
                <w:sz w:val="24"/>
                <w:szCs w:val="24"/>
                <w:highlight w:val="none"/>
              </w:rPr>
              <w:t>年   月   日</w:t>
            </w:r>
          </w:p>
        </w:tc>
      </w:tr>
    </w:tbl>
    <w:p>
      <w:pPr>
        <w:jc w:val="center"/>
        <w:rPr>
          <w:rFonts w:ascii="Calibri" w:hAnsi="Calibri" w:cs="Times New Roman"/>
          <w:szCs w:val="24"/>
          <w:highlight w:val="none"/>
        </w:rPr>
      </w:pPr>
      <w:r>
        <w:rPr>
          <w:rFonts w:ascii="Calibri" w:hAnsi="Calibri" w:cs="Times New Roman"/>
          <w:szCs w:val="24"/>
          <w:highlight w:val="none"/>
        </w:rPr>
        <w:br w:type="page"/>
      </w:r>
    </w:p>
    <w:p>
      <w:pPr>
        <w:jc w:val="center"/>
        <w:rPr>
          <w:rFonts w:ascii="Calibri" w:hAnsi="Calibri" w:cs="Times New Roman"/>
          <w:szCs w:val="24"/>
          <w:highlight w:val="none"/>
        </w:rPr>
      </w:pPr>
      <w:r>
        <w:rPr>
          <w:rFonts w:hint="eastAsia" w:ascii="仿宋" w:hAnsi="仿宋" w:eastAsia="仿宋" w:cs="仿宋"/>
          <w:b/>
          <w:sz w:val="24"/>
          <w:szCs w:val="24"/>
          <w:highlight w:val="none"/>
        </w:rPr>
        <w:t>（八）其他资格条件证明材料</w:t>
      </w:r>
    </w:p>
    <w:p>
      <w:pPr>
        <w:ind w:firstLine="482" w:firstLineChars="200"/>
        <w:jc w:val="center"/>
        <w:rPr>
          <w:rFonts w:ascii="仿宋" w:hAnsi="仿宋" w:eastAsia="仿宋" w:cs="仿宋"/>
          <w:b/>
          <w:kern w:val="1"/>
          <w:sz w:val="24"/>
          <w:szCs w:val="24"/>
          <w:highlight w:val="none"/>
        </w:rPr>
      </w:pPr>
    </w:p>
    <w:p>
      <w:pPr>
        <w:ind w:firstLine="482" w:firstLineChars="200"/>
        <w:jc w:val="center"/>
        <w:rPr>
          <w:rFonts w:ascii="仿宋" w:hAnsi="仿宋" w:eastAsia="仿宋" w:cs="仿宋"/>
          <w:b/>
          <w:i/>
          <w:iCs/>
          <w:kern w:val="1"/>
          <w:sz w:val="24"/>
          <w:szCs w:val="24"/>
          <w:highlight w:val="none"/>
        </w:rPr>
      </w:pPr>
    </w:p>
    <w:p>
      <w:pPr>
        <w:wordWrap w:val="0"/>
        <w:ind w:firstLine="482" w:firstLineChars="200"/>
        <w:jc w:val="center"/>
        <w:rPr>
          <w:rFonts w:ascii="仿宋" w:hAnsi="仿宋" w:eastAsia="仿宋" w:cs="仿宋"/>
          <w:b/>
          <w:kern w:val="1"/>
          <w:sz w:val="24"/>
          <w:szCs w:val="24"/>
          <w:highlight w:val="none"/>
        </w:rPr>
      </w:pPr>
    </w:p>
    <w:p>
      <w:pPr>
        <w:spacing w:line="360" w:lineRule="auto"/>
        <w:ind w:firstLine="480" w:firstLineChars="200"/>
        <w:rPr>
          <w:rFonts w:ascii="仿宋" w:hAnsi="仿宋" w:eastAsia="仿宋" w:cs="仿宋"/>
          <w:bCs/>
          <w:i/>
          <w:iCs/>
          <w:kern w:val="1"/>
          <w:sz w:val="24"/>
          <w:szCs w:val="24"/>
          <w:highlight w:val="none"/>
        </w:rPr>
      </w:pPr>
      <w:r>
        <w:rPr>
          <w:rFonts w:hint="eastAsia" w:ascii="仿宋" w:hAnsi="仿宋" w:eastAsia="仿宋" w:cs="仿宋"/>
          <w:bCs/>
          <w:i/>
          <w:iCs/>
          <w:kern w:val="1"/>
          <w:sz w:val="24"/>
          <w:szCs w:val="24"/>
          <w:highlight w:val="none"/>
        </w:rPr>
        <w:t>投标人按照资格要求补充提供其他资格条件证明材料，或提供投标人认为有必要提供的其他资格条件证明材料。如不涉及，无须填写。</w:t>
      </w:r>
    </w:p>
    <w:p>
      <w:pPr>
        <w:rPr>
          <w:rFonts w:asciiTheme="minorHAnsi" w:hAnsiTheme="minorHAnsi" w:eastAsiaTheme="minorEastAsia" w:cstheme="minorBidi"/>
          <w:highlight w:val="none"/>
        </w:rPr>
      </w:pPr>
    </w:p>
    <w:p>
      <w:pPr>
        <w:autoSpaceDE w:val="0"/>
        <w:autoSpaceDN w:val="0"/>
        <w:ind w:firstLine="210" w:firstLineChars="100"/>
        <w:jc w:val="center"/>
        <w:rPr>
          <w:rFonts w:ascii="仿宋" w:hAnsi="仿宋" w:eastAsia="仿宋"/>
          <w:b/>
          <w:sz w:val="24"/>
          <w:szCs w:val="24"/>
          <w:highlight w:val="none"/>
          <w:shd w:val="clear" w:color="auto" w:fill="FFFFFF"/>
        </w:rPr>
      </w:pPr>
      <w:r>
        <w:rPr>
          <w:rFonts w:ascii="Calibri" w:hAnsi="Calibri" w:cs="Times New Roman"/>
          <w:szCs w:val="24"/>
          <w:highlight w:val="none"/>
        </w:rPr>
        <w:br w:type="page"/>
      </w:r>
      <w:r>
        <w:rPr>
          <w:rFonts w:hint="eastAsia" w:ascii="仿宋" w:hAnsi="仿宋" w:eastAsia="仿宋" w:cs="仿宋"/>
          <w:b/>
          <w:sz w:val="24"/>
          <w:szCs w:val="24"/>
          <w:highlight w:val="none"/>
        </w:rPr>
        <w:t>（九）</w:t>
      </w:r>
      <w:r>
        <w:rPr>
          <w:rFonts w:hint="eastAsia" w:ascii="仿宋" w:hAnsi="仿宋" w:eastAsia="仿宋"/>
          <w:b/>
          <w:bCs/>
          <w:kern w:val="0"/>
          <w:sz w:val="24"/>
          <w:szCs w:val="24"/>
          <w:highlight w:val="none"/>
        </w:rPr>
        <w:t>联合体协议书（格式）</w:t>
      </w:r>
    </w:p>
    <w:p>
      <w:pPr>
        <w:autoSpaceDE w:val="0"/>
        <w:autoSpaceDN w:val="0"/>
        <w:ind w:firstLine="241" w:firstLineChars="100"/>
        <w:jc w:val="center"/>
        <w:rPr>
          <w:rFonts w:ascii="仿宋" w:hAnsi="仿宋" w:eastAsia="仿宋"/>
          <w:b/>
          <w:bCs/>
          <w:kern w:val="0"/>
          <w:sz w:val="24"/>
          <w:szCs w:val="24"/>
          <w:highlight w:val="none"/>
        </w:rPr>
      </w:pPr>
    </w:p>
    <w:p>
      <w:pPr>
        <w:autoSpaceDE w:val="0"/>
        <w:autoSpaceDN w:val="0"/>
        <w:ind w:firstLine="241" w:firstLineChars="100"/>
        <w:jc w:val="center"/>
        <w:rPr>
          <w:rFonts w:ascii="仿宋" w:hAnsi="仿宋" w:eastAsia="仿宋"/>
          <w:b/>
          <w:sz w:val="24"/>
          <w:szCs w:val="24"/>
          <w:highlight w:val="none"/>
          <w:shd w:val="clear" w:color="auto" w:fill="FFFFFF"/>
        </w:rPr>
      </w:pPr>
      <w:r>
        <w:rPr>
          <w:rFonts w:hint="eastAsia" w:ascii="仿宋" w:hAnsi="仿宋" w:eastAsia="仿宋"/>
          <w:b/>
          <w:bCs/>
          <w:kern w:val="0"/>
          <w:sz w:val="24"/>
          <w:szCs w:val="24"/>
          <w:highlight w:val="none"/>
        </w:rPr>
        <w:t>（若非联合体则不填写）</w:t>
      </w:r>
    </w:p>
    <w:p>
      <w:pPr>
        <w:autoSpaceDE w:val="0"/>
        <w:autoSpaceDN w:val="0"/>
        <w:rPr>
          <w:rFonts w:ascii="仿宋" w:hAnsi="仿宋" w:eastAsia="仿宋"/>
          <w:b/>
          <w:sz w:val="24"/>
          <w:szCs w:val="24"/>
          <w:highlight w:val="none"/>
        </w:rPr>
      </w:pPr>
    </w:p>
    <w:p>
      <w:pPr>
        <w:autoSpaceDE w:val="0"/>
        <w:autoSpaceDN w:val="0"/>
        <w:rPr>
          <w:rFonts w:ascii="仿宋" w:hAnsi="仿宋" w:eastAsia="仿宋"/>
          <w:sz w:val="24"/>
          <w:szCs w:val="24"/>
          <w:highlight w:val="none"/>
          <w:u w:val="single"/>
          <w:shd w:val="clear" w:color="auto" w:fill="FFFFFF"/>
        </w:rPr>
      </w:pPr>
      <w:r>
        <w:rPr>
          <w:rFonts w:hint="eastAsia" w:ascii="仿宋" w:hAnsi="仿宋" w:eastAsia="仿宋"/>
          <w:b/>
          <w:sz w:val="24"/>
          <w:szCs w:val="24"/>
          <w:highlight w:val="none"/>
        </w:rPr>
        <w:t>致：</w:t>
      </w:r>
      <w:r>
        <w:rPr>
          <w:rFonts w:hint="eastAsia" w:ascii="仿宋" w:hAnsi="仿宋" w:eastAsia="仿宋"/>
          <w:bCs/>
          <w:i/>
          <w:iCs/>
          <w:sz w:val="24"/>
          <w:szCs w:val="24"/>
          <w:highlight w:val="none"/>
        </w:rPr>
        <w:t>（采购人名称）</w:t>
      </w:r>
    </w:p>
    <w:p>
      <w:pPr>
        <w:autoSpaceDE w:val="0"/>
        <w:autoSpaceDN w:val="0"/>
        <w:spacing w:line="360" w:lineRule="auto"/>
        <w:ind w:firstLine="480" w:firstLineChars="200"/>
        <w:rPr>
          <w:rFonts w:ascii="仿宋" w:hAnsi="仿宋" w:eastAsia="仿宋"/>
          <w:sz w:val="24"/>
          <w:szCs w:val="24"/>
          <w:highlight w:val="none"/>
          <w:shd w:val="clear" w:color="auto" w:fill="FFFFFF"/>
        </w:rPr>
      </w:pP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和</w:t>
      </w: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（所有成员单位名称）自愿组成联合体，共同参加</w:t>
      </w:r>
      <w:r>
        <w:rPr>
          <w:rFonts w:hint="eastAsia" w:ascii="仿宋" w:hAnsi="仿宋" w:eastAsia="仿宋"/>
          <w:sz w:val="24"/>
          <w:szCs w:val="24"/>
          <w:highlight w:val="none"/>
          <w:u w:val="single"/>
          <w:shd w:val="clear" w:color="auto" w:fill="FFFFFF"/>
        </w:rPr>
        <w:t>XXXXXXXXXX</w:t>
      </w:r>
      <w:r>
        <w:rPr>
          <w:rFonts w:hint="eastAsia" w:ascii="仿宋" w:hAnsi="仿宋" w:eastAsia="仿宋"/>
          <w:sz w:val="24"/>
          <w:szCs w:val="24"/>
          <w:highlight w:val="none"/>
          <w:shd w:val="clear" w:color="auto" w:fill="FFFFFF"/>
        </w:rPr>
        <w:t>（项目名称）</w:t>
      </w:r>
      <w:r>
        <w:rPr>
          <w:rFonts w:hint="eastAsia" w:ascii="仿宋" w:hAnsi="仿宋" w:eastAsia="仿宋"/>
          <w:sz w:val="24"/>
          <w:szCs w:val="24"/>
          <w:highlight w:val="none"/>
          <w:u w:val="single"/>
          <w:shd w:val="clear" w:color="auto" w:fill="FFFFFF"/>
        </w:rPr>
        <w:t xml:space="preserve">   标段（标段号）     XXXXXXXXXX（标段名称）的</w:t>
      </w:r>
      <w:r>
        <w:rPr>
          <w:rFonts w:hint="eastAsia" w:ascii="仿宋" w:hAnsi="仿宋" w:eastAsia="仿宋"/>
          <w:sz w:val="24"/>
          <w:szCs w:val="24"/>
          <w:highlight w:val="none"/>
          <w:shd w:val="clear" w:color="auto" w:fill="FFFFFF"/>
        </w:rPr>
        <w:t>投标。现就联合体投标事宜订立如下协议。</w:t>
      </w:r>
    </w:p>
    <w:p>
      <w:pPr>
        <w:autoSpaceDE w:val="0"/>
        <w:autoSpaceDN w:val="0"/>
        <w:spacing w:line="360" w:lineRule="auto"/>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1、</w:t>
      </w: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 xml:space="preserve"> （某成员单位名称）为联合体牵头人，</w:t>
      </w:r>
    </w:p>
    <w:p>
      <w:pPr>
        <w:autoSpaceDE w:val="0"/>
        <w:autoSpaceDN w:val="0"/>
        <w:spacing w:line="360" w:lineRule="auto"/>
        <w:ind w:firstLine="840" w:firstLineChars="350"/>
        <w:rPr>
          <w:rFonts w:ascii="仿宋" w:hAnsi="仿宋" w:eastAsia="仿宋"/>
          <w:sz w:val="24"/>
          <w:szCs w:val="24"/>
          <w:highlight w:val="none"/>
          <w:shd w:val="clear" w:color="auto" w:fill="FFFFFF"/>
        </w:rPr>
      </w:pP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 xml:space="preserve"> （某成员单位名称）为联合体成员，</w:t>
      </w:r>
    </w:p>
    <w:p>
      <w:pPr>
        <w:autoSpaceDE w:val="0"/>
        <w:autoSpaceDN w:val="0"/>
        <w:spacing w:line="360" w:lineRule="auto"/>
        <w:ind w:firstLine="840" w:firstLineChars="35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w:t>
      </w:r>
    </w:p>
    <w:p>
      <w:pPr>
        <w:autoSpaceDE w:val="0"/>
        <w:autoSpaceDN w:val="0"/>
        <w:spacing w:line="360" w:lineRule="auto"/>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2、联合体牵头人代表联合体各成员，负责本标段投标文件编制和合同谈判活动，代表联合体提交和接收相关的资料、信息及指示，处理与之有关的一切事务，并负责合同实施阶段的主办、组织和协调工作。</w:t>
      </w:r>
    </w:p>
    <w:p>
      <w:pPr>
        <w:autoSpaceDE w:val="0"/>
        <w:autoSpaceDN w:val="0"/>
        <w:spacing w:line="360" w:lineRule="auto"/>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3、联合体将严格按照招标文件的各项要求，递交投标文件，履行合同，并对外承担连带责任。</w:t>
      </w:r>
    </w:p>
    <w:p>
      <w:pPr>
        <w:autoSpaceDE w:val="0"/>
        <w:autoSpaceDN w:val="0"/>
        <w:spacing w:line="360" w:lineRule="auto"/>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4、联合体各成员单位内部的职责分工如下：</w:t>
      </w:r>
    </w:p>
    <w:p>
      <w:pPr>
        <w:autoSpaceDE w:val="0"/>
        <w:autoSpaceDN w:val="0"/>
        <w:spacing w:line="360" w:lineRule="auto"/>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（应明确工作范围、工作内容、总体成果集成单位）</w:t>
      </w:r>
    </w:p>
    <w:p>
      <w:pPr>
        <w:autoSpaceDE w:val="0"/>
        <w:autoSpaceDN w:val="0"/>
        <w:spacing w:line="360" w:lineRule="auto"/>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5、联合体牵头人单位职员</w:t>
      </w: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担任本标段项目第一负责人，</w:t>
      </w:r>
    </w:p>
    <w:p>
      <w:pPr>
        <w:autoSpaceDE w:val="0"/>
        <w:autoSpaceDN w:val="0"/>
        <w:spacing w:line="360" w:lineRule="auto"/>
        <w:ind w:firstLine="720" w:firstLineChars="30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联合体成员单位</w:t>
      </w: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职员</w:t>
      </w: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担任本标段项目第二负责人。</w:t>
      </w:r>
    </w:p>
    <w:p>
      <w:pPr>
        <w:autoSpaceDE w:val="0"/>
        <w:autoSpaceDN w:val="0"/>
        <w:spacing w:line="360" w:lineRule="auto"/>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6、联合体对本标段项下合同款的分配比例：联合体牵头人</w:t>
      </w: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%，联合体成员</w:t>
      </w: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w:t>
      </w:r>
    </w:p>
    <w:p>
      <w:pPr>
        <w:autoSpaceDE w:val="0"/>
        <w:autoSpaceDN w:val="0"/>
        <w:spacing w:line="360" w:lineRule="auto"/>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7、本协议自签署之日起生效，合同履行完毕后自动失效。</w:t>
      </w:r>
    </w:p>
    <w:p>
      <w:pPr>
        <w:autoSpaceDE w:val="0"/>
        <w:autoSpaceDN w:val="0"/>
        <w:spacing w:line="360" w:lineRule="auto"/>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8、本协议书一式</w:t>
      </w:r>
      <w:r>
        <w:rPr>
          <w:rFonts w:hint="eastAsia" w:ascii="仿宋" w:hAnsi="仿宋" w:eastAsia="仿宋"/>
          <w:sz w:val="24"/>
          <w:szCs w:val="24"/>
          <w:highlight w:val="none"/>
          <w:u w:val="single"/>
          <w:shd w:val="clear" w:color="auto" w:fill="FFFFFF"/>
        </w:rPr>
        <w:t xml:space="preserve">   </w:t>
      </w:r>
      <w:r>
        <w:rPr>
          <w:rFonts w:hint="eastAsia" w:ascii="仿宋" w:hAnsi="仿宋" w:eastAsia="仿宋"/>
          <w:sz w:val="24"/>
          <w:szCs w:val="24"/>
          <w:highlight w:val="none"/>
          <w:shd w:val="clear" w:color="auto" w:fill="FFFFFF"/>
        </w:rPr>
        <w:t>份，联合体成员和招标人各执一份。</w:t>
      </w:r>
    </w:p>
    <w:p>
      <w:pPr>
        <w:autoSpaceDE w:val="0"/>
        <w:autoSpaceDN w:val="0"/>
        <w:spacing w:line="360" w:lineRule="auto"/>
        <w:ind w:firstLine="460"/>
        <w:rPr>
          <w:rFonts w:ascii="仿宋" w:hAnsi="仿宋" w:eastAsia="仿宋"/>
          <w:sz w:val="24"/>
          <w:szCs w:val="24"/>
          <w:highlight w:val="none"/>
          <w:shd w:val="clear" w:color="auto" w:fill="FFFFFF"/>
        </w:rPr>
      </w:pPr>
    </w:p>
    <w:p>
      <w:pPr>
        <w:autoSpaceDE w:val="0"/>
        <w:autoSpaceDN w:val="0"/>
        <w:spacing w:line="360" w:lineRule="auto"/>
        <w:ind w:firstLine="460"/>
        <w:rPr>
          <w:rFonts w:ascii="仿宋" w:hAnsi="仿宋" w:eastAsia="仿宋"/>
          <w:szCs w:val="21"/>
          <w:highlight w:val="none"/>
          <w:shd w:val="clear" w:color="auto" w:fill="FFFFFF"/>
        </w:rPr>
      </w:pPr>
      <w:r>
        <w:rPr>
          <w:rFonts w:hint="eastAsia" w:ascii="仿宋" w:hAnsi="仿宋" w:eastAsia="仿宋"/>
          <w:szCs w:val="21"/>
          <w:highlight w:val="none"/>
          <w:shd w:val="clear" w:color="auto" w:fill="FFFFFF"/>
        </w:rPr>
        <w:t>注：</w:t>
      </w:r>
    </w:p>
    <w:p>
      <w:pPr>
        <w:autoSpaceDE w:val="0"/>
        <w:autoSpaceDN w:val="0"/>
        <w:spacing w:line="360" w:lineRule="auto"/>
        <w:ind w:firstLine="460"/>
        <w:rPr>
          <w:rFonts w:ascii="仿宋" w:hAnsi="仿宋" w:eastAsia="仿宋"/>
          <w:szCs w:val="21"/>
          <w:highlight w:val="none"/>
          <w:shd w:val="clear" w:color="auto" w:fill="FFFFFF"/>
        </w:rPr>
      </w:pPr>
      <w:r>
        <w:rPr>
          <w:rFonts w:hint="eastAsia" w:ascii="仿宋" w:hAnsi="仿宋" w:eastAsia="仿宋"/>
          <w:szCs w:val="21"/>
          <w:highlight w:val="none"/>
          <w:shd w:val="clear" w:color="auto" w:fill="FFFFFF"/>
        </w:rPr>
        <w:t>1</w:t>
      </w:r>
      <w:r>
        <w:rPr>
          <w:rFonts w:ascii="仿宋" w:hAnsi="仿宋" w:eastAsia="仿宋"/>
          <w:szCs w:val="21"/>
          <w:highlight w:val="none"/>
          <w:shd w:val="clear" w:color="auto" w:fill="FFFFFF"/>
        </w:rPr>
        <w:t>.</w:t>
      </w:r>
      <w:r>
        <w:rPr>
          <w:rFonts w:hint="eastAsia" w:ascii="仿宋" w:hAnsi="仿宋" w:eastAsia="仿宋"/>
          <w:szCs w:val="21"/>
          <w:highlight w:val="none"/>
          <w:shd w:val="clear" w:color="auto" w:fill="FFFFFF"/>
        </w:rPr>
        <w:t>本协议书由委托代理人签字的，应附法定代表人签字的授权委托书。</w:t>
      </w:r>
    </w:p>
    <w:p>
      <w:pPr>
        <w:autoSpaceDE w:val="0"/>
        <w:autoSpaceDN w:val="0"/>
        <w:spacing w:line="360" w:lineRule="auto"/>
        <w:ind w:firstLine="460"/>
        <w:rPr>
          <w:rFonts w:ascii="仿宋" w:hAnsi="仿宋" w:eastAsia="仿宋"/>
          <w:szCs w:val="21"/>
          <w:highlight w:val="none"/>
          <w:shd w:val="clear" w:color="auto" w:fill="FFFFFF"/>
        </w:rPr>
      </w:pPr>
      <w:r>
        <w:rPr>
          <w:rFonts w:hint="eastAsia" w:ascii="仿宋" w:hAnsi="仿宋" w:eastAsia="仿宋"/>
          <w:szCs w:val="21"/>
          <w:highlight w:val="none"/>
          <w:shd w:val="clear" w:color="auto" w:fill="FFFFFF"/>
        </w:rPr>
        <w:t>2</w:t>
      </w:r>
      <w:r>
        <w:rPr>
          <w:rFonts w:ascii="仿宋" w:hAnsi="仿宋" w:eastAsia="仿宋"/>
          <w:szCs w:val="21"/>
          <w:highlight w:val="none"/>
          <w:shd w:val="clear" w:color="auto" w:fill="FFFFFF"/>
        </w:rPr>
        <w:t>.</w:t>
      </w:r>
      <w:r>
        <w:rPr>
          <w:rFonts w:hint="eastAsia" w:ascii="仿宋" w:hAnsi="仿宋" w:eastAsia="仿宋"/>
          <w:szCs w:val="21"/>
          <w:highlight w:val="none"/>
          <w:shd w:val="clear" w:color="auto" w:fill="FFFFFF"/>
        </w:rPr>
        <w:t>参加联合体的供应商均应当具备《政府采购法》第二十二条有关规定并出具证明材料，并应当提交联合协议，载明联合体各方承担的工作和义务。</w:t>
      </w:r>
    </w:p>
    <w:p>
      <w:pPr>
        <w:autoSpaceDE w:val="0"/>
        <w:autoSpaceDN w:val="0"/>
        <w:rPr>
          <w:rFonts w:ascii="仿宋" w:hAnsi="仿宋" w:eastAsia="仿宋"/>
          <w:sz w:val="24"/>
          <w:szCs w:val="24"/>
          <w:highlight w:val="none"/>
          <w:shd w:val="clear" w:color="auto" w:fill="FFFFFF"/>
        </w:rPr>
      </w:pPr>
    </w:p>
    <w:p>
      <w:pPr>
        <w:autoSpaceDE w:val="0"/>
        <w:autoSpaceDN w:val="0"/>
        <w:ind w:firstLine="460"/>
        <w:rPr>
          <w:rFonts w:ascii="仿宋" w:hAnsi="仿宋" w:eastAsia="仿宋"/>
          <w:sz w:val="24"/>
          <w:szCs w:val="24"/>
          <w:highlight w:val="none"/>
          <w:shd w:val="clear" w:color="auto" w:fill="FFFFFF"/>
        </w:rPr>
      </w:pPr>
      <w:r>
        <w:rPr>
          <w:rFonts w:ascii="仿宋" w:hAnsi="仿宋" w:eastAsia="仿宋"/>
          <w:sz w:val="24"/>
          <w:szCs w:val="24"/>
          <w:highlight w:val="none"/>
          <w:shd w:val="clear" w:color="auto" w:fill="FFFFFF"/>
        </w:rPr>
        <w:br w:type="page"/>
      </w:r>
      <w:r>
        <w:rPr>
          <w:rFonts w:hint="eastAsia" w:ascii="仿宋" w:hAnsi="仿宋" w:eastAsia="仿宋"/>
          <w:sz w:val="24"/>
          <w:szCs w:val="24"/>
          <w:highlight w:val="none"/>
          <w:shd w:val="clear" w:color="auto" w:fill="FFFFFF"/>
        </w:rPr>
        <w:t xml:space="preserve">联合体牵头人名称：（盖单位公章）        </w:t>
      </w:r>
    </w:p>
    <w:p>
      <w:pPr>
        <w:autoSpaceDE w:val="0"/>
        <w:autoSpaceDN w:val="0"/>
        <w:ind w:firstLine="460"/>
        <w:rPr>
          <w:rFonts w:ascii="仿宋" w:hAnsi="仿宋" w:eastAsia="仿宋"/>
          <w:sz w:val="24"/>
          <w:szCs w:val="24"/>
          <w:highlight w:val="none"/>
          <w:shd w:val="clear" w:color="auto" w:fill="FFFFFF"/>
        </w:rPr>
      </w:pPr>
    </w:p>
    <w:p>
      <w:pPr>
        <w:autoSpaceDE w:val="0"/>
        <w:autoSpaceDN w:val="0"/>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 xml:space="preserve">法定代表人/负责人或其委托代理人：（签字或盖章）                      </w:t>
      </w:r>
    </w:p>
    <w:p>
      <w:pPr>
        <w:autoSpaceDE w:val="0"/>
        <w:autoSpaceDN w:val="0"/>
        <w:ind w:firstLine="460"/>
        <w:rPr>
          <w:rFonts w:ascii="仿宋" w:hAnsi="仿宋" w:eastAsia="仿宋"/>
          <w:sz w:val="24"/>
          <w:szCs w:val="24"/>
          <w:highlight w:val="none"/>
          <w:shd w:val="clear" w:color="auto" w:fill="FFFFFF"/>
        </w:rPr>
      </w:pPr>
    </w:p>
    <w:p>
      <w:pPr>
        <w:autoSpaceDE w:val="0"/>
        <w:autoSpaceDN w:val="0"/>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 xml:space="preserve">联系电话：                       </w:t>
      </w:r>
    </w:p>
    <w:p>
      <w:pPr>
        <w:autoSpaceDE w:val="0"/>
        <w:autoSpaceDN w:val="0"/>
        <w:ind w:firstLine="460"/>
        <w:rPr>
          <w:rFonts w:ascii="仿宋" w:hAnsi="仿宋" w:eastAsia="仿宋"/>
          <w:sz w:val="24"/>
          <w:szCs w:val="24"/>
          <w:highlight w:val="none"/>
          <w:shd w:val="clear" w:color="auto" w:fill="FFFFFF"/>
        </w:rPr>
      </w:pPr>
    </w:p>
    <w:p>
      <w:pPr>
        <w:autoSpaceDE w:val="0"/>
        <w:autoSpaceDN w:val="0"/>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 xml:space="preserve">通讯地址：                        </w:t>
      </w:r>
    </w:p>
    <w:p>
      <w:pPr>
        <w:autoSpaceDE w:val="0"/>
        <w:autoSpaceDN w:val="0"/>
        <w:ind w:firstLine="460"/>
        <w:rPr>
          <w:rFonts w:ascii="仿宋" w:hAnsi="仿宋" w:eastAsia="仿宋"/>
          <w:sz w:val="24"/>
          <w:szCs w:val="24"/>
          <w:highlight w:val="none"/>
          <w:shd w:val="clear" w:color="auto" w:fill="FFFFFF"/>
        </w:rPr>
      </w:pPr>
    </w:p>
    <w:p>
      <w:pPr>
        <w:autoSpaceDE w:val="0"/>
        <w:autoSpaceDN w:val="0"/>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 xml:space="preserve">邮政编码：                              </w:t>
      </w:r>
    </w:p>
    <w:p>
      <w:pPr>
        <w:autoSpaceDE w:val="0"/>
        <w:autoSpaceDN w:val="0"/>
        <w:ind w:firstLine="460"/>
        <w:rPr>
          <w:rFonts w:ascii="仿宋" w:hAnsi="仿宋" w:eastAsia="仿宋"/>
          <w:sz w:val="24"/>
          <w:szCs w:val="24"/>
          <w:highlight w:val="none"/>
          <w:shd w:val="clear" w:color="auto" w:fill="FFFFFF"/>
        </w:rPr>
      </w:pPr>
    </w:p>
    <w:p>
      <w:pPr>
        <w:autoSpaceDE w:val="0"/>
        <w:autoSpaceDN w:val="0"/>
        <w:ind w:firstLine="480" w:firstLineChars="200"/>
        <w:rPr>
          <w:rFonts w:ascii="仿宋" w:hAnsi="仿宋" w:eastAsia="仿宋"/>
          <w:sz w:val="24"/>
          <w:szCs w:val="24"/>
          <w:highlight w:val="none"/>
          <w:u w:color="000000"/>
        </w:rPr>
      </w:pPr>
      <w:r>
        <w:rPr>
          <w:rFonts w:hint="eastAsia" w:ascii="仿宋" w:hAnsi="仿宋" w:eastAsia="仿宋"/>
          <w:sz w:val="24"/>
          <w:szCs w:val="24"/>
          <w:highlight w:val="none"/>
          <w:shd w:val="clear" w:color="auto" w:fill="FFFFFF"/>
        </w:rPr>
        <w:t xml:space="preserve">年    月    日                   </w:t>
      </w:r>
    </w:p>
    <w:p>
      <w:pPr>
        <w:autoSpaceDE w:val="0"/>
        <w:autoSpaceDN w:val="0"/>
        <w:ind w:firstLine="460"/>
        <w:rPr>
          <w:rFonts w:ascii="仿宋" w:hAnsi="仿宋" w:eastAsia="仿宋"/>
          <w:sz w:val="24"/>
          <w:szCs w:val="24"/>
          <w:highlight w:val="none"/>
          <w:shd w:val="clear" w:color="auto" w:fill="FFFFFF"/>
        </w:rPr>
      </w:pPr>
    </w:p>
    <w:p>
      <w:pPr>
        <w:autoSpaceDE w:val="0"/>
        <w:autoSpaceDN w:val="0"/>
        <w:adjustRightInd w:val="0"/>
        <w:jc w:val="left"/>
        <w:rPr>
          <w:rFonts w:ascii="仿宋" w:hAnsi="仿宋" w:eastAsia="仿宋" w:cs="Times New Roman"/>
          <w:kern w:val="0"/>
          <w:sz w:val="24"/>
          <w:szCs w:val="24"/>
          <w:highlight w:val="none"/>
        </w:rPr>
      </w:pPr>
    </w:p>
    <w:p>
      <w:pPr>
        <w:autoSpaceDE w:val="0"/>
        <w:autoSpaceDN w:val="0"/>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联合体成员名称：（盖单位公章）</w:t>
      </w:r>
    </w:p>
    <w:p>
      <w:pPr>
        <w:autoSpaceDE w:val="0"/>
        <w:autoSpaceDN w:val="0"/>
        <w:ind w:firstLine="460"/>
        <w:rPr>
          <w:rFonts w:ascii="仿宋" w:hAnsi="仿宋" w:eastAsia="仿宋"/>
          <w:sz w:val="24"/>
          <w:szCs w:val="24"/>
          <w:highlight w:val="none"/>
          <w:shd w:val="clear" w:color="auto" w:fill="FFFFFF"/>
        </w:rPr>
      </w:pPr>
    </w:p>
    <w:p>
      <w:pPr>
        <w:autoSpaceDE w:val="0"/>
        <w:autoSpaceDN w:val="0"/>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法定代表人/负责人或其委托代理人：（签章或盖章）</w:t>
      </w:r>
    </w:p>
    <w:p>
      <w:pPr>
        <w:autoSpaceDE w:val="0"/>
        <w:autoSpaceDN w:val="0"/>
        <w:ind w:firstLine="460"/>
        <w:rPr>
          <w:rFonts w:ascii="仿宋" w:hAnsi="仿宋" w:eastAsia="仿宋"/>
          <w:sz w:val="24"/>
          <w:szCs w:val="24"/>
          <w:highlight w:val="none"/>
          <w:shd w:val="clear" w:color="auto" w:fill="FFFFFF"/>
        </w:rPr>
      </w:pPr>
    </w:p>
    <w:p>
      <w:pPr>
        <w:autoSpaceDE w:val="0"/>
        <w:autoSpaceDN w:val="0"/>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联系电话：</w:t>
      </w:r>
    </w:p>
    <w:p>
      <w:pPr>
        <w:autoSpaceDE w:val="0"/>
        <w:autoSpaceDN w:val="0"/>
        <w:ind w:firstLine="460"/>
        <w:rPr>
          <w:rFonts w:ascii="仿宋" w:hAnsi="仿宋" w:eastAsia="仿宋"/>
          <w:sz w:val="24"/>
          <w:szCs w:val="24"/>
          <w:highlight w:val="none"/>
          <w:shd w:val="clear" w:color="auto" w:fill="FFFFFF"/>
        </w:rPr>
      </w:pPr>
    </w:p>
    <w:p>
      <w:pPr>
        <w:autoSpaceDE w:val="0"/>
        <w:autoSpaceDN w:val="0"/>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 xml:space="preserve">通讯地址： </w:t>
      </w:r>
    </w:p>
    <w:p>
      <w:pPr>
        <w:autoSpaceDE w:val="0"/>
        <w:autoSpaceDN w:val="0"/>
        <w:ind w:firstLine="460"/>
        <w:rPr>
          <w:rFonts w:ascii="仿宋" w:hAnsi="仿宋" w:eastAsia="仿宋"/>
          <w:sz w:val="24"/>
          <w:szCs w:val="24"/>
          <w:highlight w:val="none"/>
          <w:shd w:val="clear" w:color="auto" w:fill="FFFFFF"/>
        </w:rPr>
      </w:pPr>
    </w:p>
    <w:p>
      <w:pPr>
        <w:autoSpaceDE w:val="0"/>
        <w:autoSpaceDN w:val="0"/>
        <w:ind w:firstLine="460"/>
        <w:rPr>
          <w:rFonts w:ascii="仿宋" w:hAnsi="仿宋" w:eastAsia="仿宋"/>
          <w:sz w:val="24"/>
          <w:szCs w:val="24"/>
          <w:highlight w:val="none"/>
          <w:shd w:val="clear" w:color="auto" w:fill="FFFFFF"/>
        </w:rPr>
      </w:pPr>
      <w:r>
        <w:rPr>
          <w:rFonts w:hint="eastAsia" w:ascii="仿宋" w:hAnsi="仿宋" w:eastAsia="仿宋"/>
          <w:sz w:val="24"/>
          <w:szCs w:val="24"/>
          <w:highlight w:val="none"/>
          <w:shd w:val="clear" w:color="auto" w:fill="FFFFFF"/>
        </w:rPr>
        <w:t xml:space="preserve">邮政编码： </w:t>
      </w:r>
    </w:p>
    <w:p>
      <w:pPr>
        <w:autoSpaceDE w:val="0"/>
        <w:autoSpaceDN w:val="0"/>
        <w:ind w:firstLine="480" w:firstLineChars="200"/>
        <w:rPr>
          <w:rFonts w:ascii="仿宋" w:hAnsi="仿宋" w:eastAsia="仿宋"/>
          <w:sz w:val="24"/>
          <w:szCs w:val="24"/>
          <w:highlight w:val="none"/>
          <w:shd w:val="clear" w:color="auto" w:fill="FFFFFF"/>
        </w:rPr>
      </w:pPr>
    </w:p>
    <w:p>
      <w:pPr>
        <w:autoSpaceDE w:val="0"/>
        <w:autoSpaceDN w:val="0"/>
        <w:ind w:firstLine="480" w:firstLineChars="200"/>
        <w:rPr>
          <w:rFonts w:ascii="仿宋" w:hAnsi="仿宋" w:eastAsia="仿宋"/>
          <w:sz w:val="24"/>
          <w:szCs w:val="24"/>
          <w:highlight w:val="none"/>
          <w:u w:color="000000"/>
        </w:rPr>
      </w:pPr>
      <w:r>
        <w:rPr>
          <w:rFonts w:hint="eastAsia" w:ascii="仿宋" w:hAnsi="仿宋" w:eastAsia="仿宋"/>
          <w:sz w:val="24"/>
          <w:szCs w:val="24"/>
          <w:highlight w:val="none"/>
          <w:shd w:val="clear" w:color="auto" w:fill="FFFFFF"/>
        </w:rPr>
        <w:t xml:space="preserve">年    月    日                   </w:t>
      </w:r>
    </w:p>
    <w:p>
      <w:pPr>
        <w:ind w:right="240"/>
        <w:jc w:val="right"/>
        <w:rPr>
          <w:rFonts w:asciiTheme="minorHAnsi" w:hAnsiTheme="minorHAnsi" w:eastAsiaTheme="minorEastAsia" w:cstheme="minorBidi"/>
          <w:highlight w:val="none"/>
        </w:rPr>
      </w:pPr>
    </w:p>
    <w:p>
      <w:pPr>
        <w:ind w:right="240"/>
        <w:jc w:val="right"/>
        <w:rPr>
          <w:rFonts w:asciiTheme="minorHAnsi" w:hAnsiTheme="minorHAnsi" w:eastAsiaTheme="minorEastAsia" w:cstheme="minorBidi"/>
          <w:highlight w:val="none"/>
        </w:rPr>
      </w:pPr>
    </w:p>
    <w:p>
      <w:pPr>
        <w:ind w:right="240"/>
        <w:jc w:val="right"/>
        <w:rPr>
          <w:rFonts w:asciiTheme="minorHAnsi" w:hAnsiTheme="minorHAnsi" w:eastAsiaTheme="minorEastAsia" w:cstheme="minorBidi"/>
          <w:highlight w:val="none"/>
        </w:rPr>
      </w:pPr>
    </w:p>
    <w:p>
      <w:pPr>
        <w:ind w:right="240"/>
        <w:jc w:val="right"/>
        <w:rPr>
          <w:rFonts w:asciiTheme="minorHAnsi" w:hAnsiTheme="minorHAnsi" w:eastAsiaTheme="minorEastAsia" w:cstheme="minorBidi"/>
          <w:highlight w:val="none"/>
        </w:rPr>
      </w:pPr>
      <w:r>
        <w:rPr>
          <w:rFonts w:asciiTheme="minorHAnsi" w:hAnsiTheme="minorHAnsi" w:eastAsiaTheme="minorEastAsia" w:cstheme="minorBidi"/>
          <w:highlight w:val="none"/>
        </w:rPr>
        <w:br w:type="page"/>
      </w:r>
    </w:p>
    <w:p>
      <w:pPr>
        <w:ind w:right="240"/>
        <w:jc w:val="center"/>
        <w:rPr>
          <w:rFonts w:ascii="仿宋" w:hAnsi="仿宋" w:eastAsia="仿宋"/>
          <w:b/>
          <w:bCs/>
          <w:kern w:val="0"/>
          <w:sz w:val="24"/>
          <w:szCs w:val="24"/>
          <w:highlight w:val="none"/>
        </w:rPr>
      </w:pPr>
      <w:r>
        <w:rPr>
          <w:rFonts w:hint="eastAsia" w:ascii="仿宋" w:hAnsi="仿宋" w:eastAsia="仿宋" w:cs="仿宋"/>
          <w:b/>
          <w:sz w:val="24"/>
          <w:szCs w:val="24"/>
          <w:highlight w:val="none"/>
        </w:rPr>
        <w:t>（十）</w:t>
      </w:r>
      <w:r>
        <w:rPr>
          <w:rFonts w:hint="eastAsia" w:ascii="仿宋" w:hAnsi="仿宋" w:eastAsia="仿宋"/>
          <w:b/>
          <w:bCs/>
          <w:kern w:val="0"/>
          <w:sz w:val="24"/>
          <w:szCs w:val="24"/>
          <w:highlight w:val="none"/>
        </w:rPr>
        <w:t>投标保证金</w:t>
      </w:r>
    </w:p>
    <w:p>
      <w:pPr>
        <w:ind w:right="240"/>
        <w:jc w:val="center"/>
        <w:rPr>
          <w:rFonts w:asciiTheme="minorHAnsi" w:hAnsiTheme="minorHAnsi" w:eastAsiaTheme="minorEastAsia" w:cstheme="minorBidi"/>
          <w:highlight w:val="none"/>
        </w:rPr>
      </w:pPr>
    </w:p>
    <w:p>
      <w:pPr>
        <w:spacing w:line="360" w:lineRule="auto"/>
        <w:ind w:firstLine="480" w:firstLineChars="200"/>
        <w:rPr>
          <w:rFonts w:ascii="仿宋" w:hAnsi="仿宋" w:eastAsia="仿宋" w:cstheme="minorBidi"/>
          <w:i/>
          <w:iCs/>
          <w:sz w:val="24"/>
          <w:szCs w:val="28"/>
          <w:highlight w:val="none"/>
        </w:rPr>
      </w:pPr>
      <w:r>
        <w:rPr>
          <w:rFonts w:hint="eastAsia" w:ascii="仿宋" w:hAnsi="仿宋" w:eastAsia="仿宋" w:cstheme="minorBidi"/>
          <w:i/>
          <w:iCs/>
          <w:sz w:val="24"/>
          <w:szCs w:val="28"/>
          <w:highlight w:val="none"/>
        </w:rPr>
        <w:t>投标人提交的投标保证金应采用招标文件中规定的形式，并提供相应的支票、汇票、汇单、保函等复印件/扫描件。</w:t>
      </w:r>
    </w:p>
    <w:p>
      <w:pPr>
        <w:ind w:right="240"/>
        <w:jc w:val="center"/>
        <w:rPr>
          <w:rFonts w:asciiTheme="minorHAnsi" w:hAnsiTheme="minorHAnsi" w:eastAsiaTheme="minorEastAsia" w:cstheme="minorBidi"/>
          <w:highlight w:val="none"/>
        </w:rPr>
      </w:pPr>
    </w:p>
    <w:p>
      <w:pPr>
        <w:ind w:right="240"/>
        <w:jc w:val="center"/>
        <w:rPr>
          <w:rFonts w:asciiTheme="minorHAnsi" w:hAnsiTheme="minorHAnsi" w:eastAsiaTheme="minorEastAsia" w:cstheme="minorBidi"/>
          <w:highlight w:val="none"/>
        </w:rPr>
      </w:pPr>
    </w:p>
    <w:p>
      <w:pPr>
        <w:ind w:right="240"/>
        <w:jc w:val="center"/>
        <w:rPr>
          <w:rFonts w:asciiTheme="minorHAnsi" w:hAnsiTheme="minorHAnsi" w:eastAsiaTheme="minorEastAsia" w:cstheme="minorBidi"/>
          <w:highlight w:val="none"/>
        </w:rPr>
      </w:pPr>
    </w:p>
    <w:p>
      <w:pPr>
        <w:ind w:right="240"/>
        <w:jc w:val="center"/>
        <w:rPr>
          <w:rFonts w:asciiTheme="minorHAnsi" w:hAnsiTheme="minorHAnsi" w:eastAsiaTheme="minorEastAsia" w:cstheme="minorBidi"/>
          <w:highlight w:val="none"/>
        </w:rPr>
      </w:pPr>
    </w:p>
    <w:p>
      <w:pPr>
        <w:ind w:right="240"/>
        <w:jc w:val="center"/>
        <w:rPr>
          <w:rFonts w:asciiTheme="minorHAnsi" w:hAnsiTheme="minorHAnsi" w:eastAsiaTheme="minorEastAsia" w:cstheme="minorBidi"/>
          <w:highlight w:val="none"/>
        </w:rPr>
      </w:pPr>
    </w:p>
    <w:p>
      <w:pPr>
        <w:ind w:right="240"/>
        <w:jc w:val="center"/>
        <w:rPr>
          <w:rFonts w:asciiTheme="minorHAnsi" w:hAnsiTheme="minorHAnsi" w:eastAsiaTheme="minorEastAsia" w:cstheme="minorBidi"/>
          <w:highlight w:val="none"/>
        </w:rPr>
      </w:pPr>
    </w:p>
    <w:p>
      <w:pPr>
        <w:ind w:right="240"/>
        <w:jc w:val="center"/>
        <w:rPr>
          <w:rFonts w:asciiTheme="minorHAnsi" w:hAnsiTheme="minorHAnsi" w:eastAsiaTheme="minorEastAsia" w:cstheme="minorBidi"/>
          <w:highlight w:val="none"/>
        </w:rPr>
      </w:pPr>
    </w:p>
    <w:tbl>
      <w:tblPr>
        <w:tblStyle w:val="9"/>
        <w:tblW w:w="8512" w:type="dxa"/>
        <w:jc w:val="center"/>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jc w:val="center"/>
        </w:trPr>
        <w:tc>
          <w:tcPr>
            <w:tcW w:w="1553"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610"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4"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rPr>
          <w:trHeight w:val="894" w:hRule="atLeast"/>
          <w:jc w:val="center"/>
        </w:trPr>
        <w:tc>
          <w:tcPr>
            <w:tcW w:w="4164" w:type="dxa"/>
            <w:gridSpan w:val="2"/>
            <w:vAlign w:val="center"/>
          </w:tcPr>
          <w:p>
            <w:pPr>
              <w:ind w:left="2520" w:leftChars="1200"/>
              <w:rPr>
                <w:rFonts w:ascii="仿宋" w:hAnsi="仿宋" w:eastAsia="仿宋" w:cs="仿宋"/>
                <w:sz w:val="24"/>
                <w:szCs w:val="24"/>
                <w:highlight w:val="none"/>
              </w:rPr>
            </w:pPr>
          </w:p>
        </w:tc>
        <w:tc>
          <w:tcPr>
            <w:tcW w:w="4348" w:type="dxa"/>
            <w:gridSpan w:val="2"/>
            <w:vAlign w:val="center"/>
          </w:tcPr>
          <w:p>
            <w:pPr>
              <w:ind w:left="2520" w:leftChars="1200"/>
              <w:rPr>
                <w:rFonts w:ascii="仿宋" w:hAnsi="仿宋" w:eastAsia="仿宋" w:cs="仿宋"/>
                <w:sz w:val="24"/>
                <w:szCs w:val="24"/>
                <w:highlight w:val="none"/>
              </w:rPr>
            </w:pPr>
            <w:r>
              <w:rPr>
                <w:rFonts w:hint="eastAsia" w:ascii="仿宋" w:hAnsi="仿宋" w:eastAsia="仿宋" w:cs="仿宋"/>
                <w:sz w:val="24"/>
                <w:szCs w:val="24"/>
                <w:highlight w:val="none"/>
              </w:rPr>
              <w:t>年   月   日</w:t>
            </w:r>
          </w:p>
        </w:tc>
      </w:tr>
    </w:tbl>
    <w:p>
      <w:pPr>
        <w:ind w:right="240"/>
        <w:jc w:val="center"/>
        <w:rPr>
          <w:rFonts w:asciiTheme="minorHAnsi" w:hAnsiTheme="minorHAnsi" w:eastAsiaTheme="minorEastAsia" w:cstheme="minorBidi"/>
          <w:highlight w:val="none"/>
        </w:rPr>
      </w:pPr>
    </w:p>
    <w:p>
      <w:pPr>
        <w:ind w:right="240"/>
        <w:jc w:val="center"/>
        <w:rPr>
          <w:rFonts w:asciiTheme="minorHAnsi" w:hAnsiTheme="minorHAnsi" w:eastAsiaTheme="minorEastAsia" w:cstheme="minorBidi"/>
          <w:highlight w:val="none"/>
        </w:rPr>
      </w:pPr>
    </w:p>
    <w:p>
      <w:pPr>
        <w:ind w:right="240"/>
        <w:jc w:val="right"/>
        <w:rPr>
          <w:rFonts w:asciiTheme="minorHAnsi" w:hAnsiTheme="minorHAnsi" w:eastAsiaTheme="minorEastAsia" w:cstheme="minorBidi"/>
          <w:highlight w:val="none"/>
        </w:rPr>
      </w:pPr>
      <w:r>
        <w:rPr>
          <w:rFonts w:asciiTheme="minorHAnsi" w:hAnsiTheme="minorHAnsi" w:eastAsiaTheme="minorEastAsia" w:cstheme="minorBidi"/>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49" w:name="_Toc110245249"/>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6  </w:t>
      </w:r>
      <w:r>
        <w:rPr>
          <w:rFonts w:hint="eastAsia" w:ascii="仿宋" w:hAnsi="仿宋" w:eastAsia="仿宋" w:cs="仿宋"/>
          <w:b/>
          <w:bCs/>
          <w:kern w:val="1"/>
          <w:sz w:val="24"/>
          <w:szCs w:val="24"/>
          <w:highlight w:val="none"/>
        </w:rPr>
        <w:t>授权书</w:t>
      </w:r>
      <w:bookmarkEnd w:id="149"/>
    </w:p>
    <w:p>
      <w:pPr>
        <w:ind w:firstLine="562" w:firstLineChars="200"/>
        <w:jc w:val="center"/>
        <w:rPr>
          <w:rFonts w:ascii="仿宋" w:hAnsi="仿宋" w:eastAsia="仿宋" w:cs="仿宋"/>
          <w:b/>
          <w:kern w:val="1"/>
          <w:sz w:val="28"/>
          <w:szCs w:val="28"/>
          <w:highlight w:val="none"/>
        </w:rPr>
      </w:pPr>
      <w:r>
        <w:rPr>
          <w:rFonts w:hint="eastAsia" w:ascii="仿宋" w:hAnsi="仿宋" w:eastAsia="仿宋" w:cs="仿宋"/>
          <w:b/>
          <w:kern w:val="1"/>
          <w:sz w:val="28"/>
          <w:szCs w:val="28"/>
          <w:highlight w:val="none"/>
        </w:rPr>
        <w:t>法定代表人代表授权书</w:t>
      </w:r>
    </w:p>
    <w:p>
      <w:pPr>
        <w:ind w:firstLine="480" w:firstLineChars="200"/>
        <w:rPr>
          <w:rFonts w:ascii="仿宋" w:hAnsi="仿宋" w:eastAsia="仿宋" w:cs="仿宋"/>
          <w:kern w:val="1"/>
          <w:sz w:val="24"/>
          <w:szCs w:val="24"/>
          <w:highlight w:val="none"/>
        </w:rPr>
      </w:pPr>
    </w:p>
    <w:p>
      <w:pPr>
        <w:spacing w:line="360" w:lineRule="auto"/>
        <w:ind w:firstLine="480" w:firstLineChars="200"/>
        <w:rPr>
          <w:rFonts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本授权书声明： </w:t>
      </w:r>
      <w:r>
        <w:rPr>
          <w:rFonts w:hint="eastAsia" w:ascii="仿宋" w:hAnsi="仿宋" w:eastAsia="仿宋" w:cs="仿宋"/>
          <w:i/>
          <w:iCs/>
          <w:kern w:val="1"/>
          <w:sz w:val="24"/>
          <w:szCs w:val="24"/>
          <w:highlight w:val="none"/>
          <w:u w:val="single"/>
        </w:rPr>
        <w:t xml:space="preserve">（法定代表人姓名、职务） </w:t>
      </w:r>
      <w:r>
        <w:rPr>
          <w:rFonts w:hint="eastAsia" w:ascii="仿宋" w:hAnsi="仿宋" w:eastAsia="仿宋" w:cs="仿宋"/>
          <w:kern w:val="1"/>
          <w:sz w:val="24"/>
          <w:szCs w:val="24"/>
          <w:highlight w:val="none"/>
        </w:rPr>
        <w:t>为注册于</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省（市、自治区）的</w:t>
      </w:r>
      <w:r>
        <w:rPr>
          <w:rFonts w:hint="eastAsia" w:ascii="仿宋" w:hAnsi="仿宋" w:eastAsia="仿宋" w:cs="仿宋"/>
          <w:kern w:val="1"/>
          <w:sz w:val="24"/>
          <w:szCs w:val="24"/>
          <w:highlight w:val="none"/>
          <w:u w:val="single"/>
        </w:rPr>
        <w:t xml:space="preserve">   </w:t>
      </w:r>
      <w:r>
        <w:rPr>
          <w:rFonts w:hint="eastAsia" w:ascii="仿宋" w:hAnsi="仿宋" w:eastAsia="仿宋" w:cs="仿宋"/>
          <w:i/>
          <w:iCs/>
          <w:kern w:val="1"/>
          <w:sz w:val="24"/>
          <w:szCs w:val="24"/>
          <w:highlight w:val="none"/>
          <w:u w:val="single"/>
        </w:rPr>
        <w:t>（投标人名称）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 xml:space="preserve"> 的法定代表人，现授予</w:t>
      </w:r>
      <w:r>
        <w:rPr>
          <w:rFonts w:hint="eastAsia" w:ascii="仿宋" w:hAnsi="仿宋" w:eastAsia="仿宋" w:cs="仿宋"/>
          <w:kern w:val="1"/>
          <w:sz w:val="24"/>
          <w:szCs w:val="24"/>
          <w:highlight w:val="none"/>
          <w:u w:val="single"/>
        </w:rPr>
        <w:t xml:space="preserve">   </w:t>
      </w:r>
      <w:r>
        <w:rPr>
          <w:rFonts w:hint="eastAsia" w:ascii="仿宋" w:hAnsi="仿宋" w:eastAsia="仿宋" w:cs="仿宋"/>
          <w:i/>
          <w:iCs/>
          <w:kern w:val="1"/>
          <w:sz w:val="24"/>
          <w:szCs w:val="24"/>
          <w:highlight w:val="none"/>
          <w:u w:val="single"/>
        </w:rPr>
        <w:t>(被授权人的姓名、职务)</w:t>
      </w:r>
      <w:r>
        <w:rPr>
          <w:rFonts w:ascii="仿宋" w:hAnsi="仿宋" w:eastAsia="仿宋" w:cs="仿宋"/>
          <w:i/>
          <w:iCs/>
          <w:kern w:val="1"/>
          <w:sz w:val="24"/>
          <w:szCs w:val="24"/>
          <w:highlight w:val="none"/>
          <w:u w:val="single"/>
        </w:rPr>
        <w:t xml:space="preserve">   </w:t>
      </w:r>
      <w:r>
        <w:rPr>
          <w:rFonts w:hint="eastAsia" w:ascii="仿宋" w:hAnsi="仿宋" w:eastAsia="仿宋" w:cs="仿宋"/>
          <w:kern w:val="1"/>
          <w:sz w:val="24"/>
          <w:szCs w:val="24"/>
          <w:highlight w:val="none"/>
        </w:rPr>
        <w:t>为本单位的合法代理人，代理人以本单位名义处理</w:t>
      </w:r>
      <w:r>
        <w:rPr>
          <w:rFonts w:hint="eastAsia" w:ascii="仿宋" w:hAnsi="仿宋" w:eastAsia="仿宋" w:cs="仿宋"/>
          <w:kern w:val="1"/>
          <w:sz w:val="24"/>
          <w:szCs w:val="24"/>
          <w:highlight w:val="none"/>
          <w:u w:val="single"/>
        </w:rPr>
        <w:t xml:space="preserve">   </w:t>
      </w:r>
      <w:r>
        <w:rPr>
          <w:rFonts w:hint="eastAsia" w:ascii="仿宋" w:hAnsi="仿宋" w:eastAsia="仿宋" w:cs="仿宋"/>
          <w:i/>
          <w:iCs/>
          <w:kern w:val="1"/>
          <w:sz w:val="24"/>
          <w:szCs w:val="24"/>
          <w:highlight w:val="none"/>
          <w:u w:val="single"/>
        </w:rPr>
        <w:t>（项目名称、项目编号、项目标段）</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投标有关一切事宜，其法律后果由本单位承担。</w:t>
      </w:r>
    </w:p>
    <w:p>
      <w:pPr>
        <w:spacing w:line="360" w:lineRule="auto"/>
        <w:ind w:firstLine="480" w:firstLineChars="200"/>
        <w:rPr>
          <w:rFonts w:ascii="仿宋" w:hAnsi="仿宋" w:eastAsia="仿宋" w:cs="仿宋"/>
          <w:kern w:val="1"/>
          <w:sz w:val="24"/>
          <w:szCs w:val="24"/>
          <w:highlight w:val="none"/>
        </w:rPr>
      </w:pPr>
    </w:p>
    <w:p>
      <w:pPr>
        <w:spacing w:line="360" w:lineRule="auto"/>
        <w:ind w:firstLine="480" w:firstLineChars="200"/>
        <w:rPr>
          <w:rFonts w:ascii="仿宋" w:hAnsi="仿宋" w:eastAsia="仿宋" w:cs="仿宋"/>
          <w:kern w:val="1"/>
          <w:sz w:val="24"/>
          <w:szCs w:val="24"/>
          <w:highlight w:val="none"/>
        </w:rPr>
      </w:pPr>
      <w:r>
        <w:rPr>
          <w:rFonts w:hint="eastAsia" w:ascii="仿宋" w:hAnsi="仿宋" w:eastAsia="仿宋" w:cs="仿宋"/>
          <w:kern w:val="1"/>
          <w:sz w:val="24"/>
          <w:szCs w:val="24"/>
          <w:highlight w:val="none"/>
        </w:rPr>
        <w:t>代理人无转委托权。</w:t>
      </w:r>
    </w:p>
    <w:p>
      <w:pPr>
        <w:spacing w:line="360" w:lineRule="auto"/>
        <w:ind w:firstLine="480" w:firstLineChars="200"/>
        <w:rPr>
          <w:rFonts w:ascii="仿宋" w:hAnsi="仿宋" w:eastAsia="仿宋" w:cs="仿宋"/>
          <w:kern w:val="1"/>
          <w:sz w:val="24"/>
          <w:szCs w:val="24"/>
          <w:highlight w:val="none"/>
        </w:rPr>
      </w:pPr>
    </w:p>
    <w:p>
      <w:pPr>
        <w:spacing w:line="360" w:lineRule="auto"/>
        <w:ind w:firstLine="480" w:firstLineChars="200"/>
        <w:rPr>
          <w:rFonts w:ascii="仿宋" w:hAnsi="仿宋" w:eastAsia="仿宋" w:cs="仿宋"/>
          <w:kern w:val="1"/>
          <w:sz w:val="24"/>
          <w:szCs w:val="24"/>
          <w:highlight w:val="none"/>
        </w:rPr>
      </w:pPr>
      <w:r>
        <w:rPr>
          <w:rFonts w:hint="eastAsia" w:ascii="仿宋" w:hAnsi="仿宋" w:eastAsia="仿宋" w:cs="仿宋"/>
          <w:kern w:val="1"/>
          <w:sz w:val="24"/>
          <w:szCs w:val="24"/>
          <w:highlight w:val="none"/>
        </w:rPr>
        <w:t>本授权书于</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年</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月</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日签字（盖章）生效，特此声明。</w:t>
      </w:r>
    </w:p>
    <w:p>
      <w:pPr>
        <w:spacing w:line="360" w:lineRule="auto"/>
        <w:ind w:firstLine="480" w:firstLineChars="200"/>
        <w:rPr>
          <w:rFonts w:ascii="仿宋" w:hAnsi="仿宋" w:eastAsia="仿宋" w:cs="仿宋"/>
          <w:kern w:val="1"/>
          <w:sz w:val="24"/>
          <w:szCs w:val="24"/>
          <w:highlight w:val="none"/>
        </w:rPr>
      </w:pPr>
    </w:p>
    <w:p>
      <w:pPr>
        <w:ind w:firstLine="480" w:firstLineChars="200"/>
        <w:rPr>
          <w:rFonts w:ascii="仿宋" w:hAnsi="仿宋" w:eastAsia="仿宋" w:cs="仿宋"/>
          <w:kern w:val="1"/>
          <w:sz w:val="24"/>
          <w:szCs w:val="24"/>
          <w:highlight w:val="none"/>
        </w:rPr>
      </w:pPr>
    </w:p>
    <w:tbl>
      <w:tblPr>
        <w:tblStyle w:val="9"/>
        <w:tblW w:w="8473" w:type="dxa"/>
        <w:tblInd w:w="108" w:type="dxa"/>
        <w:tblLayout w:type="fixed"/>
        <w:tblCellMar>
          <w:top w:w="0" w:type="dxa"/>
          <w:left w:w="108" w:type="dxa"/>
          <w:bottom w:w="0" w:type="dxa"/>
          <w:right w:w="108" w:type="dxa"/>
        </w:tblCellMar>
      </w:tblPr>
      <w:tblGrid>
        <w:gridCol w:w="2977"/>
        <w:gridCol w:w="5496"/>
      </w:tblGrid>
      <w:tr>
        <w:tblPrEx>
          <w:tblCellMar>
            <w:top w:w="0" w:type="dxa"/>
            <w:left w:w="108" w:type="dxa"/>
            <w:bottom w:w="0" w:type="dxa"/>
            <w:right w:w="108" w:type="dxa"/>
          </w:tblCellMar>
        </w:tblPrEx>
        <w:trPr>
          <w:trHeight w:val="1291" w:hRule="atLeast"/>
        </w:trPr>
        <w:tc>
          <w:tcPr>
            <w:tcW w:w="2977" w:type="dxa"/>
            <w:vAlign w:val="center"/>
          </w:tcPr>
          <w:p>
            <w:pPr>
              <w:jc w:val="distribute"/>
              <w:rPr>
                <w:rFonts w:ascii="仿宋" w:hAnsi="仿宋" w:eastAsia="仿宋" w:cs="仿宋"/>
                <w:b/>
                <w:bCs/>
                <w:kern w:val="1"/>
                <w:sz w:val="24"/>
                <w:szCs w:val="24"/>
                <w:highlight w:val="none"/>
              </w:rPr>
            </w:pPr>
            <w:r>
              <w:rPr>
                <w:rFonts w:hint="eastAsia" w:ascii="仿宋" w:hAnsi="仿宋" w:eastAsia="仿宋" w:cs="仿宋"/>
                <w:b/>
                <w:bCs/>
                <w:kern w:val="1"/>
                <w:sz w:val="24"/>
                <w:szCs w:val="24"/>
                <w:highlight w:val="none"/>
              </w:rPr>
              <w:t>投标人（盖章）：</w:t>
            </w:r>
          </w:p>
        </w:tc>
        <w:tc>
          <w:tcPr>
            <w:tcW w:w="5496" w:type="dxa"/>
            <w:vAlign w:val="bottom"/>
          </w:tcPr>
          <w:p>
            <w:pPr>
              <w:rPr>
                <w:rFonts w:ascii="仿宋" w:hAnsi="仿宋" w:eastAsia="仿宋" w:cs="仿宋"/>
                <w:kern w:val="1"/>
                <w:sz w:val="24"/>
                <w:szCs w:val="24"/>
                <w:highlight w:val="none"/>
              </w:rPr>
            </w:pPr>
          </w:p>
        </w:tc>
      </w:tr>
      <w:tr>
        <w:tblPrEx>
          <w:tblCellMar>
            <w:top w:w="0" w:type="dxa"/>
            <w:left w:w="108" w:type="dxa"/>
            <w:bottom w:w="0" w:type="dxa"/>
            <w:right w:w="108" w:type="dxa"/>
          </w:tblCellMar>
        </w:tblPrEx>
        <w:trPr>
          <w:trHeight w:val="1291" w:hRule="atLeast"/>
        </w:trPr>
        <w:tc>
          <w:tcPr>
            <w:tcW w:w="2977" w:type="dxa"/>
            <w:vAlign w:val="center"/>
          </w:tcPr>
          <w:p>
            <w:pPr>
              <w:jc w:val="distribute"/>
              <w:rPr>
                <w:rFonts w:ascii="仿宋" w:hAnsi="仿宋" w:eastAsia="仿宋" w:cs="仿宋"/>
                <w:b/>
                <w:bCs/>
                <w:kern w:val="1"/>
                <w:sz w:val="24"/>
                <w:szCs w:val="24"/>
                <w:highlight w:val="none"/>
              </w:rPr>
            </w:pPr>
            <w:r>
              <w:rPr>
                <w:rFonts w:hint="eastAsia" w:ascii="仿宋" w:hAnsi="仿宋" w:eastAsia="仿宋" w:cs="仿宋"/>
                <w:b/>
                <w:bCs/>
                <w:spacing w:val="20"/>
                <w:kern w:val="1"/>
                <w:sz w:val="24"/>
                <w:szCs w:val="24"/>
                <w:highlight w:val="none"/>
              </w:rPr>
              <w:t>授权人（签字或盖章）</w:t>
            </w:r>
            <w:r>
              <w:rPr>
                <w:rFonts w:hint="eastAsia" w:ascii="仿宋" w:hAnsi="仿宋" w:eastAsia="仿宋" w:cs="仿宋"/>
                <w:b/>
                <w:bCs/>
                <w:kern w:val="1"/>
                <w:sz w:val="24"/>
                <w:szCs w:val="24"/>
                <w:highlight w:val="none"/>
              </w:rPr>
              <w:t>：</w:t>
            </w:r>
          </w:p>
        </w:tc>
        <w:tc>
          <w:tcPr>
            <w:tcW w:w="5496" w:type="dxa"/>
            <w:vAlign w:val="bottom"/>
          </w:tcPr>
          <w:p>
            <w:pPr>
              <w:rPr>
                <w:rFonts w:ascii="仿宋" w:hAnsi="仿宋" w:eastAsia="仿宋" w:cs="仿宋"/>
                <w:kern w:val="1"/>
                <w:sz w:val="24"/>
                <w:szCs w:val="24"/>
                <w:highlight w:val="none"/>
              </w:rPr>
            </w:pPr>
            <w:r>
              <w:rPr>
                <w:rFonts w:hint="eastAsia" w:ascii="仿宋" w:hAnsi="仿宋" w:eastAsia="仿宋" w:cs="仿宋"/>
                <w:kern w:val="1"/>
                <w:sz w:val="24"/>
                <w:szCs w:val="24"/>
                <w:highlight w:val="none"/>
                <w:u w:val="single"/>
              </w:rPr>
              <w:t xml:space="preserve">                                               </w:t>
            </w:r>
          </w:p>
        </w:tc>
      </w:tr>
      <w:tr>
        <w:tblPrEx>
          <w:tblCellMar>
            <w:top w:w="0" w:type="dxa"/>
            <w:left w:w="108" w:type="dxa"/>
            <w:bottom w:w="0" w:type="dxa"/>
            <w:right w:w="108" w:type="dxa"/>
          </w:tblCellMar>
        </w:tblPrEx>
        <w:trPr>
          <w:trHeight w:val="1291" w:hRule="atLeast"/>
        </w:trPr>
        <w:tc>
          <w:tcPr>
            <w:tcW w:w="2977" w:type="dxa"/>
            <w:vAlign w:val="center"/>
          </w:tcPr>
          <w:p>
            <w:pPr>
              <w:jc w:val="distribute"/>
              <w:rPr>
                <w:rFonts w:ascii="仿宋" w:hAnsi="仿宋" w:eastAsia="仿宋" w:cs="仿宋"/>
                <w:b/>
                <w:bCs/>
                <w:kern w:val="1"/>
                <w:sz w:val="24"/>
                <w:szCs w:val="24"/>
                <w:highlight w:val="none"/>
              </w:rPr>
            </w:pPr>
            <w:r>
              <w:rPr>
                <w:rFonts w:hint="eastAsia" w:ascii="仿宋" w:hAnsi="仿宋" w:eastAsia="仿宋" w:cs="仿宋"/>
                <w:b/>
                <w:bCs/>
                <w:kern w:val="1"/>
                <w:sz w:val="24"/>
                <w:szCs w:val="24"/>
                <w:highlight w:val="none"/>
              </w:rPr>
              <w:t>被授权人（签字或盖章）：</w:t>
            </w:r>
          </w:p>
        </w:tc>
        <w:tc>
          <w:tcPr>
            <w:tcW w:w="5496" w:type="dxa"/>
            <w:vAlign w:val="bottom"/>
          </w:tcPr>
          <w:p>
            <w:pPr>
              <w:rPr>
                <w:rFonts w:ascii="仿宋" w:hAnsi="仿宋" w:eastAsia="仿宋" w:cs="仿宋"/>
                <w:kern w:val="1"/>
                <w:sz w:val="24"/>
                <w:szCs w:val="24"/>
                <w:highlight w:val="none"/>
              </w:rPr>
            </w:pPr>
            <w:r>
              <w:rPr>
                <w:rFonts w:hint="eastAsia" w:ascii="仿宋" w:hAnsi="仿宋" w:eastAsia="仿宋" w:cs="仿宋"/>
                <w:kern w:val="1"/>
                <w:sz w:val="24"/>
                <w:szCs w:val="24"/>
                <w:highlight w:val="none"/>
                <w:u w:val="single"/>
              </w:rPr>
              <w:t xml:space="preserve">                                               </w:t>
            </w:r>
          </w:p>
        </w:tc>
      </w:tr>
      <w:tr>
        <w:tblPrEx>
          <w:tblCellMar>
            <w:top w:w="0" w:type="dxa"/>
            <w:left w:w="108" w:type="dxa"/>
            <w:bottom w:w="0" w:type="dxa"/>
            <w:right w:w="108" w:type="dxa"/>
          </w:tblCellMar>
        </w:tblPrEx>
        <w:trPr>
          <w:trHeight w:val="1291" w:hRule="atLeast"/>
        </w:trPr>
        <w:tc>
          <w:tcPr>
            <w:tcW w:w="2977" w:type="dxa"/>
            <w:vAlign w:val="center"/>
          </w:tcPr>
          <w:p>
            <w:pPr>
              <w:jc w:val="distribute"/>
              <w:rPr>
                <w:rFonts w:ascii="仿宋" w:hAnsi="仿宋" w:eastAsia="仿宋" w:cs="仿宋"/>
                <w:b/>
                <w:bCs/>
                <w:spacing w:val="28"/>
                <w:kern w:val="1"/>
                <w:sz w:val="24"/>
                <w:szCs w:val="24"/>
                <w:highlight w:val="none"/>
              </w:rPr>
            </w:pPr>
            <w:r>
              <w:rPr>
                <w:rFonts w:hint="eastAsia" w:ascii="仿宋" w:hAnsi="仿宋" w:eastAsia="仿宋" w:cs="仿宋"/>
                <w:b/>
                <w:bCs/>
                <w:kern w:val="1"/>
                <w:sz w:val="24"/>
                <w:szCs w:val="24"/>
                <w:highlight w:val="none"/>
              </w:rPr>
              <w:t>被授权人职务</w:t>
            </w:r>
            <w:r>
              <w:rPr>
                <w:rFonts w:hint="eastAsia" w:ascii="仿宋" w:hAnsi="仿宋" w:eastAsia="仿宋" w:cs="仿宋"/>
                <w:b/>
                <w:bCs/>
                <w:spacing w:val="28"/>
                <w:kern w:val="1"/>
                <w:sz w:val="24"/>
                <w:szCs w:val="24"/>
                <w:highlight w:val="none"/>
              </w:rPr>
              <w:t>：</w:t>
            </w:r>
          </w:p>
        </w:tc>
        <w:tc>
          <w:tcPr>
            <w:tcW w:w="5496" w:type="dxa"/>
            <w:vAlign w:val="bottom"/>
          </w:tcPr>
          <w:p>
            <w:pPr>
              <w:rPr>
                <w:rFonts w:ascii="仿宋" w:hAnsi="仿宋" w:eastAsia="仿宋" w:cs="仿宋"/>
                <w:kern w:val="1"/>
                <w:sz w:val="24"/>
                <w:szCs w:val="24"/>
                <w:highlight w:val="none"/>
              </w:rPr>
            </w:pPr>
            <w:r>
              <w:rPr>
                <w:rFonts w:hint="eastAsia" w:ascii="仿宋" w:hAnsi="仿宋" w:eastAsia="仿宋" w:cs="仿宋"/>
                <w:kern w:val="1"/>
                <w:sz w:val="24"/>
                <w:szCs w:val="24"/>
                <w:highlight w:val="none"/>
                <w:u w:val="single"/>
              </w:rPr>
              <w:t xml:space="preserve">                                               </w:t>
            </w:r>
          </w:p>
        </w:tc>
      </w:tr>
    </w:tbl>
    <w:p>
      <w:pPr>
        <w:spacing w:line="360" w:lineRule="auto"/>
        <w:ind w:firstLine="480" w:firstLineChars="200"/>
        <w:rPr>
          <w:rFonts w:ascii="仿宋" w:hAnsi="仿宋" w:eastAsia="仿宋" w:cs="仿宋"/>
          <w:kern w:val="1"/>
          <w:sz w:val="24"/>
          <w:szCs w:val="24"/>
          <w:highlight w:val="none"/>
        </w:rPr>
      </w:pPr>
    </w:p>
    <w:p>
      <w:pPr>
        <w:spacing w:line="360" w:lineRule="auto"/>
        <w:ind w:firstLine="480" w:firstLineChars="200"/>
        <w:rPr>
          <w:rFonts w:ascii="仿宋" w:hAnsi="仿宋" w:eastAsia="仿宋" w:cs="仿宋"/>
          <w:kern w:val="1"/>
          <w:sz w:val="24"/>
          <w:szCs w:val="24"/>
          <w:highlight w:val="none"/>
        </w:rPr>
      </w:pPr>
      <w:r>
        <w:rPr>
          <w:rFonts w:hint="eastAsia" w:ascii="仿宋" w:hAnsi="仿宋" w:eastAsia="仿宋" w:cs="仿宋"/>
          <w:kern w:val="1"/>
          <w:sz w:val="24"/>
          <w:szCs w:val="24"/>
          <w:highlight w:val="none"/>
        </w:rPr>
        <w:t>附：授权人、被授权人身份证复印件</w:t>
      </w:r>
    </w:p>
    <w:p>
      <w:pPr>
        <w:spacing w:line="360" w:lineRule="auto"/>
        <w:ind w:firstLine="480" w:firstLineChars="200"/>
        <w:rPr>
          <w:rFonts w:ascii="仿宋" w:hAnsi="仿宋" w:eastAsia="仿宋" w:cs="仿宋"/>
          <w:kern w:val="1"/>
          <w:sz w:val="24"/>
          <w:szCs w:val="24"/>
          <w:highlight w:val="none"/>
        </w:rPr>
      </w:pPr>
    </w:p>
    <w:p>
      <w:pPr>
        <w:ind w:right="240"/>
        <w:jc w:val="right"/>
        <w:rPr>
          <w:rFonts w:asciiTheme="minorHAnsi" w:hAnsiTheme="minorHAnsi" w:eastAsiaTheme="minorEastAsia" w:cstheme="minorBidi"/>
          <w:highlight w:val="none"/>
        </w:rPr>
      </w:pPr>
      <w:r>
        <w:rPr>
          <w:rFonts w:asciiTheme="minorHAnsi" w:hAnsiTheme="minorHAnsi" w:eastAsiaTheme="minorEastAsia" w:cstheme="minorBidi"/>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50" w:name="_Toc110245250"/>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7  </w:t>
      </w:r>
      <w:r>
        <w:rPr>
          <w:rFonts w:hint="eastAsia" w:ascii="仿宋" w:hAnsi="仿宋" w:eastAsia="仿宋" w:cs="仿宋"/>
          <w:b/>
          <w:bCs/>
          <w:kern w:val="1"/>
          <w:sz w:val="24"/>
          <w:szCs w:val="24"/>
          <w:highlight w:val="none"/>
        </w:rPr>
        <w:t>业绩一览表</w:t>
      </w:r>
      <w:bookmarkEnd w:id="150"/>
    </w:p>
    <w:tbl>
      <w:tblPr>
        <w:tblStyle w:val="9"/>
        <w:tblpPr w:leftFromText="180" w:rightFromText="180" w:vertAnchor="page" w:horzAnchor="page" w:tblpXSpec="center" w:tblpY="2373"/>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77"/>
        <w:gridCol w:w="1377"/>
        <w:gridCol w:w="1377"/>
        <w:gridCol w:w="1377"/>
        <w:gridCol w:w="1377"/>
        <w:gridCol w:w="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817"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序号</w:t>
            </w:r>
          </w:p>
        </w:tc>
        <w:tc>
          <w:tcPr>
            <w:tcW w:w="1377"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验收通过时间</w:t>
            </w:r>
          </w:p>
        </w:tc>
        <w:tc>
          <w:tcPr>
            <w:tcW w:w="1377"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项目名称</w:t>
            </w:r>
          </w:p>
        </w:tc>
        <w:tc>
          <w:tcPr>
            <w:tcW w:w="1377"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项目内容</w:t>
            </w:r>
          </w:p>
        </w:tc>
        <w:tc>
          <w:tcPr>
            <w:tcW w:w="1377"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项目地点</w:t>
            </w:r>
          </w:p>
        </w:tc>
        <w:tc>
          <w:tcPr>
            <w:tcW w:w="1377"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甲方单位</w:t>
            </w:r>
          </w:p>
        </w:tc>
        <w:tc>
          <w:tcPr>
            <w:tcW w:w="940"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17"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1</w:t>
            </w: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b/>
                <w:bCs/>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940" w:type="dxa"/>
            <w:vAlign w:val="center"/>
          </w:tcPr>
          <w:p>
            <w:pPr>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17"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2</w:t>
            </w: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940" w:type="dxa"/>
            <w:vAlign w:val="center"/>
          </w:tcPr>
          <w:p>
            <w:pPr>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17" w:type="dxa"/>
            <w:vAlign w:val="center"/>
          </w:tcPr>
          <w:p>
            <w:pPr>
              <w:jc w:val="center"/>
              <w:rPr>
                <w:rFonts w:ascii="仿宋" w:hAnsi="仿宋" w:eastAsia="仿宋" w:cs="仿宋"/>
                <w:sz w:val="24"/>
                <w:szCs w:val="24"/>
                <w:highlight w:val="none"/>
              </w:rPr>
            </w:pPr>
            <w:r>
              <w:rPr>
                <w:rFonts w:ascii="仿宋" w:hAnsi="仿宋" w:eastAsia="仿宋" w:cs="仿宋"/>
                <w:sz w:val="24"/>
                <w:szCs w:val="24"/>
                <w:highlight w:val="none"/>
              </w:rPr>
              <w:t>…</w:t>
            </w: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1377" w:type="dxa"/>
            <w:vAlign w:val="center"/>
          </w:tcPr>
          <w:p>
            <w:pPr>
              <w:jc w:val="center"/>
              <w:rPr>
                <w:rFonts w:ascii="仿宋" w:hAnsi="仿宋" w:eastAsia="仿宋" w:cs="仿宋"/>
                <w:sz w:val="24"/>
                <w:szCs w:val="24"/>
                <w:highlight w:val="none"/>
              </w:rPr>
            </w:pPr>
          </w:p>
        </w:tc>
        <w:tc>
          <w:tcPr>
            <w:tcW w:w="940" w:type="dxa"/>
            <w:vAlign w:val="center"/>
          </w:tcPr>
          <w:p>
            <w:pPr>
              <w:jc w:val="center"/>
              <w:rPr>
                <w:rFonts w:ascii="仿宋" w:hAnsi="仿宋" w:eastAsia="仿宋" w:cs="仿宋"/>
                <w:sz w:val="24"/>
                <w:szCs w:val="24"/>
                <w:highlight w:val="none"/>
              </w:rPr>
            </w:pPr>
          </w:p>
        </w:tc>
      </w:tr>
    </w:tbl>
    <w:p>
      <w:pPr>
        <w:rPr>
          <w:rFonts w:asciiTheme="minorHAnsi" w:hAnsiTheme="minorHAnsi" w:eastAsiaTheme="minorEastAsia" w:cstheme="minorBidi"/>
          <w:highlight w:val="none"/>
        </w:rPr>
      </w:pPr>
    </w:p>
    <w:p>
      <w:pPr>
        <w:spacing w:line="360" w:lineRule="auto"/>
        <w:ind w:firstLine="480" w:firstLineChars="200"/>
        <w:jc w:val="left"/>
        <w:rPr>
          <w:rFonts w:ascii="仿宋" w:hAnsi="仿宋" w:eastAsia="仿宋" w:cs="仿宋"/>
          <w:kern w:val="1"/>
          <w:sz w:val="24"/>
          <w:szCs w:val="24"/>
          <w:highlight w:val="none"/>
        </w:rPr>
      </w:pPr>
    </w:p>
    <w:tbl>
      <w:tblPr>
        <w:tblStyle w:val="9"/>
        <w:tblW w:w="8512" w:type="dxa"/>
        <w:jc w:val="center"/>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jc w:val="center"/>
        </w:trPr>
        <w:tc>
          <w:tcPr>
            <w:tcW w:w="1553"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610"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4"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894" w:hRule="atLeast"/>
          <w:jc w:val="center"/>
        </w:trPr>
        <w:tc>
          <w:tcPr>
            <w:tcW w:w="4164" w:type="dxa"/>
            <w:gridSpan w:val="2"/>
            <w:vAlign w:val="center"/>
          </w:tcPr>
          <w:p>
            <w:pPr>
              <w:spacing w:line="360" w:lineRule="auto"/>
              <w:ind w:firstLine="480" w:firstLineChars="200"/>
              <w:jc w:val="left"/>
              <w:rPr>
                <w:rFonts w:ascii="仿宋" w:hAnsi="仿宋" w:eastAsia="仿宋" w:cs="仿宋"/>
                <w:kern w:val="1"/>
                <w:sz w:val="24"/>
                <w:szCs w:val="24"/>
                <w:highlight w:val="none"/>
              </w:rPr>
            </w:pPr>
          </w:p>
        </w:tc>
        <w:tc>
          <w:tcPr>
            <w:tcW w:w="4348" w:type="dxa"/>
            <w:gridSpan w:val="2"/>
            <w:vAlign w:val="center"/>
          </w:tcPr>
          <w:p>
            <w:pPr>
              <w:spacing w:line="360" w:lineRule="auto"/>
              <w:ind w:firstLine="480" w:firstLineChars="200"/>
              <w:jc w:val="left"/>
              <w:rPr>
                <w:rFonts w:ascii="仿宋" w:hAnsi="仿宋" w:eastAsia="仿宋" w:cs="仿宋"/>
                <w:kern w:val="1"/>
                <w:sz w:val="24"/>
                <w:szCs w:val="24"/>
                <w:highlight w:val="none"/>
              </w:rPr>
            </w:pPr>
            <w:r>
              <w:rPr>
                <w:rFonts w:hint="eastAsia" w:ascii="仿宋" w:hAnsi="仿宋" w:eastAsia="仿宋" w:cs="仿宋"/>
                <w:kern w:val="1"/>
                <w:sz w:val="24"/>
                <w:szCs w:val="24"/>
                <w:highlight w:val="none"/>
              </w:rPr>
              <w:t>年   月   日</w:t>
            </w:r>
          </w:p>
        </w:tc>
      </w:tr>
    </w:tbl>
    <w:p>
      <w:pPr>
        <w:spacing w:line="360" w:lineRule="auto"/>
        <w:ind w:firstLine="420" w:firstLineChars="200"/>
        <w:jc w:val="left"/>
        <w:rPr>
          <w:rFonts w:ascii="仿宋" w:hAnsi="仿宋" w:eastAsia="仿宋" w:cs="仿宋"/>
          <w:kern w:val="1"/>
          <w:szCs w:val="21"/>
          <w:highlight w:val="none"/>
        </w:rPr>
      </w:pPr>
    </w:p>
    <w:p>
      <w:pPr>
        <w:spacing w:line="360" w:lineRule="auto"/>
        <w:ind w:firstLine="420" w:firstLineChars="200"/>
        <w:rPr>
          <w:rFonts w:ascii="仿宋" w:hAnsi="仿宋" w:eastAsia="仿宋" w:cs="仿宋"/>
          <w:kern w:val="1"/>
          <w:szCs w:val="21"/>
          <w:highlight w:val="none"/>
        </w:rPr>
      </w:pPr>
      <w:r>
        <w:rPr>
          <w:rFonts w:hint="eastAsia" w:ascii="仿宋" w:hAnsi="仿宋" w:eastAsia="仿宋" w:cs="仿宋"/>
          <w:kern w:val="1"/>
          <w:szCs w:val="21"/>
          <w:highlight w:val="none"/>
        </w:rPr>
        <w:t>说明：</w:t>
      </w:r>
    </w:p>
    <w:p>
      <w:pPr>
        <w:spacing w:line="360" w:lineRule="auto"/>
        <w:ind w:firstLine="420" w:firstLineChars="200"/>
        <w:rPr>
          <w:rFonts w:ascii="仿宋" w:hAnsi="仿宋" w:eastAsia="仿宋" w:cs="仿宋"/>
          <w:kern w:val="1"/>
          <w:szCs w:val="21"/>
          <w:highlight w:val="none"/>
        </w:rPr>
      </w:pPr>
      <w:r>
        <w:rPr>
          <w:rFonts w:hint="eastAsia" w:ascii="仿宋" w:hAnsi="仿宋" w:eastAsia="仿宋" w:cs="仿宋"/>
          <w:kern w:val="1"/>
          <w:szCs w:val="21"/>
          <w:highlight w:val="none"/>
        </w:rPr>
        <w:t>1</w:t>
      </w:r>
      <w:r>
        <w:rPr>
          <w:rFonts w:ascii="仿宋" w:hAnsi="仿宋" w:eastAsia="仿宋" w:cs="仿宋"/>
          <w:kern w:val="1"/>
          <w:szCs w:val="21"/>
          <w:highlight w:val="none"/>
        </w:rPr>
        <w:t>.投标人须</w:t>
      </w:r>
      <w:r>
        <w:rPr>
          <w:rFonts w:hint="eastAsia" w:ascii="仿宋" w:hAnsi="仿宋" w:eastAsia="仿宋" w:cs="仿宋"/>
          <w:kern w:val="1"/>
          <w:szCs w:val="21"/>
          <w:highlight w:val="none"/>
        </w:rPr>
        <w:t>按照综合评分细则及采购需求要求提供各项业绩证明材料，否则不予计算；</w:t>
      </w:r>
    </w:p>
    <w:p>
      <w:pPr>
        <w:spacing w:line="360" w:lineRule="auto"/>
        <w:ind w:firstLine="420" w:firstLineChars="200"/>
        <w:rPr>
          <w:rFonts w:ascii="仿宋" w:hAnsi="仿宋" w:eastAsia="仿宋" w:cs="仿宋"/>
          <w:kern w:val="1"/>
          <w:szCs w:val="21"/>
          <w:highlight w:val="none"/>
        </w:rPr>
      </w:pPr>
      <w:r>
        <w:rPr>
          <w:rFonts w:hint="eastAsia" w:ascii="仿宋" w:hAnsi="仿宋" w:eastAsia="仿宋" w:cs="仿宋"/>
          <w:kern w:val="1"/>
          <w:szCs w:val="21"/>
          <w:highlight w:val="none"/>
        </w:rPr>
        <w:t>2</w:t>
      </w:r>
      <w:r>
        <w:rPr>
          <w:rFonts w:ascii="仿宋" w:hAnsi="仿宋" w:eastAsia="仿宋" w:cs="仿宋"/>
          <w:kern w:val="1"/>
          <w:szCs w:val="21"/>
          <w:highlight w:val="none"/>
        </w:rPr>
        <w:t>.正在执行的类似业绩需标明执行状态，投标人需在备注栏填写合同执行的状态。</w:t>
      </w:r>
    </w:p>
    <w:p>
      <w:pPr>
        <w:spacing w:line="360" w:lineRule="auto"/>
        <w:ind w:firstLine="420" w:firstLineChars="200"/>
        <w:jc w:val="left"/>
        <w:rPr>
          <w:rFonts w:ascii="仿宋" w:hAnsi="仿宋" w:eastAsia="仿宋" w:cs="仿宋"/>
          <w:kern w:val="1"/>
          <w:szCs w:val="21"/>
          <w:highlight w:val="none"/>
        </w:rPr>
      </w:pPr>
      <w:r>
        <w:rPr>
          <w:rFonts w:ascii="仿宋" w:hAnsi="仿宋" w:eastAsia="仿宋" w:cs="仿宋"/>
          <w:kern w:val="1"/>
          <w:szCs w:val="21"/>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51" w:name="_Toc110245251"/>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8  </w:t>
      </w:r>
      <w:r>
        <w:rPr>
          <w:rFonts w:hint="eastAsia" w:ascii="仿宋" w:hAnsi="仿宋" w:eastAsia="仿宋" w:cs="仿宋"/>
          <w:b/>
          <w:bCs/>
          <w:kern w:val="1"/>
          <w:sz w:val="24"/>
          <w:szCs w:val="24"/>
          <w:highlight w:val="none"/>
        </w:rPr>
        <w:t>中小企业、监狱企业、残疾人福利性单位的声明函或证明材料</w:t>
      </w:r>
      <w:bookmarkEnd w:id="151"/>
    </w:p>
    <w:p>
      <w:pPr>
        <w:spacing w:line="360" w:lineRule="auto"/>
        <w:ind w:firstLine="420" w:firstLineChars="200"/>
        <w:jc w:val="left"/>
        <w:rPr>
          <w:rFonts w:ascii="仿宋" w:hAnsi="仿宋" w:eastAsia="仿宋" w:cs="仿宋"/>
          <w:kern w:val="1"/>
          <w:szCs w:val="21"/>
          <w:highlight w:val="none"/>
        </w:rPr>
      </w:pPr>
    </w:p>
    <w:p>
      <w:pPr>
        <w:spacing w:line="360" w:lineRule="auto"/>
        <w:ind w:firstLine="420" w:firstLineChars="200"/>
        <w:jc w:val="left"/>
        <w:rPr>
          <w:rFonts w:ascii="仿宋" w:hAnsi="仿宋" w:eastAsia="仿宋" w:cs="仿宋"/>
          <w:kern w:val="1"/>
          <w:szCs w:val="21"/>
          <w:highlight w:val="none"/>
        </w:rPr>
      </w:pPr>
    </w:p>
    <w:p>
      <w:pPr>
        <w:spacing w:line="360" w:lineRule="auto"/>
        <w:ind w:firstLine="420" w:firstLineChars="200"/>
        <w:jc w:val="left"/>
        <w:rPr>
          <w:rFonts w:ascii="仿宋" w:hAnsi="仿宋" w:eastAsia="仿宋" w:cs="仿宋"/>
          <w:kern w:val="1"/>
          <w:szCs w:val="21"/>
          <w:highlight w:val="none"/>
        </w:rPr>
      </w:pPr>
    </w:p>
    <w:p>
      <w:pPr>
        <w:spacing w:line="360" w:lineRule="auto"/>
        <w:ind w:firstLine="420" w:firstLineChars="200"/>
        <w:rPr>
          <w:rFonts w:ascii="仿宋" w:hAnsi="仿宋" w:eastAsia="仿宋" w:cs="仿宋"/>
          <w:kern w:val="1"/>
          <w:szCs w:val="21"/>
          <w:highlight w:val="none"/>
        </w:rPr>
      </w:pPr>
      <w:r>
        <w:rPr>
          <w:rFonts w:hint="eastAsia" w:ascii="仿宋" w:hAnsi="仿宋" w:eastAsia="仿宋" w:cs="仿宋"/>
          <w:kern w:val="1"/>
          <w:szCs w:val="21"/>
          <w:highlight w:val="none"/>
        </w:rPr>
        <w:t>说明：</w:t>
      </w:r>
    </w:p>
    <w:p>
      <w:pPr>
        <w:spacing w:line="360" w:lineRule="auto"/>
        <w:ind w:firstLine="422" w:firstLineChars="200"/>
        <w:rPr>
          <w:rFonts w:ascii="仿宋" w:hAnsi="仿宋" w:eastAsia="仿宋" w:cs="仿宋"/>
          <w:b/>
          <w:bCs/>
          <w:kern w:val="1"/>
          <w:szCs w:val="21"/>
          <w:highlight w:val="none"/>
        </w:rPr>
      </w:pPr>
      <w:r>
        <w:rPr>
          <w:rFonts w:hint="eastAsia" w:ascii="仿宋" w:hAnsi="仿宋" w:eastAsia="仿宋" w:cs="仿宋"/>
          <w:b/>
          <w:bCs/>
          <w:kern w:val="1"/>
          <w:szCs w:val="21"/>
          <w:highlight w:val="none"/>
        </w:rPr>
        <w:t>1</w:t>
      </w:r>
      <w:r>
        <w:rPr>
          <w:rFonts w:ascii="仿宋" w:hAnsi="仿宋" w:eastAsia="仿宋" w:cs="仿宋"/>
          <w:b/>
          <w:bCs/>
          <w:kern w:val="1"/>
          <w:szCs w:val="21"/>
          <w:highlight w:val="none"/>
        </w:rPr>
        <w:t>.</w:t>
      </w:r>
      <w:r>
        <w:rPr>
          <w:rFonts w:hint="eastAsia" w:ascii="仿宋" w:hAnsi="仿宋" w:eastAsia="仿宋" w:cs="仿宋"/>
          <w:b/>
          <w:bCs/>
          <w:kern w:val="1"/>
          <w:szCs w:val="21"/>
          <w:highlight w:val="none"/>
        </w:rPr>
        <w:t>不属于中小企业、监狱企业、残疾人福利性单位的不提供本项，供应商提供声明函或证明材料内容不实的，属于提供虚假材料谋取中标、成交，依照《中华人民共和国政府采购法》等国家有关规定追究相应责任。</w:t>
      </w:r>
    </w:p>
    <w:p>
      <w:pPr>
        <w:spacing w:line="360" w:lineRule="auto"/>
        <w:ind w:firstLine="420" w:firstLineChars="200"/>
        <w:rPr>
          <w:rFonts w:ascii="仿宋" w:hAnsi="仿宋" w:eastAsia="仿宋" w:cs="仿宋"/>
          <w:kern w:val="1"/>
          <w:szCs w:val="21"/>
          <w:highlight w:val="none"/>
        </w:rPr>
      </w:pPr>
      <w:r>
        <w:rPr>
          <w:rFonts w:ascii="仿宋" w:hAnsi="仿宋" w:eastAsia="仿宋" w:cs="仿宋"/>
          <w:kern w:val="1"/>
          <w:szCs w:val="21"/>
          <w:highlight w:val="none"/>
        </w:rPr>
        <w:t>2.</w:t>
      </w:r>
      <w:r>
        <w:rPr>
          <w:rFonts w:hint="eastAsia" w:ascii="仿宋" w:hAnsi="仿宋" w:eastAsia="仿宋" w:cs="仿宋"/>
          <w:kern w:val="1"/>
          <w:szCs w:val="21"/>
          <w:highlight w:val="none"/>
        </w:rPr>
        <w:t>《中小企业声明函》具体情况中的“标的名称”请与分项报价表对应。</w:t>
      </w:r>
    </w:p>
    <w:p>
      <w:pPr>
        <w:spacing w:line="360" w:lineRule="auto"/>
        <w:ind w:firstLine="420" w:firstLineChars="200"/>
        <w:jc w:val="left"/>
        <w:rPr>
          <w:rFonts w:ascii="仿宋" w:hAnsi="仿宋" w:eastAsia="仿宋" w:cs="仿宋"/>
          <w:kern w:val="1"/>
          <w:szCs w:val="21"/>
          <w:highlight w:val="none"/>
        </w:rPr>
      </w:pPr>
    </w:p>
    <w:p>
      <w:pPr>
        <w:spacing w:line="360" w:lineRule="auto"/>
        <w:ind w:firstLine="420" w:firstLineChars="200"/>
        <w:jc w:val="left"/>
        <w:rPr>
          <w:rFonts w:ascii="仿宋" w:hAnsi="仿宋" w:eastAsia="仿宋" w:cs="仿宋"/>
          <w:kern w:val="1"/>
          <w:szCs w:val="21"/>
          <w:highlight w:val="none"/>
        </w:rPr>
      </w:pPr>
    </w:p>
    <w:p>
      <w:pPr>
        <w:spacing w:line="360" w:lineRule="auto"/>
        <w:ind w:firstLine="420" w:firstLineChars="200"/>
        <w:jc w:val="left"/>
        <w:rPr>
          <w:rFonts w:ascii="仿宋" w:hAnsi="仿宋" w:eastAsia="仿宋" w:cs="仿宋"/>
          <w:kern w:val="1"/>
          <w:szCs w:val="21"/>
          <w:highlight w:val="none"/>
        </w:rPr>
      </w:pPr>
      <w:r>
        <w:rPr>
          <w:rFonts w:ascii="仿宋" w:hAnsi="仿宋" w:eastAsia="仿宋" w:cs="仿宋"/>
          <w:kern w:val="1"/>
          <w:szCs w:val="21"/>
          <w:highlight w:val="none"/>
        </w:rPr>
        <w:br w:type="column"/>
      </w:r>
    </w:p>
    <w:p>
      <w:pPr>
        <w:autoSpaceDE w:val="0"/>
        <w:autoSpaceDN w:val="0"/>
        <w:adjustRightInd w:val="0"/>
        <w:jc w:val="center"/>
        <w:rPr>
          <w:rFonts w:hAnsiTheme="minorHAnsi"/>
          <w:kern w:val="0"/>
          <w:sz w:val="36"/>
          <w:szCs w:val="36"/>
          <w:highlight w:val="none"/>
        </w:rPr>
      </w:pPr>
      <w:r>
        <w:rPr>
          <w:rFonts w:hint="eastAsia" w:ascii="华文仿宋" w:hAnsi="华文仿宋" w:eastAsia="华文仿宋" w:cs="华文仿宋"/>
          <w:b/>
          <w:bCs/>
          <w:kern w:val="0"/>
          <w:sz w:val="28"/>
          <w:szCs w:val="28"/>
          <w:highlight w:val="none"/>
        </w:rPr>
        <w:t>（一）中小企业声明函（货物）</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本公司（联合体）郑重声明，根据《政府采购促进中小企业发展管理办法》（财库﹝</w:t>
      </w:r>
      <w:r>
        <w:rPr>
          <w:rFonts w:ascii="仿宋" w:hAnsi="仿宋" w:eastAsia="仿宋" w:cs="仿宋"/>
          <w:sz w:val="24"/>
          <w:szCs w:val="24"/>
          <w:highlight w:val="none"/>
        </w:rPr>
        <w:t>2020</w:t>
      </w:r>
      <w:r>
        <w:rPr>
          <w:rFonts w:hint="eastAsia" w:ascii="仿宋" w:hAnsi="仿宋" w:eastAsia="仿宋" w:cs="仿宋"/>
          <w:sz w:val="24"/>
          <w:szCs w:val="24"/>
          <w:highlight w:val="none"/>
        </w:rPr>
        <w:t>﹞</w:t>
      </w:r>
      <w:r>
        <w:rPr>
          <w:rFonts w:ascii="仿宋" w:hAnsi="仿宋" w:eastAsia="仿宋" w:cs="仿宋"/>
          <w:sz w:val="24"/>
          <w:szCs w:val="24"/>
          <w:highlight w:val="none"/>
        </w:rPr>
        <w:t>46</w:t>
      </w:r>
      <w:r>
        <w:rPr>
          <w:rFonts w:hint="eastAsia" w:ascii="仿宋" w:hAnsi="仿宋" w:eastAsia="仿宋" w:cs="仿宋"/>
          <w:sz w:val="24"/>
          <w:szCs w:val="24"/>
          <w:highlight w:val="none"/>
        </w:rPr>
        <w:t>号）的规定，本公司（联合体）参加</w:t>
      </w:r>
      <w:r>
        <w:rPr>
          <w:rFonts w:hint="eastAsia" w:ascii="仿宋" w:hAnsi="仿宋" w:eastAsia="仿宋" w:cs="仿宋"/>
          <w:i/>
          <w:iCs/>
          <w:sz w:val="24"/>
          <w:szCs w:val="24"/>
          <w:highlight w:val="none"/>
          <w:u w:val="single"/>
        </w:rPr>
        <w:t>（单位名称）</w:t>
      </w:r>
      <w:r>
        <w:rPr>
          <w:rFonts w:hint="eastAsia" w:ascii="仿宋" w:hAnsi="仿宋" w:eastAsia="仿宋" w:cs="仿宋"/>
          <w:sz w:val="24"/>
          <w:szCs w:val="24"/>
          <w:highlight w:val="none"/>
        </w:rPr>
        <w:t>的</w:t>
      </w:r>
      <w:r>
        <w:rPr>
          <w:rFonts w:hint="eastAsia" w:ascii="仿宋" w:hAnsi="仿宋" w:eastAsia="仿宋" w:cs="仿宋"/>
          <w:i/>
          <w:iCs/>
          <w:sz w:val="24"/>
          <w:szCs w:val="24"/>
          <w:highlight w:val="none"/>
          <w:u w:val="single"/>
        </w:rPr>
        <w:t>（项目名称）</w:t>
      </w:r>
      <w:r>
        <w:rPr>
          <w:rFonts w:hint="eastAsia" w:ascii="仿宋" w:hAnsi="仿宋" w:eastAsia="仿宋" w:cs="仿宋"/>
          <w:sz w:val="24"/>
          <w:szCs w:val="24"/>
          <w:highlight w:val="none"/>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1.</w:t>
      </w:r>
      <w:r>
        <w:rPr>
          <w:rFonts w:ascii="仿宋" w:hAnsi="仿宋" w:eastAsia="仿宋" w:cs="仿宋"/>
          <w:i/>
          <w:iCs/>
          <w:sz w:val="24"/>
          <w:szCs w:val="24"/>
          <w:highlight w:val="none"/>
          <w:u w:val="single"/>
        </w:rPr>
        <w:t xml:space="preserve"> </w:t>
      </w:r>
      <w:r>
        <w:rPr>
          <w:rFonts w:hint="eastAsia" w:ascii="仿宋" w:hAnsi="仿宋" w:eastAsia="仿宋" w:cs="仿宋"/>
          <w:i/>
          <w:iCs/>
          <w:sz w:val="24"/>
          <w:szCs w:val="24"/>
          <w:highlight w:val="none"/>
          <w:u w:val="single"/>
        </w:rPr>
        <w:t>（标的名称）</w:t>
      </w:r>
      <w:r>
        <w:rPr>
          <w:rFonts w:ascii="仿宋" w:hAnsi="仿宋" w:eastAsia="仿宋" w:cs="仿宋"/>
          <w:i/>
          <w:iCs/>
          <w:sz w:val="24"/>
          <w:szCs w:val="24"/>
          <w:highlight w:val="none"/>
          <w:u w:val="single"/>
        </w:rPr>
        <w:t xml:space="preserve"> </w:t>
      </w:r>
      <w:r>
        <w:rPr>
          <w:rFonts w:hint="eastAsia" w:ascii="仿宋" w:hAnsi="仿宋" w:eastAsia="仿宋" w:cs="仿宋"/>
          <w:sz w:val="24"/>
          <w:szCs w:val="24"/>
          <w:highlight w:val="none"/>
        </w:rPr>
        <w:t>，属于</w:t>
      </w:r>
      <w:r>
        <w:rPr>
          <w:rFonts w:hint="eastAsia" w:ascii="仿宋" w:hAnsi="仿宋" w:eastAsia="仿宋" w:cs="仿宋"/>
          <w:i/>
          <w:iCs/>
          <w:sz w:val="24"/>
          <w:szCs w:val="24"/>
          <w:highlight w:val="none"/>
          <w:u w:val="single"/>
        </w:rPr>
        <w:t>（采购文件中明确的所属行业）行业</w:t>
      </w:r>
      <w:r>
        <w:rPr>
          <w:rFonts w:hint="eastAsia" w:ascii="仿宋" w:hAnsi="仿宋" w:eastAsia="仿宋" w:cs="仿宋"/>
          <w:sz w:val="24"/>
          <w:szCs w:val="24"/>
          <w:highlight w:val="none"/>
        </w:rPr>
        <w:t>；制造商为</w:t>
      </w:r>
      <w:r>
        <w:rPr>
          <w:rFonts w:hint="eastAsia" w:ascii="仿宋" w:hAnsi="仿宋" w:eastAsia="仿宋" w:cs="仿宋"/>
          <w:i/>
          <w:iCs/>
          <w:sz w:val="24"/>
          <w:szCs w:val="24"/>
          <w:highlight w:val="none"/>
          <w:u w:val="single"/>
        </w:rPr>
        <w:t>（企业名称）</w:t>
      </w:r>
      <w:r>
        <w:rPr>
          <w:rFonts w:hint="eastAsia" w:ascii="仿宋" w:hAnsi="仿宋" w:eastAsia="仿宋" w:cs="仿宋"/>
          <w:sz w:val="24"/>
          <w:szCs w:val="24"/>
          <w:highlight w:val="none"/>
        </w:rPr>
        <w:t>，从业人员</w:t>
      </w:r>
      <w:r>
        <w:rPr>
          <w:rFonts w:hint="eastAsia" w:ascii="仿宋" w:hAnsi="仿宋" w:eastAsia="仿宋" w:cs="仿宋"/>
          <w:sz w:val="24"/>
          <w:szCs w:val="24"/>
          <w:highlight w:val="none"/>
          <w:u w:val="single"/>
        </w:rPr>
        <w:t xml:space="preserve"> </w:t>
      </w:r>
      <w:r>
        <w:rPr>
          <w:rFonts w:ascii="仿宋" w:hAnsi="仿宋" w:eastAsia="仿宋" w:cs="仿宋"/>
          <w:sz w:val="24"/>
          <w:szCs w:val="24"/>
          <w:highlight w:val="none"/>
          <w:u w:val="single"/>
        </w:rPr>
        <w:t xml:space="preserve">    </w:t>
      </w:r>
      <w:r>
        <w:rPr>
          <w:rFonts w:hint="eastAsia" w:ascii="仿宋" w:hAnsi="仿宋" w:eastAsia="仿宋" w:cs="仿宋"/>
          <w:sz w:val="24"/>
          <w:szCs w:val="24"/>
          <w:highlight w:val="none"/>
        </w:rPr>
        <w:t>人，营业收入为</w:t>
      </w:r>
      <w:r>
        <w:rPr>
          <w:rFonts w:hint="eastAsia" w:ascii="仿宋" w:hAnsi="仿宋" w:eastAsia="仿宋" w:cs="仿宋"/>
          <w:sz w:val="24"/>
          <w:szCs w:val="24"/>
          <w:highlight w:val="none"/>
          <w:u w:val="single"/>
        </w:rPr>
        <w:t xml:space="preserve"> </w:t>
      </w:r>
      <w:r>
        <w:rPr>
          <w:rFonts w:ascii="仿宋" w:hAnsi="仿宋" w:eastAsia="仿宋" w:cs="仿宋"/>
          <w:sz w:val="24"/>
          <w:szCs w:val="24"/>
          <w:highlight w:val="none"/>
          <w:u w:val="single"/>
        </w:rPr>
        <w:t xml:space="preserve">    </w:t>
      </w:r>
      <w:r>
        <w:rPr>
          <w:rFonts w:hint="eastAsia" w:ascii="仿宋" w:hAnsi="仿宋" w:eastAsia="仿宋" w:cs="仿宋"/>
          <w:sz w:val="24"/>
          <w:szCs w:val="24"/>
          <w:highlight w:val="none"/>
        </w:rPr>
        <w:t>万元，资产总额为</w:t>
      </w:r>
      <w:r>
        <w:rPr>
          <w:rFonts w:hint="eastAsia" w:ascii="仿宋" w:hAnsi="仿宋" w:eastAsia="仿宋" w:cs="仿宋"/>
          <w:sz w:val="24"/>
          <w:szCs w:val="24"/>
          <w:highlight w:val="none"/>
          <w:u w:val="single"/>
        </w:rPr>
        <w:t xml:space="preserve"> </w:t>
      </w:r>
      <w:r>
        <w:rPr>
          <w:rFonts w:ascii="仿宋" w:hAnsi="仿宋" w:eastAsia="仿宋" w:cs="仿宋"/>
          <w:sz w:val="24"/>
          <w:szCs w:val="24"/>
          <w:highlight w:val="none"/>
          <w:u w:val="single"/>
        </w:rPr>
        <w:t xml:space="preserve">    </w:t>
      </w:r>
      <w:r>
        <w:rPr>
          <w:rFonts w:hint="eastAsia" w:ascii="仿宋" w:hAnsi="仿宋" w:eastAsia="仿宋" w:cs="仿宋"/>
          <w:sz w:val="24"/>
          <w:szCs w:val="24"/>
          <w:highlight w:val="none"/>
        </w:rPr>
        <w:t>万元</w:t>
      </w:r>
      <w:r>
        <w:rPr>
          <w:rFonts w:ascii="仿宋" w:hAnsi="仿宋" w:eastAsia="仿宋" w:cs="仿宋"/>
          <w:sz w:val="24"/>
          <w:szCs w:val="24"/>
          <w:highlight w:val="none"/>
          <w:vertAlign w:val="superscript"/>
        </w:rPr>
        <w:t>1</w:t>
      </w:r>
      <w:r>
        <w:rPr>
          <w:rFonts w:hint="eastAsia" w:ascii="仿宋" w:hAnsi="仿宋" w:eastAsia="仿宋" w:cs="仿宋"/>
          <w:sz w:val="24"/>
          <w:szCs w:val="24"/>
          <w:highlight w:val="none"/>
        </w:rPr>
        <w:t>，属于</w:t>
      </w:r>
      <w:r>
        <w:rPr>
          <w:rFonts w:hint="eastAsia" w:ascii="仿宋" w:hAnsi="仿宋" w:eastAsia="仿宋" w:cs="仿宋"/>
          <w:i/>
          <w:iCs/>
          <w:sz w:val="24"/>
          <w:szCs w:val="24"/>
          <w:highlight w:val="none"/>
          <w:u w:val="single"/>
        </w:rPr>
        <w:t>（中型企业、小型企业、微型企业）</w:t>
      </w:r>
      <w:r>
        <w:rPr>
          <w:rFonts w:hint="eastAsia" w:ascii="仿宋" w:hAnsi="仿宋" w:eastAsia="仿宋" w:cs="仿宋"/>
          <w:sz w:val="24"/>
          <w:szCs w:val="24"/>
          <w:highlight w:val="none"/>
        </w:rPr>
        <w:t>；</w:t>
      </w:r>
    </w:p>
    <w:p>
      <w:pPr>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2.</w:t>
      </w:r>
      <w:r>
        <w:rPr>
          <w:rFonts w:ascii="仿宋" w:hAnsi="仿宋" w:eastAsia="仿宋" w:cs="仿宋"/>
          <w:i/>
          <w:iCs/>
          <w:sz w:val="24"/>
          <w:szCs w:val="24"/>
          <w:highlight w:val="none"/>
          <w:u w:val="single"/>
        </w:rPr>
        <w:t xml:space="preserve"> </w:t>
      </w:r>
      <w:r>
        <w:rPr>
          <w:rFonts w:hint="eastAsia" w:ascii="仿宋" w:hAnsi="仿宋" w:eastAsia="仿宋" w:cs="仿宋"/>
          <w:i/>
          <w:iCs/>
          <w:sz w:val="24"/>
          <w:szCs w:val="24"/>
          <w:highlight w:val="none"/>
          <w:u w:val="single"/>
        </w:rPr>
        <w:t>（标的名称）</w:t>
      </w:r>
      <w:r>
        <w:rPr>
          <w:rFonts w:ascii="仿宋" w:hAnsi="仿宋" w:eastAsia="仿宋" w:cs="仿宋"/>
          <w:i/>
          <w:iCs/>
          <w:sz w:val="24"/>
          <w:szCs w:val="24"/>
          <w:highlight w:val="none"/>
          <w:u w:val="single"/>
        </w:rPr>
        <w:t xml:space="preserve"> </w:t>
      </w:r>
      <w:r>
        <w:rPr>
          <w:rFonts w:hint="eastAsia" w:ascii="仿宋" w:hAnsi="仿宋" w:eastAsia="仿宋" w:cs="仿宋"/>
          <w:sz w:val="24"/>
          <w:szCs w:val="24"/>
          <w:highlight w:val="none"/>
        </w:rPr>
        <w:t>，属于</w:t>
      </w:r>
      <w:r>
        <w:rPr>
          <w:rFonts w:hint="eastAsia" w:ascii="仿宋" w:hAnsi="仿宋" w:eastAsia="仿宋" w:cs="仿宋"/>
          <w:i/>
          <w:iCs/>
          <w:sz w:val="24"/>
          <w:szCs w:val="24"/>
          <w:highlight w:val="none"/>
          <w:u w:val="single"/>
        </w:rPr>
        <w:t>（采购文件中明确的所属行业）行业</w:t>
      </w:r>
      <w:r>
        <w:rPr>
          <w:rFonts w:hint="eastAsia" w:ascii="仿宋" w:hAnsi="仿宋" w:eastAsia="仿宋" w:cs="仿宋"/>
          <w:sz w:val="24"/>
          <w:szCs w:val="24"/>
          <w:highlight w:val="none"/>
        </w:rPr>
        <w:t>；制造商为</w:t>
      </w:r>
      <w:r>
        <w:rPr>
          <w:rFonts w:hint="eastAsia" w:ascii="仿宋" w:hAnsi="仿宋" w:eastAsia="仿宋" w:cs="仿宋"/>
          <w:i/>
          <w:iCs/>
          <w:sz w:val="24"/>
          <w:szCs w:val="24"/>
          <w:highlight w:val="none"/>
          <w:u w:val="single"/>
        </w:rPr>
        <w:t>（企业名称）</w:t>
      </w:r>
      <w:r>
        <w:rPr>
          <w:rFonts w:hint="eastAsia" w:ascii="仿宋" w:hAnsi="仿宋" w:eastAsia="仿宋" w:cs="仿宋"/>
          <w:sz w:val="24"/>
          <w:szCs w:val="24"/>
          <w:highlight w:val="none"/>
        </w:rPr>
        <w:t>，从业人员</w:t>
      </w:r>
      <w:r>
        <w:rPr>
          <w:rFonts w:hint="eastAsia" w:ascii="仿宋" w:hAnsi="仿宋" w:eastAsia="仿宋" w:cs="仿宋"/>
          <w:sz w:val="24"/>
          <w:szCs w:val="24"/>
          <w:highlight w:val="none"/>
          <w:u w:val="single"/>
        </w:rPr>
        <w:t xml:space="preserve"> </w:t>
      </w:r>
      <w:r>
        <w:rPr>
          <w:rFonts w:ascii="仿宋" w:hAnsi="仿宋" w:eastAsia="仿宋" w:cs="仿宋"/>
          <w:sz w:val="24"/>
          <w:szCs w:val="24"/>
          <w:highlight w:val="none"/>
          <w:u w:val="single"/>
        </w:rPr>
        <w:t xml:space="preserve">    </w:t>
      </w:r>
      <w:r>
        <w:rPr>
          <w:rFonts w:hint="eastAsia" w:ascii="仿宋" w:hAnsi="仿宋" w:eastAsia="仿宋" w:cs="仿宋"/>
          <w:sz w:val="24"/>
          <w:szCs w:val="24"/>
          <w:highlight w:val="none"/>
        </w:rPr>
        <w:t>人，营业收入为</w:t>
      </w:r>
      <w:r>
        <w:rPr>
          <w:rFonts w:hint="eastAsia" w:ascii="仿宋" w:hAnsi="仿宋" w:eastAsia="仿宋" w:cs="仿宋"/>
          <w:sz w:val="24"/>
          <w:szCs w:val="24"/>
          <w:highlight w:val="none"/>
          <w:u w:val="single"/>
        </w:rPr>
        <w:t xml:space="preserve"> </w:t>
      </w:r>
      <w:r>
        <w:rPr>
          <w:rFonts w:ascii="仿宋" w:hAnsi="仿宋" w:eastAsia="仿宋" w:cs="仿宋"/>
          <w:sz w:val="24"/>
          <w:szCs w:val="24"/>
          <w:highlight w:val="none"/>
          <w:u w:val="single"/>
        </w:rPr>
        <w:t xml:space="preserve">    </w:t>
      </w:r>
      <w:r>
        <w:rPr>
          <w:rFonts w:hint="eastAsia" w:ascii="仿宋" w:hAnsi="仿宋" w:eastAsia="仿宋" w:cs="仿宋"/>
          <w:sz w:val="24"/>
          <w:szCs w:val="24"/>
          <w:highlight w:val="none"/>
        </w:rPr>
        <w:t>万元，资产总额为</w:t>
      </w:r>
      <w:r>
        <w:rPr>
          <w:rFonts w:hint="eastAsia" w:ascii="仿宋" w:hAnsi="仿宋" w:eastAsia="仿宋" w:cs="仿宋"/>
          <w:sz w:val="24"/>
          <w:szCs w:val="24"/>
          <w:highlight w:val="none"/>
          <w:u w:val="single"/>
        </w:rPr>
        <w:t xml:space="preserve"> </w:t>
      </w:r>
      <w:r>
        <w:rPr>
          <w:rFonts w:ascii="仿宋" w:hAnsi="仿宋" w:eastAsia="仿宋" w:cs="仿宋"/>
          <w:sz w:val="24"/>
          <w:szCs w:val="24"/>
          <w:highlight w:val="none"/>
          <w:u w:val="single"/>
        </w:rPr>
        <w:t xml:space="preserve">    </w:t>
      </w:r>
      <w:r>
        <w:rPr>
          <w:rFonts w:hint="eastAsia" w:ascii="仿宋" w:hAnsi="仿宋" w:eastAsia="仿宋" w:cs="仿宋"/>
          <w:sz w:val="24"/>
          <w:szCs w:val="24"/>
          <w:highlight w:val="none"/>
        </w:rPr>
        <w:t>万元，属于</w:t>
      </w:r>
      <w:r>
        <w:rPr>
          <w:rFonts w:hint="eastAsia" w:ascii="仿宋" w:hAnsi="仿宋" w:eastAsia="仿宋" w:cs="仿宋"/>
          <w:i/>
          <w:iCs/>
          <w:sz w:val="24"/>
          <w:szCs w:val="24"/>
          <w:highlight w:val="none"/>
          <w:u w:val="single"/>
        </w:rPr>
        <w:t>（中型企业、小型企业、微型企业）</w:t>
      </w:r>
      <w:r>
        <w:rPr>
          <w:rFonts w:hint="eastAsia" w:ascii="仿宋" w:hAnsi="仿宋" w:eastAsia="仿宋" w:cs="仿宋"/>
          <w:sz w:val="24"/>
          <w:szCs w:val="24"/>
          <w:highlight w:val="none"/>
        </w:rPr>
        <w:t>；</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以上企业，不属于大企业的分支机构，不存在控股股东为大企业的情形，也不存在与大企业的负责人为同一人的情形。</w:t>
      </w: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本企业对上述声明内容的真实性负责。如有虚假，将依法承担相应责任。</w:t>
      </w:r>
    </w:p>
    <w:p>
      <w:pPr>
        <w:spacing w:line="360" w:lineRule="auto"/>
        <w:ind w:firstLine="480" w:firstLineChars="200"/>
        <w:jc w:val="right"/>
        <w:rPr>
          <w:rFonts w:ascii="仿宋" w:hAnsi="仿宋" w:eastAsia="仿宋" w:cs="仿宋"/>
          <w:sz w:val="24"/>
          <w:szCs w:val="24"/>
          <w:highlight w:val="none"/>
        </w:rPr>
      </w:pPr>
    </w:p>
    <w:p>
      <w:pPr>
        <w:spacing w:line="360" w:lineRule="auto"/>
        <w:ind w:left="3300"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企业名称（盖章）：</w:t>
      </w:r>
    </w:p>
    <w:p>
      <w:pPr>
        <w:spacing w:line="360" w:lineRule="auto"/>
        <w:ind w:left="3300"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日期：</w:t>
      </w:r>
    </w:p>
    <w:p>
      <w:pPr>
        <w:spacing w:line="360" w:lineRule="auto"/>
        <w:ind w:firstLine="480" w:firstLineChars="200"/>
        <w:jc w:val="right"/>
        <w:rPr>
          <w:rFonts w:ascii="仿宋" w:hAnsi="仿宋" w:eastAsia="仿宋" w:cs="仿宋"/>
          <w:sz w:val="24"/>
          <w:szCs w:val="24"/>
          <w:highlight w:val="none"/>
        </w:rPr>
      </w:pPr>
    </w:p>
    <w:p>
      <w:pPr>
        <w:spacing w:line="360" w:lineRule="auto"/>
        <w:ind w:firstLine="420" w:firstLineChars="200"/>
        <w:jc w:val="left"/>
        <w:rPr>
          <w:rFonts w:ascii="仿宋" w:hAnsi="仿宋" w:eastAsia="仿宋" w:cs="仿宋"/>
          <w:kern w:val="1"/>
          <w:szCs w:val="21"/>
          <w:highlight w:val="none"/>
        </w:rPr>
      </w:pPr>
      <w:r>
        <w:rPr>
          <w:rFonts w:hint="eastAsia" w:ascii="仿宋" w:hAnsi="仿宋" w:eastAsia="仿宋" w:cs="仿宋"/>
          <w:kern w:val="1"/>
          <w:szCs w:val="21"/>
          <w:highlight w:val="none"/>
        </w:rPr>
        <w:t>注：</w:t>
      </w:r>
      <w:r>
        <w:rPr>
          <w:rFonts w:ascii="仿宋" w:hAnsi="仿宋" w:eastAsia="仿宋" w:cs="仿宋"/>
          <w:kern w:val="1"/>
          <w:szCs w:val="21"/>
          <w:highlight w:val="none"/>
          <w:vertAlign w:val="superscript"/>
        </w:rPr>
        <w:t>1</w:t>
      </w:r>
      <w:r>
        <w:rPr>
          <w:rFonts w:ascii="仿宋" w:hAnsi="仿宋" w:eastAsia="仿宋" w:cs="仿宋"/>
          <w:kern w:val="1"/>
          <w:szCs w:val="21"/>
          <w:highlight w:val="none"/>
        </w:rPr>
        <w:t>从业人员、营业收入、资产总额填报上一年度数据，无上一年度数据的新成立企业可不填报。</w:t>
      </w:r>
    </w:p>
    <w:p>
      <w:pPr>
        <w:spacing w:line="360" w:lineRule="auto"/>
        <w:ind w:firstLine="420" w:firstLineChars="200"/>
        <w:jc w:val="left"/>
        <w:rPr>
          <w:rFonts w:ascii="仿宋" w:hAnsi="仿宋" w:eastAsia="仿宋" w:cs="仿宋"/>
          <w:kern w:val="1"/>
          <w:szCs w:val="21"/>
          <w:highlight w:val="none"/>
        </w:rPr>
      </w:pPr>
    </w:p>
    <w:p>
      <w:pPr>
        <w:spacing w:line="360" w:lineRule="auto"/>
        <w:ind w:firstLine="420" w:firstLineChars="200"/>
        <w:jc w:val="left"/>
        <w:rPr>
          <w:rFonts w:ascii="仿宋" w:hAnsi="仿宋" w:eastAsia="仿宋" w:cs="仿宋"/>
          <w:kern w:val="1"/>
          <w:szCs w:val="21"/>
          <w:highlight w:val="none"/>
        </w:rPr>
      </w:pPr>
      <w:r>
        <w:rPr>
          <w:rFonts w:ascii="仿宋" w:hAnsi="仿宋" w:eastAsia="仿宋" w:cs="仿宋"/>
          <w:kern w:val="1"/>
          <w:szCs w:val="21"/>
          <w:highlight w:val="none"/>
        </w:rPr>
        <w:br w:type="page"/>
      </w:r>
    </w:p>
    <w:p>
      <w:pPr>
        <w:jc w:val="center"/>
        <w:rPr>
          <w:rFonts w:ascii="仿宋" w:hAnsi="仿宋" w:eastAsia="仿宋" w:cs="仿宋"/>
          <w:b/>
          <w:bCs/>
          <w:sz w:val="28"/>
          <w:szCs w:val="28"/>
          <w:highlight w:val="none"/>
        </w:rPr>
      </w:pPr>
      <w:bookmarkStart w:id="152" w:name="_Toc44499028"/>
      <w:bookmarkStart w:id="153" w:name="_Toc13395"/>
      <w:bookmarkStart w:id="154" w:name="_Toc3780"/>
      <w:r>
        <w:rPr>
          <w:rFonts w:hint="eastAsia" w:ascii="仿宋" w:hAnsi="仿宋" w:eastAsia="仿宋" w:cs="仿宋"/>
          <w:b/>
          <w:bCs/>
          <w:sz w:val="28"/>
          <w:szCs w:val="28"/>
          <w:highlight w:val="none"/>
        </w:rPr>
        <w:t>（二）监狱企业证明</w:t>
      </w:r>
      <w:bookmarkEnd w:id="152"/>
      <w:bookmarkEnd w:id="153"/>
      <w:bookmarkEnd w:id="154"/>
    </w:p>
    <w:p>
      <w:pPr>
        <w:snapToGrid w:val="0"/>
        <w:spacing w:before="156" w:beforeLines="50"/>
        <w:rPr>
          <w:rFonts w:ascii="仿宋" w:hAnsi="仿宋" w:eastAsia="仿宋" w:cs="仿宋"/>
          <w:sz w:val="24"/>
          <w:szCs w:val="24"/>
          <w:highlight w:val="none"/>
        </w:rPr>
      </w:pPr>
    </w:p>
    <w:p>
      <w:pPr>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提供省级以上监狱管理局、戒毒管理局（含新疆生产建设兵团）出具的属于监狱企业的证明文件。</w:t>
      </w:r>
    </w:p>
    <w:p>
      <w:pPr>
        <w:spacing w:line="360" w:lineRule="auto"/>
        <w:ind w:firstLine="480" w:firstLineChars="200"/>
        <w:jc w:val="left"/>
        <w:rPr>
          <w:rFonts w:ascii="仿宋" w:hAnsi="仿宋" w:eastAsia="仿宋" w:cs="仿宋"/>
          <w:sz w:val="24"/>
          <w:szCs w:val="24"/>
          <w:highlight w:val="none"/>
        </w:rPr>
      </w:pPr>
    </w:p>
    <w:p>
      <w:pPr>
        <w:jc w:val="center"/>
        <w:rPr>
          <w:rFonts w:ascii="仿宋" w:hAnsi="仿宋" w:eastAsia="仿宋" w:cs="仿宋"/>
          <w:b/>
          <w:bCs/>
          <w:sz w:val="32"/>
          <w:szCs w:val="32"/>
          <w:highlight w:val="none"/>
        </w:rPr>
      </w:pPr>
      <w:bookmarkStart w:id="155" w:name="_Toc10862"/>
      <w:bookmarkStart w:id="156" w:name="_Toc44499029"/>
      <w:bookmarkStart w:id="157" w:name="_Toc25672"/>
      <w:r>
        <w:rPr>
          <w:rFonts w:ascii="仿宋" w:hAnsi="仿宋" w:eastAsia="仿宋" w:cs="仿宋"/>
          <w:b/>
          <w:bCs/>
          <w:sz w:val="32"/>
          <w:szCs w:val="32"/>
          <w:highlight w:val="none"/>
        </w:rPr>
        <w:br w:type="page"/>
      </w:r>
    </w:p>
    <w:p>
      <w:pPr>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（三）残疾人福利性单位声明函</w:t>
      </w:r>
      <w:bookmarkEnd w:id="155"/>
      <w:bookmarkEnd w:id="156"/>
      <w:bookmarkEnd w:id="157"/>
    </w:p>
    <w:p>
      <w:pPr>
        <w:spacing w:line="360" w:lineRule="auto"/>
        <w:ind w:firstLine="480" w:firstLineChars="200"/>
        <w:rPr>
          <w:rFonts w:ascii="仿宋" w:hAnsi="仿宋" w:eastAsia="仿宋" w:cs="仿宋"/>
          <w:sz w:val="24"/>
          <w:szCs w:val="24"/>
          <w:highlight w:val="none"/>
        </w:rPr>
      </w:pPr>
      <w:bookmarkStart w:id="158" w:name="_Hlk59387151"/>
      <w:r>
        <w:rPr>
          <w:rFonts w:hint="eastAsia" w:ascii="仿宋" w:hAnsi="仿宋" w:eastAsia="仿宋" w:cs="仿宋"/>
          <w:sz w:val="24"/>
          <w:szCs w:val="24"/>
          <w:highlight w:val="none"/>
        </w:rPr>
        <w:t>本单位郑重声明</w:t>
      </w:r>
      <w:bookmarkEnd w:id="158"/>
      <w:r>
        <w:rPr>
          <w:rFonts w:hint="eastAsia" w:ascii="仿宋" w:hAnsi="仿宋" w:eastAsia="仿宋" w:cs="仿宋"/>
          <w:sz w:val="24"/>
          <w:szCs w:val="24"/>
          <w:highlight w:val="none"/>
        </w:rPr>
        <w:t>，根据《财政部民政部中国残疾人联合会关于促进残疾人就业政府采购政策的通知》（财库〔2017〕141号）的规定，本单位为</w:t>
      </w:r>
      <w:r>
        <w:rPr>
          <w:rFonts w:hint="eastAsia" w:ascii="仿宋" w:hAnsi="仿宋" w:eastAsia="仿宋" w:cs="仿宋"/>
          <w:i/>
          <w:iCs/>
          <w:sz w:val="24"/>
          <w:szCs w:val="24"/>
          <w:highlight w:val="none"/>
          <w:u w:val="single"/>
        </w:rPr>
        <w:t>符合/不符合</w:t>
      </w:r>
      <w:r>
        <w:rPr>
          <w:rFonts w:hint="eastAsia" w:ascii="仿宋" w:hAnsi="仿宋" w:eastAsia="仿宋" w:cs="仿宋"/>
          <w:sz w:val="24"/>
          <w:szCs w:val="24"/>
          <w:highlight w:val="none"/>
        </w:rPr>
        <w:t>条件的残疾人福利性单位，且本单位参加</w:t>
      </w:r>
      <w:r>
        <w:rPr>
          <w:rFonts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项目采购活动提供本单位制造的货物（由本单位承担工程/提供服务），或者提供其他残疾人福利性单位制造的货物（不包括使用非残疾人福利性单位注册商标的货物）。</w:t>
      </w:r>
    </w:p>
    <w:p>
      <w:pPr>
        <w:rPr>
          <w:rFonts w:ascii="仿宋" w:hAnsi="仿宋" w:eastAsia="仿宋" w:cs="仿宋"/>
          <w:sz w:val="24"/>
          <w:szCs w:val="24"/>
          <w:highlight w:val="none"/>
        </w:rPr>
      </w:pPr>
    </w:p>
    <w:p>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pPr>
        <w:rPr>
          <w:rFonts w:ascii="仿宋" w:hAnsi="仿宋" w:eastAsia="仿宋" w:cs="仿宋"/>
          <w:sz w:val="24"/>
          <w:szCs w:val="24"/>
          <w:highlight w:val="none"/>
        </w:rPr>
      </w:pPr>
    </w:p>
    <w:p>
      <w:pPr>
        <w:rPr>
          <w:rFonts w:ascii="仿宋" w:hAnsi="仿宋" w:eastAsia="仿宋" w:cs="仿宋"/>
          <w:sz w:val="24"/>
          <w:szCs w:val="24"/>
          <w:highlight w:val="none"/>
        </w:rPr>
      </w:pPr>
    </w:p>
    <w:p>
      <w:pPr>
        <w:rPr>
          <w:rFonts w:ascii="仿宋" w:hAnsi="仿宋" w:eastAsia="仿宋" w:cs="仿宋"/>
          <w:sz w:val="24"/>
          <w:szCs w:val="24"/>
          <w:highlight w:val="none"/>
        </w:rPr>
      </w:pPr>
    </w:p>
    <w:p>
      <w:pPr>
        <w:rPr>
          <w:rFonts w:ascii="仿宋" w:hAnsi="仿宋" w:eastAsia="仿宋" w:cs="仿宋"/>
          <w:sz w:val="24"/>
          <w:szCs w:val="24"/>
          <w:highlight w:val="none"/>
        </w:rPr>
      </w:pPr>
    </w:p>
    <w:p>
      <w:pPr>
        <w:rPr>
          <w:rFonts w:ascii="仿宋" w:hAnsi="仿宋" w:eastAsia="仿宋" w:cs="仿宋"/>
          <w:sz w:val="24"/>
          <w:szCs w:val="24"/>
          <w:highlight w:val="none"/>
        </w:rPr>
      </w:pPr>
    </w:p>
    <w:p>
      <w:pPr>
        <w:widowControl/>
        <w:spacing w:beforeAutospacing="1" w:afterAutospacing="1"/>
        <w:jc w:val="left"/>
        <w:rPr>
          <w:rFonts w:ascii="仿宋" w:hAnsi="仿宋" w:eastAsia="仿宋" w:cs="华文仿宋"/>
          <w:kern w:val="0"/>
          <w:sz w:val="24"/>
          <w:szCs w:val="24"/>
          <w:highlight w:val="none"/>
        </w:rPr>
      </w:pPr>
      <w:r>
        <w:rPr>
          <w:rFonts w:hint="eastAsia" w:ascii="仿宋" w:hAnsi="仿宋" w:eastAsia="仿宋" w:cs="华文仿宋"/>
          <w:kern w:val="0"/>
          <w:sz w:val="24"/>
          <w:szCs w:val="24"/>
          <w:highlight w:val="none"/>
        </w:rPr>
        <w:t>　　企业名称（盖章）：</w:t>
      </w:r>
    </w:p>
    <w:p>
      <w:pPr>
        <w:widowControl/>
        <w:spacing w:beforeAutospacing="1" w:afterAutospacing="1"/>
        <w:jc w:val="left"/>
        <w:rPr>
          <w:rFonts w:ascii="仿宋" w:hAnsi="仿宋" w:eastAsia="仿宋" w:cs="华文仿宋"/>
          <w:kern w:val="0"/>
          <w:sz w:val="24"/>
          <w:szCs w:val="24"/>
          <w:highlight w:val="none"/>
        </w:rPr>
      </w:pPr>
      <w:r>
        <w:rPr>
          <w:rFonts w:hint="eastAsia" w:ascii="仿宋" w:hAnsi="仿宋" w:eastAsia="仿宋" w:cs="华文仿宋"/>
          <w:kern w:val="0"/>
          <w:sz w:val="24"/>
          <w:szCs w:val="24"/>
          <w:highlight w:val="none"/>
        </w:rPr>
        <w:t>　　日期：　　</w:t>
      </w:r>
    </w:p>
    <w:p>
      <w:pPr>
        <w:rPr>
          <w:rFonts w:ascii="仿宋" w:hAnsi="仿宋" w:eastAsia="仿宋" w:cs="仿宋"/>
          <w:sz w:val="24"/>
          <w:szCs w:val="24"/>
          <w:highlight w:val="none"/>
        </w:rPr>
      </w:pPr>
    </w:p>
    <w:p>
      <w:pPr>
        <w:spacing w:line="360" w:lineRule="auto"/>
        <w:ind w:firstLine="420" w:firstLineChars="200"/>
        <w:jc w:val="left"/>
        <w:rPr>
          <w:rFonts w:ascii="仿宋" w:hAnsi="仿宋" w:eastAsia="仿宋" w:cs="仿宋"/>
          <w:kern w:val="1"/>
          <w:szCs w:val="21"/>
          <w:highlight w:val="none"/>
        </w:rPr>
      </w:pPr>
    </w:p>
    <w:p>
      <w:pPr>
        <w:spacing w:line="360" w:lineRule="auto"/>
        <w:ind w:firstLine="420" w:firstLineChars="200"/>
        <w:jc w:val="left"/>
        <w:rPr>
          <w:rFonts w:ascii="仿宋" w:hAnsi="仿宋" w:eastAsia="仿宋" w:cs="仿宋"/>
          <w:kern w:val="1"/>
          <w:szCs w:val="21"/>
          <w:highlight w:val="none"/>
        </w:rPr>
      </w:pPr>
    </w:p>
    <w:p>
      <w:pPr>
        <w:spacing w:line="360" w:lineRule="auto"/>
        <w:ind w:firstLine="420" w:firstLineChars="200"/>
        <w:jc w:val="left"/>
        <w:rPr>
          <w:rFonts w:ascii="仿宋" w:hAnsi="仿宋" w:eastAsia="仿宋" w:cs="仿宋"/>
          <w:kern w:val="1"/>
          <w:szCs w:val="21"/>
          <w:highlight w:val="none"/>
        </w:rPr>
      </w:pPr>
      <w:r>
        <w:rPr>
          <w:rFonts w:ascii="仿宋" w:hAnsi="仿宋" w:eastAsia="仿宋" w:cs="仿宋"/>
          <w:kern w:val="1"/>
          <w:szCs w:val="21"/>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59" w:name="_Toc110245252"/>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9  </w:t>
      </w:r>
      <w:r>
        <w:rPr>
          <w:rFonts w:hint="eastAsia" w:ascii="仿宋" w:hAnsi="仿宋" w:eastAsia="仿宋" w:cs="仿宋"/>
          <w:b/>
          <w:bCs/>
          <w:kern w:val="1"/>
          <w:sz w:val="24"/>
          <w:szCs w:val="24"/>
          <w:highlight w:val="none"/>
        </w:rPr>
        <w:t>节能（节水）产品、环境标志产品明细表</w:t>
      </w:r>
      <w:bookmarkEnd w:id="159"/>
    </w:p>
    <w:p>
      <w:pPr>
        <w:tabs>
          <w:tab w:val="left" w:pos="1980"/>
        </w:tabs>
        <w:jc w:val="center"/>
        <w:rPr>
          <w:rFonts w:ascii="仿宋" w:hAnsi="仿宋" w:eastAsia="仿宋" w:cs="仿宋"/>
          <w:b/>
          <w:bCs/>
          <w:kern w:val="1"/>
          <w:sz w:val="24"/>
          <w:szCs w:val="24"/>
          <w:highlight w:val="none"/>
        </w:rPr>
      </w:pPr>
    </w:p>
    <w:p>
      <w:pPr>
        <w:tabs>
          <w:tab w:val="left" w:pos="1980"/>
        </w:tabs>
        <w:jc w:val="center"/>
        <w:rPr>
          <w:rFonts w:ascii="仿宋" w:hAnsi="仿宋" w:eastAsia="仿宋" w:cs="仿宋"/>
          <w:b/>
          <w:bCs/>
          <w:kern w:val="1"/>
          <w:sz w:val="24"/>
          <w:szCs w:val="24"/>
          <w:highlight w:val="none"/>
        </w:rPr>
      </w:pPr>
      <w:r>
        <w:rPr>
          <w:rFonts w:hint="eastAsia" w:ascii="仿宋" w:hAnsi="仿宋" w:eastAsia="仿宋" w:cs="仿宋"/>
          <w:b/>
          <w:bCs/>
          <w:kern w:val="1"/>
          <w:sz w:val="24"/>
          <w:szCs w:val="24"/>
          <w:highlight w:val="none"/>
        </w:rPr>
        <w:t>（如不涉及，无须填写）</w:t>
      </w:r>
    </w:p>
    <w:p>
      <w:pPr>
        <w:tabs>
          <w:tab w:val="left" w:pos="1980"/>
        </w:tabs>
        <w:jc w:val="center"/>
        <w:rPr>
          <w:rFonts w:ascii="仿宋" w:hAnsi="仿宋" w:eastAsia="仿宋" w:cs="仿宋"/>
          <w:kern w:val="1"/>
          <w:sz w:val="24"/>
          <w:szCs w:val="24"/>
          <w:highlight w:val="none"/>
        </w:rPr>
      </w:pPr>
    </w:p>
    <w:p>
      <w:pPr>
        <w:tabs>
          <w:tab w:val="left" w:pos="1980"/>
        </w:tabs>
        <w:jc w:val="left"/>
        <w:rPr>
          <w:rFonts w:ascii="仿宋" w:hAnsi="仿宋" w:eastAsia="仿宋" w:cs="仿宋"/>
          <w:sz w:val="24"/>
          <w:szCs w:val="24"/>
          <w:highlight w:val="none"/>
        </w:rPr>
      </w:pPr>
      <w:r>
        <w:rPr>
          <w:rFonts w:hint="eastAsia" w:ascii="仿宋" w:hAnsi="仿宋" w:eastAsia="仿宋" w:cs="仿宋"/>
          <w:kern w:val="1"/>
          <w:sz w:val="24"/>
          <w:szCs w:val="24"/>
          <w:highlight w:val="none"/>
        </w:rPr>
        <w:t>项目名称：__________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项目编号：__________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标段（标包）：__________</w:t>
      </w:r>
    </w:p>
    <w:tbl>
      <w:tblPr>
        <w:tblStyle w:val="9"/>
        <w:tblW w:w="90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092"/>
        <w:gridCol w:w="775"/>
        <w:gridCol w:w="889"/>
        <w:gridCol w:w="1255"/>
        <w:gridCol w:w="1325"/>
        <w:gridCol w:w="1118"/>
        <w:gridCol w:w="659"/>
        <w:gridCol w:w="546"/>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56" w:type="dxa"/>
            <w:vMerge w:val="restart"/>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序号</w:t>
            </w:r>
          </w:p>
        </w:tc>
        <w:tc>
          <w:tcPr>
            <w:tcW w:w="1092" w:type="dxa"/>
            <w:vMerge w:val="restart"/>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产品名称</w:t>
            </w:r>
          </w:p>
        </w:tc>
        <w:tc>
          <w:tcPr>
            <w:tcW w:w="775" w:type="dxa"/>
            <w:vMerge w:val="restart"/>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制造商</w:t>
            </w:r>
          </w:p>
        </w:tc>
        <w:tc>
          <w:tcPr>
            <w:tcW w:w="889" w:type="dxa"/>
            <w:vMerge w:val="restart"/>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品牌</w:t>
            </w:r>
          </w:p>
        </w:tc>
        <w:tc>
          <w:tcPr>
            <w:tcW w:w="1255" w:type="dxa"/>
            <w:vMerge w:val="restart"/>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规格型号</w:t>
            </w:r>
          </w:p>
        </w:tc>
        <w:tc>
          <w:tcPr>
            <w:tcW w:w="1325" w:type="dxa"/>
            <w:vMerge w:val="restart"/>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节能（节水）产品、环境标志产品认证证书</w:t>
            </w:r>
          </w:p>
        </w:tc>
        <w:tc>
          <w:tcPr>
            <w:tcW w:w="1118" w:type="dxa"/>
            <w:vMerge w:val="restart"/>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认证书有效截止期</w:t>
            </w:r>
          </w:p>
        </w:tc>
        <w:tc>
          <w:tcPr>
            <w:tcW w:w="2095" w:type="dxa"/>
            <w:gridSpan w:val="3"/>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456" w:type="dxa"/>
            <w:vMerge w:val="continue"/>
            <w:vAlign w:val="center"/>
          </w:tcPr>
          <w:p>
            <w:pPr>
              <w:widowControl/>
              <w:jc w:val="center"/>
              <w:rPr>
                <w:rFonts w:ascii="仿宋" w:hAnsi="仿宋" w:eastAsia="仿宋" w:cs="Times New Roman"/>
                <w:sz w:val="24"/>
                <w:szCs w:val="24"/>
                <w:highlight w:val="none"/>
              </w:rPr>
            </w:pPr>
          </w:p>
        </w:tc>
        <w:tc>
          <w:tcPr>
            <w:tcW w:w="1092" w:type="dxa"/>
            <w:vMerge w:val="continue"/>
            <w:vAlign w:val="center"/>
          </w:tcPr>
          <w:p>
            <w:pPr>
              <w:widowControl/>
              <w:jc w:val="center"/>
              <w:rPr>
                <w:rFonts w:ascii="仿宋" w:hAnsi="仿宋" w:eastAsia="仿宋" w:cs="Times New Roman"/>
                <w:sz w:val="24"/>
                <w:szCs w:val="24"/>
                <w:highlight w:val="none"/>
              </w:rPr>
            </w:pPr>
          </w:p>
        </w:tc>
        <w:tc>
          <w:tcPr>
            <w:tcW w:w="775" w:type="dxa"/>
            <w:vMerge w:val="continue"/>
            <w:vAlign w:val="center"/>
          </w:tcPr>
          <w:p>
            <w:pPr>
              <w:widowControl/>
              <w:jc w:val="center"/>
              <w:rPr>
                <w:rFonts w:ascii="仿宋" w:hAnsi="仿宋" w:eastAsia="仿宋" w:cs="Times New Roman"/>
                <w:sz w:val="24"/>
                <w:szCs w:val="24"/>
                <w:highlight w:val="none"/>
              </w:rPr>
            </w:pPr>
          </w:p>
        </w:tc>
        <w:tc>
          <w:tcPr>
            <w:tcW w:w="889" w:type="dxa"/>
            <w:vMerge w:val="continue"/>
            <w:vAlign w:val="center"/>
          </w:tcPr>
          <w:p>
            <w:pPr>
              <w:widowControl/>
              <w:jc w:val="center"/>
              <w:rPr>
                <w:rFonts w:ascii="仿宋" w:hAnsi="仿宋" w:eastAsia="仿宋" w:cs="Times New Roman"/>
                <w:sz w:val="24"/>
                <w:szCs w:val="24"/>
                <w:highlight w:val="none"/>
              </w:rPr>
            </w:pPr>
          </w:p>
        </w:tc>
        <w:tc>
          <w:tcPr>
            <w:tcW w:w="1255" w:type="dxa"/>
            <w:vMerge w:val="continue"/>
            <w:vAlign w:val="center"/>
          </w:tcPr>
          <w:p>
            <w:pPr>
              <w:widowControl/>
              <w:jc w:val="center"/>
              <w:rPr>
                <w:rFonts w:ascii="仿宋" w:hAnsi="仿宋" w:eastAsia="仿宋" w:cs="Times New Roman"/>
                <w:sz w:val="24"/>
                <w:szCs w:val="24"/>
                <w:highlight w:val="none"/>
              </w:rPr>
            </w:pPr>
          </w:p>
        </w:tc>
        <w:tc>
          <w:tcPr>
            <w:tcW w:w="1325" w:type="dxa"/>
            <w:vMerge w:val="continue"/>
            <w:vAlign w:val="center"/>
          </w:tcPr>
          <w:p>
            <w:pPr>
              <w:widowControl/>
              <w:jc w:val="center"/>
              <w:rPr>
                <w:rFonts w:ascii="仿宋" w:hAnsi="仿宋" w:eastAsia="仿宋" w:cs="Times New Roman"/>
                <w:sz w:val="24"/>
                <w:szCs w:val="24"/>
                <w:highlight w:val="none"/>
              </w:rPr>
            </w:pPr>
          </w:p>
        </w:tc>
        <w:tc>
          <w:tcPr>
            <w:tcW w:w="1118" w:type="dxa"/>
            <w:vMerge w:val="continue"/>
            <w:vAlign w:val="center"/>
          </w:tcPr>
          <w:p>
            <w:pPr>
              <w:widowControl/>
              <w:jc w:val="center"/>
              <w:rPr>
                <w:rFonts w:ascii="仿宋" w:hAnsi="仿宋" w:eastAsia="仿宋" w:cs="Times New Roman"/>
                <w:sz w:val="24"/>
                <w:szCs w:val="24"/>
                <w:highlight w:val="none"/>
              </w:rPr>
            </w:pPr>
          </w:p>
        </w:tc>
        <w:tc>
          <w:tcPr>
            <w:tcW w:w="659" w:type="dxa"/>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单价</w:t>
            </w:r>
          </w:p>
        </w:tc>
        <w:tc>
          <w:tcPr>
            <w:tcW w:w="546" w:type="dxa"/>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数量</w:t>
            </w:r>
          </w:p>
        </w:tc>
        <w:tc>
          <w:tcPr>
            <w:tcW w:w="890" w:type="dxa"/>
            <w:vAlign w:val="center"/>
          </w:tcPr>
          <w:p>
            <w:pPr>
              <w:widowControl/>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456" w:type="dxa"/>
            <w:vAlign w:val="center"/>
          </w:tcPr>
          <w:p>
            <w:pPr>
              <w:widowControl/>
              <w:jc w:val="left"/>
              <w:rPr>
                <w:rFonts w:ascii="仿宋" w:hAnsi="仿宋" w:eastAsia="仿宋" w:cs="Times New Roman"/>
                <w:b/>
                <w:sz w:val="24"/>
                <w:szCs w:val="24"/>
                <w:highlight w:val="none"/>
              </w:rPr>
            </w:pPr>
            <w:r>
              <w:rPr>
                <w:rFonts w:hint="eastAsia" w:ascii="仿宋" w:hAnsi="仿宋" w:eastAsia="仿宋" w:cs="Times New Roman"/>
                <w:b/>
                <w:sz w:val="24"/>
                <w:szCs w:val="24"/>
                <w:highlight w:val="none"/>
              </w:rPr>
              <w:t>1</w:t>
            </w:r>
          </w:p>
        </w:tc>
        <w:tc>
          <w:tcPr>
            <w:tcW w:w="1092" w:type="dxa"/>
          </w:tcPr>
          <w:p>
            <w:pPr>
              <w:widowControl/>
              <w:jc w:val="left"/>
              <w:rPr>
                <w:rFonts w:ascii="仿宋" w:hAnsi="仿宋" w:eastAsia="仿宋" w:cs="Times New Roman"/>
                <w:b/>
                <w:sz w:val="24"/>
                <w:szCs w:val="24"/>
                <w:highlight w:val="none"/>
              </w:rPr>
            </w:pPr>
          </w:p>
        </w:tc>
        <w:tc>
          <w:tcPr>
            <w:tcW w:w="775" w:type="dxa"/>
          </w:tcPr>
          <w:p>
            <w:pPr>
              <w:widowControl/>
              <w:jc w:val="left"/>
              <w:rPr>
                <w:rFonts w:ascii="仿宋" w:hAnsi="仿宋" w:eastAsia="仿宋" w:cs="Times New Roman"/>
                <w:b/>
                <w:sz w:val="24"/>
                <w:szCs w:val="24"/>
                <w:highlight w:val="none"/>
              </w:rPr>
            </w:pPr>
          </w:p>
        </w:tc>
        <w:tc>
          <w:tcPr>
            <w:tcW w:w="889" w:type="dxa"/>
          </w:tcPr>
          <w:p>
            <w:pPr>
              <w:widowControl/>
              <w:jc w:val="left"/>
              <w:rPr>
                <w:rFonts w:ascii="仿宋" w:hAnsi="仿宋" w:eastAsia="仿宋" w:cs="Times New Roman"/>
                <w:b/>
                <w:sz w:val="24"/>
                <w:szCs w:val="24"/>
                <w:highlight w:val="none"/>
              </w:rPr>
            </w:pPr>
          </w:p>
        </w:tc>
        <w:tc>
          <w:tcPr>
            <w:tcW w:w="1255" w:type="dxa"/>
          </w:tcPr>
          <w:p>
            <w:pPr>
              <w:widowControl/>
              <w:jc w:val="left"/>
              <w:rPr>
                <w:rFonts w:ascii="仿宋" w:hAnsi="仿宋" w:eastAsia="仿宋" w:cs="Times New Roman"/>
                <w:b/>
                <w:sz w:val="24"/>
                <w:szCs w:val="24"/>
                <w:highlight w:val="none"/>
              </w:rPr>
            </w:pPr>
          </w:p>
        </w:tc>
        <w:tc>
          <w:tcPr>
            <w:tcW w:w="1325" w:type="dxa"/>
          </w:tcPr>
          <w:p>
            <w:pPr>
              <w:widowControl/>
              <w:jc w:val="left"/>
              <w:rPr>
                <w:rFonts w:ascii="仿宋" w:hAnsi="仿宋" w:eastAsia="仿宋" w:cs="Times New Roman"/>
                <w:b/>
                <w:sz w:val="24"/>
                <w:szCs w:val="24"/>
                <w:highlight w:val="none"/>
              </w:rPr>
            </w:pPr>
          </w:p>
        </w:tc>
        <w:tc>
          <w:tcPr>
            <w:tcW w:w="1118" w:type="dxa"/>
          </w:tcPr>
          <w:p>
            <w:pPr>
              <w:widowControl/>
              <w:jc w:val="left"/>
              <w:rPr>
                <w:rFonts w:ascii="仿宋" w:hAnsi="仿宋" w:eastAsia="仿宋" w:cs="Times New Roman"/>
                <w:b/>
                <w:sz w:val="24"/>
                <w:szCs w:val="24"/>
                <w:highlight w:val="none"/>
              </w:rPr>
            </w:pPr>
          </w:p>
        </w:tc>
        <w:tc>
          <w:tcPr>
            <w:tcW w:w="659" w:type="dxa"/>
          </w:tcPr>
          <w:p>
            <w:pPr>
              <w:widowControl/>
              <w:jc w:val="left"/>
              <w:rPr>
                <w:rFonts w:ascii="仿宋" w:hAnsi="仿宋" w:eastAsia="仿宋" w:cs="Times New Roman"/>
                <w:b/>
                <w:sz w:val="24"/>
                <w:szCs w:val="24"/>
                <w:highlight w:val="none"/>
              </w:rPr>
            </w:pPr>
          </w:p>
        </w:tc>
        <w:tc>
          <w:tcPr>
            <w:tcW w:w="546" w:type="dxa"/>
          </w:tcPr>
          <w:p>
            <w:pPr>
              <w:widowControl/>
              <w:jc w:val="left"/>
              <w:rPr>
                <w:rFonts w:ascii="仿宋" w:hAnsi="仿宋" w:eastAsia="仿宋" w:cs="Times New Roman"/>
                <w:b/>
                <w:sz w:val="24"/>
                <w:szCs w:val="24"/>
                <w:highlight w:val="none"/>
              </w:rPr>
            </w:pPr>
          </w:p>
        </w:tc>
        <w:tc>
          <w:tcPr>
            <w:tcW w:w="890" w:type="dxa"/>
          </w:tcPr>
          <w:p>
            <w:pPr>
              <w:widowControl/>
              <w:jc w:val="left"/>
              <w:rPr>
                <w:rFonts w:ascii="仿宋" w:hAnsi="仿宋" w:eastAsia="仿宋" w:cs="Times New Roman"/>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456" w:type="dxa"/>
            <w:vAlign w:val="center"/>
          </w:tcPr>
          <w:p>
            <w:pPr>
              <w:widowControl/>
              <w:jc w:val="left"/>
              <w:rPr>
                <w:rFonts w:ascii="仿宋" w:hAnsi="仿宋" w:eastAsia="仿宋" w:cs="Times New Roman"/>
                <w:b/>
                <w:sz w:val="24"/>
                <w:szCs w:val="24"/>
                <w:highlight w:val="none"/>
              </w:rPr>
            </w:pPr>
            <w:r>
              <w:rPr>
                <w:rFonts w:hint="eastAsia" w:ascii="仿宋" w:hAnsi="仿宋" w:eastAsia="仿宋" w:cs="Times New Roman"/>
                <w:b/>
                <w:sz w:val="24"/>
                <w:szCs w:val="24"/>
                <w:highlight w:val="none"/>
              </w:rPr>
              <w:t>2</w:t>
            </w:r>
          </w:p>
        </w:tc>
        <w:tc>
          <w:tcPr>
            <w:tcW w:w="1092" w:type="dxa"/>
          </w:tcPr>
          <w:p>
            <w:pPr>
              <w:widowControl/>
              <w:jc w:val="left"/>
              <w:rPr>
                <w:rFonts w:ascii="仿宋" w:hAnsi="仿宋" w:eastAsia="仿宋" w:cs="Times New Roman"/>
                <w:b/>
                <w:sz w:val="24"/>
                <w:szCs w:val="24"/>
                <w:highlight w:val="none"/>
              </w:rPr>
            </w:pPr>
          </w:p>
        </w:tc>
        <w:tc>
          <w:tcPr>
            <w:tcW w:w="775" w:type="dxa"/>
          </w:tcPr>
          <w:p>
            <w:pPr>
              <w:widowControl/>
              <w:jc w:val="left"/>
              <w:rPr>
                <w:rFonts w:ascii="仿宋" w:hAnsi="仿宋" w:eastAsia="仿宋" w:cs="Times New Roman"/>
                <w:b/>
                <w:sz w:val="24"/>
                <w:szCs w:val="24"/>
                <w:highlight w:val="none"/>
              </w:rPr>
            </w:pPr>
          </w:p>
        </w:tc>
        <w:tc>
          <w:tcPr>
            <w:tcW w:w="889" w:type="dxa"/>
          </w:tcPr>
          <w:p>
            <w:pPr>
              <w:widowControl/>
              <w:jc w:val="left"/>
              <w:rPr>
                <w:rFonts w:ascii="仿宋" w:hAnsi="仿宋" w:eastAsia="仿宋" w:cs="Times New Roman"/>
                <w:b/>
                <w:sz w:val="24"/>
                <w:szCs w:val="24"/>
                <w:highlight w:val="none"/>
              </w:rPr>
            </w:pPr>
          </w:p>
        </w:tc>
        <w:tc>
          <w:tcPr>
            <w:tcW w:w="1255" w:type="dxa"/>
          </w:tcPr>
          <w:p>
            <w:pPr>
              <w:widowControl/>
              <w:jc w:val="left"/>
              <w:rPr>
                <w:rFonts w:ascii="仿宋" w:hAnsi="仿宋" w:eastAsia="仿宋" w:cs="Times New Roman"/>
                <w:b/>
                <w:sz w:val="24"/>
                <w:szCs w:val="24"/>
                <w:highlight w:val="none"/>
              </w:rPr>
            </w:pPr>
          </w:p>
        </w:tc>
        <w:tc>
          <w:tcPr>
            <w:tcW w:w="1325" w:type="dxa"/>
          </w:tcPr>
          <w:p>
            <w:pPr>
              <w:widowControl/>
              <w:jc w:val="left"/>
              <w:rPr>
                <w:rFonts w:ascii="仿宋" w:hAnsi="仿宋" w:eastAsia="仿宋" w:cs="Times New Roman"/>
                <w:b/>
                <w:sz w:val="24"/>
                <w:szCs w:val="24"/>
                <w:highlight w:val="none"/>
              </w:rPr>
            </w:pPr>
          </w:p>
        </w:tc>
        <w:tc>
          <w:tcPr>
            <w:tcW w:w="1118" w:type="dxa"/>
          </w:tcPr>
          <w:p>
            <w:pPr>
              <w:widowControl/>
              <w:jc w:val="left"/>
              <w:rPr>
                <w:rFonts w:ascii="仿宋" w:hAnsi="仿宋" w:eastAsia="仿宋" w:cs="Times New Roman"/>
                <w:b/>
                <w:sz w:val="24"/>
                <w:szCs w:val="24"/>
                <w:highlight w:val="none"/>
              </w:rPr>
            </w:pPr>
          </w:p>
        </w:tc>
        <w:tc>
          <w:tcPr>
            <w:tcW w:w="659" w:type="dxa"/>
          </w:tcPr>
          <w:p>
            <w:pPr>
              <w:widowControl/>
              <w:jc w:val="left"/>
              <w:rPr>
                <w:rFonts w:ascii="仿宋" w:hAnsi="仿宋" w:eastAsia="仿宋" w:cs="Times New Roman"/>
                <w:b/>
                <w:sz w:val="24"/>
                <w:szCs w:val="24"/>
                <w:highlight w:val="none"/>
              </w:rPr>
            </w:pPr>
          </w:p>
        </w:tc>
        <w:tc>
          <w:tcPr>
            <w:tcW w:w="546" w:type="dxa"/>
          </w:tcPr>
          <w:p>
            <w:pPr>
              <w:widowControl/>
              <w:jc w:val="left"/>
              <w:rPr>
                <w:rFonts w:ascii="仿宋" w:hAnsi="仿宋" w:eastAsia="仿宋" w:cs="Times New Roman"/>
                <w:b/>
                <w:sz w:val="24"/>
                <w:szCs w:val="24"/>
                <w:highlight w:val="none"/>
              </w:rPr>
            </w:pPr>
          </w:p>
        </w:tc>
        <w:tc>
          <w:tcPr>
            <w:tcW w:w="890" w:type="dxa"/>
          </w:tcPr>
          <w:p>
            <w:pPr>
              <w:widowControl/>
              <w:jc w:val="left"/>
              <w:rPr>
                <w:rFonts w:ascii="仿宋" w:hAnsi="仿宋" w:eastAsia="仿宋" w:cs="Times New Roman"/>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456" w:type="dxa"/>
            <w:vAlign w:val="center"/>
          </w:tcPr>
          <w:p>
            <w:pPr>
              <w:widowControl/>
              <w:jc w:val="left"/>
              <w:rPr>
                <w:rFonts w:ascii="仿宋" w:hAnsi="仿宋" w:eastAsia="仿宋" w:cs="Times New Roman"/>
                <w:b/>
                <w:sz w:val="24"/>
                <w:szCs w:val="24"/>
                <w:highlight w:val="none"/>
              </w:rPr>
            </w:pPr>
            <w:r>
              <w:rPr>
                <w:rFonts w:ascii="仿宋" w:hAnsi="仿宋" w:eastAsia="仿宋" w:cs="Times New Roman"/>
                <w:b/>
                <w:sz w:val="24"/>
                <w:szCs w:val="24"/>
                <w:highlight w:val="none"/>
              </w:rPr>
              <w:t>…</w:t>
            </w:r>
          </w:p>
        </w:tc>
        <w:tc>
          <w:tcPr>
            <w:tcW w:w="1092" w:type="dxa"/>
          </w:tcPr>
          <w:p>
            <w:pPr>
              <w:widowControl/>
              <w:jc w:val="left"/>
              <w:rPr>
                <w:rFonts w:ascii="仿宋" w:hAnsi="仿宋" w:eastAsia="仿宋" w:cs="Times New Roman"/>
                <w:b/>
                <w:sz w:val="24"/>
                <w:szCs w:val="24"/>
                <w:highlight w:val="none"/>
              </w:rPr>
            </w:pPr>
          </w:p>
        </w:tc>
        <w:tc>
          <w:tcPr>
            <w:tcW w:w="775" w:type="dxa"/>
          </w:tcPr>
          <w:p>
            <w:pPr>
              <w:widowControl/>
              <w:jc w:val="left"/>
              <w:rPr>
                <w:rFonts w:ascii="仿宋" w:hAnsi="仿宋" w:eastAsia="仿宋" w:cs="Times New Roman"/>
                <w:b/>
                <w:sz w:val="24"/>
                <w:szCs w:val="24"/>
                <w:highlight w:val="none"/>
              </w:rPr>
            </w:pPr>
          </w:p>
        </w:tc>
        <w:tc>
          <w:tcPr>
            <w:tcW w:w="889" w:type="dxa"/>
          </w:tcPr>
          <w:p>
            <w:pPr>
              <w:widowControl/>
              <w:jc w:val="left"/>
              <w:rPr>
                <w:rFonts w:ascii="仿宋" w:hAnsi="仿宋" w:eastAsia="仿宋" w:cs="Times New Roman"/>
                <w:b/>
                <w:sz w:val="24"/>
                <w:szCs w:val="24"/>
                <w:highlight w:val="none"/>
              </w:rPr>
            </w:pPr>
          </w:p>
        </w:tc>
        <w:tc>
          <w:tcPr>
            <w:tcW w:w="1255" w:type="dxa"/>
          </w:tcPr>
          <w:p>
            <w:pPr>
              <w:widowControl/>
              <w:jc w:val="left"/>
              <w:rPr>
                <w:rFonts w:ascii="仿宋" w:hAnsi="仿宋" w:eastAsia="仿宋" w:cs="Times New Roman"/>
                <w:b/>
                <w:sz w:val="24"/>
                <w:szCs w:val="24"/>
                <w:highlight w:val="none"/>
              </w:rPr>
            </w:pPr>
          </w:p>
        </w:tc>
        <w:tc>
          <w:tcPr>
            <w:tcW w:w="1325" w:type="dxa"/>
          </w:tcPr>
          <w:p>
            <w:pPr>
              <w:widowControl/>
              <w:jc w:val="left"/>
              <w:rPr>
                <w:rFonts w:ascii="仿宋" w:hAnsi="仿宋" w:eastAsia="仿宋" w:cs="Times New Roman"/>
                <w:b/>
                <w:sz w:val="24"/>
                <w:szCs w:val="24"/>
                <w:highlight w:val="none"/>
              </w:rPr>
            </w:pPr>
          </w:p>
        </w:tc>
        <w:tc>
          <w:tcPr>
            <w:tcW w:w="1118" w:type="dxa"/>
          </w:tcPr>
          <w:p>
            <w:pPr>
              <w:widowControl/>
              <w:jc w:val="left"/>
              <w:rPr>
                <w:rFonts w:ascii="仿宋" w:hAnsi="仿宋" w:eastAsia="仿宋" w:cs="Times New Roman"/>
                <w:b/>
                <w:sz w:val="24"/>
                <w:szCs w:val="24"/>
                <w:highlight w:val="none"/>
              </w:rPr>
            </w:pPr>
          </w:p>
        </w:tc>
        <w:tc>
          <w:tcPr>
            <w:tcW w:w="659" w:type="dxa"/>
          </w:tcPr>
          <w:p>
            <w:pPr>
              <w:widowControl/>
              <w:jc w:val="left"/>
              <w:rPr>
                <w:rFonts w:ascii="仿宋" w:hAnsi="仿宋" w:eastAsia="仿宋" w:cs="Times New Roman"/>
                <w:b/>
                <w:sz w:val="24"/>
                <w:szCs w:val="24"/>
                <w:highlight w:val="none"/>
              </w:rPr>
            </w:pPr>
          </w:p>
        </w:tc>
        <w:tc>
          <w:tcPr>
            <w:tcW w:w="546" w:type="dxa"/>
          </w:tcPr>
          <w:p>
            <w:pPr>
              <w:widowControl/>
              <w:jc w:val="left"/>
              <w:rPr>
                <w:rFonts w:ascii="仿宋" w:hAnsi="仿宋" w:eastAsia="仿宋" w:cs="Times New Roman"/>
                <w:b/>
                <w:sz w:val="24"/>
                <w:szCs w:val="24"/>
                <w:highlight w:val="none"/>
              </w:rPr>
            </w:pPr>
          </w:p>
        </w:tc>
        <w:tc>
          <w:tcPr>
            <w:tcW w:w="890" w:type="dxa"/>
          </w:tcPr>
          <w:p>
            <w:pPr>
              <w:widowControl/>
              <w:jc w:val="left"/>
              <w:rPr>
                <w:rFonts w:ascii="仿宋" w:hAnsi="仿宋" w:eastAsia="仿宋" w:cs="Times New Roman"/>
                <w:b/>
                <w:sz w:val="24"/>
                <w:szCs w:val="24"/>
                <w:highlight w:val="none"/>
              </w:rPr>
            </w:pPr>
          </w:p>
        </w:tc>
      </w:tr>
    </w:tbl>
    <w:p>
      <w:pPr>
        <w:spacing w:line="360" w:lineRule="auto"/>
        <w:ind w:firstLine="420" w:firstLineChars="200"/>
        <w:rPr>
          <w:rFonts w:ascii="仿宋" w:hAnsi="仿宋" w:eastAsia="仿宋" w:cs="仿宋"/>
          <w:szCs w:val="21"/>
          <w:highlight w:val="none"/>
        </w:rPr>
      </w:pPr>
    </w:p>
    <w:p>
      <w:pPr>
        <w:spacing w:line="360" w:lineRule="auto"/>
        <w:ind w:firstLine="420" w:firstLineChars="200"/>
        <w:rPr>
          <w:rFonts w:ascii="仿宋" w:hAnsi="仿宋" w:eastAsia="仿宋" w:cs="仿宋"/>
          <w:szCs w:val="21"/>
          <w:highlight w:val="none"/>
        </w:rPr>
      </w:pPr>
    </w:p>
    <w:p>
      <w:pPr>
        <w:spacing w:line="360" w:lineRule="auto"/>
        <w:ind w:firstLine="420" w:firstLineChars="200"/>
        <w:rPr>
          <w:rFonts w:ascii="仿宋" w:hAnsi="仿宋" w:eastAsia="仿宋" w:cs="仿宋"/>
          <w:szCs w:val="21"/>
          <w:highlight w:val="none"/>
        </w:rPr>
      </w:pPr>
    </w:p>
    <w:tbl>
      <w:tblPr>
        <w:tblStyle w:val="9"/>
        <w:tblW w:w="8512" w:type="dxa"/>
        <w:jc w:val="center"/>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jc w:val="center"/>
        </w:trPr>
        <w:tc>
          <w:tcPr>
            <w:tcW w:w="1553"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610"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4"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894" w:hRule="atLeast"/>
          <w:jc w:val="center"/>
        </w:trPr>
        <w:tc>
          <w:tcPr>
            <w:tcW w:w="4164" w:type="dxa"/>
            <w:gridSpan w:val="2"/>
            <w:vAlign w:val="center"/>
          </w:tcPr>
          <w:p>
            <w:pPr>
              <w:spacing w:line="360" w:lineRule="auto"/>
              <w:ind w:firstLine="480" w:firstLineChars="200"/>
              <w:jc w:val="left"/>
              <w:rPr>
                <w:rFonts w:ascii="仿宋" w:hAnsi="仿宋" w:eastAsia="仿宋" w:cs="仿宋"/>
                <w:kern w:val="1"/>
                <w:sz w:val="24"/>
                <w:szCs w:val="24"/>
                <w:highlight w:val="none"/>
              </w:rPr>
            </w:pPr>
          </w:p>
        </w:tc>
        <w:tc>
          <w:tcPr>
            <w:tcW w:w="4348" w:type="dxa"/>
            <w:gridSpan w:val="2"/>
            <w:vAlign w:val="center"/>
          </w:tcPr>
          <w:p>
            <w:pPr>
              <w:spacing w:line="360" w:lineRule="auto"/>
              <w:ind w:firstLine="480" w:firstLineChars="200"/>
              <w:jc w:val="left"/>
              <w:rPr>
                <w:rFonts w:ascii="仿宋" w:hAnsi="仿宋" w:eastAsia="仿宋" w:cs="仿宋"/>
                <w:kern w:val="1"/>
                <w:sz w:val="24"/>
                <w:szCs w:val="24"/>
                <w:highlight w:val="none"/>
              </w:rPr>
            </w:pPr>
            <w:r>
              <w:rPr>
                <w:rFonts w:hint="eastAsia" w:ascii="仿宋" w:hAnsi="仿宋" w:eastAsia="仿宋" w:cs="仿宋"/>
                <w:kern w:val="1"/>
                <w:sz w:val="24"/>
                <w:szCs w:val="24"/>
                <w:highlight w:val="none"/>
              </w:rPr>
              <w:t>年   月   日</w:t>
            </w:r>
          </w:p>
        </w:tc>
      </w:tr>
    </w:tbl>
    <w:p>
      <w:pPr>
        <w:spacing w:line="360" w:lineRule="auto"/>
        <w:ind w:firstLine="420" w:firstLineChars="200"/>
        <w:rPr>
          <w:rFonts w:ascii="仿宋" w:hAnsi="仿宋" w:eastAsia="仿宋" w:cs="仿宋"/>
          <w:kern w:val="1"/>
          <w:szCs w:val="21"/>
          <w:highlight w:val="none"/>
        </w:rPr>
      </w:pPr>
    </w:p>
    <w:p>
      <w:pPr>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说明：</w:t>
      </w:r>
    </w:p>
    <w:p>
      <w:pPr>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1.本表适用于投标人所投产品属于节能（节水）产品、环境标志产品品目清单（详见财库〔2019〕18号、财库〔2019〕19号文件）范围内的。</w:t>
      </w:r>
    </w:p>
    <w:p>
      <w:pPr>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2.如所投产品为节能、环保产品，必须按规定格式逐项填写，否则不予认定。</w:t>
      </w:r>
    </w:p>
    <w:p>
      <w:pPr>
        <w:spacing w:line="360" w:lineRule="auto"/>
        <w:ind w:firstLine="420" w:firstLineChars="200"/>
        <w:rPr>
          <w:rFonts w:ascii="仿宋" w:hAnsi="仿宋" w:eastAsia="仿宋" w:cs="仿宋"/>
          <w:kern w:val="1"/>
          <w:szCs w:val="21"/>
          <w:highlight w:val="none"/>
        </w:rPr>
      </w:pPr>
      <w:r>
        <w:rPr>
          <w:rFonts w:hint="eastAsia" w:ascii="仿宋" w:hAnsi="仿宋" w:eastAsia="仿宋" w:cs="仿宋"/>
          <w:szCs w:val="21"/>
          <w:highlight w:val="none"/>
        </w:rPr>
        <w:t>3.本标所填项还应后附有效的：《中国环境标志产品认证证书》复印件；《中国节能产品认证证书》复印件。否则不予认定。</w:t>
      </w:r>
      <w:r>
        <w:rPr>
          <w:rFonts w:ascii="仿宋" w:hAnsi="仿宋" w:eastAsia="仿宋" w:cs="仿宋"/>
          <w:kern w:val="1"/>
          <w:szCs w:val="21"/>
          <w:highlight w:val="none"/>
        </w:rPr>
        <w:br w:type="page"/>
      </w:r>
    </w:p>
    <w:p>
      <w:pPr>
        <w:keepNext/>
        <w:keepLines/>
        <w:spacing w:line="360" w:lineRule="auto"/>
        <w:ind w:firstLine="482" w:firstLineChars="200"/>
        <w:outlineLvl w:val="1"/>
        <w:rPr>
          <w:rFonts w:ascii="仿宋" w:hAnsi="仿宋" w:eastAsia="仿宋" w:cs="仿宋"/>
          <w:b/>
          <w:bCs/>
          <w:kern w:val="1"/>
          <w:sz w:val="24"/>
          <w:szCs w:val="24"/>
          <w:highlight w:val="none"/>
        </w:rPr>
      </w:pPr>
      <w:bookmarkStart w:id="160" w:name="_Toc110245253"/>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10  </w:t>
      </w:r>
      <w:r>
        <w:rPr>
          <w:rFonts w:hint="eastAsia" w:ascii="仿宋" w:hAnsi="仿宋" w:eastAsia="仿宋" w:cs="仿宋"/>
          <w:b/>
          <w:bCs/>
          <w:kern w:val="1"/>
          <w:sz w:val="24"/>
          <w:szCs w:val="24"/>
          <w:highlight w:val="none"/>
        </w:rPr>
        <w:t>技术偏离表</w:t>
      </w:r>
      <w:bookmarkEnd w:id="160"/>
    </w:p>
    <w:p>
      <w:pPr>
        <w:tabs>
          <w:tab w:val="left" w:pos="1980"/>
        </w:tabs>
        <w:jc w:val="left"/>
        <w:rPr>
          <w:rFonts w:ascii="仿宋" w:hAnsi="仿宋" w:eastAsia="仿宋" w:cs="仿宋"/>
          <w:kern w:val="1"/>
          <w:sz w:val="24"/>
          <w:szCs w:val="24"/>
          <w:highlight w:val="none"/>
        </w:rPr>
      </w:pPr>
    </w:p>
    <w:p>
      <w:pPr>
        <w:tabs>
          <w:tab w:val="left" w:pos="1980"/>
        </w:tabs>
        <w:jc w:val="left"/>
        <w:rPr>
          <w:rFonts w:ascii="仿宋" w:hAnsi="仿宋" w:eastAsia="仿宋" w:cs="仿宋"/>
          <w:sz w:val="24"/>
          <w:szCs w:val="24"/>
          <w:highlight w:val="none"/>
        </w:rPr>
      </w:pPr>
      <w:r>
        <w:rPr>
          <w:rFonts w:hint="eastAsia" w:ascii="仿宋" w:hAnsi="仿宋" w:eastAsia="仿宋" w:cs="仿宋"/>
          <w:kern w:val="1"/>
          <w:sz w:val="24"/>
          <w:szCs w:val="24"/>
          <w:highlight w:val="none"/>
        </w:rPr>
        <w:t>项目名称：__________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项目编号：__________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标段（标包）：__________</w:t>
      </w:r>
    </w:p>
    <w:tbl>
      <w:tblPr>
        <w:tblStyle w:val="9"/>
        <w:tblW w:w="9034" w:type="dxa"/>
        <w:jc w:val="center"/>
        <w:tblLayout w:type="fixed"/>
        <w:tblCellMar>
          <w:top w:w="0" w:type="dxa"/>
          <w:left w:w="108" w:type="dxa"/>
          <w:bottom w:w="0" w:type="dxa"/>
          <w:right w:w="108" w:type="dxa"/>
        </w:tblCellMar>
      </w:tblPr>
      <w:tblGrid>
        <w:gridCol w:w="709"/>
        <w:gridCol w:w="2701"/>
        <w:gridCol w:w="2694"/>
        <w:gridCol w:w="1559"/>
        <w:gridCol w:w="1371"/>
      </w:tblGrid>
      <w:tr>
        <w:tblPrEx>
          <w:tblCellMar>
            <w:top w:w="0" w:type="dxa"/>
            <w:left w:w="108" w:type="dxa"/>
            <w:bottom w:w="0" w:type="dxa"/>
            <w:right w:w="108" w:type="dxa"/>
          </w:tblCellMar>
        </w:tblPrEx>
        <w:trPr>
          <w:cantSplit/>
          <w:trHeight w:val="880" w:hRule="atLeast"/>
          <w:jc w:val="center"/>
        </w:trPr>
        <w:tc>
          <w:tcPr>
            <w:tcW w:w="709" w:type="dxa"/>
            <w:tcBorders>
              <w:top w:val="single" w:color="000000" w:sz="6" w:space="0"/>
              <w:left w:val="single" w:color="000000" w:sz="6" w:space="0"/>
              <w:bottom w:val="single" w:color="000000" w:sz="6" w:space="0"/>
              <w:right w:val="single" w:color="000000" w:sz="6" w:space="0"/>
            </w:tcBorders>
            <w:vAlign w:val="center"/>
          </w:tcPr>
          <w:p>
            <w:pPr>
              <w:spacing w:before="312" w:beforeLines="100" w:after="312" w:afterLines="100"/>
              <w:jc w:val="center"/>
              <w:rPr>
                <w:rFonts w:ascii="仿宋" w:hAnsi="仿宋" w:eastAsia="仿宋" w:cs="仿宋"/>
                <w:bCs/>
                <w:kern w:val="1"/>
                <w:sz w:val="24"/>
                <w:szCs w:val="24"/>
                <w:highlight w:val="none"/>
              </w:rPr>
            </w:pPr>
            <w:r>
              <w:rPr>
                <w:rFonts w:hint="eastAsia" w:ascii="仿宋" w:hAnsi="仿宋" w:eastAsia="仿宋" w:cs="仿宋"/>
                <w:bCs/>
                <w:kern w:val="1"/>
                <w:sz w:val="24"/>
                <w:szCs w:val="24"/>
                <w:highlight w:val="none"/>
              </w:rPr>
              <w:t>序号</w:t>
            </w:r>
          </w:p>
        </w:tc>
        <w:tc>
          <w:tcPr>
            <w:tcW w:w="2701" w:type="dxa"/>
            <w:tcBorders>
              <w:top w:val="single" w:color="000000" w:sz="6" w:space="0"/>
              <w:left w:val="single" w:color="000000" w:sz="6" w:space="0"/>
              <w:bottom w:val="single" w:color="000000" w:sz="6" w:space="0"/>
              <w:right w:val="single" w:color="000000" w:sz="6" w:space="0"/>
            </w:tcBorders>
            <w:vAlign w:val="center"/>
          </w:tcPr>
          <w:p>
            <w:pPr>
              <w:spacing w:before="312" w:beforeLines="100" w:after="312" w:afterLines="100"/>
              <w:jc w:val="center"/>
              <w:rPr>
                <w:rFonts w:ascii="仿宋" w:hAnsi="仿宋" w:eastAsia="仿宋" w:cs="仿宋"/>
                <w:bCs/>
                <w:kern w:val="1"/>
                <w:sz w:val="24"/>
                <w:szCs w:val="24"/>
                <w:highlight w:val="none"/>
              </w:rPr>
            </w:pPr>
            <w:r>
              <w:rPr>
                <w:rFonts w:hint="eastAsia" w:ascii="仿宋" w:hAnsi="仿宋" w:eastAsia="仿宋" w:cs="仿宋"/>
                <w:bCs/>
                <w:kern w:val="1"/>
                <w:sz w:val="24"/>
                <w:szCs w:val="24"/>
                <w:highlight w:val="none"/>
              </w:rPr>
              <w:t>招标文件需求</w:t>
            </w:r>
          </w:p>
        </w:tc>
        <w:tc>
          <w:tcPr>
            <w:tcW w:w="2694" w:type="dxa"/>
            <w:tcBorders>
              <w:top w:val="single" w:color="000000" w:sz="6" w:space="0"/>
              <w:left w:val="single" w:color="000000" w:sz="6" w:space="0"/>
              <w:bottom w:val="single" w:color="000000" w:sz="6" w:space="0"/>
              <w:right w:val="single" w:color="000000" w:sz="6" w:space="0"/>
            </w:tcBorders>
            <w:vAlign w:val="center"/>
          </w:tcPr>
          <w:p>
            <w:pPr>
              <w:spacing w:before="312" w:beforeLines="100" w:after="312" w:afterLines="100"/>
              <w:jc w:val="center"/>
              <w:rPr>
                <w:rFonts w:ascii="仿宋" w:hAnsi="仿宋" w:eastAsia="仿宋" w:cs="仿宋"/>
                <w:bCs/>
                <w:kern w:val="1"/>
                <w:sz w:val="24"/>
                <w:szCs w:val="24"/>
                <w:highlight w:val="none"/>
              </w:rPr>
            </w:pPr>
            <w:r>
              <w:rPr>
                <w:rFonts w:hint="eastAsia" w:ascii="仿宋" w:hAnsi="仿宋" w:eastAsia="仿宋" w:cs="仿宋"/>
                <w:bCs/>
                <w:kern w:val="1"/>
                <w:sz w:val="24"/>
                <w:szCs w:val="24"/>
                <w:highlight w:val="none"/>
              </w:rPr>
              <w:t>投标文件响应</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before="312" w:beforeLines="100" w:after="312" w:afterLines="100"/>
              <w:jc w:val="center"/>
              <w:rPr>
                <w:rFonts w:ascii="仿宋" w:hAnsi="仿宋" w:eastAsia="仿宋" w:cs="仿宋"/>
                <w:bCs/>
                <w:kern w:val="1"/>
                <w:sz w:val="24"/>
                <w:szCs w:val="24"/>
                <w:highlight w:val="none"/>
              </w:rPr>
            </w:pPr>
            <w:r>
              <w:rPr>
                <w:rFonts w:hint="eastAsia" w:ascii="仿宋" w:hAnsi="仿宋" w:eastAsia="仿宋" w:cs="仿宋"/>
                <w:kern w:val="1"/>
                <w:sz w:val="24"/>
                <w:szCs w:val="24"/>
                <w:highlight w:val="none"/>
              </w:rPr>
              <w:t>偏离情况</w:t>
            </w:r>
          </w:p>
        </w:tc>
        <w:tc>
          <w:tcPr>
            <w:tcW w:w="1371" w:type="dxa"/>
            <w:tcBorders>
              <w:top w:val="single" w:color="000000" w:sz="4" w:space="0"/>
              <w:left w:val="single" w:color="000000" w:sz="4" w:space="0"/>
              <w:bottom w:val="single" w:color="000000" w:sz="4" w:space="0"/>
              <w:right w:val="single" w:color="000000" w:sz="4" w:space="0"/>
            </w:tcBorders>
            <w:vAlign w:val="center"/>
          </w:tcPr>
          <w:p>
            <w:pPr>
              <w:spacing w:before="312" w:beforeLines="100" w:after="312" w:afterLines="100"/>
              <w:jc w:val="center"/>
              <w:rPr>
                <w:rFonts w:ascii="仿宋" w:hAnsi="仿宋" w:eastAsia="仿宋" w:cs="仿宋"/>
                <w:bCs/>
                <w:kern w:val="1"/>
                <w:sz w:val="24"/>
                <w:szCs w:val="24"/>
                <w:highlight w:val="none"/>
              </w:rPr>
            </w:pPr>
            <w:r>
              <w:rPr>
                <w:rFonts w:hint="eastAsia" w:ascii="仿宋" w:hAnsi="仿宋" w:eastAsia="仿宋" w:cs="仿宋"/>
                <w:kern w:val="1"/>
                <w:sz w:val="24"/>
                <w:szCs w:val="24"/>
                <w:highlight w:val="none"/>
              </w:rPr>
              <w:t>偏离说明</w:t>
            </w:r>
          </w:p>
        </w:tc>
      </w:tr>
      <w:tr>
        <w:tblPrEx>
          <w:tblCellMar>
            <w:top w:w="0" w:type="dxa"/>
            <w:left w:w="108" w:type="dxa"/>
            <w:bottom w:w="0" w:type="dxa"/>
            <w:right w:w="108" w:type="dxa"/>
          </w:tblCellMar>
        </w:tblPrEx>
        <w:trPr>
          <w:cantSplit/>
          <w:trHeight w:val="720" w:hRule="atLeast"/>
          <w:jc w:val="center"/>
        </w:trPr>
        <w:tc>
          <w:tcPr>
            <w:tcW w:w="709"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cs="仿宋"/>
                <w:bCs/>
                <w:kern w:val="1"/>
                <w:sz w:val="24"/>
                <w:szCs w:val="24"/>
                <w:highlight w:val="none"/>
              </w:rPr>
            </w:pPr>
            <w:r>
              <w:rPr>
                <w:rFonts w:hint="eastAsia" w:ascii="仿宋" w:hAnsi="仿宋" w:eastAsia="仿宋" w:cs="仿宋"/>
                <w:bCs/>
                <w:kern w:val="1"/>
                <w:sz w:val="24"/>
                <w:szCs w:val="24"/>
                <w:highlight w:val="none"/>
              </w:rPr>
              <w:t>1</w:t>
            </w:r>
          </w:p>
        </w:tc>
        <w:tc>
          <w:tcPr>
            <w:tcW w:w="2701"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c>
          <w:tcPr>
            <w:tcW w:w="2694"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c>
          <w:tcPr>
            <w:tcW w:w="1559"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kern w:val="1"/>
                <w:sz w:val="24"/>
                <w:szCs w:val="24"/>
                <w:highlight w:val="none"/>
              </w:rPr>
            </w:pPr>
            <w:r>
              <w:rPr>
                <w:rFonts w:hint="eastAsia" w:ascii="仿宋" w:hAnsi="仿宋" w:eastAsia="仿宋" w:cs="仿宋"/>
                <w:kern w:val="1"/>
                <w:szCs w:val="21"/>
                <w:highlight w:val="none"/>
              </w:rPr>
              <w:t>（无偏离/正偏离/负偏离）</w:t>
            </w:r>
          </w:p>
        </w:tc>
        <w:tc>
          <w:tcPr>
            <w:tcW w:w="1371"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kern w:val="1"/>
                <w:sz w:val="24"/>
                <w:szCs w:val="24"/>
                <w:highlight w:val="none"/>
              </w:rPr>
            </w:pPr>
          </w:p>
        </w:tc>
      </w:tr>
      <w:tr>
        <w:tblPrEx>
          <w:tblCellMar>
            <w:top w:w="0" w:type="dxa"/>
            <w:left w:w="108" w:type="dxa"/>
            <w:bottom w:w="0" w:type="dxa"/>
            <w:right w:w="108" w:type="dxa"/>
          </w:tblCellMar>
        </w:tblPrEx>
        <w:trPr>
          <w:cantSplit/>
          <w:trHeight w:val="720" w:hRule="atLeast"/>
          <w:jc w:val="center"/>
        </w:trPr>
        <w:tc>
          <w:tcPr>
            <w:tcW w:w="709"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cs="仿宋"/>
                <w:bCs/>
                <w:kern w:val="1"/>
                <w:sz w:val="24"/>
                <w:szCs w:val="24"/>
                <w:highlight w:val="none"/>
              </w:rPr>
            </w:pPr>
            <w:r>
              <w:rPr>
                <w:rFonts w:hint="eastAsia" w:ascii="仿宋" w:hAnsi="仿宋" w:eastAsia="仿宋" w:cs="仿宋"/>
                <w:bCs/>
                <w:kern w:val="1"/>
                <w:sz w:val="24"/>
                <w:szCs w:val="24"/>
                <w:highlight w:val="none"/>
              </w:rPr>
              <w:t>2</w:t>
            </w:r>
          </w:p>
        </w:tc>
        <w:tc>
          <w:tcPr>
            <w:tcW w:w="2701"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c>
          <w:tcPr>
            <w:tcW w:w="2694"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c>
          <w:tcPr>
            <w:tcW w:w="1371"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r>
      <w:tr>
        <w:tblPrEx>
          <w:tblCellMar>
            <w:top w:w="0" w:type="dxa"/>
            <w:left w:w="108" w:type="dxa"/>
            <w:bottom w:w="0" w:type="dxa"/>
            <w:right w:w="108" w:type="dxa"/>
          </w:tblCellMar>
        </w:tblPrEx>
        <w:trPr>
          <w:cantSplit/>
          <w:trHeight w:val="720" w:hRule="atLeast"/>
          <w:jc w:val="center"/>
        </w:trPr>
        <w:tc>
          <w:tcPr>
            <w:tcW w:w="709"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cs="仿宋"/>
                <w:bCs/>
                <w:kern w:val="1"/>
                <w:sz w:val="24"/>
                <w:szCs w:val="24"/>
                <w:highlight w:val="none"/>
              </w:rPr>
            </w:pPr>
            <w:r>
              <w:rPr>
                <w:rFonts w:ascii="仿宋" w:hAnsi="仿宋" w:eastAsia="仿宋" w:cs="仿宋"/>
                <w:bCs/>
                <w:kern w:val="1"/>
                <w:sz w:val="24"/>
                <w:szCs w:val="24"/>
                <w:highlight w:val="none"/>
              </w:rPr>
              <w:t>…</w:t>
            </w:r>
          </w:p>
        </w:tc>
        <w:tc>
          <w:tcPr>
            <w:tcW w:w="2701"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c>
          <w:tcPr>
            <w:tcW w:w="2694"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c>
          <w:tcPr>
            <w:tcW w:w="1371" w:type="dxa"/>
            <w:tcBorders>
              <w:top w:val="single" w:color="000000" w:sz="6" w:space="0"/>
              <w:left w:val="single" w:color="000000" w:sz="6" w:space="0"/>
              <w:bottom w:val="single" w:color="000000" w:sz="6" w:space="0"/>
              <w:right w:val="single" w:color="000000" w:sz="6" w:space="0"/>
            </w:tcBorders>
          </w:tcPr>
          <w:p>
            <w:pPr>
              <w:rPr>
                <w:rFonts w:ascii="仿宋" w:hAnsi="仿宋" w:eastAsia="仿宋" w:cs="仿宋"/>
                <w:bCs/>
                <w:kern w:val="1"/>
                <w:sz w:val="24"/>
                <w:szCs w:val="24"/>
                <w:highlight w:val="none"/>
              </w:rPr>
            </w:pPr>
          </w:p>
        </w:tc>
      </w:tr>
    </w:tbl>
    <w:p>
      <w:pPr>
        <w:spacing w:line="360" w:lineRule="auto"/>
        <w:ind w:firstLine="420" w:firstLineChars="200"/>
        <w:rPr>
          <w:rFonts w:ascii="仿宋" w:hAnsi="仿宋" w:eastAsia="仿宋" w:cs="仿宋"/>
          <w:szCs w:val="21"/>
          <w:highlight w:val="none"/>
        </w:rPr>
      </w:pPr>
    </w:p>
    <w:tbl>
      <w:tblPr>
        <w:tblStyle w:val="9"/>
        <w:tblpPr w:leftFromText="180" w:rightFromText="180" w:vertAnchor="text" w:horzAnchor="margin" w:tblpY="21"/>
        <w:tblW w:w="8512" w:type="dxa"/>
        <w:tblInd w:w="0" w:type="dxa"/>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trPr>
        <w:tc>
          <w:tcPr>
            <w:tcW w:w="1553" w:type="dxa"/>
            <w:vAlign w:val="center"/>
          </w:tcPr>
          <w:p>
            <w:pPr>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611" w:type="dxa"/>
            <w:vAlign w:val="center"/>
          </w:tcPr>
          <w:p>
            <w:pPr>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5" w:type="dxa"/>
            <w:vAlign w:val="center"/>
          </w:tcPr>
          <w:p>
            <w:pPr>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894" w:hRule="atLeast"/>
        </w:trPr>
        <w:tc>
          <w:tcPr>
            <w:tcW w:w="4164" w:type="dxa"/>
            <w:gridSpan w:val="2"/>
            <w:vAlign w:val="center"/>
          </w:tcPr>
          <w:p>
            <w:pPr>
              <w:spacing w:line="360" w:lineRule="auto"/>
              <w:ind w:firstLine="480" w:firstLineChars="200"/>
              <w:jc w:val="left"/>
              <w:rPr>
                <w:rFonts w:ascii="仿宋" w:hAnsi="仿宋" w:eastAsia="仿宋" w:cs="仿宋"/>
                <w:kern w:val="1"/>
                <w:sz w:val="24"/>
                <w:szCs w:val="24"/>
                <w:highlight w:val="none"/>
              </w:rPr>
            </w:pPr>
          </w:p>
        </w:tc>
        <w:tc>
          <w:tcPr>
            <w:tcW w:w="4348" w:type="dxa"/>
            <w:gridSpan w:val="2"/>
            <w:vAlign w:val="center"/>
          </w:tcPr>
          <w:p>
            <w:pPr>
              <w:spacing w:line="360" w:lineRule="auto"/>
              <w:ind w:firstLine="480" w:firstLineChars="200"/>
              <w:jc w:val="left"/>
              <w:rPr>
                <w:rFonts w:ascii="仿宋" w:hAnsi="仿宋" w:eastAsia="仿宋" w:cs="仿宋"/>
                <w:kern w:val="1"/>
                <w:sz w:val="24"/>
                <w:szCs w:val="24"/>
                <w:highlight w:val="none"/>
              </w:rPr>
            </w:pPr>
            <w:r>
              <w:rPr>
                <w:rFonts w:hint="eastAsia" w:ascii="仿宋" w:hAnsi="仿宋" w:eastAsia="仿宋" w:cs="仿宋"/>
                <w:kern w:val="1"/>
                <w:sz w:val="24"/>
                <w:szCs w:val="24"/>
                <w:highlight w:val="none"/>
              </w:rPr>
              <w:t>年   月   日</w:t>
            </w:r>
          </w:p>
        </w:tc>
      </w:tr>
    </w:tbl>
    <w:p>
      <w:pPr>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说明：</w:t>
      </w:r>
    </w:p>
    <w:p>
      <w:pPr>
        <w:spacing w:line="360" w:lineRule="auto"/>
        <w:ind w:firstLine="420" w:firstLineChars="200"/>
        <w:rPr>
          <w:rFonts w:ascii="仿宋" w:hAnsi="仿宋" w:eastAsia="仿宋" w:cs="仿宋"/>
          <w:szCs w:val="21"/>
          <w:highlight w:val="none"/>
        </w:rPr>
      </w:pPr>
      <w:r>
        <w:rPr>
          <w:rFonts w:ascii="仿宋" w:hAnsi="仿宋" w:eastAsia="仿宋" w:cs="仿宋"/>
          <w:szCs w:val="21"/>
          <w:highlight w:val="none"/>
        </w:rPr>
        <w:t>1.投标人根据本招标文件的</w:t>
      </w:r>
      <w:r>
        <w:rPr>
          <w:rFonts w:hint="eastAsia" w:ascii="仿宋" w:hAnsi="仿宋" w:eastAsia="仿宋" w:cs="仿宋"/>
          <w:szCs w:val="21"/>
          <w:highlight w:val="none"/>
        </w:rPr>
        <w:t>采购需求</w:t>
      </w:r>
      <w:r>
        <w:rPr>
          <w:rFonts w:ascii="仿宋" w:hAnsi="仿宋" w:eastAsia="仿宋" w:cs="仿宋"/>
          <w:szCs w:val="21"/>
          <w:highlight w:val="none"/>
        </w:rPr>
        <w:t>填写本表；</w:t>
      </w:r>
    </w:p>
    <w:p>
      <w:pPr>
        <w:spacing w:line="360" w:lineRule="auto"/>
        <w:ind w:firstLine="420" w:firstLineChars="200"/>
        <w:rPr>
          <w:rFonts w:ascii="仿宋" w:hAnsi="仿宋" w:eastAsia="仿宋" w:cs="仿宋"/>
          <w:szCs w:val="21"/>
          <w:highlight w:val="none"/>
        </w:rPr>
      </w:pPr>
      <w:r>
        <w:rPr>
          <w:rFonts w:ascii="仿宋" w:hAnsi="仿宋" w:eastAsia="仿宋" w:cs="仿宋"/>
          <w:szCs w:val="21"/>
          <w:highlight w:val="none"/>
        </w:rPr>
        <w:t>2.对完全响应的条目在本表相应列中标注“无偏离”。对有偏离的条目在本表相应列中标注“正偏离”或“负偏离”，同时在“偏离说明”栏中描述偏离的具体内容。</w:t>
      </w:r>
    </w:p>
    <w:p>
      <w:pPr>
        <w:spacing w:line="360" w:lineRule="auto"/>
        <w:ind w:firstLine="420" w:firstLineChars="200"/>
        <w:rPr>
          <w:rFonts w:ascii="仿宋" w:hAnsi="仿宋" w:eastAsia="仿宋" w:cs="仿宋"/>
          <w:szCs w:val="21"/>
          <w:highlight w:val="none"/>
        </w:rPr>
      </w:pPr>
      <w:r>
        <w:rPr>
          <w:rFonts w:ascii="仿宋" w:hAnsi="仿宋" w:eastAsia="仿宋" w:cs="仿宋"/>
          <w:szCs w:val="21"/>
          <w:highlight w:val="none"/>
        </w:rPr>
        <w:t>3.</w:t>
      </w:r>
      <w:r>
        <w:rPr>
          <w:rFonts w:hint="eastAsia" w:asciiTheme="minorHAnsi" w:hAnsiTheme="minorHAnsi" w:eastAsiaTheme="minorEastAsia" w:cstheme="minorBidi"/>
          <w:highlight w:val="none"/>
        </w:rPr>
        <w:t xml:space="preserve"> </w:t>
      </w:r>
      <w:r>
        <w:rPr>
          <w:rFonts w:hint="eastAsia" w:ascii="仿宋" w:hAnsi="仿宋" w:eastAsia="仿宋" w:cs="仿宋"/>
          <w:szCs w:val="21"/>
          <w:highlight w:val="none"/>
        </w:rPr>
        <w:t>正偏离是指响应内容高于（优于）招标文件要求且对项目实施有利，负偏离是指响应内容低于（劣于）招标文件要求或对项目实施不利</w:t>
      </w:r>
      <w:r>
        <w:rPr>
          <w:rFonts w:ascii="仿宋" w:hAnsi="仿宋" w:eastAsia="仿宋" w:cs="仿宋"/>
          <w:szCs w:val="21"/>
          <w:highlight w:val="none"/>
        </w:rPr>
        <w:t>。</w:t>
      </w:r>
    </w:p>
    <w:p>
      <w:pPr>
        <w:spacing w:line="360" w:lineRule="auto"/>
        <w:ind w:firstLine="420" w:firstLineChars="200"/>
        <w:rPr>
          <w:rFonts w:ascii="仿宋" w:hAnsi="仿宋" w:eastAsia="仿宋" w:cs="仿宋"/>
          <w:b/>
          <w:bCs/>
          <w:szCs w:val="21"/>
          <w:highlight w:val="none"/>
          <w:u w:val="single"/>
        </w:rPr>
      </w:pPr>
      <w:r>
        <w:rPr>
          <w:rFonts w:ascii="仿宋" w:hAnsi="仿宋" w:eastAsia="仿宋" w:cs="仿宋"/>
          <w:szCs w:val="21"/>
          <w:highlight w:val="none"/>
        </w:rPr>
        <w:t>4.投标人须完整填写响应表。如果未完整填写本表的各项内容则视作投标人已经对招标文件相关要求和内容完全理解并同意，其投标报价为在此基础上的全部价格。</w:t>
      </w:r>
      <w:r>
        <w:rPr>
          <w:rFonts w:hint="eastAsia" w:ascii="仿宋" w:hAnsi="仿宋" w:eastAsia="仿宋" w:cs="仿宋"/>
          <w:b/>
          <w:bCs/>
          <w:szCs w:val="21"/>
          <w:highlight w:val="none"/>
          <w:u w:val="single"/>
        </w:rPr>
        <w:t>缺项部分视为负偏离。</w:t>
      </w:r>
    </w:p>
    <w:p>
      <w:pPr>
        <w:spacing w:line="360" w:lineRule="auto"/>
        <w:ind w:firstLine="422" w:firstLineChars="200"/>
        <w:rPr>
          <w:rFonts w:ascii="仿宋" w:hAnsi="仿宋" w:eastAsia="仿宋" w:cs="仿宋"/>
          <w:szCs w:val="21"/>
          <w:highlight w:val="none"/>
        </w:rPr>
      </w:pPr>
      <w:r>
        <w:rPr>
          <w:rFonts w:hint="eastAsia" w:ascii="仿宋" w:hAnsi="仿宋" w:eastAsia="仿宋" w:cs="仿宋"/>
          <w:b/>
          <w:bCs/>
          <w:szCs w:val="21"/>
          <w:highlight w:val="none"/>
        </w:rPr>
        <w:t>▲</w:t>
      </w:r>
      <w:r>
        <w:rPr>
          <w:rFonts w:ascii="仿宋" w:hAnsi="仿宋" w:eastAsia="仿宋" w:cs="仿宋"/>
          <w:b/>
          <w:bCs/>
          <w:szCs w:val="21"/>
          <w:highlight w:val="none"/>
        </w:rPr>
        <w:t>5.在采购人与中标人签订合同时，如中标人未在投标文件“偏离表”中列出偏离情况，无论已发生或即将发生任何情形，均视为完全符合招标文件要求，并写入合同。若中标人在合同签订前，以上述事项为借口而不履行合同签订手续及执行合同，则视作拒绝与采购人签订合同</w:t>
      </w:r>
      <w:r>
        <w:rPr>
          <w:rFonts w:hint="eastAsia" w:ascii="仿宋" w:hAnsi="仿宋" w:eastAsia="仿宋" w:cs="仿宋"/>
          <w:b/>
          <w:bCs/>
          <w:szCs w:val="21"/>
          <w:highlight w:val="none"/>
        </w:rPr>
        <w:t>，并承当相关法律责任</w:t>
      </w:r>
      <w:r>
        <w:rPr>
          <w:rFonts w:ascii="仿宋" w:hAnsi="仿宋" w:eastAsia="仿宋" w:cs="仿宋"/>
          <w:b/>
          <w:bCs/>
          <w:szCs w:val="21"/>
          <w:highlight w:val="none"/>
        </w:rPr>
        <w:t>。</w:t>
      </w:r>
      <w:r>
        <w:rPr>
          <w:rFonts w:hint="eastAsia" w:ascii="仿宋" w:hAnsi="仿宋" w:eastAsia="仿宋" w:cs="仿宋"/>
          <w:b/>
          <w:bCs/>
          <w:szCs w:val="21"/>
          <w:highlight w:val="none"/>
        </w:rPr>
        <w:t>如投标人在偏离表中虚假应标，投标人将承担虚假投标的法律责任。</w:t>
      </w:r>
      <w:r>
        <w:rPr>
          <w:rFonts w:ascii="仿宋" w:hAnsi="仿宋" w:eastAsia="仿宋" w:cs="仿宋"/>
          <w:szCs w:val="21"/>
          <w:highlight w:val="none"/>
        </w:rPr>
        <w:br w:type="page"/>
      </w:r>
    </w:p>
    <w:p>
      <w:pPr>
        <w:keepNext/>
        <w:keepLines/>
        <w:wordWrap w:val="0"/>
        <w:spacing w:line="360" w:lineRule="auto"/>
        <w:ind w:firstLine="482" w:firstLineChars="200"/>
        <w:outlineLvl w:val="1"/>
        <w:rPr>
          <w:rFonts w:ascii="仿宋" w:hAnsi="仿宋" w:eastAsia="仿宋" w:cs="仿宋"/>
          <w:b/>
          <w:bCs/>
          <w:kern w:val="1"/>
          <w:sz w:val="24"/>
          <w:szCs w:val="24"/>
          <w:highlight w:val="none"/>
        </w:rPr>
      </w:pPr>
      <w:bookmarkStart w:id="161" w:name="_Toc32425"/>
      <w:bookmarkStart w:id="162" w:name="_Toc110245254"/>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11  </w:t>
      </w:r>
      <w:r>
        <w:rPr>
          <w:rFonts w:hint="eastAsia" w:ascii="仿宋" w:hAnsi="仿宋" w:eastAsia="仿宋" w:cs="仿宋"/>
          <w:b/>
          <w:bCs/>
          <w:kern w:val="1"/>
          <w:sz w:val="24"/>
          <w:szCs w:val="24"/>
          <w:highlight w:val="none"/>
        </w:rPr>
        <w:t>方案及承诺</w:t>
      </w:r>
      <w:bookmarkEnd w:id="161"/>
      <w:bookmarkEnd w:id="162"/>
    </w:p>
    <w:p>
      <w:pPr>
        <w:spacing w:line="360" w:lineRule="auto"/>
        <w:ind w:firstLine="480" w:firstLineChars="200"/>
        <w:rPr>
          <w:rFonts w:ascii="仿宋" w:hAnsi="仿宋" w:eastAsia="仿宋" w:cstheme="minorBidi"/>
          <w:i/>
          <w:iCs/>
          <w:sz w:val="24"/>
          <w:szCs w:val="28"/>
          <w:highlight w:val="none"/>
        </w:rPr>
      </w:pPr>
    </w:p>
    <w:p>
      <w:pPr>
        <w:spacing w:line="360" w:lineRule="auto"/>
        <w:ind w:firstLine="480" w:firstLineChars="200"/>
        <w:rPr>
          <w:rFonts w:ascii="仿宋" w:hAnsi="仿宋" w:eastAsia="仿宋" w:cstheme="minorBidi"/>
          <w:i/>
          <w:iCs/>
          <w:sz w:val="24"/>
          <w:szCs w:val="28"/>
          <w:highlight w:val="none"/>
        </w:rPr>
      </w:pPr>
      <w:r>
        <w:rPr>
          <w:rFonts w:hint="eastAsia" w:ascii="仿宋" w:hAnsi="仿宋" w:eastAsia="仿宋" w:cstheme="minorBidi"/>
          <w:i/>
          <w:iCs/>
          <w:sz w:val="24"/>
          <w:szCs w:val="28"/>
          <w:highlight w:val="none"/>
        </w:rPr>
        <w:t>依据招标文件采购需求及评标方法要求分别列出相应的（服务、技术、售后、验收等）方案</w:t>
      </w:r>
      <w:r>
        <w:rPr>
          <w:rFonts w:ascii="仿宋" w:hAnsi="仿宋" w:eastAsia="仿宋" w:cstheme="minorBidi"/>
          <w:i/>
          <w:iCs/>
          <w:sz w:val="24"/>
          <w:szCs w:val="28"/>
          <w:highlight w:val="none"/>
        </w:rPr>
        <w:t>/承诺</w:t>
      </w:r>
      <w:r>
        <w:rPr>
          <w:rFonts w:hint="eastAsia" w:ascii="仿宋" w:hAnsi="仿宋" w:eastAsia="仿宋" w:cstheme="minorBidi"/>
          <w:i/>
          <w:iCs/>
          <w:sz w:val="24"/>
          <w:szCs w:val="28"/>
          <w:highlight w:val="none"/>
        </w:rPr>
        <w:t>，及投标人自身认为有必要作出的方案</w:t>
      </w:r>
      <w:r>
        <w:rPr>
          <w:rFonts w:ascii="仿宋" w:hAnsi="仿宋" w:eastAsia="仿宋" w:cstheme="minorBidi"/>
          <w:i/>
          <w:iCs/>
          <w:sz w:val="24"/>
          <w:szCs w:val="28"/>
          <w:highlight w:val="none"/>
        </w:rPr>
        <w:t>/承诺</w:t>
      </w:r>
      <w:r>
        <w:rPr>
          <w:rFonts w:hint="eastAsia" w:ascii="仿宋" w:hAnsi="仿宋" w:eastAsia="仿宋" w:cstheme="minorBidi"/>
          <w:i/>
          <w:iCs/>
          <w:sz w:val="24"/>
          <w:szCs w:val="28"/>
          <w:highlight w:val="none"/>
        </w:rPr>
        <w:t>。</w:t>
      </w:r>
      <w:r>
        <w:rPr>
          <w:rFonts w:ascii="仿宋" w:hAnsi="仿宋" w:eastAsia="仿宋" w:cstheme="minorBidi"/>
          <w:i/>
          <w:iCs/>
          <w:sz w:val="24"/>
          <w:szCs w:val="28"/>
          <w:highlight w:val="none"/>
        </w:rPr>
        <w:t>内容、格式自拟</w:t>
      </w:r>
      <w:r>
        <w:rPr>
          <w:rFonts w:hint="eastAsia" w:ascii="仿宋" w:hAnsi="仿宋" w:eastAsia="仿宋" w:cstheme="minorBidi"/>
          <w:i/>
          <w:iCs/>
          <w:sz w:val="24"/>
          <w:szCs w:val="28"/>
          <w:highlight w:val="none"/>
        </w:rPr>
        <w:t>。</w:t>
      </w:r>
    </w:p>
    <w:p>
      <w:pPr>
        <w:keepNext/>
        <w:keepLines/>
        <w:wordWrap w:val="0"/>
        <w:spacing w:line="360" w:lineRule="auto"/>
        <w:ind w:firstLine="480" w:firstLineChars="200"/>
        <w:rPr>
          <w:rFonts w:ascii="仿宋" w:hAnsi="仿宋" w:eastAsia="仿宋" w:cs="仿宋"/>
          <w:kern w:val="1"/>
          <w:sz w:val="24"/>
          <w:szCs w:val="24"/>
          <w:highlight w:val="none"/>
        </w:rPr>
      </w:pPr>
      <w:r>
        <w:rPr>
          <w:rFonts w:ascii="仿宋" w:hAnsi="仿宋" w:eastAsia="仿宋" w:cs="仿宋"/>
          <w:kern w:val="1"/>
          <w:sz w:val="24"/>
          <w:szCs w:val="24"/>
          <w:highlight w:val="none"/>
        </w:rPr>
        <w:br w:type="page"/>
      </w:r>
    </w:p>
    <w:p>
      <w:pPr>
        <w:keepNext/>
        <w:keepLines/>
        <w:wordWrap w:val="0"/>
        <w:spacing w:line="360" w:lineRule="auto"/>
        <w:ind w:firstLine="482" w:firstLineChars="200"/>
        <w:outlineLvl w:val="1"/>
        <w:rPr>
          <w:rFonts w:ascii="仿宋" w:hAnsi="仿宋" w:eastAsia="仿宋" w:cs="仿宋"/>
          <w:b/>
          <w:bCs/>
          <w:kern w:val="1"/>
          <w:sz w:val="24"/>
          <w:szCs w:val="24"/>
          <w:highlight w:val="none"/>
        </w:rPr>
      </w:pPr>
      <w:bookmarkStart w:id="163" w:name="_Toc110245255"/>
      <w:bookmarkStart w:id="164" w:name="_Toc30450"/>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12  </w:t>
      </w:r>
      <w:r>
        <w:rPr>
          <w:rFonts w:hint="eastAsia" w:ascii="仿宋" w:hAnsi="仿宋" w:eastAsia="仿宋" w:cs="仿宋"/>
          <w:b/>
          <w:bCs/>
          <w:kern w:val="1"/>
          <w:sz w:val="24"/>
          <w:szCs w:val="24"/>
          <w:highlight w:val="none"/>
        </w:rPr>
        <w:t>投标人本项目管理、技术、服务人员情况表</w:t>
      </w:r>
      <w:bookmarkEnd w:id="163"/>
      <w:bookmarkEnd w:id="164"/>
    </w:p>
    <w:p>
      <w:pPr>
        <w:keepNext/>
        <w:keepLines/>
        <w:wordWrap w:val="0"/>
        <w:ind w:firstLine="482" w:firstLineChars="200"/>
        <w:rPr>
          <w:rFonts w:ascii="仿宋" w:hAnsi="仿宋" w:eastAsia="仿宋"/>
          <w:b/>
          <w:bCs/>
          <w:sz w:val="24"/>
          <w:szCs w:val="24"/>
          <w:highlight w:val="none"/>
        </w:rPr>
      </w:pPr>
    </w:p>
    <w:p>
      <w:pPr>
        <w:keepNext/>
        <w:keepLines/>
        <w:wordWrap w:val="0"/>
        <w:ind w:firstLine="480" w:firstLineChars="200"/>
        <w:jc w:val="center"/>
        <w:rPr>
          <w:rFonts w:ascii="仿宋" w:hAnsi="仿宋" w:eastAsia="仿宋"/>
          <w:sz w:val="24"/>
          <w:szCs w:val="24"/>
          <w:highlight w:val="none"/>
        </w:rPr>
      </w:pPr>
      <w:r>
        <w:rPr>
          <w:rFonts w:hint="eastAsia" w:ascii="仿宋" w:hAnsi="仿宋" w:eastAsia="仿宋"/>
          <w:sz w:val="24"/>
          <w:szCs w:val="24"/>
          <w:highlight w:val="none"/>
        </w:rPr>
        <w:t>（如不涉及，无须填写）</w:t>
      </w:r>
    </w:p>
    <w:p>
      <w:pPr>
        <w:keepNext/>
        <w:keepLines/>
        <w:wordWrap w:val="0"/>
        <w:ind w:firstLine="482" w:firstLineChars="200"/>
        <w:rPr>
          <w:rFonts w:ascii="仿宋" w:hAnsi="仿宋" w:eastAsia="仿宋"/>
          <w:b/>
          <w:bCs/>
          <w:sz w:val="24"/>
          <w:szCs w:val="24"/>
          <w:highlight w:val="none"/>
        </w:rPr>
      </w:pPr>
    </w:p>
    <w:p>
      <w:pPr>
        <w:keepNext/>
        <w:keepLines/>
        <w:wordWrap w:val="0"/>
        <w:ind w:firstLine="482" w:firstLineChars="200"/>
        <w:jc w:val="center"/>
        <w:rPr>
          <w:rFonts w:ascii="仿宋" w:hAnsi="仿宋" w:eastAsia="仿宋"/>
          <w:b/>
          <w:bCs/>
          <w:sz w:val="24"/>
          <w:szCs w:val="24"/>
          <w:highlight w:val="none"/>
        </w:rPr>
      </w:pPr>
      <w:r>
        <w:rPr>
          <w:rFonts w:hint="eastAsia" w:ascii="仿宋" w:hAnsi="仿宋" w:eastAsia="仿宋"/>
          <w:b/>
          <w:bCs/>
          <w:sz w:val="24"/>
          <w:szCs w:val="24"/>
          <w:highlight w:val="none"/>
        </w:rPr>
        <w:t>（一）拟投入人员清单</w:t>
      </w:r>
    </w:p>
    <w:p>
      <w:pPr>
        <w:keepNext/>
        <w:keepLines/>
        <w:wordWrap w:val="0"/>
        <w:ind w:firstLine="482" w:firstLineChars="200"/>
        <w:jc w:val="center"/>
        <w:rPr>
          <w:rFonts w:ascii="仿宋" w:hAnsi="仿宋" w:eastAsia="仿宋"/>
          <w:b/>
          <w:bCs/>
          <w:sz w:val="24"/>
          <w:szCs w:val="24"/>
          <w:highlight w:val="none"/>
        </w:rPr>
      </w:pPr>
    </w:p>
    <w:p>
      <w:pPr>
        <w:tabs>
          <w:tab w:val="left" w:pos="1980"/>
        </w:tabs>
        <w:wordWrap w:val="0"/>
        <w:jc w:val="left"/>
        <w:rPr>
          <w:rFonts w:ascii="仿宋" w:hAnsi="仿宋" w:eastAsia="仿宋" w:cs="仿宋"/>
          <w:sz w:val="24"/>
          <w:szCs w:val="24"/>
          <w:highlight w:val="none"/>
        </w:rPr>
      </w:pPr>
      <w:r>
        <w:rPr>
          <w:rFonts w:hint="eastAsia" w:ascii="仿宋" w:hAnsi="仿宋" w:eastAsia="仿宋" w:cs="仿宋"/>
          <w:kern w:val="1"/>
          <w:sz w:val="24"/>
          <w:szCs w:val="24"/>
          <w:highlight w:val="none"/>
        </w:rPr>
        <w:t>项目名称：__________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项目编号：__________</w:t>
      </w:r>
      <w:r>
        <w:rPr>
          <w:rFonts w:ascii="仿宋" w:hAnsi="仿宋" w:eastAsia="仿宋" w:cs="仿宋"/>
          <w:kern w:val="1"/>
          <w:sz w:val="24"/>
          <w:szCs w:val="24"/>
          <w:highlight w:val="none"/>
        </w:rPr>
        <w:t xml:space="preserve">   </w:t>
      </w:r>
      <w:r>
        <w:rPr>
          <w:rFonts w:hint="eastAsia" w:ascii="仿宋" w:hAnsi="仿宋" w:eastAsia="仿宋" w:cs="仿宋"/>
          <w:kern w:val="1"/>
          <w:sz w:val="24"/>
          <w:szCs w:val="24"/>
          <w:highlight w:val="none"/>
        </w:rPr>
        <w:t>标段（标包）：__________</w:t>
      </w:r>
    </w:p>
    <w:tbl>
      <w:tblPr>
        <w:tblStyle w:val="9"/>
        <w:tblW w:w="100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087"/>
        <w:gridCol w:w="1228"/>
        <w:gridCol w:w="934"/>
        <w:gridCol w:w="739"/>
        <w:gridCol w:w="1199"/>
        <w:gridCol w:w="2063"/>
        <w:gridCol w:w="1262"/>
        <w:gridCol w:w="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688"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lang w:val="zh-CN"/>
              </w:rPr>
              <w:t>序号</w:t>
            </w:r>
          </w:p>
        </w:tc>
        <w:tc>
          <w:tcPr>
            <w:tcW w:w="1087"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lang w:val="zh-CN"/>
              </w:rPr>
              <w:t>姓名</w:t>
            </w:r>
          </w:p>
        </w:tc>
        <w:tc>
          <w:tcPr>
            <w:tcW w:w="1228"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lang w:val="zh-CN"/>
              </w:rPr>
              <w:t>性别</w:t>
            </w:r>
          </w:p>
        </w:tc>
        <w:tc>
          <w:tcPr>
            <w:tcW w:w="934"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lang w:val="zh-CN"/>
              </w:rPr>
              <w:t>年龄</w:t>
            </w:r>
          </w:p>
        </w:tc>
        <w:tc>
          <w:tcPr>
            <w:tcW w:w="739"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lang w:val="zh-CN"/>
              </w:rPr>
              <w:t>学历</w:t>
            </w:r>
          </w:p>
        </w:tc>
        <w:tc>
          <w:tcPr>
            <w:tcW w:w="1199"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lang w:val="zh-CN"/>
              </w:rPr>
              <w:t>资格证书</w:t>
            </w:r>
          </w:p>
        </w:tc>
        <w:tc>
          <w:tcPr>
            <w:tcW w:w="2063"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lang w:val="zh-CN"/>
              </w:rPr>
              <w:t>现任职务/职称</w:t>
            </w:r>
          </w:p>
        </w:tc>
        <w:tc>
          <w:tcPr>
            <w:tcW w:w="1262"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lang w:val="zh-CN"/>
              </w:rPr>
              <w:t>从事工作年限</w:t>
            </w:r>
          </w:p>
        </w:tc>
        <w:tc>
          <w:tcPr>
            <w:tcW w:w="863"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88"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rPr>
              <w:t>1</w:t>
            </w:r>
          </w:p>
        </w:tc>
        <w:tc>
          <w:tcPr>
            <w:tcW w:w="1087" w:type="dxa"/>
            <w:vAlign w:val="center"/>
          </w:tcPr>
          <w:p>
            <w:pPr>
              <w:wordWrap w:val="0"/>
              <w:autoSpaceDE w:val="0"/>
              <w:autoSpaceDN w:val="0"/>
              <w:jc w:val="center"/>
              <w:rPr>
                <w:rFonts w:ascii="仿宋" w:hAnsi="仿宋" w:eastAsia="仿宋"/>
                <w:sz w:val="24"/>
                <w:szCs w:val="24"/>
                <w:highlight w:val="none"/>
              </w:rPr>
            </w:pPr>
          </w:p>
        </w:tc>
        <w:tc>
          <w:tcPr>
            <w:tcW w:w="1228" w:type="dxa"/>
            <w:vAlign w:val="center"/>
          </w:tcPr>
          <w:p>
            <w:pPr>
              <w:wordWrap w:val="0"/>
              <w:autoSpaceDE w:val="0"/>
              <w:autoSpaceDN w:val="0"/>
              <w:jc w:val="center"/>
              <w:rPr>
                <w:rFonts w:ascii="仿宋" w:hAnsi="仿宋" w:eastAsia="仿宋"/>
                <w:sz w:val="24"/>
                <w:szCs w:val="24"/>
                <w:highlight w:val="none"/>
              </w:rPr>
            </w:pPr>
          </w:p>
        </w:tc>
        <w:tc>
          <w:tcPr>
            <w:tcW w:w="934" w:type="dxa"/>
            <w:vAlign w:val="center"/>
          </w:tcPr>
          <w:p>
            <w:pPr>
              <w:wordWrap w:val="0"/>
              <w:autoSpaceDE w:val="0"/>
              <w:autoSpaceDN w:val="0"/>
              <w:jc w:val="center"/>
              <w:rPr>
                <w:rFonts w:ascii="仿宋" w:hAnsi="仿宋" w:eastAsia="仿宋"/>
                <w:sz w:val="24"/>
                <w:szCs w:val="24"/>
                <w:highlight w:val="none"/>
              </w:rPr>
            </w:pPr>
          </w:p>
        </w:tc>
        <w:tc>
          <w:tcPr>
            <w:tcW w:w="739" w:type="dxa"/>
            <w:vAlign w:val="center"/>
          </w:tcPr>
          <w:p>
            <w:pPr>
              <w:wordWrap w:val="0"/>
              <w:autoSpaceDE w:val="0"/>
              <w:autoSpaceDN w:val="0"/>
              <w:jc w:val="center"/>
              <w:rPr>
                <w:rFonts w:ascii="仿宋" w:hAnsi="仿宋" w:eastAsia="仿宋"/>
                <w:sz w:val="24"/>
                <w:szCs w:val="24"/>
                <w:highlight w:val="none"/>
              </w:rPr>
            </w:pPr>
          </w:p>
        </w:tc>
        <w:tc>
          <w:tcPr>
            <w:tcW w:w="1199" w:type="dxa"/>
            <w:vAlign w:val="center"/>
          </w:tcPr>
          <w:p>
            <w:pPr>
              <w:wordWrap w:val="0"/>
              <w:autoSpaceDE w:val="0"/>
              <w:autoSpaceDN w:val="0"/>
              <w:jc w:val="center"/>
              <w:rPr>
                <w:rFonts w:ascii="仿宋" w:hAnsi="仿宋" w:eastAsia="仿宋"/>
                <w:sz w:val="24"/>
                <w:szCs w:val="24"/>
                <w:highlight w:val="none"/>
              </w:rPr>
            </w:pPr>
          </w:p>
        </w:tc>
        <w:tc>
          <w:tcPr>
            <w:tcW w:w="2063" w:type="dxa"/>
            <w:vAlign w:val="center"/>
          </w:tcPr>
          <w:p>
            <w:pPr>
              <w:wordWrap w:val="0"/>
              <w:autoSpaceDE w:val="0"/>
              <w:autoSpaceDN w:val="0"/>
              <w:jc w:val="center"/>
              <w:rPr>
                <w:rFonts w:ascii="仿宋" w:hAnsi="仿宋" w:eastAsia="仿宋"/>
                <w:sz w:val="24"/>
                <w:szCs w:val="24"/>
                <w:highlight w:val="none"/>
              </w:rPr>
            </w:pPr>
          </w:p>
        </w:tc>
        <w:tc>
          <w:tcPr>
            <w:tcW w:w="1262" w:type="dxa"/>
            <w:vAlign w:val="center"/>
          </w:tcPr>
          <w:p>
            <w:pPr>
              <w:wordWrap w:val="0"/>
              <w:autoSpaceDE w:val="0"/>
              <w:autoSpaceDN w:val="0"/>
              <w:jc w:val="center"/>
              <w:rPr>
                <w:rFonts w:ascii="仿宋" w:hAnsi="仿宋" w:eastAsia="仿宋"/>
                <w:sz w:val="24"/>
                <w:szCs w:val="24"/>
                <w:highlight w:val="none"/>
              </w:rPr>
            </w:pPr>
          </w:p>
        </w:tc>
        <w:tc>
          <w:tcPr>
            <w:tcW w:w="863" w:type="dxa"/>
            <w:vAlign w:val="center"/>
          </w:tcPr>
          <w:p>
            <w:pPr>
              <w:wordWrap w:val="0"/>
              <w:autoSpaceDE w:val="0"/>
              <w:autoSpaceDN w:val="0"/>
              <w:jc w:val="center"/>
              <w:rPr>
                <w:rFonts w:ascii="仿宋" w:hAnsi="仿宋" w:eastAsia="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88"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rPr>
              <w:t>2</w:t>
            </w:r>
          </w:p>
        </w:tc>
        <w:tc>
          <w:tcPr>
            <w:tcW w:w="1087" w:type="dxa"/>
            <w:vAlign w:val="center"/>
          </w:tcPr>
          <w:p>
            <w:pPr>
              <w:wordWrap w:val="0"/>
              <w:autoSpaceDE w:val="0"/>
              <w:autoSpaceDN w:val="0"/>
              <w:jc w:val="center"/>
              <w:rPr>
                <w:rFonts w:ascii="仿宋" w:hAnsi="仿宋" w:eastAsia="仿宋"/>
                <w:sz w:val="24"/>
                <w:szCs w:val="24"/>
                <w:highlight w:val="none"/>
              </w:rPr>
            </w:pPr>
          </w:p>
        </w:tc>
        <w:tc>
          <w:tcPr>
            <w:tcW w:w="1228" w:type="dxa"/>
            <w:vAlign w:val="center"/>
          </w:tcPr>
          <w:p>
            <w:pPr>
              <w:wordWrap w:val="0"/>
              <w:autoSpaceDE w:val="0"/>
              <w:autoSpaceDN w:val="0"/>
              <w:jc w:val="center"/>
              <w:rPr>
                <w:rFonts w:ascii="仿宋" w:hAnsi="仿宋" w:eastAsia="仿宋"/>
                <w:sz w:val="24"/>
                <w:szCs w:val="24"/>
                <w:highlight w:val="none"/>
              </w:rPr>
            </w:pPr>
          </w:p>
        </w:tc>
        <w:tc>
          <w:tcPr>
            <w:tcW w:w="934" w:type="dxa"/>
            <w:vAlign w:val="center"/>
          </w:tcPr>
          <w:p>
            <w:pPr>
              <w:wordWrap w:val="0"/>
              <w:autoSpaceDE w:val="0"/>
              <w:autoSpaceDN w:val="0"/>
              <w:jc w:val="center"/>
              <w:rPr>
                <w:rFonts w:ascii="仿宋" w:hAnsi="仿宋" w:eastAsia="仿宋"/>
                <w:sz w:val="24"/>
                <w:szCs w:val="24"/>
                <w:highlight w:val="none"/>
              </w:rPr>
            </w:pPr>
          </w:p>
        </w:tc>
        <w:tc>
          <w:tcPr>
            <w:tcW w:w="739" w:type="dxa"/>
            <w:vAlign w:val="center"/>
          </w:tcPr>
          <w:p>
            <w:pPr>
              <w:wordWrap w:val="0"/>
              <w:autoSpaceDE w:val="0"/>
              <w:autoSpaceDN w:val="0"/>
              <w:jc w:val="center"/>
              <w:rPr>
                <w:rFonts w:ascii="仿宋" w:hAnsi="仿宋" w:eastAsia="仿宋"/>
                <w:sz w:val="24"/>
                <w:szCs w:val="24"/>
                <w:highlight w:val="none"/>
              </w:rPr>
            </w:pPr>
          </w:p>
        </w:tc>
        <w:tc>
          <w:tcPr>
            <w:tcW w:w="1199" w:type="dxa"/>
            <w:vAlign w:val="center"/>
          </w:tcPr>
          <w:p>
            <w:pPr>
              <w:wordWrap w:val="0"/>
              <w:autoSpaceDE w:val="0"/>
              <w:autoSpaceDN w:val="0"/>
              <w:jc w:val="center"/>
              <w:rPr>
                <w:rFonts w:ascii="仿宋" w:hAnsi="仿宋" w:eastAsia="仿宋"/>
                <w:sz w:val="24"/>
                <w:szCs w:val="24"/>
                <w:highlight w:val="none"/>
              </w:rPr>
            </w:pPr>
          </w:p>
        </w:tc>
        <w:tc>
          <w:tcPr>
            <w:tcW w:w="2063" w:type="dxa"/>
            <w:vAlign w:val="center"/>
          </w:tcPr>
          <w:p>
            <w:pPr>
              <w:wordWrap w:val="0"/>
              <w:autoSpaceDE w:val="0"/>
              <w:autoSpaceDN w:val="0"/>
              <w:jc w:val="center"/>
              <w:rPr>
                <w:rFonts w:ascii="仿宋" w:hAnsi="仿宋" w:eastAsia="仿宋"/>
                <w:sz w:val="24"/>
                <w:szCs w:val="24"/>
                <w:highlight w:val="none"/>
              </w:rPr>
            </w:pPr>
          </w:p>
        </w:tc>
        <w:tc>
          <w:tcPr>
            <w:tcW w:w="1262" w:type="dxa"/>
            <w:vAlign w:val="center"/>
          </w:tcPr>
          <w:p>
            <w:pPr>
              <w:wordWrap w:val="0"/>
              <w:autoSpaceDE w:val="0"/>
              <w:autoSpaceDN w:val="0"/>
              <w:jc w:val="center"/>
              <w:rPr>
                <w:rFonts w:ascii="仿宋" w:hAnsi="仿宋" w:eastAsia="仿宋"/>
                <w:sz w:val="24"/>
                <w:szCs w:val="24"/>
                <w:highlight w:val="none"/>
              </w:rPr>
            </w:pPr>
          </w:p>
        </w:tc>
        <w:tc>
          <w:tcPr>
            <w:tcW w:w="863" w:type="dxa"/>
            <w:vAlign w:val="center"/>
          </w:tcPr>
          <w:p>
            <w:pPr>
              <w:wordWrap w:val="0"/>
              <w:autoSpaceDE w:val="0"/>
              <w:autoSpaceDN w:val="0"/>
              <w:jc w:val="center"/>
              <w:rPr>
                <w:rFonts w:ascii="仿宋" w:hAnsi="仿宋" w:eastAsia="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88" w:type="dxa"/>
            <w:vAlign w:val="center"/>
          </w:tcPr>
          <w:p>
            <w:pPr>
              <w:wordWrap w:val="0"/>
              <w:autoSpaceDE w:val="0"/>
              <w:autoSpaceDN w:val="0"/>
              <w:jc w:val="center"/>
              <w:rPr>
                <w:rFonts w:ascii="仿宋" w:hAnsi="仿宋" w:eastAsia="仿宋"/>
                <w:sz w:val="24"/>
                <w:szCs w:val="24"/>
                <w:highlight w:val="none"/>
              </w:rPr>
            </w:pPr>
            <w:r>
              <w:rPr>
                <w:rFonts w:hint="eastAsia" w:ascii="仿宋" w:hAnsi="仿宋" w:eastAsia="仿宋"/>
                <w:sz w:val="24"/>
                <w:szCs w:val="24"/>
                <w:highlight w:val="none"/>
              </w:rPr>
              <w:t>…</w:t>
            </w:r>
          </w:p>
        </w:tc>
        <w:tc>
          <w:tcPr>
            <w:tcW w:w="1087" w:type="dxa"/>
            <w:vAlign w:val="center"/>
          </w:tcPr>
          <w:p>
            <w:pPr>
              <w:wordWrap w:val="0"/>
              <w:autoSpaceDE w:val="0"/>
              <w:autoSpaceDN w:val="0"/>
              <w:jc w:val="center"/>
              <w:rPr>
                <w:rFonts w:ascii="仿宋" w:hAnsi="仿宋" w:eastAsia="仿宋"/>
                <w:sz w:val="24"/>
                <w:szCs w:val="24"/>
                <w:highlight w:val="none"/>
              </w:rPr>
            </w:pPr>
          </w:p>
        </w:tc>
        <w:tc>
          <w:tcPr>
            <w:tcW w:w="1228" w:type="dxa"/>
            <w:vAlign w:val="center"/>
          </w:tcPr>
          <w:p>
            <w:pPr>
              <w:wordWrap w:val="0"/>
              <w:autoSpaceDE w:val="0"/>
              <w:autoSpaceDN w:val="0"/>
              <w:jc w:val="center"/>
              <w:rPr>
                <w:rFonts w:ascii="仿宋" w:hAnsi="仿宋" w:eastAsia="仿宋"/>
                <w:sz w:val="24"/>
                <w:szCs w:val="24"/>
                <w:highlight w:val="none"/>
              </w:rPr>
            </w:pPr>
          </w:p>
        </w:tc>
        <w:tc>
          <w:tcPr>
            <w:tcW w:w="934" w:type="dxa"/>
            <w:vAlign w:val="center"/>
          </w:tcPr>
          <w:p>
            <w:pPr>
              <w:wordWrap w:val="0"/>
              <w:autoSpaceDE w:val="0"/>
              <w:autoSpaceDN w:val="0"/>
              <w:jc w:val="center"/>
              <w:rPr>
                <w:rFonts w:ascii="仿宋" w:hAnsi="仿宋" w:eastAsia="仿宋"/>
                <w:sz w:val="24"/>
                <w:szCs w:val="24"/>
                <w:highlight w:val="none"/>
              </w:rPr>
            </w:pPr>
          </w:p>
        </w:tc>
        <w:tc>
          <w:tcPr>
            <w:tcW w:w="739" w:type="dxa"/>
            <w:vAlign w:val="center"/>
          </w:tcPr>
          <w:p>
            <w:pPr>
              <w:wordWrap w:val="0"/>
              <w:autoSpaceDE w:val="0"/>
              <w:autoSpaceDN w:val="0"/>
              <w:jc w:val="center"/>
              <w:rPr>
                <w:rFonts w:ascii="仿宋" w:hAnsi="仿宋" w:eastAsia="仿宋"/>
                <w:sz w:val="24"/>
                <w:szCs w:val="24"/>
                <w:highlight w:val="none"/>
              </w:rPr>
            </w:pPr>
          </w:p>
        </w:tc>
        <w:tc>
          <w:tcPr>
            <w:tcW w:w="1199" w:type="dxa"/>
            <w:vAlign w:val="center"/>
          </w:tcPr>
          <w:p>
            <w:pPr>
              <w:wordWrap w:val="0"/>
              <w:autoSpaceDE w:val="0"/>
              <w:autoSpaceDN w:val="0"/>
              <w:jc w:val="center"/>
              <w:rPr>
                <w:rFonts w:ascii="仿宋" w:hAnsi="仿宋" w:eastAsia="仿宋"/>
                <w:sz w:val="24"/>
                <w:szCs w:val="24"/>
                <w:highlight w:val="none"/>
              </w:rPr>
            </w:pPr>
          </w:p>
        </w:tc>
        <w:tc>
          <w:tcPr>
            <w:tcW w:w="2063" w:type="dxa"/>
            <w:vAlign w:val="center"/>
          </w:tcPr>
          <w:p>
            <w:pPr>
              <w:wordWrap w:val="0"/>
              <w:autoSpaceDE w:val="0"/>
              <w:autoSpaceDN w:val="0"/>
              <w:jc w:val="center"/>
              <w:rPr>
                <w:rFonts w:ascii="仿宋" w:hAnsi="仿宋" w:eastAsia="仿宋"/>
                <w:sz w:val="24"/>
                <w:szCs w:val="24"/>
                <w:highlight w:val="none"/>
              </w:rPr>
            </w:pPr>
          </w:p>
        </w:tc>
        <w:tc>
          <w:tcPr>
            <w:tcW w:w="1262" w:type="dxa"/>
            <w:vAlign w:val="center"/>
          </w:tcPr>
          <w:p>
            <w:pPr>
              <w:wordWrap w:val="0"/>
              <w:autoSpaceDE w:val="0"/>
              <w:autoSpaceDN w:val="0"/>
              <w:jc w:val="center"/>
              <w:rPr>
                <w:rFonts w:ascii="仿宋" w:hAnsi="仿宋" w:eastAsia="仿宋"/>
                <w:sz w:val="24"/>
                <w:szCs w:val="24"/>
                <w:highlight w:val="none"/>
              </w:rPr>
            </w:pPr>
          </w:p>
        </w:tc>
        <w:tc>
          <w:tcPr>
            <w:tcW w:w="863" w:type="dxa"/>
            <w:vAlign w:val="center"/>
          </w:tcPr>
          <w:p>
            <w:pPr>
              <w:wordWrap w:val="0"/>
              <w:autoSpaceDE w:val="0"/>
              <w:autoSpaceDN w:val="0"/>
              <w:jc w:val="center"/>
              <w:rPr>
                <w:rFonts w:ascii="仿宋" w:hAnsi="仿宋" w:eastAsia="仿宋"/>
                <w:sz w:val="24"/>
                <w:szCs w:val="24"/>
                <w:highlight w:val="none"/>
              </w:rPr>
            </w:pPr>
          </w:p>
        </w:tc>
      </w:tr>
    </w:tbl>
    <w:p>
      <w:pPr>
        <w:wordWrap w:val="0"/>
        <w:rPr>
          <w:rFonts w:ascii="仿宋" w:hAnsi="仿宋" w:eastAsia="仿宋"/>
          <w:bCs/>
          <w:sz w:val="24"/>
          <w:szCs w:val="24"/>
          <w:highlight w:val="none"/>
        </w:rPr>
      </w:pPr>
    </w:p>
    <w:tbl>
      <w:tblPr>
        <w:tblStyle w:val="9"/>
        <w:tblpPr w:leftFromText="180" w:rightFromText="180" w:vertAnchor="text" w:horzAnchor="margin" w:tblpY="21"/>
        <w:tblW w:w="8512" w:type="dxa"/>
        <w:tblInd w:w="0" w:type="dxa"/>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trPr>
        <w:tc>
          <w:tcPr>
            <w:tcW w:w="1553" w:type="dxa"/>
            <w:vAlign w:val="center"/>
          </w:tcPr>
          <w:p>
            <w:pPr>
              <w:wordWrap w:val="0"/>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611" w:type="dxa"/>
            <w:vAlign w:val="center"/>
          </w:tcPr>
          <w:p>
            <w:pPr>
              <w:wordWrap w:val="0"/>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wordWrap w:val="0"/>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wordWrap w:val="0"/>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5" w:type="dxa"/>
            <w:vAlign w:val="center"/>
          </w:tcPr>
          <w:p>
            <w:pPr>
              <w:wordWrap w:val="0"/>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894" w:hRule="atLeast"/>
        </w:trPr>
        <w:tc>
          <w:tcPr>
            <w:tcW w:w="4164" w:type="dxa"/>
            <w:gridSpan w:val="2"/>
            <w:vAlign w:val="center"/>
          </w:tcPr>
          <w:p>
            <w:pPr>
              <w:wordWrap w:val="0"/>
              <w:spacing w:line="360" w:lineRule="auto"/>
              <w:ind w:firstLine="480" w:firstLineChars="200"/>
              <w:jc w:val="left"/>
              <w:rPr>
                <w:rFonts w:ascii="仿宋" w:hAnsi="仿宋" w:eastAsia="仿宋" w:cs="仿宋"/>
                <w:kern w:val="1"/>
                <w:sz w:val="24"/>
                <w:szCs w:val="24"/>
                <w:highlight w:val="none"/>
              </w:rPr>
            </w:pPr>
          </w:p>
        </w:tc>
        <w:tc>
          <w:tcPr>
            <w:tcW w:w="4348" w:type="dxa"/>
            <w:gridSpan w:val="2"/>
            <w:vAlign w:val="center"/>
          </w:tcPr>
          <w:p>
            <w:pPr>
              <w:wordWrap w:val="0"/>
              <w:spacing w:line="360" w:lineRule="auto"/>
              <w:ind w:firstLine="480" w:firstLineChars="200"/>
              <w:jc w:val="left"/>
              <w:rPr>
                <w:rFonts w:ascii="仿宋" w:hAnsi="仿宋" w:eastAsia="仿宋" w:cs="仿宋"/>
                <w:kern w:val="1"/>
                <w:sz w:val="24"/>
                <w:szCs w:val="24"/>
                <w:highlight w:val="none"/>
              </w:rPr>
            </w:pPr>
            <w:r>
              <w:rPr>
                <w:rFonts w:hint="eastAsia" w:ascii="仿宋" w:hAnsi="仿宋" w:eastAsia="仿宋" w:cs="仿宋"/>
                <w:kern w:val="1"/>
                <w:sz w:val="24"/>
                <w:szCs w:val="24"/>
                <w:highlight w:val="none"/>
              </w:rPr>
              <w:t>年   月   日</w:t>
            </w:r>
          </w:p>
        </w:tc>
      </w:tr>
    </w:tbl>
    <w:p>
      <w:pPr>
        <w:wordWrap w:val="0"/>
        <w:rPr>
          <w:rFonts w:ascii="仿宋" w:hAnsi="仿宋" w:eastAsia="仿宋"/>
          <w:b/>
          <w:bCs/>
          <w:sz w:val="24"/>
          <w:szCs w:val="24"/>
          <w:highlight w:val="none"/>
        </w:rPr>
      </w:pPr>
    </w:p>
    <w:p>
      <w:pPr>
        <w:wordWrap w:val="0"/>
        <w:spacing w:before="156" w:beforeLines="50" w:after="156" w:afterLines="50" w:line="360" w:lineRule="auto"/>
        <w:jc w:val="center"/>
        <w:rPr>
          <w:rFonts w:ascii="仿宋" w:hAnsi="仿宋" w:eastAsia="仿宋" w:cs="Times New Roman"/>
          <w:sz w:val="24"/>
          <w:szCs w:val="24"/>
          <w:highlight w:val="none"/>
        </w:rPr>
      </w:pPr>
      <w:r>
        <w:rPr>
          <w:rFonts w:ascii="仿宋" w:hAnsi="仿宋" w:eastAsia="仿宋" w:cs="Times New Roman"/>
          <w:b/>
          <w:sz w:val="24"/>
          <w:szCs w:val="24"/>
          <w:highlight w:val="none"/>
        </w:rPr>
        <w:br w:type="page"/>
      </w:r>
      <w:r>
        <w:rPr>
          <w:rFonts w:hint="eastAsia" w:ascii="仿宋" w:hAnsi="仿宋" w:eastAsia="仿宋" w:cs="Times New Roman"/>
          <w:b/>
          <w:sz w:val="24"/>
          <w:szCs w:val="24"/>
          <w:highlight w:val="none"/>
        </w:rPr>
        <w:t>（二）</w:t>
      </w:r>
      <w:r>
        <w:rPr>
          <w:rFonts w:ascii="仿宋" w:hAnsi="仿宋" w:eastAsia="仿宋" w:cs="Times New Roman"/>
          <w:b/>
          <w:sz w:val="24"/>
          <w:szCs w:val="24"/>
          <w:highlight w:val="none"/>
        </w:rPr>
        <w:t>拟投入本项目的人员简历表</w:t>
      </w:r>
    </w:p>
    <w:tbl>
      <w:tblPr>
        <w:tblStyle w:val="9"/>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287"/>
        <w:gridCol w:w="1435"/>
        <w:gridCol w:w="163"/>
        <w:gridCol w:w="1376"/>
        <w:gridCol w:w="1673"/>
        <w:gridCol w:w="326"/>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76" w:type="dxa"/>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姓  名</w:t>
            </w:r>
          </w:p>
        </w:tc>
        <w:tc>
          <w:tcPr>
            <w:tcW w:w="1287" w:type="dxa"/>
            <w:vAlign w:val="center"/>
          </w:tcPr>
          <w:p>
            <w:pPr>
              <w:wordWrap w:val="0"/>
              <w:jc w:val="center"/>
              <w:rPr>
                <w:rFonts w:ascii="仿宋" w:hAnsi="仿宋" w:eastAsia="仿宋" w:cs="Times New Roman"/>
                <w:sz w:val="24"/>
                <w:szCs w:val="24"/>
                <w:highlight w:val="none"/>
              </w:rPr>
            </w:pPr>
          </w:p>
        </w:tc>
        <w:tc>
          <w:tcPr>
            <w:tcW w:w="1435" w:type="dxa"/>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性  别</w:t>
            </w:r>
          </w:p>
        </w:tc>
        <w:tc>
          <w:tcPr>
            <w:tcW w:w="1539" w:type="dxa"/>
            <w:gridSpan w:val="2"/>
            <w:vAlign w:val="center"/>
          </w:tcPr>
          <w:p>
            <w:pPr>
              <w:wordWrap w:val="0"/>
              <w:jc w:val="center"/>
              <w:rPr>
                <w:rFonts w:ascii="仿宋" w:hAnsi="仿宋" w:eastAsia="仿宋" w:cs="Times New Roman"/>
                <w:sz w:val="24"/>
                <w:szCs w:val="24"/>
                <w:highlight w:val="none"/>
              </w:rPr>
            </w:pPr>
          </w:p>
        </w:tc>
        <w:tc>
          <w:tcPr>
            <w:tcW w:w="1673" w:type="dxa"/>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年  龄</w:t>
            </w:r>
          </w:p>
        </w:tc>
        <w:tc>
          <w:tcPr>
            <w:tcW w:w="1931" w:type="dxa"/>
            <w:gridSpan w:val="2"/>
            <w:vAlign w:val="center"/>
          </w:tcPr>
          <w:p>
            <w:pPr>
              <w:wordWrap w:val="0"/>
              <w:jc w:val="center"/>
              <w:rPr>
                <w:rFonts w:ascii="仿宋" w:hAnsi="仿宋"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exact"/>
          <w:jc w:val="center"/>
        </w:trPr>
        <w:tc>
          <w:tcPr>
            <w:tcW w:w="1476" w:type="dxa"/>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职  务</w:t>
            </w:r>
          </w:p>
        </w:tc>
        <w:tc>
          <w:tcPr>
            <w:tcW w:w="1287" w:type="dxa"/>
            <w:vAlign w:val="center"/>
          </w:tcPr>
          <w:p>
            <w:pPr>
              <w:wordWrap w:val="0"/>
              <w:jc w:val="center"/>
              <w:rPr>
                <w:rFonts w:ascii="仿宋" w:hAnsi="仿宋" w:eastAsia="仿宋" w:cs="Times New Roman"/>
                <w:sz w:val="24"/>
                <w:szCs w:val="24"/>
                <w:highlight w:val="none"/>
              </w:rPr>
            </w:pPr>
          </w:p>
        </w:tc>
        <w:tc>
          <w:tcPr>
            <w:tcW w:w="1435" w:type="dxa"/>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职  称</w:t>
            </w:r>
          </w:p>
        </w:tc>
        <w:tc>
          <w:tcPr>
            <w:tcW w:w="1539" w:type="dxa"/>
            <w:gridSpan w:val="2"/>
            <w:vAlign w:val="center"/>
          </w:tcPr>
          <w:p>
            <w:pPr>
              <w:wordWrap w:val="0"/>
              <w:jc w:val="center"/>
              <w:rPr>
                <w:rFonts w:ascii="仿宋" w:hAnsi="仿宋" w:eastAsia="仿宋" w:cs="Times New Roman"/>
                <w:sz w:val="24"/>
                <w:szCs w:val="24"/>
                <w:highlight w:val="none"/>
              </w:rPr>
            </w:pPr>
          </w:p>
        </w:tc>
        <w:tc>
          <w:tcPr>
            <w:tcW w:w="1673" w:type="dxa"/>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专业/学历</w:t>
            </w:r>
          </w:p>
        </w:tc>
        <w:tc>
          <w:tcPr>
            <w:tcW w:w="1931" w:type="dxa"/>
            <w:gridSpan w:val="2"/>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476" w:type="dxa"/>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参加工作时间</w:t>
            </w:r>
          </w:p>
        </w:tc>
        <w:tc>
          <w:tcPr>
            <w:tcW w:w="2722" w:type="dxa"/>
            <w:gridSpan w:val="2"/>
            <w:vAlign w:val="center"/>
          </w:tcPr>
          <w:p>
            <w:pPr>
              <w:wordWrap w:val="0"/>
              <w:jc w:val="center"/>
              <w:rPr>
                <w:rFonts w:ascii="仿宋" w:hAnsi="仿宋" w:eastAsia="仿宋" w:cs="Times New Roman"/>
                <w:sz w:val="24"/>
                <w:szCs w:val="24"/>
                <w:highlight w:val="none"/>
              </w:rPr>
            </w:pPr>
          </w:p>
        </w:tc>
        <w:tc>
          <w:tcPr>
            <w:tcW w:w="3212" w:type="dxa"/>
            <w:gridSpan w:val="3"/>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从事行业时间</w:t>
            </w:r>
          </w:p>
        </w:tc>
        <w:tc>
          <w:tcPr>
            <w:tcW w:w="1931" w:type="dxa"/>
            <w:gridSpan w:val="2"/>
            <w:vAlign w:val="center"/>
          </w:tcPr>
          <w:p>
            <w:pPr>
              <w:wordWrap w:val="0"/>
              <w:jc w:val="center"/>
              <w:rPr>
                <w:rFonts w:ascii="仿宋" w:hAnsi="仿宋"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9341" w:type="dxa"/>
            <w:gridSpan w:val="8"/>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个 人 简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76" w:type="dxa"/>
            <w:vAlign w:val="center"/>
          </w:tcPr>
          <w:p>
            <w:pPr>
              <w:wordWrap w:val="0"/>
              <w:jc w:val="center"/>
              <w:rPr>
                <w:rFonts w:ascii="仿宋" w:hAnsi="仿宋" w:eastAsia="仿宋" w:cs="Times New Roman"/>
                <w:szCs w:val="21"/>
                <w:highlight w:val="none"/>
              </w:rPr>
            </w:pPr>
            <w:r>
              <w:rPr>
                <w:rFonts w:ascii="仿宋" w:hAnsi="仿宋" w:eastAsia="仿宋" w:cs="Times New Roman"/>
                <w:szCs w:val="21"/>
                <w:highlight w:val="none"/>
              </w:rPr>
              <w:t>时  间</w:t>
            </w:r>
          </w:p>
        </w:tc>
        <w:tc>
          <w:tcPr>
            <w:tcW w:w="2885" w:type="dxa"/>
            <w:gridSpan w:val="3"/>
            <w:vAlign w:val="center"/>
          </w:tcPr>
          <w:p>
            <w:pPr>
              <w:wordWrap w:val="0"/>
              <w:jc w:val="center"/>
              <w:rPr>
                <w:rFonts w:ascii="仿宋" w:hAnsi="仿宋" w:eastAsia="仿宋" w:cs="Times New Roman"/>
                <w:szCs w:val="21"/>
                <w:highlight w:val="none"/>
              </w:rPr>
            </w:pPr>
            <w:r>
              <w:rPr>
                <w:rFonts w:ascii="仿宋" w:hAnsi="仿宋" w:eastAsia="仿宋" w:cs="Times New Roman"/>
                <w:szCs w:val="21"/>
                <w:highlight w:val="none"/>
              </w:rPr>
              <w:t>工  作  单  位</w:t>
            </w:r>
          </w:p>
        </w:tc>
        <w:tc>
          <w:tcPr>
            <w:tcW w:w="1376" w:type="dxa"/>
            <w:vAlign w:val="center"/>
          </w:tcPr>
          <w:p>
            <w:pPr>
              <w:wordWrap w:val="0"/>
              <w:jc w:val="center"/>
              <w:rPr>
                <w:rFonts w:ascii="仿宋" w:hAnsi="仿宋" w:eastAsia="仿宋" w:cs="Times New Roman"/>
                <w:szCs w:val="21"/>
                <w:highlight w:val="none"/>
              </w:rPr>
            </w:pPr>
            <w:r>
              <w:rPr>
                <w:rFonts w:ascii="仿宋" w:hAnsi="仿宋" w:eastAsia="仿宋" w:cs="Times New Roman"/>
                <w:szCs w:val="21"/>
                <w:highlight w:val="none"/>
              </w:rPr>
              <w:t>职  务</w:t>
            </w:r>
          </w:p>
        </w:tc>
        <w:tc>
          <w:tcPr>
            <w:tcW w:w="1999" w:type="dxa"/>
            <w:gridSpan w:val="2"/>
            <w:vAlign w:val="center"/>
          </w:tcPr>
          <w:p>
            <w:pPr>
              <w:wordWrap w:val="0"/>
              <w:jc w:val="center"/>
              <w:rPr>
                <w:rFonts w:ascii="仿宋" w:hAnsi="仿宋" w:eastAsia="仿宋" w:cs="Times New Roman"/>
                <w:szCs w:val="21"/>
                <w:highlight w:val="none"/>
              </w:rPr>
            </w:pPr>
            <w:r>
              <w:rPr>
                <w:rFonts w:ascii="仿宋" w:hAnsi="仿宋" w:eastAsia="仿宋" w:cs="Times New Roman"/>
                <w:szCs w:val="21"/>
                <w:highlight w:val="none"/>
              </w:rPr>
              <w:t>联 系 人</w:t>
            </w:r>
          </w:p>
        </w:tc>
        <w:tc>
          <w:tcPr>
            <w:tcW w:w="1605" w:type="dxa"/>
            <w:vAlign w:val="center"/>
          </w:tcPr>
          <w:p>
            <w:pPr>
              <w:wordWrap w:val="0"/>
              <w:jc w:val="center"/>
              <w:rPr>
                <w:rFonts w:ascii="仿宋" w:hAnsi="仿宋" w:eastAsia="仿宋" w:cs="Times New Roman"/>
                <w:szCs w:val="21"/>
                <w:highlight w:val="none"/>
              </w:rPr>
            </w:pPr>
            <w:r>
              <w:rPr>
                <w:rFonts w:ascii="仿宋" w:hAnsi="仿宋" w:eastAsia="仿宋" w:cs="Times New Roman"/>
                <w:szCs w:val="21"/>
                <w:highlight w:val="none"/>
              </w:rPr>
              <w:t>电  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76" w:type="dxa"/>
            <w:vAlign w:val="center"/>
          </w:tcPr>
          <w:p>
            <w:pPr>
              <w:wordWrap w:val="0"/>
              <w:jc w:val="center"/>
              <w:rPr>
                <w:rFonts w:ascii="仿宋" w:hAnsi="仿宋" w:eastAsia="仿宋" w:cs="Times New Roman"/>
                <w:sz w:val="24"/>
                <w:szCs w:val="24"/>
                <w:highlight w:val="none"/>
              </w:rPr>
            </w:pPr>
          </w:p>
        </w:tc>
        <w:tc>
          <w:tcPr>
            <w:tcW w:w="2885" w:type="dxa"/>
            <w:gridSpan w:val="3"/>
            <w:vAlign w:val="center"/>
          </w:tcPr>
          <w:p>
            <w:pPr>
              <w:wordWrap w:val="0"/>
              <w:jc w:val="center"/>
              <w:rPr>
                <w:rFonts w:ascii="仿宋" w:hAnsi="仿宋" w:eastAsia="仿宋" w:cs="Times New Roman"/>
                <w:sz w:val="24"/>
                <w:szCs w:val="24"/>
                <w:highlight w:val="none"/>
              </w:rPr>
            </w:pPr>
          </w:p>
        </w:tc>
        <w:tc>
          <w:tcPr>
            <w:tcW w:w="1376" w:type="dxa"/>
            <w:vAlign w:val="center"/>
          </w:tcPr>
          <w:p>
            <w:pPr>
              <w:wordWrap w:val="0"/>
              <w:jc w:val="center"/>
              <w:rPr>
                <w:rFonts w:ascii="仿宋" w:hAnsi="仿宋" w:eastAsia="仿宋" w:cs="Times New Roman"/>
                <w:sz w:val="24"/>
                <w:szCs w:val="24"/>
                <w:highlight w:val="none"/>
              </w:rPr>
            </w:pPr>
          </w:p>
        </w:tc>
        <w:tc>
          <w:tcPr>
            <w:tcW w:w="1999" w:type="dxa"/>
            <w:gridSpan w:val="2"/>
            <w:vAlign w:val="center"/>
          </w:tcPr>
          <w:p>
            <w:pPr>
              <w:wordWrap w:val="0"/>
              <w:jc w:val="center"/>
              <w:rPr>
                <w:rFonts w:ascii="仿宋" w:hAnsi="仿宋" w:eastAsia="仿宋" w:cs="Times New Roman"/>
                <w:sz w:val="24"/>
                <w:szCs w:val="24"/>
                <w:highlight w:val="none"/>
              </w:rPr>
            </w:pPr>
          </w:p>
        </w:tc>
        <w:tc>
          <w:tcPr>
            <w:tcW w:w="1605" w:type="dxa"/>
            <w:vAlign w:val="center"/>
          </w:tcPr>
          <w:p>
            <w:pPr>
              <w:wordWrap w:val="0"/>
              <w:jc w:val="center"/>
              <w:rPr>
                <w:rFonts w:ascii="仿宋" w:hAnsi="仿宋"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76" w:type="dxa"/>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w:t>
            </w:r>
          </w:p>
        </w:tc>
        <w:tc>
          <w:tcPr>
            <w:tcW w:w="2885" w:type="dxa"/>
            <w:gridSpan w:val="3"/>
            <w:vAlign w:val="center"/>
          </w:tcPr>
          <w:p>
            <w:pPr>
              <w:wordWrap w:val="0"/>
              <w:jc w:val="center"/>
              <w:rPr>
                <w:rFonts w:ascii="仿宋" w:hAnsi="仿宋" w:eastAsia="仿宋" w:cs="Times New Roman"/>
                <w:sz w:val="24"/>
                <w:szCs w:val="24"/>
                <w:highlight w:val="none"/>
              </w:rPr>
            </w:pPr>
          </w:p>
        </w:tc>
        <w:tc>
          <w:tcPr>
            <w:tcW w:w="1376" w:type="dxa"/>
            <w:vAlign w:val="center"/>
          </w:tcPr>
          <w:p>
            <w:pPr>
              <w:wordWrap w:val="0"/>
              <w:jc w:val="center"/>
              <w:rPr>
                <w:rFonts w:ascii="仿宋" w:hAnsi="仿宋" w:eastAsia="仿宋" w:cs="Times New Roman"/>
                <w:sz w:val="24"/>
                <w:szCs w:val="24"/>
                <w:highlight w:val="none"/>
              </w:rPr>
            </w:pPr>
          </w:p>
        </w:tc>
        <w:tc>
          <w:tcPr>
            <w:tcW w:w="1999" w:type="dxa"/>
            <w:gridSpan w:val="2"/>
            <w:vAlign w:val="center"/>
          </w:tcPr>
          <w:p>
            <w:pPr>
              <w:wordWrap w:val="0"/>
              <w:jc w:val="center"/>
              <w:rPr>
                <w:rFonts w:ascii="仿宋" w:hAnsi="仿宋" w:eastAsia="仿宋" w:cs="Times New Roman"/>
                <w:sz w:val="24"/>
                <w:szCs w:val="24"/>
                <w:highlight w:val="none"/>
              </w:rPr>
            </w:pPr>
          </w:p>
        </w:tc>
        <w:tc>
          <w:tcPr>
            <w:tcW w:w="1605" w:type="dxa"/>
            <w:vAlign w:val="center"/>
          </w:tcPr>
          <w:p>
            <w:pPr>
              <w:wordWrap w:val="0"/>
              <w:jc w:val="center"/>
              <w:rPr>
                <w:rFonts w:ascii="仿宋" w:hAnsi="仿宋"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exact"/>
          <w:jc w:val="center"/>
        </w:trPr>
        <w:tc>
          <w:tcPr>
            <w:tcW w:w="9341" w:type="dxa"/>
            <w:gridSpan w:val="8"/>
            <w:vAlign w:val="center"/>
          </w:tcPr>
          <w:p>
            <w:pPr>
              <w:wordWrap w:val="0"/>
              <w:jc w:val="center"/>
              <w:rPr>
                <w:rFonts w:ascii="仿宋" w:hAnsi="仿宋" w:eastAsia="仿宋" w:cs="Times New Roman"/>
                <w:sz w:val="24"/>
                <w:szCs w:val="24"/>
                <w:highlight w:val="none"/>
              </w:rPr>
            </w:pPr>
            <w:r>
              <w:rPr>
                <w:rFonts w:hint="eastAsia" w:ascii="仿宋" w:hAnsi="仿宋" w:eastAsia="仿宋" w:cs="Times New Roman"/>
                <w:sz w:val="24"/>
                <w:szCs w:val="24"/>
                <w:highlight w:val="none"/>
              </w:rPr>
              <w:t>参加过的主要项目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76" w:type="dxa"/>
            <w:vAlign w:val="center"/>
          </w:tcPr>
          <w:p>
            <w:pPr>
              <w:wordWrap w:val="0"/>
              <w:jc w:val="center"/>
              <w:rPr>
                <w:rFonts w:ascii="仿宋" w:hAnsi="仿宋" w:eastAsia="仿宋" w:cs="仿宋"/>
                <w:szCs w:val="21"/>
                <w:highlight w:val="none"/>
              </w:rPr>
            </w:pPr>
            <w:r>
              <w:rPr>
                <w:rFonts w:hint="eastAsia" w:ascii="仿宋" w:hAnsi="仿宋" w:eastAsia="仿宋" w:cs="仿宋"/>
                <w:szCs w:val="21"/>
                <w:highlight w:val="none"/>
              </w:rPr>
              <w:t>业主单位名称</w:t>
            </w:r>
          </w:p>
        </w:tc>
        <w:tc>
          <w:tcPr>
            <w:tcW w:w="2885" w:type="dxa"/>
            <w:gridSpan w:val="3"/>
            <w:vAlign w:val="center"/>
          </w:tcPr>
          <w:p>
            <w:pPr>
              <w:wordWrap w:val="0"/>
              <w:jc w:val="center"/>
              <w:rPr>
                <w:rFonts w:ascii="仿宋" w:hAnsi="仿宋" w:eastAsia="仿宋" w:cs="仿宋"/>
                <w:szCs w:val="21"/>
                <w:highlight w:val="none"/>
              </w:rPr>
            </w:pPr>
            <w:r>
              <w:rPr>
                <w:rFonts w:hint="eastAsia" w:ascii="仿宋" w:hAnsi="仿宋" w:eastAsia="仿宋" w:cs="仿宋"/>
                <w:szCs w:val="21"/>
                <w:highlight w:val="none"/>
              </w:rPr>
              <w:t>项目名称</w:t>
            </w:r>
          </w:p>
        </w:tc>
        <w:tc>
          <w:tcPr>
            <w:tcW w:w="1376" w:type="dxa"/>
            <w:vAlign w:val="center"/>
          </w:tcPr>
          <w:p>
            <w:pPr>
              <w:wordWrap w:val="0"/>
              <w:jc w:val="center"/>
              <w:rPr>
                <w:rFonts w:ascii="仿宋" w:hAnsi="仿宋" w:eastAsia="仿宋" w:cs="仿宋"/>
                <w:szCs w:val="21"/>
                <w:highlight w:val="none"/>
              </w:rPr>
            </w:pPr>
            <w:r>
              <w:rPr>
                <w:rFonts w:hint="eastAsia" w:ascii="仿宋" w:hAnsi="仿宋" w:eastAsia="仿宋" w:cs="仿宋"/>
                <w:szCs w:val="21"/>
                <w:highlight w:val="none"/>
              </w:rPr>
              <w:t>合同金额</w:t>
            </w:r>
          </w:p>
        </w:tc>
        <w:tc>
          <w:tcPr>
            <w:tcW w:w="1999" w:type="dxa"/>
            <w:gridSpan w:val="2"/>
            <w:vAlign w:val="center"/>
          </w:tcPr>
          <w:p>
            <w:pPr>
              <w:wordWrap w:val="0"/>
              <w:jc w:val="center"/>
              <w:rPr>
                <w:rFonts w:ascii="仿宋" w:hAnsi="仿宋" w:eastAsia="仿宋" w:cs="仿宋"/>
                <w:szCs w:val="21"/>
                <w:highlight w:val="none"/>
              </w:rPr>
            </w:pPr>
            <w:r>
              <w:rPr>
                <w:rFonts w:hint="eastAsia" w:ascii="仿宋" w:hAnsi="仿宋" w:eastAsia="仿宋" w:cs="仿宋"/>
                <w:szCs w:val="21"/>
                <w:highlight w:val="none"/>
              </w:rPr>
              <w:t>业主联系方式</w:t>
            </w:r>
          </w:p>
        </w:tc>
        <w:tc>
          <w:tcPr>
            <w:tcW w:w="1605" w:type="dxa"/>
            <w:vAlign w:val="center"/>
          </w:tcPr>
          <w:p>
            <w:pPr>
              <w:wordWrap w:val="0"/>
              <w:jc w:val="center"/>
              <w:rPr>
                <w:rFonts w:ascii="仿宋" w:hAnsi="仿宋" w:eastAsia="仿宋" w:cs="仿宋"/>
                <w:szCs w:val="21"/>
                <w:highlight w:val="none"/>
              </w:rPr>
            </w:pPr>
            <w:r>
              <w:rPr>
                <w:rFonts w:hint="eastAsia" w:ascii="仿宋" w:hAnsi="仿宋" w:eastAsia="仿宋" w:cs="仿宋"/>
                <w:szCs w:val="21"/>
                <w:highlight w:val="none"/>
              </w:rPr>
              <w:t>担任职务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76" w:type="dxa"/>
            <w:vAlign w:val="center"/>
          </w:tcPr>
          <w:p>
            <w:pPr>
              <w:wordWrap w:val="0"/>
              <w:jc w:val="center"/>
              <w:rPr>
                <w:rFonts w:ascii="仿宋" w:hAnsi="仿宋" w:eastAsia="仿宋" w:cs="Times New Roman"/>
                <w:sz w:val="24"/>
                <w:szCs w:val="24"/>
                <w:highlight w:val="none"/>
              </w:rPr>
            </w:pPr>
          </w:p>
        </w:tc>
        <w:tc>
          <w:tcPr>
            <w:tcW w:w="2885" w:type="dxa"/>
            <w:gridSpan w:val="3"/>
            <w:vAlign w:val="center"/>
          </w:tcPr>
          <w:p>
            <w:pPr>
              <w:wordWrap w:val="0"/>
              <w:jc w:val="center"/>
              <w:rPr>
                <w:rFonts w:ascii="仿宋" w:hAnsi="仿宋" w:eastAsia="仿宋" w:cs="Times New Roman"/>
                <w:sz w:val="24"/>
                <w:szCs w:val="24"/>
                <w:highlight w:val="none"/>
              </w:rPr>
            </w:pPr>
          </w:p>
        </w:tc>
        <w:tc>
          <w:tcPr>
            <w:tcW w:w="1376" w:type="dxa"/>
            <w:vAlign w:val="center"/>
          </w:tcPr>
          <w:p>
            <w:pPr>
              <w:wordWrap w:val="0"/>
              <w:jc w:val="center"/>
              <w:rPr>
                <w:rFonts w:ascii="仿宋" w:hAnsi="仿宋" w:eastAsia="仿宋" w:cs="Times New Roman"/>
                <w:sz w:val="24"/>
                <w:szCs w:val="24"/>
                <w:highlight w:val="none"/>
              </w:rPr>
            </w:pPr>
          </w:p>
        </w:tc>
        <w:tc>
          <w:tcPr>
            <w:tcW w:w="1999" w:type="dxa"/>
            <w:gridSpan w:val="2"/>
            <w:vAlign w:val="center"/>
          </w:tcPr>
          <w:p>
            <w:pPr>
              <w:wordWrap w:val="0"/>
              <w:jc w:val="center"/>
              <w:rPr>
                <w:rFonts w:ascii="仿宋" w:hAnsi="仿宋" w:eastAsia="仿宋" w:cs="Times New Roman"/>
                <w:sz w:val="24"/>
                <w:szCs w:val="24"/>
                <w:highlight w:val="none"/>
              </w:rPr>
            </w:pPr>
          </w:p>
        </w:tc>
        <w:tc>
          <w:tcPr>
            <w:tcW w:w="1605" w:type="dxa"/>
            <w:vAlign w:val="center"/>
          </w:tcPr>
          <w:p>
            <w:pPr>
              <w:wordWrap w:val="0"/>
              <w:jc w:val="center"/>
              <w:rPr>
                <w:rFonts w:ascii="仿宋" w:hAnsi="仿宋"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76" w:type="dxa"/>
            <w:vAlign w:val="center"/>
          </w:tcPr>
          <w:p>
            <w:pPr>
              <w:wordWrap w:val="0"/>
              <w:jc w:val="center"/>
              <w:rPr>
                <w:rFonts w:ascii="仿宋" w:hAnsi="仿宋" w:eastAsia="仿宋" w:cs="Times New Roman"/>
                <w:sz w:val="24"/>
                <w:szCs w:val="24"/>
                <w:highlight w:val="none"/>
              </w:rPr>
            </w:pPr>
            <w:r>
              <w:rPr>
                <w:rFonts w:ascii="仿宋" w:hAnsi="仿宋" w:eastAsia="仿宋" w:cs="Times New Roman"/>
                <w:sz w:val="24"/>
                <w:szCs w:val="24"/>
                <w:highlight w:val="none"/>
              </w:rPr>
              <w:t>….</w:t>
            </w:r>
          </w:p>
        </w:tc>
        <w:tc>
          <w:tcPr>
            <w:tcW w:w="2885" w:type="dxa"/>
            <w:gridSpan w:val="3"/>
            <w:vAlign w:val="center"/>
          </w:tcPr>
          <w:p>
            <w:pPr>
              <w:wordWrap w:val="0"/>
              <w:jc w:val="center"/>
              <w:rPr>
                <w:rFonts w:ascii="仿宋" w:hAnsi="仿宋" w:eastAsia="仿宋" w:cs="Times New Roman"/>
                <w:sz w:val="24"/>
                <w:szCs w:val="24"/>
                <w:highlight w:val="none"/>
              </w:rPr>
            </w:pPr>
          </w:p>
        </w:tc>
        <w:tc>
          <w:tcPr>
            <w:tcW w:w="1376" w:type="dxa"/>
            <w:vAlign w:val="center"/>
          </w:tcPr>
          <w:p>
            <w:pPr>
              <w:wordWrap w:val="0"/>
              <w:jc w:val="center"/>
              <w:rPr>
                <w:rFonts w:ascii="仿宋" w:hAnsi="仿宋" w:eastAsia="仿宋" w:cs="Times New Roman"/>
                <w:sz w:val="24"/>
                <w:szCs w:val="24"/>
                <w:highlight w:val="none"/>
              </w:rPr>
            </w:pPr>
          </w:p>
        </w:tc>
        <w:tc>
          <w:tcPr>
            <w:tcW w:w="1999" w:type="dxa"/>
            <w:gridSpan w:val="2"/>
            <w:vAlign w:val="center"/>
          </w:tcPr>
          <w:p>
            <w:pPr>
              <w:wordWrap w:val="0"/>
              <w:jc w:val="center"/>
              <w:rPr>
                <w:rFonts w:ascii="仿宋" w:hAnsi="仿宋" w:eastAsia="仿宋" w:cs="Times New Roman"/>
                <w:sz w:val="24"/>
                <w:szCs w:val="24"/>
                <w:highlight w:val="none"/>
              </w:rPr>
            </w:pPr>
          </w:p>
        </w:tc>
        <w:tc>
          <w:tcPr>
            <w:tcW w:w="1605" w:type="dxa"/>
            <w:vAlign w:val="center"/>
          </w:tcPr>
          <w:p>
            <w:pPr>
              <w:wordWrap w:val="0"/>
              <w:jc w:val="center"/>
              <w:rPr>
                <w:rFonts w:ascii="仿宋" w:hAnsi="仿宋" w:eastAsia="仿宋" w:cs="Times New Roman"/>
                <w:sz w:val="24"/>
                <w:szCs w:val="24"/>
                <w:highlight w:val="none"/>
              </w:rPr>
            </w:pPr>
          </w:p>
        </w:tc>
      </w:tr>
    </w:tbl>
    <w:tbl>
      <w:tblPr>
        <w:tblStyle w:val="9"/>
        <w:tblpPr w:leftFromText="180" w:rightFromText="180" w:vertAnchor="text" w:horzAnchor="margin" w:tblpY="737"/>
        <w:tblW w:w="8512" w:type="dxa"/>
        <w:tblInd w:w="0" w:type="dxa"/>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trPr>
        <w:tc>
          <w:tcPr>
            <w:tcW w:w="1553" w:type="dxa"/>
            <w:vAlign w:val="center"/>
          </w:tcPr>
          <w:p>
            <w:pPr>
              <w:wordWrap w:val="0"/>
              <w:jc w:val="center"/>
              <w:rPr>
                <w:rFonts w:ascii="仿宋" w:hAnsi="仿宋" w:eastAsia="仿宋" w:cs="仿宋"/>
                <w:sz w:val="24"/>
                <w:szCs w:val="24"/>
                <w:highlight w:val="none"/>
              </w:rPr>
            </w:pPr>
            <w:r>
              <w:rPr>
                <w:rFonts w:hint="eastAsia" w:ascii="仿宋" w:hAnsi="仿宋" w:eastAsia="仿宋" w:cs="仿宋"/>
                <w:sz w:val="24"/>
                <w:szCs w:val="24"/>
                <w:highlight w:val="none"/>
              </w:rPr>
              <w:t>投标人：</w:t>
            </w:r>
          </w:p>
        </w:tc>
        <w:tc>
          <w:tcPr>
            <w:tcW w:w="2611" w:type="dxa"/>
            <w:vAlign w:val="center"/>
          </w:tcPr>
          <w:p>
            <w:pPr>
              <w:wordWrap w:val="0"/>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wordWrap w:val="0"/>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wordWrap w:val="0"/>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5" w:type="dxa"/>
            <w:vAlign w:val="center"/>
          </w:tcPr>
          <w:p>
            <w:pPr>
              <w:wordWrap w:val="0"/>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894" w:hRule="atLeast"/>
        </w:trPr>
        <w:tc>
          <w:tcPr>
            <w:tcW w:w="4164" w:type="dxa"/>
            <w:gridSpan w:val="2"/>
            <w:vAlign w:val="center"/>
          </w:tcPr>
          <w:p>
            <w:pPr>
              <w:wordWrap w:val="0"/>
              <w:spacing w:line="360" w:lineRule="auto"/>
              <w:ind w:firstLine="480" w:firstLineChars="200"/>
              <w:jc w:val="left"/>
              <w:rPr>
                <w:rFonts w:ascii="仿宋" w:hAnsi="仿宋" w:eastAsia="仿宋" w:cs="仿宋"/>
                <w:kern w:val="1"/>
                <w:sz w:val="24"/>
                <w:szCs w:val="24"/>
                <w:highlight w:val="none"/>
              </w:rPr>
            </w:pPr>
          </w:p>
        </w:tc>
        <w:tc>
          <w:tcPr>
            <w:tcW w:w="4348" w:type="dxa"/>
            <w:gridSpan w:val="2"/>
            <w:vAlign w:val="center"/>
          </w:tcPr>
          <w:p>
            <w:pPr>
              <w:wordWrap w:val="0"/>
              <w:spacing w:line="360" w:lineRule="auto"/>
              <w:ind w:firstLine="480" w:firstLineChars="200"/>
              <w:jc w:val="left"/>
              <w:rPr>
                <w:rFonts w:ascii="仿宋" w:hAnsi="仿宋" w:eastAsia="仿宋" w:cs="仿宋"/>
                <w:kern w:val="1"/>
                <w:sz w:val="24"/>
                <w:szCs w:val="24"/>
                <w:highlight w:val="none"/>
              </w:rPr>
            </w:pPr>
            <w:r>
              <w:rPr>
                <w:rFonts w:hint="eastAsia" w:ascii="仿宋" w:hAnsi="仿宋" w:eastAsia="仿宋" w:cs="仿宋"/>
                <w:kern w:val="1"/>
                <w:sz w:val="24"/>
                <w:szCs w:val="24"/>
                <w:highlight w:val="none"/>
              </w:rPr>
              <w:t>年   月   日</w:t>
            </w:r>
          </w:p>
        </w:tc>
      </w:tr>
    </w:tbl>
    <w:p>
      <w:pPr>
        <w:keepNext/>
        <w:keepLines/>
        <w:wordWrap w:val="0"/>
        <w:spacing w:line="360" w:lineRule="auto"/>
        <w:ind w:firstLine="480" w:firstLineChars="200"/>
        <w:rPr>
          <w:rFonts w:ascii="仿宋" w:hAnsi="仿宋" w:eastAsia="仿宋" w:cs="仿宋"/>
          <w:kern w:val="1"/>
          <w:sz w:val="24"/>
          <w:szCs w:val="24"/>
          <w:highlight w:val="none"/>
        </w:rPr>
      </w:pPr>
    </w:p>
    <w:p>
      <w:pPr>
        <w:keepNext/>
        <w:keepLines/>
        <w:wordWrap w:val="0"/>
        <w:spacing w:line="360" w:lineRule="auto"/>
        <w:ind w:firstLine="480" w:firstLineChars="200"/>
        <w:rPr>
          <w:rFonts w:ascii="仿宋" w:hAnsi="仿宋" w:eastAsia="仿宋" w:cs="仿宋"/>
          <w:kern w:val="1"/>
          <w:sz w:val="24"/>
          <w:szCs w:val="24"/>
          <w:highlight w:val="none"/>
        </w:rPr>
      </w:pPr>
    </w:p>
    <w:p>
      <w:pPr>
        <w:keepNext/>
        <w:keepLines/>
        <w:wordWrap w:val="0"/>
        <w:spacing w:line="360" w:lineRule="auto"/>
        <w:ind w:firstLine="480" w:firstLineChars="200"/>
        <w:rPr>
          <w:rFonts w:ascii="仿宋" w:hAnsi="仿宋" w:eastAsia="仿宋" w:cs="仿宋"/>
          <w:kern w:val="1"/>
          <w:sz w:val="24"/>
          <w:szCs w:val="24"/>
          <w:highlight w:val="none"/>
        </w:rPr>
      </w:pPr>
    </w:p>
    <w:p>
      <w:pPr>
        <w:keepNext/>
        <w:keepLines/>
        <w:wordWrap w:val="0"/>
        <w:spacing w:line="360" w:lineRule="auto"/>
        <w:ind w:firstLine="480" w:firstLineChars="200"/>
        <w:rPr>
          <w:rFonts w:ascii="仿宋" w:hAnsi="仿宋" w:eastAsia="仿宋" w:cs="仿宋"/>
          <w:kern w:val="1"/>
          <w:sz w:val="24"/>
          <w:szCs w:val="24"/>
          <w:highlight w:val="none"/>
        </w:rPr>
      </w:pPr>
    </w:p>
    <w:p>
      <w:pPr>
        <w:keepNext/>
        <w:keepLines/>
        <w:wordWrap w:val="0"/>
        <w:spacing w:line="360" w:lineRule="auto"/>
        <w:ind w:firstLine="420" w:firstLineChars="200"/>
        <w:rPr>
          <w:rFonts w:ascii="仿宋" w:hAnsi="仿宋" w:eastAsia="仿宋" w:cs="仿宋"/>
          <w:kern w:val="1"/>
          <w:szCs w:val="21"/>
          <w:highlight w:val="none"/>
        </w:rPr>
      </w:pPr>
      <w:r>
        <w:rPr>
          <w:rFonts w:hint="eastAsia" w:ascii="仿宋" w:hAnsi="仿宋" w:eastAsia="仿宋" w:cs="仿宋"/>
          <w:kern w:val="1"/>
          <w:szCs w:val="21"/>
          <w:highlight w:val="none"/>
        </w:rPr>
        <w:t>说明：</w:t>
      </w:r>
      <w:r>
        <w:rPr>
          <w:rFonts w:ascii="仿宋" w:hAnsi="仿宋" w:eastAsia="仿宋" w:cs="仿宋"/>
          <w:kern w:val="1"/>
          <w:szCs w:val="21"/>
          <w:highlight w:val="none"/>
        </w:rPr>
        <w:t>1.上表可由投标人依据实际情况进行调整</w:t>
      </w:r>
      <w:r>
        <w:rPr>
          <w:rFonts w:hint="eastAsia" w:ascii="仿宋" w:hAnsi="仿宋" w:eastAsia="仿宋" w:cs="仿宋"/>
          <w:kern w:val="1"/>
          <w:szCs w:val="21"/>
          <w:highlight w:val="none"/>
        </w:rPr>
        <w:t>；</w:t>
      </w:r>
    </w:p>
    <w:p>
      <w:pPr>
        <w:keepNext/>
        <w:keepLines/>
        <w:wordWrap w:val="0"/>
        <w:spacing w:line="360" w:lineRule="auto"/>
        <w:ind w:firstLine="420" w:firstLineChars="200"/>
        <w:rPr>
          <w:rFonts w:ascii="仿宋" w:hAnsi="仿宋" w:eastAsia="仿宋" w:cs="仿宋"/>
          <w:kern w:val="1"/>
          <w:szCs w:val="21"/>
          <w:highlight w:val="none"/>
        </w:rPr>
      </w:pPr>
      <w:r>
        <w:rPr>
          <w:rFonts w:ascii="仿宋" w:hAnsi="仿宋" w:eastAsia="仿宋" w:cs="仿宋"/>
          <w:kern w:val="1"/>
          <w:szCs w:val="21"/>
          <w:highlight w:val="none"/>
        </w:rPr>
        <w:t>2.当招标文件要求提供人员相应证明材料时，应附相关证明材料。</w:t>
      </w:r>
    </w:p>
    <w:p>
      <w:pPr>
        <w:keepNext/>
        <w:keepLines/>
        <w:wordWrap w:val="0"/>
        <w:spacing w:line="360" w:lineRule="auto"/>
        <w:ind w:firstLine="420" w:firstLineChars="200"/>
        <w:rPr>
          <w:rFonts w:ascii="仿宋" w:hAnsi="仿宋" w:eastAsia="仿宋" w:cs="仿宋"/>
          <w:kern w:val="1"/>
          <w:szCs w:val="21"/>
          <w:highlight w:val="none"/>
        </w:rPr>
      </w:pPr>
      <w:r>
        <w:rPr>
          <w:rFonts w:ascii="仿宋" w:hAnsi="仿宋" w:eastAsia="仿宋" w:cs="仿宋"/>
          <w:kern w:val="1"/>
          <w:szCs w:val="21"/>
          <w:highlight w:val="none"/>
        </w:rPr>
        <w:br w:type="page"/>
      </w:r>
    </w:p>
    <w:p>
      <w:pPr>
        <w:keepNext/>
        <w:keepLines/>
        <w:wordWrap w:val="0"/>
        <w:spacing w:line="360" w:lineRule="auto"/>
        <w:ind w:firstLine="482" w:firstLineChars="200"/>
        <w:outlineLvl w:val="1"/>
        <w:rPr>
          <w:rFonts w:ascii="仿宋" w:hAnsi="仿宋" w:eastAsia="仿宋" w:cs="仿宋"/>
          <w:b/>
          <w:bCs/>
          <w:kern w:val="1"/>
          <w:sz w:val="24"/>
          <w:szCs w:val="24"/>
          <w:highlight w:val="none"/>
        </w:rPr>
      </w:pPr>
      <w:bookmarkStart w:id="165" w:name="_Toc5734"/>
      <w:bookmarkStart w:id="166" w:name="_Toc110245256"/>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13  </w:t>
      </w:r>
      <w:r>
        <w:rPr>
          <w:rFonts w:hint="eastAsia" w:ascii="仿宋" w:hAnsi="仿宋" w:eastAsia="仿宋" w:cs="仿宋"/>
          <w:b/>
          <w:bCs/>
          <w:kern w:val="1"/>
          <w:sz w:val="24"/>
          <w:szCs w:val="24"/>
          <w:highlight w:val="none"/>
        </w:rPr>
        <w:t>拟投入产品证明材料</w:t>
      </w:r>
      <w:bookmarkEnd w:id="165"/>
      <w:bookmarkEnd w:id="166"/>
    </w:p>
    <w:p>
      <w:pPr>
        <w:keepNext/>
        <w:keepLines/>
        <w:wordWrap w:val="0"/>
        <w:spacing w:line="360" w:lineRule="auto"/>
        <w:ind w:firstLine="482" w:firstLineChars="200"/>
        <w:rPr>
          <w:rFonts w:ascii="仿宋" w:hAnsi="仿宋" w:eastAsia="仿宋" w:cs="仿宋"/>
          <w:b/>
          <w:bCs/>
          <w:kern w:val="1"/>
          <w:sz w:val="24"/>
          <w:szCs w:val="24"/>
          <w:highlight w:val="none"/>
        </w:rPr>
      </w:pPr>
    </w:p>
    <w:p>
      <w:pPr>
        <w:keepNext/>
        <w:keepLines/>
        <w:spacing w:line="360" w:lineRule="auto"/>
        <w:ind w:firstLine="432" w:firstLineChars="200"/>
        <w:rPr>
          <w:rFonts w:ascii="仿宋" w:hAnsi="仿宋" w:eastAsia="仿宋" w:cs="仿宋"/>
          <w:i/>
          <w:iCs/>
          <w:spacing w:val="-12"/>
          <w:kern w:val="24"/>
          <w:sz w:val="24"/>
          <w:szCs w:val="24"/>
          <w:highlight w:val="none"/>
        </w:rPr>
      </w:pPr>
      <w:r>
        <w:rPr>
          <w:rFonts w:hint="eastAsia" w:ascii="仿宋" w:hAnsi="仿宋" w:eastAsia="仿宋" w:cs="仿宋"/>
          <w:i/>
          <w:iCs/>
          <w:spacing w:val="-12"/>
          <w:kern w:val="24"/>
          <w:sz w:val="24"/>
          <w:szCs w:val="24"/>
          <w:highlight w:val="none"/>
        </w:rPr>
        <w:t>提供招标文件要求的相关证明材料或投标人认为有必要提供的相关证明材料。</w:t>
      </w:r>
    </w:p>
    <w:p>
      <w:pPr>
        <w:keepNext/>
        <w:keepLines/>
        <w:wordWrap w:val="0"/>
        <w:spacing w:line="360" w:lineRule="auto"/>
        <w:ind w:firstLine="562" w:firstLineChars="200"/>
        <w:outlineLvl w:val="1"/>
        <w:rPr>
          <w:rFonts w:ascii="仿宋" w:hAnsi="仿宋" w:eastAsia="仿宋" w:cs="仿宋"/>
          <w:b/>
          <w:bCs/>
          <w:sz w:val="25"/>
          <w:szCs w:val="21"/>
          <w:highlight w:val="none"/>
        </w:rPr>
      </w:pPr>
      <w:r>
        <w:rPr>
          <w:rFonts w:ascii="仿宋" w:hAnsi="仿宋" w:eastAsia="仿宋" w:cs="仿宋"/>
          <w:b/>
          <w:bCs/>
          <w:sz w:val="28"/>
          <w:szCs w:val="28"/>
          <w:highlight w:val="none"/>
        </w:rPr>
        <w:br w:type="page"/>
      </w:r>
      <w:bookmarkStart w:id="167" w:name="_Toc75195536"/>
      <w:bookmarkStart w:id="168" w:name="_Toc110245257"/>
      <w:bookmarkStart w:id="169" w:name="_Toc105753630"/>
      <w:r>
        <w:rPr>
          <w:rFonts w:hint="eastAsia" w:ascii="仿宋" w:hAnsi="仿宋" w:eastAsia="仿宋" w:cs="仿宋"/>
          <w:b/>
          <w:bCs/>
          <w:kern w:val="1"/>
          <w:sz w:val="24"/>
          <w:szCs w:val="24"/>
          <w:highlight w:val="none"/>
        </w:rPr>
        <w:t>附件</w:t>
      </w:r>
      <w:r>
        <w:rPr>
          <w:rFonts w:ascii="仿宋" w:hAnsi="仿宋" w:eastAsia="仿宋" w:cs="仿宋"/>
          <w:b/>
          <w:bCs/>
          <w:kern w:val="1"/>
          <w:sz w:val="24"/>
          <w:szCs w:val="24"/>
          <w:highlight w:val="none"/>
        </w:rPr>
        <w:t xml:space="preserve">14  </w:t>
      </w:r>
      <w:bookmarkEnd w:id="167"/>
      <w:r>
        <w:rPr>
          <w:rFonts w:hint="eastAsia" w:ascii="仿宋" w:hAnsi="仿宋" w:eastAsia="仿宋" w:cs="仿宋"/>
          <w:b/>
          <w:bCs/>
          <w:kern w:val="1"/>
          <w:sz w:val="24"/>
          <w:szCs w:val="24"/>
          <w:highlight w:val="none"/>
        </w:rPr>
        <w:t>采购活动中不存在弄虚作假、恶意串通等情形的承诺</w:t>
      </w:r>
      <w:bookmarkEnd w:id="168"/>
      <w:bookmarkEnd w:id="169"/>
    </w:p>
    <w:p>
      <w:pPr>
        <w:tabs>
          <w:tab w:val="left" w:pos="5580"/>
        </w:tabs>
        <w:wordWrap w:val="0"/>
        <w:spacing w:before="120"/>
        <w:rPr>
          <w:rFonts w:ascii="仿宋" w:hAnsi="仿宋" w:eastAsia="仿宋" w:cs="Times New Roman"/>
          <w:sz w:val="24"/>
          <w:szCs w:val="24"/>
          <w:highlight w:val="none"/>
        </w:rPr>
      </w:pP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我方郑重承诺在参加本项目政府采购活动中，遵循公平竞争的原则，没有损害采购人或者其他供应商的合法权益。我方在参加本项目政府采购活动中不存在以下弄虚作假、恶意串通或妨碍其他供应商的竞争行为：</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（1）与本项目其他不同供应商的投标文件由同一单位或者个人编制；</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（2）与本项目其他不同供应商委托同一单位或者个人办理采购相关事宜；</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（3）与本项目其他不同供应商的投标文件载明的项目管理成员或者联系人员为同一人；</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（4）与本项目其他不同供应商的投标文件异常一致或者响应报价呈规律性差异；</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（5）与本项目其他不同供应商的投标文件相互混装；</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（6）与本项目其他不同供应商的保证金从同一单位或者个人的账户转出；</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（7）使用伪造、变造的许可证件；</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（8）提供虚假的财务状况或者业绩；</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（9）提供虚假的项目负责人或者主要技术人员简历、劳动关系证明；</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（10）提供虚假的信用状况；</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（11）其他弄虚作假的行为。</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heme="minorBidi"/>
          <w:kern w:val="0"/>
          <w:sz w:val="24"/>
          <w:szCs w:val="24"/>
          <w:highlight w:val="none"/>
        </w:rPr>
        <w:t>我方对上述声明内容的真实性负责。如有虚假，将依法承担相应责任。</w:t>
      </w:r>
    </w:p>
    <w:p>
      <w:pPr>
        <w:tabs>
          <w:tab w:val="left" w:pos="5580"/>
        </w:tabs>
        <w:wordWrap w:val="0"/>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特此承诺。</w:t>
      </w:r>
    </w:p>
    <w:tbl>
      <w:tblPr>
        <w:tblStyle w:val="9"/>
        <w:tblpPr w:leftFromText="180" w:rightFromText="180" w:vertAnchor="text" w:horzAnchor="margin" w:tblpY="511"/>
        <w:tblW w:w="8512" w:type="dxa"/>
        <w:tblInd w:w="0" w:type="dxa"/>
        <w:tblLayout w:type="fixed"/>
        <w:tblCellMar>
          <w:top w:w="0" w:type="dxa"/>
          <w:left w:w="108" w:type="dxa"/>
          <w:bottom w:w="0" w:type="dxa"/>
          <w:right w:w="108" w:type="dxa"/>
        </w:tblCellMar>
      </w:tblPr>
      <w:tblGrid>
        <w:gridCol w:w="1553"/>
        <w:gridCol w:w="2611"/>
        <w:gridCol w:w="2093"/>
        <w:gridCol w:w="2255"/>
      </w:tblGrid>
      <w:tr>
        <w:tblPrEx>
          <w:tblCellMar>
            <w:top w:w="0" w:type="dxa"/>
            <w:left w:w="108" w:type="dxa"/>
            <w:bottom w:w="0" w:type="dxa"/>
            <w:right w:w="108" w:type="dxa"/>
          </w:tblCellMar>
        </w:tblPrEx>
        <w:trPr>
          <w:trHeight w:val="1083" w:hRule="atLeast"/>
        </w:trPr>
        <w:tc>
          <w:tcPr>
            <w:tcW w:w="1553" w:type="dxa"/>
            <w:vAlign w:val="center"/>
          </w:tcPr>
          <w:p>
            <w:pPr>
              <w:wordWrap w:val="0"/>
              <w:jc w:val="center"/>
              <w:rPr>
                <w:rFonts w:ascii="仿宋" w:hAnsi="仿宋" w:eastAsia="仿宋" w:cs="仿宋"/>
                <w:sz w:val="24"/>
                <w:szCs w:val="24"/>
                <w:highlight w:val="none"/>
              </w:rPr>
            </w:pPr>
            <w:r>
              <w:rPr>
                <w:rFonts w:hint="eastAsia" w:ascii="仿宋" w:hAnsi="仿宋" w:eastAsia="仿宋" w:cs="仿宋"/>
                <w:sz w:val="24"/>
                <w:szCs w:val="24"/>
                <w:highlight w:val="none"/>
              </w:rPr>
              <w:t>供应商：</w:t>
            </w:r>
          </w:p>
        </w:tc>
        <w:tc>
          <w:tcPr>
            <w:tcW w:w="2611" w:type="dxa"/>
            <w:vAlign w:val="center"/>
          </w:tcPr>
          <w:p>
            <w:pPr>
              <w:wordWrap w:val="0"/>
              <w:rPr>
                <w:rFonts w:ascii="仿宋" w:hAnsi="仿宋" w:eastAsia="仿宋" w:cs="仿宋"/>
                <w:sz w:val="24"/>
                <w:szCs w:val="24"/>
                <w:highlight w:val="none"/>
              </w:rPr>
            </w:pPr>
            <w:r>
              <w:rPr>
                <w:rFonts w:hint="eastAsia" w:ascii="仿宋" w:hAnsi="仿宋" w:eastAsia="仿宋" w:cs="仿宋"/>
                <w:sz w:val="24"/>
                <w:szCs w:val="24"/>
                <w:highlight w:val="none"/>
              </w:rPr>
              <w:t>（公章）</w:t>
            </w:r>
          </w:p>
        </w:tc>
        <w:tc>
          <w:tcPr>
            <w:tcW w:w="2093" w:type="dxa"/>
            <w:vAlign w:val="center"/>
          </w:tcPr>
          <w:p>
            <w:pPr>
              <w:wordWrap w:val="0"/>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pPr>
              <w:wordWrap w:val="0"/>
              <w:spacing w:line="360"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或其授权代表：</w:t>
            </w:r>
          </w:p>
        </w:tc>
        <w:tc>
          <w:tcPr>
            <w:tcW w:w="2255" w:type="dxa"/>
            <w:vAlign w:val="center"/>
          </w:tcPr>
          <w:p>
            <w:pPr>
              <w:wordWrap w:val="0"/>
              <w:jc w:val="center"/>
              <w:rPr>
                <w:rFonts w:ascii="仿宋" w:hAnsi="仿宋" w:eastAsia="仿宋" w:cs="仿宋"/>
                <w:sz w:val="28"/>
                <w:szCs w:val="28"/>
                <w:highlight w:val="none"/>
              </w:rPr>
            </w:pPr>
            <w:r>
              <w:rPr>
                <w:rFonts w:hint="eastAsia" w:ascii="仿宋" w:hAnsi="仿宋" w:eastAsia="仿宋" w:cs="仿宋"/>
                <w:sz w:val="24"/>
                <w:szCs w:val="24"/>
                <w:highlight w:val="none"/>
              </w:rPr>
              <w:t>（签字或盖章）</w:t>
            </w:r>
          </w:p>
        </w:tc>
      </w:tr>
      <w:tr>
        <w:tblPrEx>
          <w:tblCellMar>
            <w:top w:w="0" w:type="dxa"/>
            <w:left w:w="108" w:type="dxa"/>
            <w:bottom w:w="0" w:type="dxa"/>
            <w:right w:w="108" w:type="dxa"/>
          </w:tblCellMar>
        </w:tblPrEx>
        <w:trPr>
          <w:trHeight w:val="894" w:hRule="atLeast"/>
        </w:trPr>
        <w:tc>
          <w:tcPr>
            <w:tcW w:w="4164" w:type="dxa"/>
            <w:gridSpan w:val="2"/>
            <w:vAlign w:val="center"/>
          </w:tcPr>
          <w:p>
            <w:pPr>
              <w:wordWrap w:val="0"/>
              <w:spacing w:line="360" w:lineRule="auto"/>
              <w:ind w:firstLine="480" w:firstLineChars="200"/>
              <w:jc w:val="left"/>
              <w:rPr>
                <w:rFonts w:ascii="仿宋" w:hAnsi="仿宋" w:eastAsia="仿宋" w:cs="仿宋"/>
                <w:kern w:val="1"/>
                <w:sz w:val="24"/>
                <w:szCs w:val="24"/>
                <w:highlight w:val="none"/>
              </w:rPr>
            </w:pPr>
          </w:p>
        </w:tc>
        <w:tc>
          <w:tcPr>
            <w:tcW w:w="4348" w:type="dxa"/>
            <w:gridSpan w:val="2"/>
            <w:vAlign w:val="center"/>
          </w:tcPr>
          <w:p>
            <w:pPr>
              <w:wordWrap w:val="0"/>
              <w:spacing w:line="360" w:lineRule="auto"/>
              <w:ind w:firstLine="480" w:firstLineChars="200"/>
              <w:jc w:val="left"/>
              <w:rPr>
                <w:rFonts w:ascii="仿宋" w:hAnsi="仿宋" w:eastAsia="仿宋" w:cs="仿宋"/>
                <w:kern w:val="1"/>
                <w:sz w:val="24"/>
                <w:szCs w:val="24"/>
                <w:highlight w:val="none"/>
              </w:rPr>
            </w:pPr>
            <w:r>
              <w:rPr>
                <w:rFonts w:hint="eastAsia" w:ascii="仿宋" w:hAnsi="仿宋" w:eastAsia="仿宋" w:cs="仿宋"/>
                <w:kern w:val="1"/>
                <w:sz w:val="24"/>
                <w:szCs w:val="24"/>
                <w:highlight w:val="none"/>
              </w:rPr>
              <w:t>年   月   日</w:t>
            </w:r>
          </w:p>
        </w:tc>
      </w:tr>
    </w:tbl>
    <w:p>
      <w:pPr>
        <w:wordWrap w:val="0"/>
        <w:spacing w:line="360" w:lineRule="auto"/>
        <w:jc w:val="center"/>
        <w:rPr>
          <w:rFonts w:ascii="仿宋" w:hAnsi="仿宋" w:eastAsia="仿宋" w:cs="仿宋"/>
          <w:b/>
          <w:bCs/>
          <w:sz w:val="25"/>
          <w:szCs w:val="21"/>
          <w:highlight w:val="none"/>
        </w:rPr>
      </w:pPr>
    </w:p>
    <w:p>
      <w:pPr>
        <w:wordWrap w:val="0"/>
        <w:spacing w:line="360" w:lineRule="auto"/>
        <w:jc w:val="right"/>
        <w:rPr>
          <w:rFonts w:ascii="仿宋" w:hAnsi="仿宋" w:eastAsia="仿宋" w:cs="仿宋"/>
          <w:kern w:val="1"/>
          <w:szCs w:val="21"/>
          <w:highlight w:val="none"/>
        </w:rPr>
      </w:pPr>
    </w:p>
    <w:bookmarkEnd w:id="105"/>
    <w:p>
      <w:pPr>
        <w:widowControl/>
        <w:jc w:val="left"/>
        <w:rPr>
          <w:rFonts w:ascii="仿宋" w:hAnsi="仿宋" w:eastAsia="仿宋" w:cs="仿宋"/>
          <w:b/>
          <w:bCs/>
          <w:sz w:val="28"/>
          <w:szCs w:val="28"/>
          <w:highlight w:val="none"/>
        </w:rPr>
      </w:pPr>
      <w:r>
        <w:rPr>
          <w:rFonts w:ascii="仿宋" w:hAnsi="仿宋" w:eastAsia="仿宋" w:cs="仿宋"/>
          <w:b/>
          <w:bCs/>
          <w:sz w:val="28"/>
          <w:szCs w:val="28"/>
          <w:highlight w:val="none"/>
        </w:rPr>
        <w:br w:type="page"/>
      </w:r>
    </w:p>
    <w:p>
      <w:pPr>
        <w:jc w:val="center"/>
        <w:rPr>
          <w:rFonts w:ascii="仿宋" w:hAnsi="仿宋" w:eastAsia="仿宋" w:cs="仿宋"/>
          <w:b/>
          <w:bCs/>
          <w:sz w:val="28"/>
          <w:szCs w:val="28"/>
          <w:highlight w:val="none"/>
        </w:rPr>
      </w:pPr>
    </w:p>
    <w:p>
      <w:pPr>
        <w:jc w:val="center"/>
        <w:rPr>
          <w:rFonts w:ascii="仿宋" w:hAnsi="仿宋" w:eastAsia="仿宋" w:cs="仿宋"/>
          <w:b/>
          <w:bCs/>
          <w:sz w:val="28"/>
          <w:szCs w:val="28"/>
          <w:highlight w:val="none"/>
        </w:rPr>
      </w:pPr>
    </w:p>
    <w:p>
      <w:pPr>
        <w:jc w:val="center"/>
        <w:outlineLvl w:val="0"/>
        <w:rPr>
          <w:rFonts w:ascii="仿宋" w:hAnsi="仿宋" w:eastAsia="仿宋" w:cs="仿宋"/>
          <w:b/>
          <w:bCs/>
          <w:sz w:val="44"/>
          <w:szCs w:val="44"/>
          <w:highlight w:val="none"/>
        </w:rPr>
      </w:pPr>
      <w:bookmarkStart w:id="170" w:name="_Toc110245258"/>
      <w:r>
        <w:rPr>
          <w:rFonts w:hint="eastAsia" w:ascii="仿宋" w:hAnsi="仿宋" w:eastAsia="仿宋" w:cs="仿宋"/>
          <w:b/>
          <w:bCs/>
          <w:sz w:val="44"/>
          <w:szCs w:val="44"/>
          <w:highlight w:val="none"/>
        </w:rPr>
        <w:t>第六章 采购需求</w:t>
      </w:r>
      <w:bookmarkEnd w:id="170"/>
    </w:p>
    <w:p>
      <w:pPr>
        <w:widowControl/>
        <w:jc w:val="left"/>
        <w:rPr>
          <w:rFonts w:ascii="仿宋" w:hAnsi="仿宋" w:eastAsia="仿宋" w:cs="Times New Roman"/>
          <w:sz w:val="24"/>
          <w:szCs w:val="24"/>
          <w:highlight w:val="none"/>
        </w:rPr>
      </w:pPr>
      <w:r>
        <w:rPr>
          <w:rFonts w:asciiTheme="minorHAnsi" w:hAnsiTheme="minorHAnsi" w:eastAsiaTheme="minorEastAsia" w:cstheme="minorBidi"/>
          <w:highlight w:val="none"/>
        </w:rPr>
        <w:br w:type="page"/>
      </w:r>
    </w:p>
    <w:p>
      <w:pPr>
        <w:spacing w:line="360" w:lineRule="auto"/>
        <w:jc w:val="center"/>
        <w:rPr>
          <w:rFonts w:hint="default" w:ascii="仿宋" w:hAnsi="仿宋" w:eastAsia="仿宋" w:cstheme="minorBidi"/>
          <w:b/>
          <w:bCs/>
          <w:sz w:val="40"/>
          <w:szCs w:val="44"/>
          <w:highlight w:val="none"/>
          <w:lang w:val="en-US" w:eastAsia="zh-CN"/>
        </w:rPr>
      </w:pPr>
      <w:bookmarkStart w:id="171" w:name="_Hlk75118811"/>
      <w:r>
        <w:rPr>
          <w:rFonts w:hint="eastAsia" w:ascii="仿宋" w:hAnsi="仿宋" w:eastAsia="仿宋" w:cstheme="minorBidi"/>
          <w:b/>
          <w:bCs/>
          <w:sz w:val="40"/>
          <w:szCs w:val="44"/>
          <w:highlight w:val="none"/>
          <w:lang w:eastAsia="zh-CN"/>
        </w:rPr>
        <w:t>（</w:t>
      </w:r>
      <w:r>
        <w:rPr>
          <w:rFonts w:hint="eastAsia" w:ascii="仿宋" w:hAnsi="仿宋" w:eastAsia="仿宋" w:cstheme="minorBidi"/>
          <w:b/>
          <w:bCs/>
          <w:sz w:val="40"/>
          <w:szCs w:val="44"/>
          <w:highlight w:val="none"/>
          <w:lang w:val="en-US" w:eastAsia="zh-CN"/>
        </w:rPr>
        <w:t>第一标段）</w:t>
      </w:r>
    </w:p>
    <w:p>
      <w:pPr>
        <w:spacing w:line="360" w:lineRule="auto"/>
        <w:ind w:firstLine="482" w:firstLineChars="200"/>
        <w:rPr>
          <w:rFonts w:hint="default" w:ascii="仿宋" w:hAnsi="仿宋" w:eastAsia="仿宋" w:cstheme="minorBidi"/>
          <w:b/>
          <w:bCs/>
          <w:sz w:val="24"/>
          <w:szCs w:val="28"/>
          <w:highlight w:val="none"/>
          <w:lang w:val="en-US" w:eastAsia="zh-CN"/>
        </w:rPr>
      </w:pPr>
      <w:r>
        <w:rPr>
          <w:rFonts w:hint="eastAsia" w:ascii="仿宋" w:hAnsi="仿宋" w:eastAsia="仿宋" w:cstheme="minorBidi"/>
          <w:b/>
          <w:bCs/>
          <w:sz w:val="24"/>
          <w:szCs w:val="28"/>
          <w:highlight w:val="none"/>
        </w:rPr>
        <w:t>一、技术要求</w:t>
      </w:r>
      <w:r>
        <w:rPr>
          <w:rFonts w:hint="eastAsia" w:ascii="仿宋" w:hAnsi="仿宋" w:eastAsia="仿宋" w:cstheme="minorBidi"/>
          <w:b/>
          <w:bCs/>
          <w:sz w:val="24"/>
          <w:szCs w:val="28"/>
          <w:highlight w:val="none"/>
          <w:lang w:val="en-US" w:eastAsia="zh-CN"/>
        </w:rPr>
        <w:tab/>
      </w:r>
      <w:r>
        <w:rPr>
          <w:rFonts w:hint="eastAsia" w:ascii="仿宋" w:hAnsi="仿宋" w:eastAsia="仿宋" w:cstheme="minorBidi"/>
          <w:b/>
          <w:bCs/>
          <w:sz w:val="24"/>
          <w:szCs w:val="28"/>
          <w:highlight w:val="none"/>
          <w:lang w:val="en-US" w:eastAsia="zh-CN"/>
        </w:rPr>
        <w:tab/>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rPr>
        <w:t>1、建设背景</w:t>
      </w:r>
      <w:r>
        <w:rPr>
          <w:rFonts w:hint="eastAsia" w:ascii="仿宋" w:hAnsi="仿宋" w:eastAsia="仿宋" w:cs="宋体"/>
          <w:sz w:val="24"/>
          <w:szCs w:val="24"/>
          <w:highlight w:val="none"/>
          <w:lang w:val="en-US" w:eastAsia="zh-CN"/>
        </w:rPr>
        <w:tab/>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lang w:eastAsia="zh-CN"/>
        </w:rPr>
        <w:t>近</w:t>
      </w:r>
      <w:r>
        <w:rPr>
          <w:rFonts w:hint="eastAsia" w:ascii="仿宋" w:hAnsi="仿宋" w:eastAsia="仿宋" w:cs="宋体"/>
          <w:sz w:val="24"/>
          <w:szCs w:val="24"/>
          <w:highlight w:val="none"/>
        </w:rPr>
        <w:t>年来，农业农村部先后出台《农业农村部重大动物疫病分区防控办公室关于进一步规范分区防控信息化管理工作的通知》《农业农村部第531号公告》等系列文件，对解决推进畜牧兽医信息化监管过程中遇到的数据孤岛和信息壁垒问题提出了明确要求，强调要建立规范信息化监管体制机制，推进畜牧兽医信息系统整合、重要数据互通互联，实现全链条信息化智慧监管。</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为满足农业农村部上述工作要求，以农业农村部牧运通系统功能模块为基础，结合我</w:t>
      </w:r>
      <w:r>
        <w:rPr>
          <w:rFonts w:hint="eastAsia" w:ascii="仿宋" w:hAnsi="仿宋" w:eastAsia="仿宋" w:cs="宋体"/>
          <w:sz w:val="24"/>
          <w:szCs w:val="24"/>
          <w:highlight w:val="none"/>
          <w:lang w:eastAsia="zh-CN"/>
        </w:rPr>
        <w:t>区</w:t>
      </w:r>
      <w:r>
        <w:rPr>
          <w:rFonts w:hint="eastAsia" w:ascii="仿宋" w:hAnsi="仿宋" w:eastAsia="仿宋" w:cs="宋体"/>
          <w:sz w:val="24"/>
          <w:szCs w:val="24"/>
          <w:highlight w:val="none"/>
        </w:rPr>
        <w:t>工作实际需要，新增监督检查、无纸化出证等多个业务模块，形成养殖、调运、屠宰、无害化处理等全链条信息化监管闭环，推进产业链数据互联互通，为我</w:t>
      </w:r>
      <w:r>
        <w:rPr>
          <w:rFonts w:hint="eastAsia" w:ascii="仿宋" w:hAnsi="仿宋" w:eastAsia="仿宋" w:cs="宋体"/>
          <w:sz w:val="24"/>
          <w:szCs w:val="24"/>
          <w:highlight w:val="none"/>
          <w:lang w:eastAsia="zh-CN"/>
        </w:rPr>
        <w:t>区</w:t>
      </w:r>
      <w:r>
        <w:rPr>
          <w:rFonts w:hint="eastAsia" w:ascii="仿宋" w:hAnsi="仿宋" w:eastAsia="仿宋" w:cs="宋体"/>
          <w:sz w:val="24"/>
          <w:szCs w:val="24"/>
          <w:highlight w:val="none"/>
        </w:rPr>
        <w:t>畜牧业转型升级走绿色高质量发展道路提供信息化监管平台支撑。</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2、建设目标</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lang w:eastAsia="zh-CN"/>
        </w:rPr>
        <w:t>西藏</w:t>
      </w:r>
      <w:r>
        <w:rPr>
          <w:rFonts w:hint="eastAsia" w:ascii="仿宋" w:hAnsi="仿宋" w:eastAsia="仿宋" w:cs="宋体"/>
          <w:sz w:val="24"/>
          <w:szCs w:val="24"/>
          <w:highlight w:val="none"/>
        </w:rPr>
        <w:t>牧运通系统升级将在已有软件平台和基础数据库基础上，按照农业农村部全链条智慧监管工作要求，结合</w:t>
      </w:r>
      <w:r>
        <w:rPr>
          <w:rFonts w:hint="eastAsia" w:ascii="仿宋" w:hAnsi="仿宋" w:eastAsia="仿宋" w:cs="宋体"/>
          <w:sz w:val="24"/>
          <w:szCs w:val="24"/>
          <w:highlight w:val="none"/>
          <w:lang w:eastAsia="zh-CN"/>
        </w:rPr>
        <w:t>我区</w:t>
      </w:r>
      <w:r>
        <w:rPr>
          <w:rFonts w:hint="eastAsia" w:ascii="仿宋" w:hAnsi="仿宋" w:eastAsia="仿宋" w:cs="宋体"/>
          <w:sz w:val="24"/>
          <w:szCs w:val="24"/>
          <w:highlight w:val="none"/>
        </w:rPr>
        <w:t>工作实际需要，新增新的业务模块，形成养殖、调运、屠宰全链条信息化管理，各环节形成闭环，所有数据相互认证，通过不断优化和完善，逐步建设一个功能强大、使用方便、全面覆盖，兼顾数据平台和工作平台的信息化综合管理系统。</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（二）业务模块</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rPr>
        <w:t>1.养殖档案管理</w:t>
      </w:r>
      <w:r>
        <w:rPr>
          <w:rFonts w:hint="eastAsia" w:ascii="仿宋" w:hAnsi="仿宋" w:eastAsia="仿宋" w:cs="宋体"/>
          <w:sz w:val="24"/>
          <w:szCs w:val="24"/>
          <w:highlight w:val="none"/>
          <w:lang w:eastAsia="zh-CN"/>
        </w:rPr>
        <w:t>（进一步优化）</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（1）养殖场基本信息管理：包括养殖场名称、养殖场地址、养殖畜种、养殖种类、主要品种、法人代表姓名、电话、企业社会信用代码、畜禽标识代码、动物防疫条件合格证号、种畜禽生产经营许可证证号等。</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（2）生产信息管理：规模养殖场调入、调出、出栏、投入品、死淘。</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（3）饲料信息管理：饲料、饲料添加剂和兽药使用情况。</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（4）兽药信息管理：对养殖过程中兽药购入的管理、兽药使用的管理。</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（5）免疫信息管理：对养殖过程中免疫信息进行记录。</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（6）消毒信息管理：在养殖过程中对消毒信息进行记录。</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（7) 防疫监测管理：养殖过程中防疫监测记录。</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（8）动物诊疗管理：养殖过程中诊疗记录。</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2</w:t>
      </w:r>
      <w:r>
        <w:rPr>
          <w:rFonts w:hint="eastAsia" w:ascii="仿宋" w:hAnsi="仿宋" w:eastAsia="仿宋" w:cs="宋体"/>
          <w:sz w:val="24"/>
          <w:szCs w:val="24"/>
          <w:highlight w:val="none"/>
        </w:rPr>
        <w:t>.监督检查管理</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（1）动物防疫监督：支持各级农业农村主管部门对辖区内的服务对象场所进行日常监督检查。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（2）动物防疫检查登记：支持在线生成检查登记记录。</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3</w:t>
      </w:r>
      <w:r>
        <w:rPr>
          <w:rFonts w:hint="eastAsia" w:ascii="仿宋" w:hAnsi="仿宋" w:eastAsia="仿宋" w:cs="宋体"/>
          <w:sz w:val="24"/>
          <w:szCs w:val="24"/>
          <w:highlight w:val="none"/>
        </w:rPr>
        <w:t>.动物检疫管理</w:t>
      </w:r>
      <w:r>
        <w:rPr>
          <w:rFonts w:hint="eastAsia" w:ascii="仿宋" w:hAnsi="仿宋" w:eastAsia="仿宋" w:cs="宋体"/>
          <w:sz w:val="24"/>
          <w:szCs w:val="24"/>
          <w:highlight w:val="none"/>
          <w:lang w:eastAsia="zh-CN"/>
        </w:rPr>
        <w:t>（进一步优化）</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（1）动物检疫证章标志管理：完善动物卫生监督信息系统，新增动物检疫证章标志管理、畜禽标识管理。</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（2）动物检疫申报实名制认证：</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A.数据获取：支持打通畜牧企业基础数据信息。</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B.支持养殖场（户）通过手机 APP 、微信小程序方式进行自主申报。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 xml:space="preserve">（3）动物检疫现场即时出证：官方兽医即可查看辖区申报信息，实现现场出证。 </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 xml:space="preserve">（4）动物检疫证明产品证：官方兽医即可查看辖区内屠宰场申报信息，实现快速出证。 </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（5）贩运人信息备案管理：支持对全省贩运人实现备案管理，建立贩运人电子档案。</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（6）跨省调运管理：支持与检疫出证系统、动物卫生监管系统数据对接，调用跨省检疫证等信息。</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7）统计分析：一是动物统计时分畜禽种类、到达省份、用途，以及到达大区具体情况等数据分析；二是设置动物检疫申报单列表（有搜索功能，可下载）；三是动物产品统计时分产品种类、到达省份等数据分析；四是解析入</w:t>
      </w:r>
      <w:r>
        <w:rPr>
          <w:rFonts w:hint="eastAsia" w:ascii="仿宋" w:hAnsi="仿宋" w:eastAsia="仿宋" w:cs="宋体"/>
          <w:sz w:val="24"/>
          <w:szCs w:val="24"/>
          <w:highlight w:val="none"/>
          <w:lang w:val="en-US" w:eastAsia="zh-CN"/>
        </w:rPr>
        <w:t>藏</w:t>
      </w:r>
      <w:r>
        <w:rPr>
          <w:rFonts w:hint="eastAsia" w:ascii="仿宋" w:hAnsi="仿宋" w:eastAsia="仿宋" w:cs="宋体"/>
          <w:sz w:val="24"/>
          <w:szCs w:val="24"/>
          <w:highlight w:val="none"/>
        </w:rPr>
        <w:t>动物及动物产品检疫证明并设置实时记录，对入</w:t>
      </w:r>
      <w:r>
        <w:rPr>
          <w:rFonts w:hint="eastAsia" w:ascii="仿宋" w:hAnsi="仿宋" w:eastAsia="仿宋" w:cs="宋体"/>
          <w:sz w:val="24"/>
          <w:szCs w:val="24"/>
          <w:highlight w:val="none"/>
          <w:lang w:val="en-US" w:eastAsia="zh-CN"/>
        </w:rPr>
        <w:t>藏</w:t>
      </w:r>
      <w:r>
        <w:rPr>
          <w:rFonts w:hint="eastAsia" w:ascii="仿宋" w:hAnsi="仿宋" w:eastAsia="仿宋" w:cs="宋体"/>
          <w:sz w:val="24"/>
          <w:szCs w:val="24"/>
          <w:highlight w:val="none"/>
        </w:rPr>
        <w:t>动物及动物产品分畜禽种类、到达地点进行统计；五是设置各动物种类和产品种类出证数量统计。</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（8）</w:t>
      </w:r>
      <w:r>
        <w:rPr>
          <w:rFonts w:hint="eastAsia" w:ascii="仿宋" w:hAnsi="仿宋" w:eastAsia="仿宋" w:cs="宋体"/>
          <w:sz w:val="24"/>
          <w:szCs w:val="24"/>
          <w:highlight w:val="none"/>
          <w:lang w:eastAsia="zh-CN"/>
        </w:rPr>
        <w:t>西藏自治区</w:t>
      </w:r>
      <w:r>
        <w:rPr>
          <w:rFonts w:hint="eastAsia" w:ascii="仿宋" w:hAnsi="仿宋" w:eastAsia="仿宋" w:cs="宋体"/>
          <w:sz w:val="24"/>
          <w:szCs w:val="24"/>
          <w:highlight w:val="none"/>
        </w:rPr>
        <w:t>动物B证无纸化：实现全省动物B证无纸化出具。</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4</w:t>
      </w:r>
      <w:r>
        <w:rPr>
          <w:rFonts w:hint="eastAsia" w:ascii="仿宋" w:hAnsi="仿宋" w:eastAsia="仿宋" w:cs="宋体"/>
          <w:sz w:val="24"/>
          <w:szCs w:val="24"/>
          <w:highlight w:val="none"/>
        </w:rPr>
        <w:t>畜禽运输管理</w:t>
      </w:r>
      <w:r>
        <w:rPr>
          <w:rFonts w:hint="eastAsia" w:ascii="仿宋" w:hAnsi="仿宋" w:eastAsia="仿宋" w:cs="宋体"/>
          <w:sz w:val="24"/>
          <w:szCs w:val="24"/>
          <w:highlight w:val="none"/>
          <w:lang w:eastAsia="zh-CN"/>
        </w:rPr>
        <w:t>（进一步优化）</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（1）运输车辆登记备案管理：支持车辆所有人在线填写备案信息申请，工作人员进行审核。</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（2）畜禽运输车辆定位监管：支持对备案的车辆配备定位装置，查看车辆的实时轨迹。</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（3）畜禽运输车辆消毒管理：支持记录运输车辆的消毒信息，形成电子消毒档案。</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（4）数据迁移和黑名单管理：从国家车辆数据库把车辆信息同步到</w:t>
      </w:r>
      <w:r>
        <w:rPr>
          <w:rFonts w:hint="eastAsia" w:ascii="仿宋" w:hAnsi="仿宋" w:eastAsia="仿宋" w:cs="宋体"/>
          <w:sz w:val="24"/>
          <w:szCs w:val="24"/>
          <w:highlight w:val="none"/>
          <w:lang w:eastAsia="zh-CN"/>
        </w:rPr>
        <w:t>西藏牧运通系统</w:t>
      </w:r>
      <w:r>
        <w:rPr>
          <w:rFonts w:hint="eastAsia" w:ascii="仿宋" w:hAnsi="仿宋" w:eastAsia="仿宋" w:cs="宋体"/>
          <w:sz w:val="24"/>
          <w:szCs w:val="24"/>
          <w:highlight w:val="none"/>
        </w:rPr>
        <w:t>，并开发</w:t>
      </w:r>
      <w:r>
        <w:rPr>
          <w:rFonts w:hint="eastAsia" w:ascii="仿宋" w:hAnsi="仿宋" w:eastAsia="仿宋" w:cs="宋体"/>
          <w:sz w:val="24"/>
          <w:szCs w:val="24"/>
          <w:highlight w:val="none"/>
          <w:lang w:eastAsia="zh-CN"/>
        </w:rPr>
        <w:t>西藏自治区</w:t>
      </w:r>
      <w:r>
        <w:rPr>
          <w:rFonts w:hint="eastAsia" w:ascii="仿宋" w:hAnsi="仿宋" w:eastAsia="仿宋" w:cs="宋体"/>
          <w:sz w:val="24"/>
          <w:szCs w:val="24"/>
          <w:highlight w:val="none"/>
        </w:rPr>
        <w:t>黑名单管理功能。</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lang w:val="en-US" w:eastAsia="zh-CN"/>
        </w:rPr>
        <w:t>5</w:t>
      </w:r>
      <w:r>
        <w:rPr>
          <w:rFonts w:hint="eastAsia" w:ascii="仿宋" w:hAnsi="仿宋" w:eastAsia="仿宋" w:cs="宋体"/>
          <w:sz w:val="24"/>
          <w:szCs w:val="24"/>
          <w:highlight w:val="none"/>
        </w:rPr>
        <w:t>.屠宰管理</w:t>
      </w:r>
      <w:r>
        <w:rPr>
          <w:rFonts w:hint="eastAsia" w:ascii="仿宋" w:hAnsi="仿宋" w:eastAsia="仿宋" w:cs="宋体"/>
          <w:sz w:val="24"/>
          <w:szCs w:val="24"/>
          <w:highlight w:val="none"/>
          <w:lang w:eastAsia="zh-CN"/>
        </w:rPr>
        <w:t>（进一步优化）</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（1）屠宰场信息管理：记录屠宰场的基本信息，包括名称、编号、屠宰许可证、负责人等基本信息。</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（2）入场查验登记：待宰生猪进场前，进行入场查验登记。</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（3）非洲猪瘟企业自检与监督抽检记录：登记企业非洲猪瘟自检记录，驻场官方兽医监督抽检记录。</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（4）瘦肉精企业自检与督查抽检记录：登记企业瘦肉精自检记录，驻场官方兽医监督抽检记录。</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（5）检疫申报：宰检疫由屠宰场品管进行申请，可通过手机进行申请。</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（6）同步检验：屠宰场官方兽医进行同步检疫。</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（7）肉品检验：屠宰企业人员对肉品进行品质检验。</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（8）出厂记录：对屠宰企业的出厂产品进行登记。</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（9）定制</w:t>
      </w:r>
      <w:r>
        <w:rPr>
          <w:rFonts w:hint="eastAsia" w:ascii="仿宋" w:hAnsi="仿宋" w:eastAsia="仿宋" w:cs="宋体"/>
          <w:sz w:val="24"/>
          <w:szCs w:val="24"/>
          <w:highlight w:val="none"/>
          <w:lang w:eastAsia="zh-CN"/>
        </w:rPr>
        <w:t>西藏自治区</w:t>
      </w:r>
      <w:r>
        <w:rPr>
          <w:rFonts w:hint="eastAsia" w:ascii="仿宋" w:hAnsi="仿宋" w:eastAsia="仿宋" w:cs="宋体"/>
          <w:sz w:val="24"/>
          <w:szCs w:val="24"/>
          <w:highlight w:val="none"/>
        </w:rPr>
        <w:t>台账：</w:t>
      </w:r>
      <w:r>
        <w:rPr>
          <w:rFonts w:hint="eastAsia" w:ascii="仿宋" w:hAnsi="仿宋" w:eastAsia="仿宋" w:cs="宋体"/>
          <w:sz w:val="24"/>
          <w:szCs w:val="24"/>
          <w:highlight w:val="none"/>
          <w:lang w:eastAsia="zh-CN"/>
        </w:rPr>
        <w:t>畜禽</w:t>
      </w:r>
      <w:r>
        <w:rPr>
          <w:rFonts w:hint="eastAsia" w:ascii="仿宋" w:hAnsi="仿宋" w:eastAsia="仿宋" w:cs="宋体"/>
          <w:sz w:val="24"/>
          <w:szCs w:val="24"/>
          <w:highlight w:val="none"/>
        </w:rPr>
        <w:t>进厂宰前登记表、</w:t>
      </w:r>
      <w:r>
        <w:rPr>
          <w:rFonts w:hint="eastAsia" w:ascii="仿宋" w:hAnsi="仿宋" w:eastAsia="仿宋" w:cs="宋体"/>
          <w:sz w:val="24"/>
          <w:szCs w:val="24"/>
          <w:highlight w:val="none"/>
          <w:lang w:eastAsia="zh-CN"/>
        </w:rPr>
        <w:t>肉品</w:t>
      </w:r>
      <w:r>
        <w:rPr>
          <w:rFonts w:hint="eastAsia" w:ascii="仿宋" w:hAnsi="仿宋" w:eastAsia="仿宋" w:cs="宋体"/>
          <w:sz w:val="24"/>
          <w:szCs w:val="24"/>
          <w:highlight w:val="none"/>
        </w:rPr>
        <w:t>屠宰品质检验登记表、</w:t>
      </w:r>
      <w:r>
        <w:rPr>
          <w:rFonts w:hint="eastAsia" w:ascii="仿宋" w:hAnsi="仿宋" w:eastAsia="仿宋" w:cs="宋体"/>
          <w:sz w:val="24"/>
          <w:szCs w:val="24"/>
          <w:highlight w:val="none"/>
          <w:lang w:eastAsia="zh-CN"/>
        </w:rPr>
        <w:t>畜禽</w:t>
      </w:r>
      <w:r>
        <w:rPr>
          <w:rFonts w:hint="eastAsia" w:ascii="仿宋" w:hAnsi="仿宋" w:eastAsia="仿宋" w:cs="宋体"/>
          <w:sz w:val="24"/>
          <w:szCs w:val="24"/>
          <w:highlight w:val="none"/>
        </w:rPr>
        <w:t>产品出厂登记台账、无害化处理入库出库登记表、“瘦肉精”自检台账、“非瘟”自检台账、屠宰厂消毒登记表、企业安全生产自检台账。</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（10）定制产品B证无纸化：实现全省产品B证无纸化出具。</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（11）屠宰检疫统计报表：包括屠宰场、入场数量、急宰数量、准宰数量、同步检疫数量、无害化处理数量（头、公斤）、废弃物处理数量（公斤）、瘦肉精抽检数量。</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6</w:t>
      </w:r>
      <w:r>
        <w:rPr>
          <w:rFonts w:hint="eastAsia" w:ascii="仿宋" w:hAnsi="仿宋" w:eastAsia="仿宋" w:cs="宋体"/>
          <w:sz w:val="24"/>
          <w:szCs w:val="24"/>
          <w:highlight w:val="none"/>
        </w:rPr>
        <w:t>.畜禽无害化管控</w:t>
      </w:r>
      <w:r>
        <w:rPr>
          <w:rFonts w:hint="eastAsia" w:ascii="仿宋" w:hAnsi="仿宋" w:eastAsia="仿宋" w:cs="宋体"/>
          <w:sz w:val="24"/>
          <w:szCs w:val="24"/>
          <w:highlight w:val="none"/>
          <w:lang w:eastAsia="zh-CN"/>
        </w:rPr>
        <w:t>（进一步优化）</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（1）畜禽死亡报告监管：支持录入畜禽死亡详细信息。</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（2）病死畜禽收集监管：支持收集监管人员将现场病死畜禽进行拍照，通过系统上传，出具电子收集单。</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（3）病死畜禽转运监管：支持对跨县调运病死畜禽的，监管部门需要进行转运监管。通过信息系统出具电子调运单。</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（4）病死畜禽运输车辆监管：支持对病死畜禽的运输车辆配备车辆GPS 定位，实时获取车辆轨迹。</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 xml:space="preserve">（5）病死畜禽入库监管：支持由监管人员在现场同步进行核查病死畜禽数量、畜禽种类等信息。 </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（6）病死畜禽无害化处理监管：支持接入无害化处理厂在重点场所视频监控，查看处理现场实时画面，加强对病死畜禽无害化处理环节的监管力度</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 xml:space="preserve">（7）处理产物流向监管：支持记录处理产物流向信息。 </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（8）定制收集环节拍摄小视频功能：在每个收集单据中增加拍摄30秒小视频功能。</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（9）保险联动：建立养殖户基本信用养殖档案，乡镇兽医站人员、收集人员帮助保险公司人员进行入保登记、保险公司人员可直接通过系统进行线上审核，并结合处理中心证明直接进行理赔。</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7</w:t>
      </w:r>
      <w:r>
        <w:rPr>
          <w:rFonts w:hint="eastAsia" w:ascii="仿宋" w:hAnsi="仿宋" w:eastAsia="仿宋" w:cs="宋体"/>
          <w:sz w:val="24"/>
          <w:szCs w:val="24"/>
          <w:highlight w:val="none"/>
        </w:rPr>
        <w:t>.疫病防控</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（1）疫苗采购调拨管理：支持逐层报送强免疫苗的需求计划，汇总各级疫苗需求由省统一进行强免疫苗采购。</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（2）疫苗下拨明细：支持逐级分拨疫苗至乡镇，建立下拨台账。</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（3）疫苗调拨统计：支持根据疫苗调拨数据，方便管理人员动态掌握疫苗调拨情况。</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（4）疫苗出入库管理：支持记录疫苗出入库的信息，对疫苗出入库建立电子档案。</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（5）疫苗报损管理：支持维护疫苗报损信息，对疫苗保质期进行提醒预警。</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（6）疫苗名录管理：支持省级人员维护统一疫苗名录库。</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（7）免疫管理：散养户助免管理、规模场自免管理等功能，按照农业农村部兽医卫生综合信息平台“全国动物免疫信息”模块设置，及时汇总统计上报全省强制免疫进度。</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（8）先打后补管理：对符合国家先打后补政策的养殖场户进行信息登记、资质申请、疫苗采购入库、免疫录入、补贴申请等进行记录，汇总统计资质申请、补贴申请等相关明细数据。</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8.</w:t>
      </w:r>
      <w:r>
        <w:rPr>
          <w:rFonts w:hint="eastAsia" w:ascii="仿宋" w:hAnsi="仿宋" w:eastAsia="仿宋" w:cs="宋体"/>
          <w:sz w:val="24"/>
          <w:szCs w:val="24"/>
          <w:highlight w:val="none"/>
        </w:rPr>
        <w:t>动物疫病智能监测与流行病学调查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lang w:eastAsia="zh-CN"/>
        </w:rPr>
        <w:t>（</w:t>
      </w:r>
      <w:r>
        <w:rPr>
          <w:rFonts w:hint="eastAsia" w:ascii="仿宋" w:hAnsi="仿宋" w:eastAsia="仿宋" w:cs="宋体"/>
          <w:sz w:val="24"/>
          <w:szCs w:val="24"/>
          <w:highlight w:val="none"/>
          <w:lang w:val="en-US" w:eastAsia="zh-CN"/>
        </w:rPr>
        <w:t>1</w:t>
      </w:r>
      <w:r>
        <w:rPr>
          <w:rFonts w:hint="eastAsia" w:ascii="仿宋" w:hAnsi="仿宋" w:eastAsia="仿宋" w:cs="宋体"/>
          <w:sz w:val="24"/>
          <w:szCs w:val="24"/>
          <w:highlight w:val="none"/>
          <w:lang w:eastAsia="zh-CN"/>
        </w:rPr>
        <w:t>）数据采集：</w:t>
      </w:r>
      <w:r>
        <w:rPr>
          <w:rFonts w:hint="eastAsia" w:ascii="仿宋" w:hAnsi="仿宋" w:eastAsia="仿宋" w:cs="宋体"/>
          <w:sz w:val="24"/>
          <w:szCs w:val="24"/>
          <w:highlight w:val="none"/>
        </w:rPr>
        <w:t>支持与畜牧企业底数采集对接，获取规模养殖场信息并监测相关数据。和畜牧企业养殖档案对接，通过“一场一码”实现数据互联互通。获取规模养殖场信息并监测相关数据，监测数据指标包括规模养殖场调入、调出、出栏、投入品、免疫、消毒、诊疗、死淘、无害化处理等。并和动物检疫、监督检查、集中无害化处理、养殖保险等数据联动，确保数据的真实性。</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lang w:eastAsia="zh-CN"/>
        </w:rPr>
        <w:t>（</w:t>
      </w:r>
      <w:r>
        <w:rPr>
          <w:rFonts w:hint="eastAsia" w:ascii="仿宋" w:hAnsi="仿宋" w:eastAsia="仿宋" w:cs="宋体"/>
          <w:sz w:val="24"/>
          <w:szCs w:val="24"/>
          <w:highlight w:val="none"/>
          <w:lang w:val="en-US" w:eastAsia="zh-CN"/>
        </w:rPr>
        <w:t>2</w:t>
      </w:r>
      <w:r>
        <w:rPr>
          <w:rFonts w:hint="eastAsia" w:ascii="仿宋" w:hAnsi="仿宋" w:eastAsia="仿宋" w:cs="宋体"/>
          <w:sz w:val="24"/>
          <w:szCs w:val="24"/>
          <w:highlight w:val="none"/>
          <w:lang w:eastAsia="zh-CN"/>
        </w:rPr>
        <w:t>）动物疫病监测：</w:t>
      </w:r>
      <w:r>
        <w:rPr>
          <w:rFonts w:hint="eastAsia" w:ascii="仿宋" w:hAnsi="仿宋" w:eastAsia="仿宋" w:cs="宋体"/>
          <w:sz w:val="24"/>
          <w:szCs w:val="24"/>
          <w:highlight w:val="none"/>
        </w:rPr>
        <w:t>动物疫病监测模块对固定监测点的动物疫病信息直报，根据动物种类、疫病种类进行分类管理。监测点监测人员通过手机APP直接填报监测信息，县区、市、省级疫控中心对数据进行分级管理审核，后台接收后进行自动归档和统计，自动生成相关统计报表。监测点根据监测任务的不同，由县区级疫控中心监测人员在APP或者电脑上填写监测信息，并实时上报。为保证监测信息的真实性、有效性，监测信息上报需要进行2级审核。由县区级疫控中心进行上报，由各市级疫控中心进行初审各县区上报的数据，填写格式等。省级疫控中心进行终审，终审通过的检测信息认定为有效。系统根据固定监测点提交的监测信息，按照动物种类、疫病种类、监测点类型、监测数据类型、上报区域等信息生成明细表、汇总表、日报表、各类统计报表，分别在电脑端和手机上进行汇总展示。</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eastAsia="zh-CN"/>
        </w:rPr>
        <w:t>（</w:t>
      </w:r>
      <w:r>
        <w:rPr>
          <w:rFonts w:hint="eastAsia" w:ascii="仿宋" w:hAnsi="仿宋" w:eastAsia="仿宋" w:cs="宋体"/>
          <w:sz w:val="24"/>
          <w:szCs w:val="24"/>
          <w:highlight w:val="none"/>
          <w:lang w:val="en-US" w:eastAsia="zh-CN"/>
        </w:rPr>
        <w:t>3</w:t>
      </w:r>
      <w:r>
        <w:rPr>
          <w:rFonts w:hint="eastAsia" w:ascii="仿宋" w:hAnsi="仿宋" w:eastAsia="仿宋" w:cs="宋体"/>
          <w:sz w:val="24"/>
          <w:szCs w:val="24"/>
          <w:highlight w:val="none"/>
          <w:lang w:eastAsia="zh-CN"/>
        </w:rPr>
        <w:t>）流行病学调查：</w:t>
      </w:r>
      <w:r>
        <w:rPr>
          <w:rFonts w:hint="eastAsia" w:ascii="仿宋" w:hAnsi="仿宋" w:eastAsia="仿宋" w:cs="宋体"/>
          <w:sz w:val="24"/>
          <w:szCs w:val="24"/>
          <w:highlight w:val="none"/>
        </w:rPr>
        <w:t>流行病学调查分析是动物检疫检验的基本方法之一,通过流行病学调查,可详细了解动物疫病流行的规律,为疾病防治策略的制定奠定基础。流行病学调查的目的在于寻找病因,查明流行条件,分析流行规律,制定切实可行的疫病防治策略。传统的流行病学调查手段为由省级疫控中心下发调查任务，市级、县区级进行接收和执行，并把调查结果通过纸质文件进行上报，再由省级疫控中心录入全国流行病学调查系统中。通过流调信息化实现流行病学调查数据实时上报、自动汇总、动态预警，对汇总的各种资料进行加工整理,综合分析可能存在的客观规律,更好的完成疾病防治措施的预判工作。流行病学调查任务由省级、市级、县区级疫控中心，按照年份或者根据具体的流调任务来进行下发（周期性任务、一次性任务），任务编号前缀自动生成，填写任务名称、任务执行方式、任务开始时间、任务结束时间、执行周期、任务类型、工作内容（选择相关表格）、任务适用对象、任务描述。任务可在电脑端下达，也可在手机端进行下达，任务下达后，市级、县区级相关疫控中心和固定监测点既可收到执行任务。平台对任务有及时提醒功能，执行人员通过手机APP接收到流调任务，并按照任务表格执行任务，填写结果后自动上传平台。</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9</w:t>
      </w:r>
      <w:r>
        <w:rPr>
          <w:rFonts w:hint="eastAsia" w:ascii="仿宋" w:hAnsi="仿宋" w:eastAsia="仿宋" w:cs="宋体"/>
          <w:sz w:val="24"/>
          <w:szCs w:val="24"/>
          <w:highlight w:val="none"/>
        </w:rPr>
        <w:t>.动物疫病应急指挥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（1）应急值守：支持应急值守状态下，管理人员可以通过地图查看全省动物卫生监督监管数据。</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（2）信息接报：支持快速登记疫情信息。</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（3）疫区定位：支持标记疫点后，以疫点为中心，外延 3 公里范围内的区域定位为疫区。</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（4）受威胁区定位：疫区边缘外延 5 或 10 公里范围内的区域定位为受威胁区，确定受威胁区影响范围。</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（5）其他区域定位：支持除定位疫区、受威胁区外，支持输入其他防控半径。</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（6）标绘图层：支持标绘图层，方便现场一线人员掌握有效数据并对疫情快速处置。</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10</w:t>
      </w:r>
      <w:r>
        <w:rPr>
          <w:rFonts w:hint="eastAsia" w:ascii="仿宋" w:hAnsi="仿宋" w:eastAsia="仿宋" w:cs="宋体"/>
          <w:sz w:val="24"/>
          <w:szCs w:val="24"/>
          <w:highlight w:val="none"/>
        </w:rPr>
        <w:t>.兽医兽药</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兽医兽药流程智能管理：集兽药信息采集、录入、数据同步传输、数据查询、数据统计分析。兽药信息采集、录入、数据同步传输、数据查询、数据统计分析、“二维码”应用、电子签名等多项功能于一体的综合性应用管理系统。在前期应用的基础上，通过软件、硬件建设，建立了覆盖全区的兽药信息化监管体系，实现自治区、市（州）、区（县）、乡（镇）四级兽药信息的数据采集、上报、共享、发布、互联互通，实现我区兽药的信息化管理。根据监管人员、兽药生产企业、GSP药店</w:t>
      </w:r>
      <w:r>
        <w:rPr>
          <w:rFonts w:hint="eastAsia" w:ascii="仿宋" w:hAnsi="仿宋" w:eastAsia="仿宋" w:cs="宋体"/>
          <w:sz w:val="24"/>
          <w:szCs w:val="24"/>
          <w:highlight w:val="none"/>
          <w:lang w:eastAsia="zh-CN"/>
        </w:rPr>
        <w:t>、兽药使用单位</w:t>
      </w:r>
      <w:r>
        <w:rPr>
          <w:rFonts w:hint="eastAsia" w:ascii="仿宋" w:hAnsi="仿宋" w:eastAsia="仿宋" w:cs="宋体"/>
          <w:sz w:val="24"/>
          <w:szCs w:val="24"/>
          <w:highlight w:val="none"/>
        </w:rPr>
        <w:t>等不同用户的使用流程，提供移动终端使用途径。能实现全区兽药服务单位既可以使用扫描枪同时使用手机app进行进存管理的信息化录入工作。保证手机APP端与PC端并存使用。同时能在手机APP端对兽药经营企业的注册审核、兽药经营环节中整个流通数据、库存数据及假兽药分布汇总信息的管理。流通环节、库存数据及假兽药分布全面结合GIS地图分析系统，通过平台的数据汇总，获取相关环节的数据详细列表。支持手机APP端兽药经营入库及出库详细的二维码信息查询功能，便于市县各级对经营环节二维码追溯有效的管理。</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（2）“一场一码”、GIS定位系统监管对象管理：对所有的监管服务对象进行分类和编码。</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 xml:space="preserve">（3）兽药二维码和追溯：与国家兽药基础信息数据中心的数据交互，获取国家兽药基础数据，实现我区兽药基础数据库与国家兽药数据库的匹配，进一步完善我区兽药数据字典功能，在线实时查询相关兽药产品信息，延伸兽药信息的实时性。通过数据中心可以实时查询全国的兽药产品信息，包括企业名称、产品名称、批准文号、等相关信息。同时通过数据接口，将我区兽药经销商进销存信息及时上传到农业农村部监管部门追溯平台，实现数据的互联互通，构建国家兽药追溯大数据库。利用兽药二维码功能，实现了药品的实时追踪，GSP药店的经营数据即时上传到国家追溯系统，并可实时查询。 </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（4）智能报表统计：实时生成相关的大数据统计分析报表</w:t>
      </w:r>
      <w:r>
        <w:rPr>
          <w:rFonts w:hint="eastAsia" w:ascii="仿宋" w:hAnsi="仿宋" w:eastAsia="仿宋" w:cs="宋体"/>
          <w:sz w:val="24"/>
          <w:szCs w:val="24"/>
          <w:highlight w:val="none"/>
          <w:lang w:eastAsia="zh-CN"/>
        </w:rPr>
        <w:t>和各级监管部门需要的相关单据</w:t>
      </w:r>
      <w:r>
        <w:rPr>
          <w:rFonts w:hint="eastAsia" w:ascii="仿宋" w:hAnsi="仿宋" w:eastAsia="仿宋" w:cs="宋体"/>
          <w:sz w:val="24"/>
          <w:szCs w:val="24"/>
          <w:highlight w:val="none"/>
        </w:rPr>
        <w:t>。</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rPr>
        <w:t>1</w:t>
      </w:r>
      <w:r>
        <w:rPr>
          <w:rFonts w:hint="eastAsia" w:ascii="仿宋" w:hAnsi="仿宋" w:eastAsia="仿宋" w:cs="宋体"/>
          <w:sz w:val="24"/>
          <w:szCs w:val="24"/>
          <w:highlight w:val="none"/>
          <w:lang w:val="en-US" w:eastAsia="zh-CN"/>
        </w:rPr>
        <w:t>1</w:t>
      </w:r>
      <w:r>
        <w:rPr>
          <w:rFonts w:hint="eastAsia" w:ascii="仿宋" w:hAnsi="仿宋" w:eastAsia="仿宋" w:cs="宋体"/>
          <w:sz w:val="24"/>
          <w:szCs w:val="24"/>
          <w:highlight w:val="none"/>
        </w:rPr>
        <w:t>.输入（过境）易感动物和动物产品管理</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（1）无疫区输入（过境）易感动物和动物产品审核后录入：支持与省政府行政审批平台对接调取信息，将信息推送给对应的检查站。</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（2）动物卫生监督检查站管理：支持维护站点信息，并能够对运输的动物及动物产品的相关证明、去向进行查验登记。</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（3）动物隔离场管理：支持对动物隔离场进行登记，并能够对隔离动物出入记录进行登记。</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rPr>
        <w:t>1</w:t>
      </w:r>
      <w:r>
        <w:rPr>
          <w:rFonts w:hint="eastAsia" w:ascii="仿宋" w:hAnsi="仿宋" w:eastAsia="仿宋" w:cs="宋体"/>
          <w:sz w:val="24"/>
          <w:szCs w:val="24"/>
          <w:highlight w:val="none"/>
          <w:lang w:val="en-US" w:eastAsia="zh-CN"/>
        </w:rPr>
        <w:t>2</w:t>
      </w:r>
      <w:r>
        <w:rPr>
          <w:rFonts w:hint="eastAsia" w:ascii="仿宋" w:hAnsi="仿宋" w:eastAsia="仿宋" w:cs="宋体"/>
          <w:sz w:val="24"/>
          <w:szCs w:val="24"/>
          <w:highlight w:val="none"/>
        </w:rPr>
        <w:t>.畜牧兽医队伍管理</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（1）“三医”人员管理：支持维护官方兽医、执业兽医和乡村兽医基本信息，包括姓名、性别、身份证号、职称、所在位置等基本信息，建立“三医”人员电子档案。</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（2）防疫员管理：支持防疫员通过移动端进行登记备案，支持监管部门的相关工作人员可通过 PC 端掌握所有防疫员信息。</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rPr>
        <w:t>1</w:t>
      </w:r>
      <w:r>
        <w:rPr>
          <w:rFonts w:hint="eastAsia" w:ascii="仿宋" w:hAnsi="仿宋" w:eastAsia="仿宋" w:cs="宋体"/>
          <w:sz w:val="24"/>
          <w:szCs w:val="24"/>
          <w:highlight w:val="none"/>
          <w:lang w:val="en-US" w:eastAsia="zh-CN"/>
        </w:rPr>
        <w:t>3</w:t>
      </w:r>
      <w:r>
        <w:rPr>
          <w:rFonts w:hint="eastAsia" w:ascii="仿宋" w:hAnsi="仿宋" w:eastAsia="仿宋" w:cs="宋体"/>
          <w:sz w:val="24"/>
          <w:szCs w:val="24"/>
          <w:highlight w:val="none"/>
        </w:rPr>
        <w:t>.实验室检测结果上传管理</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（1）实验室基础信息管理：对先打后补抗体检测有上传需求结果的实验室进行基础信息录入登记。</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报告管理：支持上传先打后补检测报告，可对最终检验报告实现审核，保证先打后补抗体检测报告的真实准确；设置检测结果录入功能，可在养殖企业信息中录入动物疫病抗原、抗体检测结果，为实现检疫时提出预警做好数据支持。</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14</w:t>
      </w:r>
      <w:r>
        <w:rPr>
          <w:rFonts w:hint="eastAsia" w:ascii="仿宋" w:hAnsi="仿宋" w:eastAsia="仿宋" w:cs="宋体"/>
          <w:sz w:val="24"/>
          <w:szCs w:val="24"/>
          <w:highlight w:val="none"/>
        </w:rPr>
        <w:t>.重大动物疫病应急物资管理</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（1）应急储备库管理：支持省市县三级管理人员维护储备库基本信息。</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（2）物资入库管理：支持对物资进行入库管理。</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（3）库存管理：支持管理人员能够查看本级单位应急物资库存信息，也支持查看管辖范围内下级单位的库存信息。</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（4）出库管理：支持管理人员根据实际需求进行物资出库，保存电子化出库记录，供管理人员及时查阅。</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（5）报损管理：支持管理人员将即将到期的物资进行报损处理，保存电子化报损记录，供管理人员及时查阅。</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（6）供应商管理：支持管理人员维护合作的供应商信息，为物资出入库业务提供基础数据支持。</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（7) 物资名录管理：支持省级管理人员按照物资类别维护物资名录。</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15</w:t>
      </w:r>
      <w:r>
        <w:rPr>
          <w:rFonts w:hint="eastAsia" w:ascii="仿宋" w:hAnsi="仿宋" w:eastAsia="仿宋" w:cs="宋体"/>
          <w:sz w:val="24"/>
          <w:szCs w:val="24"/>
          <w:highlight w:val="none"/>
        </w:rPr>
        <w:t>.异常数据预警</w:t>
      </w:r>
      <w:r>
        <w:rPr>
          <w:rFonts w:hint="eastAsia" w:ascii="仿宋" w:hAnsi="仿宋" w:eastAsia="仿宋" w:cs="宋体"/>
          <w:sz w:val="24"/>
          <w:szCs w:val="24"/>
          <w:highlight w:val="none"/>
          <w:lang w:eastAsia="zh-CN"/>
        </w:rPr>
        <w:t>（畜禽，不限于生猪）</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在系统管理员、官方兽医、养殖企业等角色登入平台的主界面设置预警提醒。</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（1）对规模养殖场15天未更新生产记录（养殖档案）设置预警提醒。</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（2）对存栏生猪500头以上的养殖场，3个月（90天）没有出栏检疫的设置预警，提醒监管人员查看具体原因。</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（3）对7天内区域或养殖场出现1万头以上的生猪出栏检疫，或者7天内1万头以上的生猪进入区域或养殖场的设置预警提醒。</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（4）对屠宰、饲养用途动物在规定人没有落地反馈信息的设置预警，提醒监管人员核实原因。</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（5）对无害化处理企业10天未开工的设置预警提醒。</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（6）对养殖场病原学阳性，抗体检测合格率不足50%的设置预警提醒。</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16</w:t>
      </w:r>
      <w:r>
        <w:rPr>
          <w:rFonts w:hint="eastAsia" w:ascii="仿宋" w:hAnsi="仿宋" w:eastAsia="仿宋" w:cs="宋体"/>
          <w:sz w:val="24"/>
          <w:szCs w:val="24"/>
          <w:highlight w:val="none"/>
        </w:rPr>
        <w:t>.兽医卫生检验员考试</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（1）题库模块：考试大纲的导入、修改及导出；根据试卷结构，实现试卷的组配、调整及导出。</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（2）阅卷评分模块：实现在线理论考试阅卷及出分；实现理论知识考试和实际操作考核结果的综合判定。</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（3）统计分析模块：考生信息的统计分析；考生成绩的统计分析；试题的统计分析；考务管理分析。</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考务模块：考试信息公告及相关信息的发布；实现考生的在线报名及准考证打印；实现报名结果的在线审核、考生资料的导出等；实现考点信息的录入、考点的调整及考场分配；实际操作考核结果的录入；实现考核合格证书的编号、在线生成及打印。</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17</w:t>
      </w:r>
      <w:r>
        <w:rPr>
          <w:rFonts w:hint="eastAsia" w:ascii="仿宋" w:hAnsi="仿宋" w:eastAsia="仿宋" w:cs="宋体"/>
          <w:sz w:val="24"/>
          <w:szCs w:val="24"/>
          <w:highlight w:val="none"/>
        </w:rPr>
        <w:t>.手机APP和微信小程序</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（1）手机APP面向监管部门服务：建设服务于畜牧兽医工作者，包括养殖场/户、官方兽医、经纪人、屠宰企业、监管部门，涵盖养殖场备案、出栏检疫、先打后补、运输车备案、无害化处理等功能。</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 xml:space="preserve">（2）手机APP面向社会公众服务：实现群众通过掌上APP办理事项。涵盖检疫查询、备案车辆查询、贩运主体查询、信息公示等功能。 </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（3）手机APP安卓版本：牧运通。</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rPr>
        <w:t>（4）微信小程序面向养殖场（户）：实现养殖场（户）通过微信小程序自建养殖基本信息，进行动物检疫申报。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lang w:val="en-US" w:eastAsia="zh-CN"/>
        </w:rPr>
        <w:t>18</w:t>
      </w:r>
      <w:r>
        <w:rPr>
          <w:rFonts w:hint="eastAsia" w:ascii="仿宋" w:hAnsi="仿宋" w:eastAsia="仿宋" w:cs="宋体"/>
          <w:sz w:val="24"/>
          <w:szCs w:val="24"/>
          <w:highlight w:val="none"/>
        </w:rPr>
        <w:t>.视频监管</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系统平台预留视频接入接口。主要实现对养殖场、无害化处理厂、指定通道等对象安装海康威视视频硬件且支持视频监管接入，接入画面路数后续由主管部门结合实际情况另行安排。</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19</w:t>
      </w:r>
      <w:r>
        <w:rPr>
          <w:rFonts w:hint="eastAsia" w:ascii="仿宋" w:hAnsi="仿宋" w:eastAsia="仿宋" w:cs="宋体"/>
          <w:sz w:val="24"/>
          <w:szCs w:val="24"/>
          <w:highlight w:val="none"/>
        </w:rPr>
        <w:t>.大数据</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（1）信息推送：系统为领导提供信息推送功能。</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（2）挖掘分析：对各业务系统积淀的业务数据进行深层次的挖掘、分析。</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w:t>
      </w:r>
      <w:r>
        <w:rPr>
          <w:rFonts w:hint="eastAsia" w:ascii="仿宋" w:hAnsi="仿宋" w:eastAsia="仿宋" w:cs="宋体"/>
          <w:sz w:val="24"/>
          <w:szCs w:val="24"/>
          <w:highlight w:val="none"/>
          <w:lang w:eastAsia="zh-CN"/>
        </w:rPr>
        <w:t>西藏</w:t>
      </w:r>
      <w:r>
        <w:rPr>
          <w:rFonts w:hint="eastAsia" w:ascii="仿宋" w:hAnsi="仿宋" w:eastAsia="仿宋" w:cs="宋体"/>
          <w:sz w:val="24"/>
          <w:szCs w:val="24"/>
          <w:highlight w:val="none"/>
        </w:rPr>
        <w:t>定制大数据：展示各类动物及动物产品检疫信息统计。</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val="en-US" w:eastAsia="zh-CN"/>
        </w:rPr>
        <w:t>20</w:t>
      </w:r>
      <w:r>
        <w:rPr>
          <w:rFonts w:hint="eastAsia" w:ascii="仿宋" w:hAnsi="仿宋" w:eastAsia="仿宋" w:cs="宋体"/>
          <w:sz w:val="24"/>
          <w:szCs w:val="24"/>
          <w:highlight w:val="none"/>
        </w:rPr>
        <w:t>.数据接口和整合</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（1）电子出证数据对接：。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（2）无害化处理对接：。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（3）车辆运输数据对接：。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（4）公路检查站数据对接：。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（5）车辆备案数据对接：。</w:t>
      </w:r>
    </w:p>
    <w:p>
      <w:pPr>
        <w:spacing w:line="360" w:lineRule="auto"/>
        <w:ind w:firstLine="480" w:firstLineChars="200"/>
        <w:rPr>
          <w:rFonts w:hint="eastAsia" w:ascii="仿宋" w:hAnsi="仿宋" w:eastAsia="仿宋" w:cs="宋体"/>
          <w:sz w:val="24"/>
          <w:szCs w:val="24"/>
          <w:highlight w:val="none"/>
        </w:rPr>
      </w:pPr>
      <w:r>
        <w:rPr>
          <w:rFonts w:hint="eastAsia" w:ascii="仿宋" w:hAnsi="仿宋" w:eastAsia="仿宋" w:cs="宋体"/>
          <w:sz w:val="24"/>
          <w:szCs w:val="24"/>
          <w:highlight w:val="none"/>
        </w:rPr>
        <w:t>（6）先打后补数据对接：。</w:t>
      </w:r>
    </w:p>
    <w:p>
      <w:pPr>
        <w:spacing w:line="360" w:lineRule="auto"/>
        <w:ind w:firstLine="482" w:firstLineChars="200"/>
        <w:rPr>
          <w:rFonts w:ascii="仿宋" w:hAnsi="仿宋" w:eastAsia="仿宋" w:cstheme="minorBidi"/>
          <w:b/>
          <w:bCs/>
          <w:sz w:val="24"/>
          <w:szCs w:val="28"/>
          <w:highlight w:val="none"/>
        </w:rPr>
      </w:pPr>
      <w:r>
        <w:rPr>
          <w:rFonts w:hint="eastAsia" w:ascii="仿宋" w:hAnsi="仿宋" w:eastAsia="仿宋" w:cstheme="minorBidi"/>
          <w:b/>
          <w:bCs/>
          <w:sz w:val="24"/>
          <w:szCs w:val="28"/>
          <w:highlight w:val="none"/>
        </w:rPr>
        <w:t>二、商务要求</w:t>
      </w:r>
    </w:p>
    <w:p>
      <w:pPr>
        <w:spacing w:line="360" w:lineRule="auto"/>
        <w:ind w:firstLine="480" w:firstLineChars="200"/>
        <w:rPr>
          <w:rFonts w:ascii="仿宋" w:hAnsi="仿宋" w:eastAsia="仿宋"/>
          <w:sz w:val="24"/>
          <w:szCs w:val="24"/>
          <w:highlight w:val="none"/>
        </w:rPr>
      </w:pPr>
      <w:r>
        <w:rPr>
          <w:rFonts w:ascii="仿宋" w:hAnsi="仿宋" w:eastAsia="仿宋"/>
          <w:sz w:val="24"/>
          <w:szCs w:val="24"/>
          <w:highlight w:val="none"/>
        </w:rPr>
        <w:t>1.合同履行期限及项目实施地点</w:t>
      </w:r>
    </w:p>
    <w:p>
      <w:pPr>
        <w:spacing w:line="360" w:lineRule="auto"/>
        <w:ind w:firstLine="480" w:firstLineChars="200"/>
        <w:rPr>
          <w:rFonts w:ascii="仿宋" w:hAnsi="仿宋" w:eastAsia="仿宋"/>
          <w:sz w:val="24"/>
          <w:szCs w:val="24"/>
          <w:highlight w:val="none"/>
        </w:rPr>
      </w:pPr>
      <w:r>
        <w:rPr>
          <w:rFonts w:ascii="仿宋" w:hAnsi="仿宋" w:eastAsia="仿宋"/>
          <w:sz w:val="24"/>
          <w:szCs w:val="24"/>
          <w:highlight w:val="none"/>
        </w:rPr>
        <w:t>合同履行期限：</w:t>
      </w:r>
      <w:r>
        <w:rPr>
          <w:rFonts w:hint="eastAsia" w:ascii="仿宋" w:hAnsi="仿宋" w:eastAsia="仿宋"/>
          <w:sz w:val="24"/>
          <w:szCs w:val="24"/>
          <w:highlight w:val="none"/>
        </w:rPr>
        <w:t>合同签订之后30天完成项目的开发建设工作</w:t>
      </w:r>
      <w:r>
        <w:rPr>
          <w:rFonts w:ascii="仿宋" w:hAnsi="仿宋" w:eastAsia="仿宋"/>
          <w:sz w:val="24"/>
          <w:szCs w:val="24"/>
          <w:highlight w:val="none"/>
        </w:rPr>
        <w:t>。</w:t>
      </w:r>
    </w:p>
    <w:p>
      <w:pPr>
        <w:spacing w:line="360" w:lineRule="auto"/>
        <w:ind w:firstLine="480" w:firstLineChars="200"/>
        <w:rPr>
          <w:rFonts w:hint="default" w:ascii="仿宋" w:hAnsi="仿宋" w:eastAsia="仿宋"/>
          <w:sz w:val="24"/>
          <w:szCs w:val="24"/>
          <w:highlight w:val="none"/>
          <w:lang w:val="en-US" w:eastAsia="zh-CN"/>
        </w:rPr>
      </w:pPr>
      <w:r>
        <w:rPr>
          <w:rFonts w:hint="eastAsia" w:ascii="仿宋" w:hAnsi="仿宋" w:eastAsia="仿宋"/>
          <w:sz w:val="24"/>
          <w:szCs w:val="24"/>
          <w:highlight w:val="none"/>
        </w:rPr>
        <w:t>项目实施地点：</w:t>
      </w:r>
      <w:r>
        <w:rPr>
          <w:rFonts w:hint="eastAsia" w:ascii="仿宋" w:hAnsi="仿宋" w:eastAsia="仿宋"/>
          <w:sz w:val="24"/>
          <w:szCs w:val="24"/>
          <w:highlight w:val="none"/>
          <w:lang w:val="en-US" w:eastAsia="zh-CN"/>
        </w:rPr>
        <w:t>西藏自治区农业农村厅（具体以采购人指定地点为准）</w:t>
      </w:r>
    </w:p>
    <w:p>
      <w:pPr>
        <w:numPr>
          <w:ilvl w:val="0"/>
          <w:numId w:val="2"/>
        </w:numP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售后服务及培训要求</w:t>
      </w:r>
      <w:r>
        <w:rPr>
          <w:rFonts w:ascii="仿宋" w:hAnsi="仿宋" w:eastAsia="仿宋"/>
          <w:sz w:val="24"/>
          <w:szCs w:val="24"/>
          <w:highlight w:val="none"/>
        </w:rPr>
        <w:t>：</w:t>
      </w:r>
    </w:p>
    <w:p>
      <w:pPr>
        <w:numPr>
          <w:ilvl w:val="0"/>
          <w:numId w:val="3"/>
        </w:numPr>
        <w:spacing w:line="360" w:lineRule="auto"/>
        <w:ind w:firstLine="480" w:firstLineChars="200"/>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售后服务要求</w:t>
      </w:r>
    </w:p>
    <w:p>
      <w:pPr>
        <w:numPr>
          <w:ilvl w:val="0"/>
          <w:numId w:val="0"/>
        </w:numPr>
        <w:spacing w:line="360" w:lineRule="auto"/>
        <w:ind w:firstLine="960" w:firstLineChars="4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1）包含软件异常处理、使用指导、现场技术服务、远程技术服务、技术培训、技术支持等。</w:t>
      </w:r>
    </w:p>
    <w:p>
      <w:pPr>
        <w:numPr>
          <w:ilvl w:val="0"/>
          <w:numId w:val="0"/>
        </w:numPr>
        <w:spacing w:line="360" w:lineRule="auto"/>
        <w:ind w:firstLine="960" w:firstLineChars="4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2）提供7×24小时的技术咨询服务。</w:t>
      </w:r>
    </w:p>
    <w:p>
      <w:pPr>
        <w:numPr>
          <w:ilvl w:val="0"/>
          <w:numId w:val="0"/>
        </w:numPr>
        <w:spacing w:line="360" w:lineRule="auto"/>
        <w:ind w:firstLine="960" w:firstLineChars="4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3）敏感时期、重大节假日提供技术人员值守服务。</w:t>
      </w:r>
    </w:p>
    <w:p>
      <w:pPr>
        <w:numPr>
          <w:ilvl w:val="0"/>
          <w:numId w:val="0"/>
        </w:numPr>
        <w:spacing w:line="360" w:lineRule="auto"/>
        <w:ind w:firstLine="960" w:firstLineChars="4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4）提供7×24小时的应急响应服务。对重大故障提供7×24小时的现场支援，一般故障提供5×8小时的现场支援。</w:t>
      </w:r>
    </w:p>
    <w:p>
      <w:pPr>
        <w:pStyle w:val="4"/>
        <w:spacing w:line="360" w:lineRule="auto"/>
        <w:ind w:firstLine="240" w:firstLineChars="1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（2）培训要求</w:t>
      </w:r>
    </w:p>
    <w:p>
      <w:pPr>
        <w:numPr>
          <w:ilvl w:val="0"/>
          <w:numId w:val="0"/>
        </w:numPr>
        <w:spacing w:line="360" w:lineRule="auto"/>
        <w:ind w:firstLine="960" w:firstLineChars="4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1）系统投入使用前，中标人对采购人提供至少包括但不限于系统操作培训、应用开发及入驻培训和使用培训等，保证采购人完全掌握系统的各项功能，包括系统的运行、操作、维护以及故障分析处理等。</w:t>
      </w:r>
    </w:p>
    <w:p>
      <w:pPr>
        <w:numPr>
          <w:ilvl w:val="0"/>
          <w:numId w:val="0"/>
        </w:numPr>
        <w:spacing w:line="360" w:lineRule="auto"/>
        <w:ind w:firstLine="960" w:firstLineChars="4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2）投标人提供全面、详细的培训方案。培训方案至少包括如下内容：培训计划、培训人数、培训教材和师资等。</w:t>
      </w:r>
    </w:p>
    <w:p>
      <w:pPr>
        <w:numPr>
          <w:ilvl w:val="0"/>
          <w:numId w:val="0"/>
        </w:numPr>
        <w:spacing w:line="360" w:lineRule="auto"/>
        <w:ind w:firstLine="960" w:firstLineChars="4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3）中标人提供对采购人的集中技术培训，人员培训人数不少于500人次，培训时间不少于10天。</w:t>
      </w:r>
    </w:p>
    <w:p>
      <w:pPr>
        <w:spacing w:line="360" w:lineRule="auto"/>
        <w:ind w:firstLine="480" w:firstLineChars="200"/>
        <w:rPr>
          <w:rFonts w:hint="default" w:ascii="仿宋" w:hAnsi="仿宋" w:eastAsia="仿宋"/>
          <w:sz w:val="24"/>
          <w:szCs w:val="24"/>
          <w:highlight w:val="none"/>
          <w:lang w:val="en-US"/>
        </w:rPr>
      </w:pPr>
      <w:r>
        <w:rPr>
          <w:rFonts w:hint="eastAsia" w:ascii="仿宋" w:hAnsi="仿宋" w:eastAsia="仿宋"/>
          <w:sz w:val="24"/>
          <w:szCs w:val="24"/>
          <w:highlight w:val="none"/>
        </w:rPr>
        <w:t>3</w:t>
      </w:r>
      <w:r>
        <w:rPr>
          <w:rFonts w:ascii="仿宋" w:hAnsi="仿宋" w:eastAsia="仿宋"/>
          <w:sz w:val="24"/>
          <w:szCs w:val="24"/>
          <w:highlight w:val="none"/>
        </w:rPr>
        <w:t>.</w:t>
      </w:r>
      <w:r>
        <w:rPr>
          <w:rFonts w:hint="eastAsia" w:ascii="仿宋" w:hAnsi="仿宋" w:eastAsia="仿宋"/>
          <w:sz w:val="24"/>
          <w:szCs w:val="24"/>
          <w:highlight w:val="none"/>
        </w:rPr>
        <w:t>项目付款方式</w:t>
      </w:r>
      <w:r>
        <w:rPr>
          <w:rFonts w:hint="eastAsia" w:ascii="仿宋" w:hAnsi="仿宋" w:eastAsia="仿宋"/>
          <w:sz w:val="24"/>
          <w:szCs w:val="24"/>
          <w:highlight w:val="none"/>
          <w:lang w:eastAsia="zh-CN"/>
        </w:rPr>
        <w:t>：合同签订后7个工作日之内支付合同金额的50%，项目上线后且通过采购人最终验收后，支付项目合同总金额的</w:t>
      </w:r>
      <w:r>
        <w:rPr>
          <w:rFonts w:hint="eastAsia" w:ascii="仿宋" w:hAnsi="仿宋" w:eastAsia="仿宋"/>
          <w:sz w:val="24"/>
          <w:szCs w:val="24"/>
          <w:highlight w:val="none"/>
          <w:lang w:val="en-US" w:eastAsia="zh-CN"/>
        </w:rPr>
        <w:t>100</w:t>
      </w:r>
      <w:r>
        <w:rPr>
          <w:rFonts w:hint="eastAsia" w:ascii="仿宋" w:hAnsi="仿宋" w:eastAsia="仿宋"/>
          <w:sz w:val="24"/>
          <w:szCs w:val="24"/>
          <w:highlight w:val="none"/>
          <w:lang w:eastAsia="zh-CN"/>
        </w:rPr>
        <w:t>%。</w:t>
      </w:r>
      <w:r>
        <w:rPr>
          <w:rFonts w:hint="eastAsia" w:ascii="仿宋" w:hAnsi="仿宋" w:eastAsia="仿宋"/>
          <w:sz w:val="24"/>
          <w:szCs w:val="24"/>
          <w:highlight w:val="none"/>
          <w:lang w:val="en-US" w:eastAsia="zh-CN"/>
        </w:rPr>
        <w:tab/>
      </w:r>
    </w:p>
    <w:p>
      <w:pPr>
        <w:spacing w:line="360" w:lineRule="auto"/>
        <w:ind w:firstLine="480" w:firstLineChars="200"/>
        <w:rPr>
          <w:rFonts w:ascii="仿宋" w:hAnsi="仿宋" w:eastAsia="仿宋"/>
          <w:sz w:val="24"/>
          <w:szCs w:val="24"/>
          <w:highlight w:val="none"/>
        </w:rPr>
      </w:pPr>
      <w:r>
        <w:rPr>
          <w:rFonts w:ascii="仿宋" w:hAnsi="仿宋" w:eastAsia="仿宋"/>
          <w:sz w:val="24"/>
          <w:szCs w:val="24"/>
          <w:highlight w:val="none"/>
        </w:rPr>
        <w:t>4.</w:t>
      </w:r>
      <w:r>
        <w:rPr>
          <w:rFonts w:hint="eastAsia" w:ascii="仿宋" w:hAnsi="仿宋" w:eastAsia="仿宋"/>
          <w:sz w:val="24"/>
          <w:szCs w:val="24"/>
          <w:highlight w:val="none"/>
          <w:lang w:val="en-US" w:eastAsia="zh-CN"/>
        </w:rPr>
        <w:t>其他要求</w:t>
      </w:r>
      <w:r>
        <w:rPr>
          <w:rFonts w:ascii="仿宋" w:hAnsi="仿宋" w:eastAsia="仿宋"/>
          <w:sz w:val="24"/>
          <w:szCs w:val="24"/>
          <w:highlight w:val="none"/>
        </w:rPr>
        <w:t>：</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sz w:val="24"/>
          <w:szCs w:val="24"/>
          <w:highlight w:val="none"/>
          <w:lang w:eastAsia="zh-CN"/>
        </w:rPr>
        <w:t>（</w:t>
      </w:r>
      <w:r>
        <w:rPr>
          <w:rFonts w:hint="eastAsia" w:ascii="仿宋" w:hAnsi="仿宋" w:eastAsia="仿宋"/>
          <w:sz w:val="24"/>
          <w:szCs w:val="24"/>
          <w:highlight w:val="none"/>
          <w:lang w:val="en-US" w:eastAsia="zh-CN"/>
        </w:rPr>
        <w:t>1）</w:t>
      </w:r>
      <w:r>
        <w:rPr>
          <w:rFonts w:hint="eastAsia" w:ascii="仿宋" w:hAnsi="仿宋" w:eastAsia="仿宋" w:cs="宋体"/>
          <w:sz w:val="24"/>
          <w:szCs w:val="24"/>
          <w:highlight w:val="none"/>
          <w:lang w:eastAsia="zh-CN"/>
        </w:rPr>
        <w:t>知识产权要求</w:t>
      </w:r>
    </w:p>
    <w:p>
      <w:pPr>
        <w:spacing w:line="360" w:lineRule="auto"/>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eastAsia="zh-CN"/>
        </w:rPr>
        <w:t>投标人就本项目开发的软件等内容（不包含第三方商业软件），应向招标人提供全部源代码和文档，除投标人自有知识产权软件外（知识产权获取时间为合同签订之日前），本项目开发软件所有权归招标人，招标人可无限制使用该软件。</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eastAsia="zh-CN"/>
        </w:rPr>
        <w:t>投标人须保证招标人在使用过程中不受到第三方关于侵犯专利权等知识产权的指控。任何第三方如果提出指控，投标人须与第三方交涉并承担可能发生的一切法律责任和费用。投标人使用的第三方及其他软件的报价应在投标报价中包含，未写明的出现问题由投标人承担责任。</w:t>
      </w:r>
      <w:r>
        <w:rPr>
          <w:rFonts w:hint="eastAsia" w:ascii="仿宋" w:hAnsi="仿宋" w:eastAsia="仿宋" w:cs="宋体"/>
          <w:sz w:val="24"/>
          <w:szCs w:val="24"/>
          <w:highlight w:val="none"/>
          <w:lang w:val="en-US" w:eastAsia="zh-CN"/>
        </w:rPr>
        <w:tab/>
      </w:r>
    </w:p>
    <w:p>
      <w:pPr>
        <w:pStyle w:val="4"/>
        <w:spacing w:line="360" w:lineRule="auto"/>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（2）保密要求</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投标人必须提供对本项目的保密承诺，保证对工程实施过程中产生的各类技术文件、信息以及由招标人、监理单位提供的所有内部资料、技术文档和信息予以保密；未经招标人书面许可，投标人不得以任何形式向第三方透露本工程标书以及本项目的任何内容。</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投标人应对本项目的保密承诺及采取的保密措施做出实质性响应。</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（3）技术文档</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（1）提供项目所涉及的设计方案、实施方案、测试方案、项目管理和项目验收等文档。</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（2）提供系统使用手册、开发手册、安装部署和配置手册等文档。</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（3）提交实施过程中所产生的详尽技术文档，包括但不限于需求分析说明书、设计说明数据、数据库结构等。</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（4）提供详尽的系统集成技术文档、系统所提供服务的接口技术文档。</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（5）提供完整的系统源代码、详细代码注释说明、系统安装程序等。</w:t>
      </w:r>
    </w:p>
    <w:p>
      <w:pPr>
        <w:pStyle w:val="4"/>
        <w:rPr>
          <w:rFonts w:hint="default"/>
          <w:highlight w:val="none"/>
          <w:lang w:val="en-US" w:eastAsia="zh-CN"/>
        </w:rPr>
      </w:pPr>
    </w:p>
    <w:p>
      <w:pPr>
        <w:pStyle w:val="4"/>
        <w:ind w:left="0" w:leftChars="0" w:firstLine="0" w:firstLineChars="0"/>
        <w:jc w:val="center"/>
        <w:rPr>
          <w:rFonts w:hint="default" w:ascii="仿宋" w:hAnsi="仿宋" w:eastAsia="仿宋" w:cstheme="minorBidi"/>
          <w:b/>
          <w:bCs/>
          <w:kern w:val="2"/>
          <w:sz w:val="40"/>
          <w:szCs w:val="44"/>
          <w:highlight w:val="none"/>
          <w:lang w:val="en-US" w:eastAsia="zh-CN" w:bidi="ar-SA"/>
        </w:rPr>
      </w:pPr>
      <w:r>
        <w:rPr>
          <w:rFonts w:hint="eastAsia" w:ascii="仿宋" w:hAnsi="仿宋" w:eastAsia="仿宋" w:cstheme="minorBidi"/>
          <w:b/>
          <w:bCs/>
          <w:kern w:val="2"/>
          <w:sz w:val="40"/>
          <w:szCs w:val="44"/>
          <w:highlight w:val="none"/>
          <w:lang w:val="en-US" w:eastAsia="zh-CN" w:bidi="ar-SA"/>
        </w:rPr>
        <w:t>（第二至第四标段）</w:t>
      </w:r>
    </w:p>
    <w:bookmarkEnd w:id="171"/>
    <w:p>
      <w:pPr>
        <w:pStyle w:val="15"/>
        <w:numPr>
          <w:ilvl w:val="0"/>
          <w:numId w:val="4"/>
        </w:numPr>
        <w:jc w:val="left"/>
        <w:rPr>
          <w:rFonts w:hint="eastAsia" w:ascii="仿宋" w:hAnsi="仿宋" w:eastAsia="仿宋" w:cstheme="minorBidi"/>
          <w:b/>
          <w:bCs/>
          <w:color w:val="auto"/>
          <w:kern w:val="2"/>
          <w:sz w:val="24"/>
          <w:szCs w:val="28"/>
          <w:highlight w:val="none"/>
          <w:lang w:val="en-US" w:eastAsia="zh-CN" w:bidi="ar-SA"/>
        </w:rPr>
      </w:pPr>
      <w:r>
        <w:rPr>
          <w:rFonts w:hint="eastAsia" w:ascii="仿宋" w:hAnsi="仿宋" w:eastAsia="仿宋" w:cstheme="minorBidi"/>
          <w:b/>
          <w:bCs/>
          <w:color w:val="auto"/>
          <w:kern w:val="2"/>
          <w:sz w:val="24"/>
          <w:szCs w:val="28"/>
          <w:highlight w:val="none"/>
          <w:lang w:val="en-US" w:eastAsia="zh-CN" w:bidi="ar-SA"/>
        </w:rPr>
        <w:t>技术要求</w:t>
      </w:r>
    </w:p>
    <w:tbl>
      <w:tblPr>
        <w:tblStyle w:val="9"/>
        <w:tblpPr w:leftFromText="180" w:rightFromText="180" w:vertAnchor="text" w:horzAnchor="page" w:tblpX="1256" w:tblpY="66"/>
        <w:tblOverlap w:val="never"/>
        <w:tblW w:w="91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25"/>
        <w:gridCol w:w="2025"/>
        <w:gridCol w:w="1345"/>
        <w:gridCol w:w="1575"/>
        <w:gridCol w:w="2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0" w:hRule="atLeast"/>
        </w:trPr>
        <w:tc>
          <w:tcPr>
            <w:tcW w:w="1825" w:type="dxa"/>
            <w:vAlign w:val="center"/>
          </w:tcPr>
          <w:p>
            <w:pPr>
              <w:keepNext w:val="0"/>
              <w:keepLines w:val="0"/>
              <w:pageBreakBefore w:val="0"/>
              <w:widowControl w:val="0"/>
              <w:kinsoku/>
              <w:wordWrap/>
              <w:overflowPunct/>
              <w:topLinePunct w:val="0"/>
              <w:autoSpaceDE w:val="0"/>
              <w:autoSpaceDN w:val="0"/>
              <w:bidi w:val="0"/>
              <w:adjustRightInd/>
              <w:snapToGrid/>
              <w:spacing w:line="243" w:lineRule="auto"/>
              <w:ind w:left="527" w:right="0" w:hanging="527"/>
              <w:jc w:val="center"/>
              <w:textAlignment w:val="auto"/>
              <w:rPr>
                <w:rFonts w:ascii="仿宋" w:hAnsi="仿宋" w:eastAsia="仿宋" w:cs="仿宋"/>
                <w:b/>
                <w:kern w:val="0"/>
                <w:highlight w:val="none"/>
                <w:lang w:val="zh-CN" w:bidi="zh-CN"/>
              </w:rPr>
            </w:pPr>
            <w:r>
              <w:rPr>
                <w:rFonts w:ascii="仿宋" w:hAnsi="仿宋" w:eastAsia="仿宋" w:cs="仿宋"/>
                <w:b/>
                <w:kern w:val="0"/>
                <w:highlight w:val="none"/>
                <w:lang w:val="zh-CN" w:bidi="zh-CN"/>
              </w:rPr>
              <w:t>标段序</w:t>
            </w:r>
          </w:p>
          <w:p>
            <w:pPr>
              <w:keepNext w:val="0"/>
              <w:keepLines w:val="0"/>
              <w:pageBreakBefore w:val="0"/>
              <w:widowControl w:val="0"/>
              <w:kinsoku/>
              <w:wordWrap/>
              <w:overflowPunct/>
              <w:topLinePunct w:val="0"/>
              <w:autoSpaceDE w:val="0"/>
              <w:autoSpaceDN w:val="0"/>
              <w:bidi w:val="0"/>
              <w:adjustRightInd/>
              <w:snapToGrid/>
              <w:spacing w:line="243" w:lineRule="auto"/>
              <w:ind w:left="527" w:right="0" w:hanging="527"/>
              <w:jc w:val="center"/>
              <w:textAlignment w:val="auto"/>
              <w:rPr>
                <w:rFonts w:hint="eastAsia" w:ascii="仿宋" w:hAnsi="仿宋" w:eastAsia="仿宋" w:cs="仿宋"/>
                <w:b/>
                <w:kern w:val="0"/>
                <w:highlight w:val="none"/>
                <w:lang w:val="en-US" w:bidi="zh-CN"/>
              </w:rPr>
            </w:pPr>
            <w:r>
              <w:rPr>
                <w:rFonts w:hint="eastAsia" w:ascii="仿宋" w:hAnsi="仿宋" w:eastAsia="仿宋" w:cs="仿宋"/>
                <w:b/>
                <w:kern w:val="0"/>
                <w:highlight w:val="none"/>
                <w:lang w:val="en-US" w:bidi="zh-CN"/>
              </w:rPr>
              <w:t>号及标</w:t>
            </w:r>
          </w:p>
          <w:p>
            <w:pPr>
              <w:keepNext w:val="0"/>
              <w:keepLines w:val="0"/>
              <w:pageBreakBefore w:val="0"/>
              <w:widowControl w:val="0"/>
              <w:kinsoku/>
              <w:wordWrap/>
              <w:overflowPunct/>
              <w:topLinePunct w:val="0"/>
              <w:autoSpaceDE w:val="0"/>
              <w:autoSpaceDN w:val="0"/>
              <w:bidi w:val="0"/>
              <w:adjustRightInd/>
              <w:snapToGrid/>
              <w:spacing w:line="243" w:lineRule="auto"/>
              <w:ind w:left="527" w:right="0" w:hanging="527"/>
              <w:jc w:val="center"/>
              <w:textAlignment w:val="auto"/>
              <w:rPr>
                <w:rFonts w:hint="default" w:ascii="仿宋" w:hAnsi="仿宋" w:eastAsia="仿宋" w:cs="仿宋"/>
                <w:b/>
                <w:kern w:val="0"/>
                <w:highlight w:val="none"/>
                <w:lang w:val="en-US" w:bidi="zh-CN"/>
              </w:rPr>
            </w:pPr>
            <w:r>
              <w:rPr>
                <w:rFonts w:hint="eastAsia" w:ascii="仿宋" w:hAnsi="仿宋" w:eastAsia="仿宋" w:cs="仿宋"/>
                <w:b/>
                <w:kern w:val="0"/>
                <w:highlight w:val="none"/>
                <w:lang w:val="en-US" w:bidi="zh-CN"/>
              </w:rPr>
              <w:t>段名称</w:t>
            </w:r>
          </w:p>
        </w:tc>
        <w:tc>
          <w:tcPr>
            <w:tcW w:w="2025" w:type="dxa"/>
            <w:vAlign w:val="center"/>
          </w:tcPr>
          <w:p>
            <w:pPr>
              <w:autoSpaceDE w:val="0"/>
              <w:autoSpaceDN w:val="0"/>
              <w:spacing w:before="152"/>
              <w:ind w:left="102" w:right="89"/>
              <w:jc w:val="center"/>
              <w:rPr>
                <w:rFonts w:ascii="仿宋" w:hAnsi="仿宋" w:eastAsia="仿宋" w:cs="仿宋"/>
                <w:b/>
                <w:kern w:val="0"/>
                <w:highlight w:val="none"/>
                <w:lang w:val="zh-CN" w:bidi="zh-CN"/>
              </w:rPr>
            </w:pPr>
            <w:r>
              <w:rPr>
                <w:rFonts w:ascii="仿宋" w:hAnsi="仿宋" w:eastAsia="仿宋" w:cs="仿宋"/>
                <w:b/>
                <w:kern w:val="0"/>
                <w:highlight w:val="none"/>
                <w:lang w:val="zh-CN" w:bidi="zh-CN"/>
              </w:rPr>
              <w:t>标的品目</w:t>
            </w:r>
          </w:p>
        </w:tc>
        <w:tc>
          <w:tcPr>
            <w:tcW w:w="1345" w:type="dxa"/>
            <w:vAlign w:val="center"/>
          </w:tcPr>
          <w:p>
            <w:pPr>
              <w:autoSpaceDE w:val="0"/>
              <w:autoSpaceDN w:val="0"/>
              <w:spacing w:before="152"/>
              <w:ind w:right="687"/>
              <w:jc w:val="both"/>
              <w:rPr>
                <w:rFonts w:ascii="仿宋" w:hAnsi="仿宋" w:eastAsia="仿宋" w:cs="仿宋"/>
                <w:b/>
                <w:kern w:val="0"/>
                <w:highlight w:val="none"/>
                <w:lang w:val="zh-CN" w:bidi="zh-CN"/>
              </w:rPr>
            </w:pPr>
            <w:r>
              <w:rPr>
                <w:rFonts w:hint="eastAsia" w:ascii="仿宋" w:hAnsi="仿宋" w:eastAsia="仿宋" w:cs="仿宋"/>
                <w:b/>
                <w:kern w:val="0"/>
                <w:highlight w:val="none"/>
                <w:lang w:val="zh-CN" w:bidi="zh-CN"/>
              </w:rPr>
              <w:t>主要技术参数</w:t>
            </w:r>
          </w:p>
        </w:tc>
        <w:tc>
          <w:tcPr>
            <w:tcW w:w="1575" w:type="dxa"/>
            <w:vAlign w:val="center"/>
          </w:tcPr>
          <w:p>
            <w:pPr>
              <w:autoSpaceDE w:val="0"/>
              <w:autoSpaceDN w:val="0"/>
              <w:spacing w:before="1"/>
              <w:ind w:left="263" w:right="249"/>
              <w:jc w:val="center"/>
              <w:rPr>
                <w:rFonts w:ascii="仿宋" w:hAnsi="仿宋" w:eastAsia="仿宋" w:cs="仿宋"/>
                <w:b/>
                <w:kern w:val="0"/>
                <w:highlight w:val="none"/>
                <w:lang w:val="zh-CN" w:bidi="zh-CN"/>
              </w:rPr>
            </w:pPr>
            <w:r>
              <w:rPr>
                <w:rFonts w:ascii="仿宋" w:hAnsi="仿宋" w:eastAsia="仿宋" w:cs="仿宋"/>
                <w:b/>
                <w:kern w:val="0"/>
                <w:highlight w:val="none"/>
                <w:lang w:val="zh-CN" w:bidi="zh-CN"/>
              </w:rPr>
              <w:t>采购数量</w:t>
            </w:r>
          </w:p>
          <w:p>
            <w:pPr>
              <w:autoSpaceDE w:val="0"/>
              <w:autoSpaceDN w:val="0"/>
              <w:spacing w:before="1"/>
              <w:ind w:left="263" w:right="249"/>
              <w:jc w:val="center"/>
              <w:rPr>
                <w:rFonts w:ascii="仿宋" w:hAnsi="仿宋" w:eastAsia="仿宋" w:cs="仿宋"/>
                <w:b/>
                <w:kern w:val="0"/>
                <w:highlight w:val="none"/>
                <w:lang w:val="zh-CN" w:bidi="zh-CN"/>
              </w:rPr>
            </w:pPr>
          </w:p>
        </w:tc>
        <w:tc>
          <w:tcPr>
            <w:tcW w:w="2348" w:type="dxa"/>
            <w:vAlign w:val="center"/>
          </w:tcPr>
          <w:p>
            <w:pPr>
              <w:autoSpaceDE w:val="0"/>
              <w:autoSpaceDN w:val="0"/>
              <w:spacing w:before="152"/>
              <w:jc w:val="center"/>
              <w:rPr>
                <w:rFonts w:ascii="仿宋" w:hAnsi="仿宋" w:eastAsia="仿宋" w:cs="仿宋"/>
                <w:b/>
                <w:kern w:val="0"/>
                <w:highlight w:val="none"/>
                <w:lang w:val="zh-CN" w:bidi="zh-CN"/>
              </w:rPr>
            </w:pPr>
            <w:r>
              <w:rPr>
                <w:rFonts w:ascii="仿宋" w:hAnsi="仿宋" w:eastAsia="仿宋" w:cs="仿宋"/>
                <w:b/>
                <w:kern w:val="0"/>
                <w:highlight w:val="none"/>
                <w:lang w:val="zh-CN" w:bidi="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restart"/>
            <w:vAlign w:val="center"/>
          </w:tcPr>
          <w:p>
            <w:pPr>
              <w:autoSpaceDE w:val="0"/>
              <w:autoSpaceDN w:val="0"/>
              <w:spacing w:before="3"/>
              <w:jc w:val="center"/>
              <w:rPr>
                <w:rFonts w:ascii="仿宋" w:hAnsi="仿宋" w:eastAsia="仿宋" w:cs="仿宋"/>
                <w:b/>
                <w:kern w:val="0"/>
                <w:highlight w:val="none"/>
                <w:lang w:val="zh-CN" w:bidi="zh-CN"/>
              </w:rPr>
            </w:pPr>
            <w:r>
              <w:rPr>
                <w:rFonts w:hint="eastAsia" w:ascii="仿宋" w:hAnsi="仿宋" w:eastAsia="仿宋" w:cs="仿宋"/>
                <w:b/>
                <w:kern w:val="0"/>
                <w:highlight w:val="none"/>
                <w:lang w:val="zh-CN" w:bidi="zh-CN"/>
              </w:rPr>
              <w:t>第</w:t>
            </w:r>
            <w:r>
              <w:rPr>
                <w:rFonts w:hint="eastAsia" w:ascii="仿宋" w:hAnsi="仿宋" w:eastAsia="仿宋" w:cs="仿宋"/>
                <w:b/>
                <w:kern w:val="0"/>
                <w:highlight w:val="none"/>
                <w:lang w:val="en-US" w:bidi="zh-CN"/>
              </w:rPr>
              <w:t>二</w:t>
            </w:r>
            <w:r>
              <w:rPr>
                <w:rFonts w:hint="eastAsia" w:ascii="仿宋" w:hAnsi="仿宋" w:eastAsia="仿宋" w:cs="仿宋"/>
                <w:b/>
                <w:kern w:val="0"/>
                <w:highlight w:val="none"/>
                <w:lang w:val="zh-CN" w:bidi="zh-CN"/>
              </w:rPr>
              <w:t>标段：</w:t>
            </w:r>
            <w:r>
              <w:rPr>
                <w:rFonts w:hint="eastAsia" w:ascii="仿宋" w:hAnsi="仿宋" w:eastAsia="仿宋" w:cs="仿宋"/>
                <w:b/>
                <w:kern w:val="0"/>
                <w:highlight w:val="none"/>
                <w:lang w:val="zh-CN" w:eastAsia="zh-CN" w:bidi="zh-CN"/>
              </w:rPr>
              <w:t>山南市、昌都市、那曲市三标合一追溯体系电子芯片耳标采购</w:t>
            </w:r>
          </w:p>
        </w:tc>
        <w:tc>
          <w:tcPr>
            <w:tcW w:w="202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牛电子芯片耳标</w:t>
            </w:r>
          </w:p>
        </w:tc>
        <w:tc>
          <w:tcPr>
            <w:tcW w:w="1345" w:type="dxa"/>
            <w:vMerge w:val="restart"/>
            <w:vAlign w:val="center"/>
          </w:tcPr>
          <w:p>
            <w:pPr>
              <w:numPr>
                <w:ilvl w:val="0"/>
                <w:numId w:val="0"/>
              </w:numPr>
              <w:autoSpaceDE w:val="0"/>
              <w:autoSpaceDN w:val="0"/>
              <w:jc w:val="center"/>
              <w:rPr>
                <w:rFonts w:ascii="仿宋" w:hAnsi="仿宋" w:eastAsia="仿宋" w:cs="仿宋"/>
                <w:spacing w:val="-3"/>
                <w:kern w:val="0"/>
                <w:highlight w:val="none"/>
                <w:lang w:val="zh-CN" w:bidi="zh-CN"/>
              </w:rPr>
            </w:pPr>
            <w:r>
              <w:rPr>
                <w:rFonts w:hint="eastAsia"/>
                <w:highlight w:val="none"/>
                <w:lang w:val="en-US" w:eastAsia="zh-CN"/>
              </w:rPr>
              <w:t>后附</w:t>
            </w:r>
          </w:p>
        </w:tc>
        <w:tc>
          <w:tcPr>
            <w:tcW w:w="1575" w:type="dxa"/>
            <w:tcBorders>
              <w:top w:val="single" w:color="auto" w:sz="4" w:space="0"/>
              <w:left w:val="single" w:color="auto" w:sz="4" w:space="0"/>
              <w:right w:val="single" w:color="auto" w:sz="4" w:space="0"/>
            </w:tcBorders>
            <w:vAlign w:val="center"/>
          </w:tcPr>
          <w:p>
            <w:pPr>
              <w:autoSpaceDE w:val="0"/>
              <w:autoSpaceDN w:val="0"/>
              <w:jc w:val="center"/>
              <w:rPr>
                <w:rFonts w:hint="default" w:ascii="仿宋" w:hAnsi="仿宋" w:eastAsia="仿宋" w:cs="仿宋"/>
                <w:kern w:val="0"/>
                <w:highlight w:val="none"/>
                <w:lang w:val="en-US" w:eastAsia="zh-CN" w:bidi="zh-CN"/>
              </w:rPr>
            </w:pPr>
            <w:r>
              <w:rPr>
                <w:rFonts w:hint="eastAsia" w:ascii="仿宋" w:hAnsi="仿宋" w:eastAsia="仿宋" w:cs="仿宋_GB2312"/>
                <w:szCs w:val="21"/>
                <w:highlight w:val="none"/>
                <w:lang w:val="en-US" w:eastAsia="zh-CN"/>
              </w:rPr>
              <w:t>74.8万套</w:t>
            </w:r>
          </w:p>
        </w:tc>
        <w:tc>
          <w:tcPr>
            <w:tcW w:w="2348" w:type="dxa"/>
            <w:vMerge w:val="restart"/>
            <w:vAlign w:val="center"/>
          </w:tcPr>
          <w:p>
            <w:pPr>
              <w:numPr>
                <w:ilvl w:val="0"/>
                <w:numId w:val="0"/>
              </w:numPr>
              <w:autoSpaceDE w:val="0"/>
              <w:autoSpaceDN w:val="0"/>
              <w:jc w:val="both"/>
              <w:rPr>
                <w:rFonts w:hint="eastAsia" w:ascii="宋体" w:hAnsi="宋体" w:eastAsia="宋体" w:cs="宋体"/>
                <w:highlight w:val="none"/>
                <w:lang w:val="en-US" w:eastAsia="zh-CN"/>
              </w:rPr>
            </w:pPr>
            <w:r>
              <w:rPr>
                <w:rFonts w:hint="eastAsia" w:ascii="宋体" w:hAnsi="宋体" w:eastAsia="宋体" w:cs="宋体"/>
                <w:highlight w:val="none"/>
                <w:lang w:val="en-US" w:eastAsia="zh-CN"/>
              </w:rPr>
              <w:t>（1）识读器需同时识读农业农村部防疫二维码；</w:t>
            </w:r>
          </w:p>
          <w:p>
            <w:pPr>
              <w:numPr>
                <w:ilvl w:val="0"/>
                <w:numId w:val="0"/>
              </w:numPr>
              <w:autoSpaceDE w:val="0"/>
              <w:autoSpaceDN w:val="0"/>
              <w:jc w:val="both"/>
              <w:rPr>
                <w:rFonts w:hint="default"/>
                <w:highlight w:val="none"/>
                <w:lang w:val="en-US" w:eastAsia="zh-CN"/>
              </w:rPr>
            </w:pPr>
            <w:r>
              <w:rPr>
                <w:rFonts w:hint="eastAsia" w:ascii="宋体" w:hAnsi="宋体" w:eastAsia="宋体" w:cs="宋体"/>
                <w:highlight w:val="none"/>
                <w:lang w:val="en-US" w:eastAsia="zh-CN"/>
              </w:rPr>
              <w:t>（2）每套耳标含</w:t>
            </w:r>
            <w:r>
              <w:rPr>
                <w:rFonts w:hint="eastAsia" w:cs="宋体"/>
                <w:highlight w:val="none"/>
                <w:lang w:val="en-US" w:eastAsia="zh-CN"/>
              </w:rPr>
              <w:t>电子芯片耳标一副、普通耳标一副（每副耳标含</w:t>
            </w:r>
            <w:r>
              <w:rPr>
                <w:rFonts w:hint="eastAsia" w:ascii="宋体" w:hAnsi="宋体" w:eastAsia="宋体" w:cs="宋体"/>
                <w:highlight w:val="none"/>
                <w:lang w:val="en-US" w:eastAsia="zh-CN"/>
              </w:rPr>
              <w:t>主标一个、辅标1个</w:t>
            </w:r>
            <w:r>
              <w:rPr>
                <w:rFonts w:hint="eastAsia" w:cs="宋体"/>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default" w:ascii="仿宋" w:hAnsi="仿宋" w:eastAsia="仿宋" w:cs="仿宋"/>
                <w:b/>
                <w:kern w:val="0"/>
                <w:sz w:val="20"/>
                <w:highlight w:val="none"/>
                <w:lang w:val="en-US" w:bidi="zh-CN"/>
              </w:rPr>
            </w:pPr>
            <w:r>
              <w:rPr>
                <w:rFonts w:hint="eastAsia" w:ascii="仿宋" w:hAnsi="仿宋" w:eastAsia="仿宋" w:cs="仿宋"/>
                <w:kern w:val="0"/>
                <w:highlight w:val="none"/>
                <w:lang w:val="en-US" w:bidi="zh-CN"/>
              </w:rPr>
              <w:t>羊电子芯片耳标</w:t>
            </w:r>
          </w:p>
        </w:tc>
        <w:tc>
          <w:tcPr>
            <w:tcW w:w="1345" w:type="dxa"/>
            <w:vMerge w:val="continue"/>
            <w:vAlign w:val="center"/>
          </w:tcPr>
          <w:p>
            <w:pPr>
              <w:autoSpaceDE w:val="0"/>
              <w:autoSpaceDN w:val="0"/>
              <w:spacing w:before="1" w:line="242" w:lineRule="auto"/>
              <w:ind w:right="-15"/>
              <w:jc w:val="center"/>
              <w:rPr>
                <w:rFonts w:ascii="仿宋" w:hAnsi="仿宋" w:eastAsia="仿宋" w:cs="仿宋"/>
                <w:spacing w:val="-3"/>
                <w:kern w:val="0"/>
                <w:highlight w:val="none"/>
                <w:lang w:val="zh-CN" w:bidi="zh-CN"/>
              </w:rPr>
            </w:pPr>
          </w:p>
        </w:tc>
        <w:tc>
          <w:tcPr>
            <w:tcW w:w="1575" w:type="dxa"/>
            <w:tcBorders>
              <w:top w:val="single" w:color="auto" w:sz="4" w:space="0"/>
              <w:left w:val="single" w:color="auto" w:sz="4" w:space="0"/>
              <w:right w:val="single" w:color="auto" w:sz="4" w:space="0"/>
            </w:tcBorders>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83.2万套</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配套电子芯片耳标识读器</w:t>
            </w:r>
          </w:p>
        </w:tc>
        <w:tc>
          <w:tcPr>
            <w:tcW w:w="1345" w:type="dxa"/>
            <w:vMerge w:val="continue"/>
            <w:vAlign w:val="center"/>
          </w:tcPr>
          <w:p>
            <w:pPr>
              <w:autoSpaceDE w:val="0"/>
              <w:autoSpaceDN w:val="0"/>
              <w:spacing w:before="1" w:line="242" w:lineRule="auto"/>
              <w:ind w:right="-15"/>
              <w:jc w:val="center"/>
              <w:rPr>
                <w:rFonts w:ascii="仿宋" w:hAnsi="仿宋" w:eastAsia="仿宋" w:cs="仿宋"/>
                <w:spacing w:val="-3"/>
                <w:kern w:val="0"/>
                <w:highlight w:val="none"/>
                <w:lang w:val="zh-CN" w:bidi="zh-CN"/>
              </w:rPr>
            </w:pPr>
          </w:p>
        </w:tc>
        <w:tc>
          <w:tcPr>
            <w:tcW w:w="1575" w:type="dxa"/>
            <w:tcBorders>
              <w:top w:val="single" w:color="auto" w:sz="4" w:space="0"/>
              <w:left w:val="single" w:color="auto" w:sz="4" w:space="0"/>
              <w:right w:val="single" w:color="auto" w:sz="4" w:space="0"/>
            </w:tcBorders>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140部</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配套锂电池电动耳标钳</w:t>
            </w:r>
          </w:p>
        </w:tc>
        <w:tc>
          <w:tcPr>
            <w:tcW w:w="1345" w:type="dxa"/>
            <w:vMerge w:val="continue"/>
            <w:vAlign w:val="center"/>
          </w:tcPr>
          <w:p>
            <w:pPr>
              <w:autoSpaceDE w:val="0"/>
              <w:autoSpaceDN w:val="0"/>
              <w:spacing w:before="1" w:line="242" w:lineRule="auto"/>
              <w:ind w:right="-15"/>
              <w:jc w:val="center"/>
              <w:rPr>
                <w:rFonts w:ascii="仿宋" w:hAnsi="仿宋" w:eastAsia="仿宋" w:cs="仿宋"/>
                <w:spacing w:val="-3"/>
                <w:kern w:val="0"/>
                <w:highlight w:val="none"/>
                <w:lang w:val="zh-CN" w:bidi="zh-CN"/>
              </w:rPr>
            </w:pPr>
          </w:p>
        </w:tc>
        <w:tc>
          <w:tcPr>
            <w:tcW w:w="1575" w:type="dxa"/>
            <w:tcBorders>
              <w:top w:val="single" w:color="auto" w:sz="4" w:space="0"/>
              <w:left w:val="single" w:color="auto" w:sz="4" w:space="0"/>
              <w:right w:val="single" w:color="auto" w:sz="4" w:space="0"/>
            </w:tcBorders>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170把</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配套普通耳标钳</w:t>
            </w:r>
          </w:p>
        </w:tc>
        <w:tc>
          <w:tcPr>
            <w:tcW w:w="1345" w:type="dxa"/>
            <w:vMerge w:val="continue"/>
            <w:vAlign w:val="center"/>
          </w:tcPr>
          <w:p>
            <w:pPr>
              <w:autoSpaceDE w:val="0"/>
              <w:autoSpaceDN w:val="0"/>
              <w:spacing w:before="1" w:line="242" w:lineRule="auto"/>
              <w:ind w:right="-15"/>
              <w:jc w:val="center"/>
              <w:rPr>
                <w:rFonts w:ascii="仿宋" w:hAnsi="仿宋" w:eastAsia="仿宋" w:cs="仿宋"/>
                <w:spacing w:val="-3"/>
                <w:kern w:val="0"/>
                <w:highlight w:val="none"/>
                <w:lang w:val="zh-CN" w:bidi="zh-CN"/>
              </w:rPr>
            </w:pPr>
          </w:p>
        </w:tc>
        <w:tc>
          <w:tcPr>
            <w:tcW w:w="1575" w:type="dxa"/>
            <w:tcBorders>
              <w:top w:val="single" w:color="auto" w:sz="4" w:space="0"/>
              <w:left w:val="single" w:color="auto" w:sz="4" w:space="0"/>
              <w:right w:val="single" w:color="auto" w:sz="4" w:space="0"/>
            </w:tcBorders>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350把</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restart"/>
            <w:vAlign w:val="center"/>
          </w:tcPr>
          <w:p>
            <w:pPr>
              <w:autoSpaceDE w:val="0"/>
              <w:autoSpaceDN w:val="0"/>
              <w:spacing w:before="3"/>
              <w:jc w:val="center"/>
              <w:rPr>
                <w:rFonts w:ascii="仿宋" w:hAnsi="仿宋" w:eastAsia="仿宋" w:cs="仿宋"/>
                <w:b/>
                <w:kern w:val="0"/>
                <w:highlight w:val="none"/>
                <w:lang w:val="zh-CN" w:bidi="zh-CN"/>
              </w:rPr>
            </w:pPr>
            <w:r>
              <w:rPr>
                <w:rFonts w:hint="eastAsia" w:ascii="仿宋" w:hAnsi="仿宋" w:eastAsia="仿宋" w:cs="仿宋"/>
                <w:b/>
                <w:kern w:val="0"/>
                <w:highlight w:val="none"/>
                <w:lang w:val="zh-CN" w:bidi="zh-CN"/>
              </w:rPr>
              <w:t>第</w:t>
            </w:r>
            <w:r>
              <w:rPr>
                <w:rFonts w:hint="eastAsia" w:ascii="仿宋" w:hAnsi="仿宋" w:eastAsia="仿宋" w:cs="仿宋"/>
                <w:b/>
                <w:kern w:val="0"/>
                <w:highlight w:val="none"/>
                <w:lang w:val="en-US" w:bidi="zh-CN"/>
              </w:rPr>
              <w:t>三</w:t>
            </w:r>
            <w:r>
              <w:rPr>
                <w:rFonts w:hint="eastAsia" w:ascii="仿宋" w:hAnsi="仿宋" w:eastAsia="仿宋" w:cs="仿宋"/>
                <w:b/>
                <w:kern w:val="0"/>
                <w:highlight w:val="none"/>
                <w:lang w:val="zh-CN" w:bidi="zh-CN"/>
              </w:rPr>
              <w:t>标段：</w:t>
            </w:r>
            <w:r>
              <w:rPr>
                <w:rFonts w:hint="eastAsia" w:ascii="仿宋" w:hAnsi="仿宋" w:eastAsia="仿宋" w:cs="仿宋"/>
                <w:b/>
                <w:kern w:val="0"/>
                <w:highlight w:val="none"/>
                <w:lang w:val="zh-CN" w:eastAsia="zh-CN" w:bidi="zh-CN"/>
              </w:rPr>
              <w:t>拉萨市、阿里地区三标合一追溯体系电子芯片耳标采购</w:t>
            </w:r>
          </w:p>
        </w:tc>
        <w:tc>
          <w:tcPr>
            <w:tcW w:w="2025" w:type="dxa"/>
            <w:vAlign w:val="center"/>
          </w:tcPr>
          <w:p>
            <w:pPr>
              <w:autoSpaceDE w:val="0"/>
              <w:autoSpaceDN w:val="0"/>
              <w:jc w:val="center"/>
              <w:rPr>
                <w:rFonts w:ascii="仿宋" w:hAnsi="仿宋" w:eastAsia="仿宋" w:cs="仿宋"/>
                <w:b/>
                <w:kern w:val="0"/>
                <w:sz w:val="20"/>
                <w:highlight w:val="none"/>
                <w:lang w:val="zh-CN" w:bidi="zh-CN"/>
              </w:rPr>
            </w:pPr>
            <w:r>
              <w:rPr>
                <w:rFonts w:hint="eastAsia" w:ascii="仿宋" w:hAnsi="仿宋" w:eastAsia="仿宋" w:cs="仿宋"/>
                <w:kern w:val="0"/>
                <w:highlight w:val="none"/>
                <w:lang w:val="en-US" w:bidi="zh-CN"/>
              </w:rPr>
              <w:t>牛电子芯片耳标</w:t>
            </w:r>
          </w:p>
        </w:tc>
        <w:tc>
          <w:tcPr>
            <w:tcW w:w="1345" w:type="dxa"/>
            <w:vMerge w:val="restart"/>
            <w:vAlign w:val="center"/>
          </w:tcPr>
          <w:p>
            <w:pPr>
              <w:autoSpaceDE w:val="0"/>
              <w:autoSpaceDN w:val="0"/>
              <w:spacing w:before="1" w:line="242" w:lineRule="auto"/>
              <w:ind w:right="-15"/>
              <w:jc w:val="center"/>
              <w:rPr>
                <w:rFonts w:hint="eastAsia" w:ascii="仿宋" w:hAnsi="仿宋" w:eastAsia="仿宋" w:cs="仿宋"/>
                <w:spacing w:val="-3"/>
                <w:kern w:val="0"/>
                <w:highlight w:val="none"/>
                <w:lang w:val="zh-CN" w:bidi="zh-CN"/>
              </w:rPr>
            </w:pPr>
            <w:r>
              <w:rPr>
                <w:rFonts w:hint="eastAsia"/>
                <w:highlight w:val="none"/>
                <w:lang w:val="en-US" w:eastAsia="zh-CN"/>
              </w:rPr>
              <w:t>后附</w:t>
            </w:r>
          </w:p>
        </w:tc>
        <w:tc>
          <w:tcPr>
            <w:tcW w:w="1575" w:type="dxa"/>
            <w:vAlign w:val="center"/>
          </w:tcPr>
          <w:p>
            <w:pPr>
              <w:autoSpaceDE w:val="0"/>
              <w:autoSpaceDN w:val="0"/>
              <w:jc w:val="center"/>
              <w:rPr>
                <w:rFonts w:hint="default" w:ascii="仿宋" w:hAnsi="仿宋" w:eastAsia="仿宋" w:cs="仿宋"/>
                <w:kern w:val="0"/>
                <w:highlight w:val="none"/>
                <w:lang w:val="en-US" w:eastAsia="zh-CN" w:bidi="zh-CN"/>
              </w:rPr>
            </w:pPr>
            <w:r>
              <w:rPr>
                <w:rFonts w:hint="eastAsia" w:ascii="仿宋" w:hAnsi="仿宋" w:eastAsia="仿宋" w:cs="仿宋_GB2312"/>
                <w:szCs w:val="21"/>
                <w:highlight w:val="none"/>
                <w:lang w:val="en-US" w:eastAsia="zh-CN"/>
              </w:rPr>
              <w:t>81.3万把</w:t>
            </w:r>
          </w:p>
        </w:tc>
        <w:tc>
          <w:tcPr>
            <w:tcW w:w="2348" w:type="dxa"/>
            <w:vMerge w:val="restart"/>
            <w:vAlign w:val="center"/>
          </w:tcPr>
          <w:p>
            <w:pPr>
              <w:numPr>
                <w:ilvl w:val="0"/>
                <w:numId w:val="0"/>
              </w:numPr>
              <w:autoSpaceDE w:val="0"/>
              <w:autoSpaceDN w:val="0"/>
              <w:jc w:val="both"/>
              <w:rPr>
                <w:rFonts w:hint="eastAsia" w:ascii="宋体" w:hAnsi="宋体" w:eastAsia="宋体" w:cs="宋体"/>
                <w:highlight w:val="none"/>
                <w:lang w:val="en-US" w:eastAsia="zh-CN"/>
              </w:rPr>
            </w:pPr>
            <w:r>
              <w:rPr>
                <w:rFonts w:hint="eastAsia" w:ascii="宋体" w:hAnsi="宋体" w:eastAsia="宋体" w:cs="宋体"/>
                <w:highlight w:val="none"/>
                <w:lang w:val="en-US" w:eastAsia="zh-CN"/>
              </w:rPr>
              <w:t>（1）识读器需同时识读农业农村部防疫二维码；</w:t>
            </w:r>
          </w:p>
          <w:p>
            <w:pPr>
              <w:autoSpaceDE w:val="0"/>
              <w:autoSpaceDN w:val="0"/>
              <w:jc w:val="center"/>
              <w:rPr>
                <w:rFonts w:ascii="仿宋" w:hAnsi="仿宋" w:eastAsia="仿宋" w:cs="仿宋_GB2312"/>
                <w:szCs w:val="21"/>
                <w:highlight w:val="none"/>
              </w:rPr>
            </w:pPr>
            <w:r>
              <w:rPr>
                <w:rFonts w:hint="eastAsia" w:ascii="宋体" w:hAnsi="宋体" w:eastAsia="宋体" w:cs="宋体"/>
                <w:highlight w:val="none"/>
                <w:lang w:val="en-US" w:eastAsia="zh-CN"/>
              </w:rPr>
              <w:t>（2）每套耳标含</w:t>
            </w:r>
            <w:r>
              <w:rPr>
                <w:rFonts w:hint="eastAsia" w:cs="宋体"/>
                <w:highlight w:val="none"/>
                <w:lang w:val="en-US" w:eastAsia="zh-CN"/>
              </w:rPr>
              <w:t>电子芯片耳标一副、普通耳标一副（每副耳标含</w:t>
            </w:r>
            <w:r>
              <w:rPr>
                <w:rFonts w:hint="eastAsia" w:ascii="宋体" w:hAnsi="宋体" w:eastAsia="宋体" w:cs="宋体"/>
                <w:highlight w:val="none"/>
                <w:lang w:val="en-US" w:eastAsia="zh-CN"/>
              </w:rPr>
              <w:t>主标一个、辅标1个</w:t>
            </w:r>
            <w:r>
              <w:rPr>
                <w:rFonts w:hint="eastAsia" w:cs="宋体"/>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ascii="仿宋" w:hAnsi="仿宋" w:eastAsia="仿宋" w:cs="仿宋"/>
                <w:b/>
                <w:kern w:val="0"/>
                <w:sz w:val="20"/>
                <w:highlight w:val="none"/>
                <w:lang w:val="zh-CN" w:bidi="zh-CN"/>
              </w:rPr>
            </w:pPr>
            <w:r>
              <w:rPr>
                <w:rFonts w:hint="eastAsia" w:ascii="仿宋" w:hAnsi="仿宋" w:eastAsia="仿宋" w:cs="仿宋"/>
                <w:kern w:val="0"/>
                <w:highlight w:val="none"/>
                <w:lang w:val="en-US" w:bidi="zh-CN"/>
              </w:rPr>
              <w:t>羊电子芯片耳标</w:t>
            </w:r>
          </w:p>
        </w:tc>
        <w:tc>
          <w:tcPr>
            <w:tcW w:w="1345" w:type="dxa"/>
            <w:vMerge w:val="continue"/>
            <w:vAlign w:val="center"/>
          </w:tcPr>
          <w:p>
            <w:pPr>
              <w:autoSpaceDE w:val="0"/>
              <w:autoSpaceDN w:val="0"/>
              <w:spacing w:before="1" w:line="242" w:lineRule="auto"/>
              <w:ind w:right="-15"/>
              <w:jc w:val="center"/>
              <w:rPr>
                <w:rFonts w:ascii="仿宋" w:hAnsi="仿宋" w:eastAsia="仿宋" w:cs="仿宋"/>
                <w:spacing w:val="-3"/>
                <w:kern w:val="0"/>
                <w:highlight w:val="none"/>
                <w:lang w:val="zh-CN" w:bidi="zh-CN"/>
              </w:rPr>
            </w:pPr>
          </w:p>
        </w:tc>
        <w:tc>
          <w:tcPr>
            <w:tcW w:w="157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71.5万套</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eastAsia" w:ascii="仿宋" w:hAnsi="仿宋" w:eastAsia="仿宋" w:cs="仿宋"/>
                <w:kern w:val="0"/>
                <w:highlight w:val="none"/>
                <w:lang w:bidi="zh-CN"/>
              </w:rPr>
            </w:pPr>
            <w:r>
              <w:rPr>
                <w:rFonts w:hint="eastAsia" w:ascii="仿宋" w:hAnsi="仿宋" w:eastAsia="仿宋" w:cs="仿宋"/>
                <w:kern w:val="0"/>
                <w:highlight w:val="none"/>
                <w:lang w:val="en-US" w:bidi="zh-CN"/>
              </w:rPr>
              <w:t>配套电子芯片耳标识读器</w:t>
            </w:r>
          </w:p>
        </w:tc>
        <w:tc>
          <w:tcPr>
            <w:tcW w:w="1345" w:type="dxa"/>
            <w:vMerge w:val="continue"/>
            <w:vAlign w:val="center"/>
          </w:tcPr>
          <w:p>
            <w:pPr>
              <w:autoSpaceDE w:val="0"/>
              <w:autoSpaceDN w:val="0"/>
              <w:spacing w:before="1" w:line="242" w:lineRule="auto"/>
              <w:ind w:right="-15"/>
              <w:jc w:val="center"/>
              <w:rPr>
                <w:rFonts w:hint="eastAsia" w:ascii="仿宋" w:hAnsi="仿宋" w:eastAsia="仿宋" w:cs="仿宋"/>
                <w:spacing w:val="-3"/>
                <w:kern w:val="0"/>
                <w:highlight w:val="none"/>
                <w:lang w:val="zh-CN" w:bidi="zh-CN"/>
              </w:rPr>
            </w:pPr>
          </w:p>
        </w:tc>
        <w:tc>
          <w:tcPr>
            <w:tcW w:w="157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130部</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eastAsia" w:ascii="仿宋" w:hAnsi="仿宋" w:eastAsia="仿宋" w:cs="仿宋"/>
                <w:kern w:val="0"/>
                <w:highlight w:val="none"/>
                <w:lang w:bidi="zh-CN"/>
              </w:rPr>
            </w:pPr>
            <w:r>
              <w:rPr>
                <w:rFonts w:hint="eastAsia" w:ascii="仿宋" w:hAnsi="仿宋" w:eastAsia="仿宋" w:cs="仿宋"/>
                <w:kern w:val="0"/>
                <w:highlight w:val="none"/>
                <w:lang w:val="en-US" w:bidi="zh-CN"/>
              </w:rPr>
              <w:t>锂电池电动耳标钳</w:t>
            </w:r>
          </w:p>
        </w:tc>
        <w:tc>
          <w:tcPr>
            <w:tcW w:w="1345" w:type="dxa"/>
            <w:vMerge w:val="continue"/>
            <w:vAlign w:val="center"/>
          </w:tcPr>
          <w:p>
            <w:pPr>
              <w:autoSpaceDE w:val="0"/>
              <w:autoSpaceDN w:val="0"/>
              <w:spacing w:before="1" w:line="242" w:lineRule="auto"/>
              <w:ind w:right="-15"/>
              <w:jc w:val="center"/>
              <w:rPr>
                <w:rFonts w:hint="eastAsia" w:ascii="仿宋" w:hAnsi="仿宋" w:eastAsia="仿宋" w:cs="仿宋"/>
                <w:spacing w:val="-3"/>
                <w:kern w:val="0"/>
                <w:highlight w:val="none"/>
                <w:lang w:val="zh-CN" w:bidi="zh-CN"/>
              </w:rPr>
            </w:pPr>
          </w:p>
        </w:tc>
        <w:tc>
          <w:tcPr>
            <w:tcW w:w="157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165把</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eastAsia" w:ascii="仿宋" w:hAnsi="仿宋" w:eastAsia="仿宋" w:cs="仿宋"/>
                <w:kern w:val="0"/>
                <w:highlight w:val="none"/>
                <w:lang w:bidi="zh-CN"/>
              </w:rPr>
            </w:pPr>
            <w:r>
              <w:rPr>
                <w:rFonts w:hint="eastAsia" w:ascii="仿宋" w:hAnsi="仿宋" w:eastAsia="仿宋" w:cs="仿宋"/>
                <w:kern w:val="0"/>
                <w:highlight w:val="none"/>
                <w:lang w:val="en-US" w:bidi="zh-CN"/>
              </w:rPr>
              <w:t>普通耳标钳</w:t>
            </w:r>
          </w:p>
        </w:tc>
        <w:tc>
          <w:tcPr>
            <w:tcW w:w="1345" w:type="dxa"/>
            <w:vMerge w:val="continue"/>
            <w:vAlign w:val="center"/>
          </w:tcPr>
          <w:p>
            <w:pPr>
              <w:autoSpaceDE w:val="0"/>
              <w:autoSpaceDN w:val="0"/>
              <w:spacing w:before="1" w:line="242" w:lineRule="auto"/>
              <w:ind w:right="-15"/>
              <w:jc w:val="center"/>
              <w:rPr>
                <w:rFonts w:hint="eastAsia" w:ascii="仿宋" w:hAnsi="仿宋" w:eastAsia="仿宋" w:cs="仿宋"/>
                <w:spacing w:val="-3"/>
                <w:kern w:val="0"/>
                <w:highlight w:val="none"/>
                <w:lang w:val="zh-CN" w:bidi="zh-CN"/>
              </w:rPr>
            </w:pPr>
          </w:p>
        </w:tc>
        <w:tc>
          <w:tcPr>
            <w:tcW w:w="157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340把</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restart"/>
            <w:vAlign w:val="center"/>
          </w:tcPr>
          <w:p>
            <w:pPr>
              <w:autoSpaceDE w:val="0"/>
              <w:autoSpaceDN w:val="0"/>
              <w:spacing w:before="3"/>
              <w:jc w:val="center"/>
              <w:rPr>
                <w:rFonts w:hint="default" w:ascii="仿宋" w:hAnsi="仿宋" w:eastAsia="仿宋" w:cs="仿宋"/>
                <w:b/>
                <w:kern w:val="0"/>
                <w:highlight w:val="none"/>
                <w:lang w:val="en-US" w:bidi="zh-CN"/>
              </w:rPr>
            </w:pPr>
            <w:r>
              <w:rPr>
                <w:rFonts w:hint="eastAsia" w:ascii="仿宋" w:hAnsi="仿宋" w:eastAsia="仿宋" w:cs="仿宋"/>
                <w:b/>
                <w:kern w:val="0"/>
                <w:highlight w:val="none"/>
                <w:lang w:val="en-US" w:bidi="zh-CN"/>
              </w:rPr>
              <w:t>第四标段：</w:t>
            </w:r>
            <w:r>
              <w:rPr>
                <w:rFonts w:hint="eastAsia" w:ascii="仿宋" w:hAnsi="仿宋" w:eastAsia="仿宋" w:cs="仿宋"/>
                <w:b/>
                <w:kern w:val="0"/>
                <w:highlight w:val="none"/>
                <w:lang w:val="en-US" w:eastAsia="zh-CN" w:bidi="zh-CN"/>
              </w:rPr>
              <w:t>日喀则市、全区种畜三标合一追溯体系电子芯片耳标采购</w:t>
            </w:r>
          </w:p>
        </w:tc>
        <w:tc>
          <w:tcPr>
            <w:tcW w:w="2025" w:type="dxa"/>
            <w:vAlign w:val="center"/>
          </w:tcPr>
          <w:p>
            <w:pPr>
              <w:autoSpaceDE w:val="0"/>
              <w:autoSpaceDN w:val="0"/>
              <w:jc w:val="center"/>
              <w:rPr>
                <w:rFonts w:hint="eastAsia" w:ascii="仿宋" w:hAnsi="仿宋" w:eastAsia="仿宋" w:cs="仿宋"/>
                <w:kern w:val="0"/>
                <w:highlight w:val="none"/>
                <w:lang w:val="en-US" w:bidi="zh-CN"/>
              </w:rPr>
            </w:pPr>
            <w:r>
              <w:rPr>
                <w:rFonts w:hint="eastAsia" w:ascii="仿宋" w:hAnsi="仿宋" w:eastAsia="仿宋" w:cs="仿宋"/>
                <w:kern w:val="0"/>
                <w:highlight w:val="none"/>
                <w:lang w:val="en-US" w:bidi="zh-CN"/>
              </w:rPr>
              <w:t>牛电子芯片耳标</w:t>
            </w:r>
          </w:p>
        </w:tc>
        <w:tc>
          <w:tcPr>
            <w:tcW w:w="1345" w:type="dxa"/>
            <w:vMerge w:val="restart"/>
            <w:vAlign w:val="center"/>
          </w:tcPr>
          <w:p>
            <w:pPr>
              <w:autoSpaceDE w:val="0"/>
              <w:autoSpaceDN w:val="0"/>
              <w:spacing w:before="1" w:line="242" w:lineRule="auto"/>
              <w:ind w:right="-15"/>
              <w:jc w:val="center"/>
              <w:rPr>
                <w:rFonts w:hint="eastAsia" w:ascii="仿宋" w:hAnsi="仿宋" w:eastAsia="仿宋" w:cs="仿宋"/>
                <w:spacing w:val="-3"/>
                <w:kern w:val="0"/>
                <w:highlight w:val="none"/>
                <w:lang w:val="zh-CN" w:bidi="zh-CN"/>
              </w:rPr>
            </w:pPr>
            <w:r>
              <w:rPr>
                <w:rFonts w:hint="eastAsia"/>
                <w:highlight w:val="none"/>
                <w:lang w:val="en-US" w:eastAsia="zh-CN"/>
              </w:rPr>
              <w:t>后附</w:t>
            </w:r>
          </w:p>
        </w:tc>
        <w:tc>
          <w:tcPr>
            <w:tcW w:w="157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63.8万套</w:t>
            </w:r>
          </w:p>
        </w:tc>
        <w:tc>
          <w:tcPr>
            <w:tcW w:w="2348" w:type="dxa"/>
            <w:vMerge w:val="restart"/>
            <w:vAlign w:val="center"/>
          </w:tcPr>
          <w:p>
            <w:pPr>
              <w:numPr>
                <w:ilvl w:val="0"/>
                <w:numId w:val="0"/>
              </w:numPr>
              <w:autoSpaceDE w:val="0"/>
              <w:autoSpaceDN w:val="0"/>
              <w:jc w:val="both"/>
              <w:rPr>
                <w:rFonts w:hint="eastAsia" w:ascii="宋体" w:hAnsi="宋体" w:eastAsia="宋体" w:cs="宋体"/>
                <w:highlight w:val="none"/>
                <w:lang w:val="en-US" w:eastAsia="zh-CN"/>
              </w:rPr>
            </w:pPr>
            <w:r>
              <w:rPr>
                <w:rFonts w:hint="eastAsia" w:ascii="宋体" w:hAnsi="宋体" w:eastAsia="宋体" w:cs="宋体"/>
                <w:highlight w:val="none"/>
                <w:lang w:val="en-US" w:eastAsia="zh-CN"/>
              </w:rPr>
              <w:t>（1）识读器需同时识读农业农村部防疫二维码；</w:t>
            </w:r>
          </w:p>
          <w:p>
            <w:pPr>
              <w:autoSpaceDE w:val="0"/>
              <w:autoSpaceDN w:val="0"/>
              <w:jc w:val="center"/>
              <w:rPr>
                <w:rFonts w:ascii="仿宋" w:hAnsi="仿宋" w:eastAsia="仿宋" w:cs="仿宋_GB2312"/>
                <w:szCs w:val="21"/>
                <w:highlight w:val="none"/>
              </w:rPr>
            </w:pPr>
            <w:r>
              <w:rPr>
                <w:rFonts w:hint="eastAsia" w:ascii="宋体" w:hAnsi="宋体" w:eastAsia="宋体" w:cs="宋体"/>
                <w:highlight w:val="none"/>
                <w:lang w:val="en-US" w:eastAsia="zh-CN"/>
              </w:rPr>
              <w:t>（2）每套耳标含</w:t>
            </w:r>
            <w:r>
              <w:rPr>
                <w:rFonts w:hint="eastAsia" w:cs="宋体"/>
                <w:highlight w:val="none"/>
                <w:lang w:val="en-US" w:eastAsia="zh-CN"/>
              </w:rPr>
              <w:t>电子芯片耳标一副、普通耳标一副（每副耳标含</w:t>
            </w:r>
            <w:r>
              <w:rPr>
                <w:rFonts w:hint="eastAsia" w:ascii="宋体" w:hAnsi="宋体" w:eastAsia="宋体" w:cs="宋体"/>
                <w:highlight w:val="none"/>
                <w:lang w:val="en-US" w:eastAsia="zh-CN"/>
              </w:rPr>
              <w:t>主标一个、辅标1个</w:t>
            </w:r>
            <w:r>
              <w:rPr>
                <w:rFonts w:hint="eastAsia" w:cs="宋体"/>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eastAsia" w:ascii="仿宋" w:hAnsi="仿宋" w:eastAsia="仿宋" w:cs="仿宋"/>
                <w:kern w:val="0"/>
                <w:highlight w:val="none"/>
                <w:lang w:val="en-US" w:bidi="zh-CN"/>
              </w:rPr>
            </w:pPr>
            <w:r>
              <w:rPr>
                <w:rFonts w:hint="eastAsia" w:ascii="仿宋" w:hAnsi="仿宋" w:eastAsia="仿宋" w:cs="仿宋"/>
                <w:kern w:val="0"/>
                <w:highlight w:val="none"/>
                <w:lang w:val="en-US" w:bidi="zh-CN"/>
              </w:rPr>
              <w:t>羊电子芯片耳标</w:t>
            </w:r>
          </w:p>
        </w:tc>
        <w:tc>
          <w:tcPr>
            <w:tcW w:w="1345" w:type="dxa"/>
            <w:vMerge w:val="continue"/>
            <w:vAlign w:val="center"/>
          </w:tcPr>
          <w:p>
            <w:pPr>
              <w:autoSpaceDE w:val="0"/>
              <w:autoSpaceDN w:val="0"/>
              <w:spacing w:before="1" w:line="242" w:lineRule="auto"/>
              <w:ind w:right="-15"/>
              <w:jc w:val="center"/>
              <w:rPr>
                <w:rFonts w:hint="eastAsia" w:ascii="仿宋" w:hAnsi="仿宋" w:eastAsia="仿宋" w:cs="仿宋"/>
                <w:spacing w:val="-3"/>
                <w:kern w:val="0"/>
                <w:highlight w:val="none"/>
                <w:lang w:val="zh-CN" w:bidi="zh-CN"/>
              </w:rPr>
            </w:pPr>
          </w:p>
        </w:tc>
        <w:tc>
          <w:tcPr>
            <w:tcW w:w="157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90.4万套</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eastAsia" w:ascii="仿宋" w:hAnsi="仿宋" w:eastAsia="仿宋" w:cs="仿宋"/>
                <w:kern w:val="0"/>
                <w:highlight w:val="none"/>
                <w:lang w:val="en-US" w:bidi="zh-CN"/>
              </w:rPr>
            </w:pPr>
            <w:r>
              <w:rPr>
                <w:rFonts w:hint="eastAsia" w:ascii="仿宋" w:hAnsi="仿宋" w:eastAsia="仿宋" w:cs="仿宋"/>
                <w:kern w:val="0"/>
                <w:highlight w:val="none"/>
                <w:lang w:val="en-US" w:bidi="zh-CN"/>
              </w:rPr>
              <w:t>配套电子芯片耳标识读器</w:t>
            </w:r>
          </w:p>
        </w:tc>
        <w:tc>
          <w:tcPr>
            <w:tcW w:w="1345" w:type="dxa"/>
            <w:vMerge w:val="continue"/>
            <w:vAlign w:val="center"/>
          </w:tcPr>
          <w:p>
            <w:pPr>
              <w:autoSpaceDE w:val="0"/>
              <w:autoSpaceDN w:val="0"/>
              <w:spacing w:before="1" w:line="242" w:lineRule="auto"/>
              <w:ind w:right="-15"/>
              <w:jc w:val="center"/>
              <w:rPr>
                <w:rFonts w:hint="eastAsia" w:ascii="仿宋" w:hAnsi="仿宋" w:eastAsia="仿宋" w:cs="仿宋"/>
                <w:spacing w:val="-3"/>
                <w:kern w:val="0"/>
                <w:highlight w:val="none"/>
                <w:lang w:val="zh-CN" w:bidi="zh-CN"/>
              </w:rPr>
            </w:pPr>
          </w:p>
        </w:tc>
        <w:tc>
          <w:tcPr>
            <w:tcW w:w="157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130部</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eastAsia" w:ascii="仿宋" w:hAnsi="仿宋" w:eastAsia="仿宋" w:cs="仿宋"/>
                <w:kern w:val="0"/>
                <w:highlight w:val="none"/>
                <w:lang w:val="en-US" w:bidi="zh-CN"/>
              </w:rPr>
            </w:pPr>
            <w:r>
              <w:rPr>
                <w:rFonts w:hint="eastAsia" w:ascii="仿宋" w:hAnsi="仿宋" w:eastAsia="仿宋" w:cs="仿宋"/>
                <w:kern w:val="0"/>
                <w:highlight w:val="none"/>
                <w:lang w:val="en-US" w:bidi="zh-CN"/>
              </w:rPr>
              <w:t>锂电池电动耳标钳</w:t>
            </w:r>
          </w:p>
        </w:tc>
        <w:tc>
          <w:tcPr>
            <w:tcW w:w="1345" w:type="dxa"/>
            <w:vMerge w:val="continue"/>
            <w:vAlign w:val="center"/>
          </w:tcPr>
          <w:p>
            <w:pPr>
              <w:autoSpaceDE w:val="0"/>
              <w:autoSpaceDN w:val="0"/>
              <w:spacing w:before="1" w:line="242" w:lineRule="auto"/>
              <w:ind w:right="-15"/>
              <w:jc w:val="center"/>
              <w:rPr>
                <w:rFonts w:hint="eastAsia" w:ascii="仿宋" w:hAnsi="仿宋" w:eastAsia="仿宋" w:cs="仿宋"/>
                <w:spacing w:val="-3"/>
                <w:kern w:val="0"/>
                <w:highlight w:val="none"/>
                <w:lang w:val="zh-CN" w:bidi="zh-CN"/>
              </w:rPr>
            </w:pPr>
          </w:p>
        </w:tc>
        <w:tc>
          <w:tcPr>
            <w:tcW w:w="157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165把</w:t>
            </w:r>
          </w:p>
        </w:tc>
        <w:tc>
          <w:tcPr>
            <w:tcW w:w="2348" w:type="dxa"/>
            <w:vMerge w:val="continue"/>
            <w:vAlign w:val="center"/>
          </w:tcPr>
          <w:p>
            <w:pPr>
              <w:autoSpaceDE w:val="0"/>
              <w:autoSpaceDN w:val="0"/>
              <w:jc w:val="center"/>
              <w:rPr>
                <w:rFonts w:ascii="仿宋" w:hAnsi="仿宋" w:eastAsia="仿宋" w:cs="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1825" w:type="dxa"/>
            <w:vMerge w:val="continue"/>
            <w:vAlign w:val="center"/>
          </w:tcPr>
          <w:p>
            <w:pPr>
              <w:autoSpaceDE w:val="0"/>
              <w:autoSpaceDN w:val="0"/>
              <w:spacing w:before="3"/>
              <w:jc w:val="center"/>
              <w:rPr>
                <w:rFonts w:ascii="仿宋" w:hAnsi="仿宋" w:eastAsia="仿宋" w:cs="仿宋"/>
                <w:b/>
                <w:kern w:val="0"/>
                <w:highlight w:val="none"/>
                <w:lang w:val="zh-CN" w:bidi="zh-CN"/>
              </w:rPr>
            </w:pPr>
          </w:p>
        </w:tc>
        <w:tc>
          <w:tcPr>
            <w:tcW w:w="2025" w:type="dxa"/>
            <w:vAlign w:val="center"/>
          </w:tcPr>
          <w:p>
            <w:pPr>
              <w:autoSpaceDE w:val="0"/>
              <w:autoSpaceDN w:val="0"/>
              <w:jc w:val="center"/>
              <w:rPr>
                <w:rFonts w:hint="eastAsia" w:ascii="仿宋" w:hAnsi="仿宋" w:eastAsia="仿宋" w:cs="仿宋"/>
                <w:kern w:val="0"/>
                <w:highlight w:val="none"/>
                <w:lang w:val="en-US" w:bidi="zh-CN"/>
              </w:rPr>
            </w:pPr>
            <w:r>
              <w:rPr>
                <w:rFonts w:hint="eastAsia" w:ascii="仿宋" w:hAnsi="仿宋" w:eastAsia="仿宋" w:cs="仿宋"/>
                <w:kern w:val="0"/>
                <w:highlight w:val="none"/>
                <w:lang w:val="en-US" w:bidi="zh-CN"/>
              </w:rPr>
              <w:t>普通耳标钳</w:t>
            </w:r>
          </w:p>
        </w:tc>
        <w:tc>
          <w:tcPr>
            <w:tcW w:w="1345" w:type="dxa"/>
            <w:vMerge w:val="continue"/>
            <w:vAlign w:val="center"/>
          </w:tcPr>
          <w:p>
            <w:pPr>
              <w:autoSpaceDE w:val="0"/>
              <w:autoSpaceDN w:val="0"/>
              <w:spacing w:before="1" w:line="242" w:lineRule="auto"/>
              <w:ind w:right="-15"/>
              <w:jc w:val="center"/>
              <w:rPr>
                <w:rFonts w:hint="eastAsia" w:ascii="仿宋" w:hAnsi="仿宋" w:eastAsia="仿宋" w:cs="仿宋"/>
                <w:spacing w:val="-3"/>
                <w:kern w:val="0"/>
                <w:highlight w:val="none"/>
                <w:lang w:val="zh-CN" w:bidi="zh-CN"/>
              </w:rPr>
            </w:pPr>
          </w:p>
        </w:tc>
        <w:tc>
          <w:tcPr>
            <w:tcW w:w="1575" w:type="dxa"/>
            <w:vAlign w:val="center"/>
          </w:tcPr>
          <w:p>
            <w:pPr>
              <w:autoSpaceDE w:val="0"/>
              <w:autoSpaceDN w:val="0"/>
              <w:jc w:val="center"/>
              <w:rPr>
                <w:rFonts w:hint="default" w:ascii="仿宋" w:hAnsi="仿宋" w:eastAsia="仿宋" w:cs="仿宋"/>
                <w:kern w:val="0"/>
                <w:highlight w:val="none"/>
                <w:lang w:val="en-US" w:bidi="zh-CN"/>
              </w:rPr>
            </w:pPr>
            <w:r>
              <w:rPr>
                <w:rFonts w:hint="eastAsia" w:ascii="仿宋" w:hAnsi="仿宋" w:eastAsia="仿宋" w:cs="仿宋"/>
                <w:kern w:val="0"/>
                <w:highlight w:val="none"/>
                <w:lang w:val="en-US" w:bidi="zh-CN"/>
              </w:rPr>
              <w:t>340把</w:t>
            </w:r>
          </w:p>
        </w:tc>
        <w:tc>
          <w:tcPr>
            <w:tcW w:w="2348" w:type="dxa"/>
            <w:vMerge w:val="continue"/>
            <w:vAlign w:val="center"/>
          </w:tcPr>
          <w:p>
            <w:pPr>
              <w:autoSpaceDE w:val="0"/>
              <w:autoSpaceDN w:val="0"/>
              <w:jc w:val="center"/>
              <w:rPr>
                <w:rFonts w:ascii="仿宋" w:hAnsi="仿宋" w:eastAsia="仿宋" w:cs="仿宋_GB2312"/>
                <w:szCs w:val="21"/>
                <w:highlight w:val="none"/>
              </w:rPr>
            </w:pPr>
          </w:p>
        </w:tc>
      </w:tr>
    </w:tbl>
    <w:p>
      <w:pPr>
        <w:rPr>
          <w:rFonts w:ascii="仿宋" w:hAnsi="仿宋" w:eastAsia="仿宋" w:cs="仿宋"/>
          <w:highlight w:val="none"/>
          <w:shd w:val="clear" w:color="auto" w:fill="FFFFFF"/>
        </w:rPr>
      </w:pPr>
    </w:p>
    <w:p>
      <w:pPr>
        <w:spacing w:line="360" w:lineRule="auto"/>
        <w:rPr>
          <w:rFonts w:ascii="仿宋" w:hAnsi="仿宋" w:eastAsia="仿宋" w:cstheme="minorBidi"/>
          <w:b/>
          <w:bCs/>
          <w:sz w:val="24"/>
          <w:szCs w:val="28"/>
          <w:highlight w:val="none"/>
        </w:rPr>
      </w:pPr>
      <w:bookmarkStart w:id="172" w:name="_Toc110245259"/>
      <w:r>
        <w:rPr>
          <w:rFonts w:hint="eastAsia" w:ascii="仿宋" w:hAnsi="仿宋" w:eastAsia="仿宋" w:cstheme="minorBidi"/>
          <w:b/>
          <w:bCs/>
          <w:sz w:val="24"/>
          <w:szCs w:val="28"/>
          <w:highlight w:val="none"/>
        </w:rPr>
        <w:t>二、商务要求</w:t>
      </w:r>
    </w:p>
    <w:p>
      <w:pPr>
        <w:spacing w:line="360" w:lineRule="auto"/>
        <w:ind w:firstLine="480" w:firstLineChars="200"/>
        <w:rPr>
          <w:rFonts w:ascii="仿宋" w:hAnsi="仿宋" w:eastAsia="仿宋"/>
          <w:color w:val="auto"/>
          <w:sz w:val="24"/>
          <w:szCs w:val="24"/>
          <w:highlight w:val="none"/>
        </w:rPr>
      </w:pPr>
      <w:r>
        <w:rPr>
          <w:rFonts w:ascii="仿宋" w:hAnsi="仿宋" w:eastAsia="仿宋"/>
          <w:color w:val="auto"/>
          <w:sz w:val="24"/>
          <w:szCs w:val="24"/>
          <w:highlight w:val="none"/>
        </w:rPr>
        <w:t>1.合同履行期限及项目实施地点</w:t>
      </w:r>
    </w:p>
    <w:p>
      <w:pPr>
        <w:spacing w:line="360" w:lineRule="auto"/>
        <w:ind w:firstLine="480" w:firstLineChars="200"/>
        <w:rPr>
          <w:rFonts w:ascii="仿宋" w:hAnsi="仿宋" w:eastAsia="仿宋"/>
          <w:color w:val="auto"/>
          <w:sz w:val="24"/>
          <w:szCs w:val="24"/>
          <w:highlight w:val="none"/>
        </w:rPr>
      </w:pPr>
      <w:r>
        <w:rPr>
          <w:rFonts w:ascii="仿宋" w:hAnsi="仿宋" w:eastAsia="仿宋"/>
          <w:color w:val="auto"/>
          <w:sz w:val="24"/>
          <w:szCs w:val="24"/>
          <w:highlight w:val="none"/>
        </w:rPr>
        <w:t>合同履行期限：</w:t>
      </w:r>
      <w:r>
        <w:rPr>
          <w:rFonts w:hint="eastAsia" w:ascii="仿宋" w:hAnsi="仿宋" w:eastAsia="仿宋"/>
          <w:color w:val="auto"/>
          <w:sz w:val="24"/>
          <w:szCs w:val="24"/>
          <w:highlight w:val="none"/>
          <w:lang w:val="en-US" w:eastAsia="zh-CN"/>
        </w:rPr>
        <w:t>合同签订之日起40天内按采购人要求供货</w:t>
      </w:r>
      <w:r>
        <w:rPr>
          <w:rFonts w:ascii="仿宋" w:hAnsi="仿宋" w:eastAsia="仿宋"/>
          <w:color w:val="auto"/>
          <w:sz w:val="24"/>
          <w:szCs w:val="24"/>
          <w:highlight w:val="none"/>
        </w:rPr>
        <w:t>。</w:t>
      </w:r>
    </w:p>
    <w:p>
      <w:pPr>
        <w:spacing w:line="360" w:lineRule="auto"/>
        <w:ind w:firstLine="480" w:firstLineChars="200"/>
        <w:rPr>
          <w:rFonts w:hint="default" w:ascii="仿宋" w:hAnsi="仿宋" w:eastAsia="仿宋"/>
          <w:color w:val="auto"/>
          <w:sz w:val="24"/>
          <w:szCs w:val="24"/>
          <w:highlight w:val="none"/>
          <w:lang w:val="en-US" w:eastAsia="zh-CN"/>
        </w:rPr>
      </w:pPr>
      <w:r>
        <w:rPr>
          <w:rFonts w:hint="eastAsia" w:ascii="仿宋" w:hAnsi="仿宋" w:eastAsia="仿宋"/>
          <w:color w:val="auto"/>
          <w:sz w:val="24"/>
          <w:szCs w:val="24"/>
          <w:highlight w:val="none"/>
        </w:rPr>
        <w:t>项目实施地点：</w:t>
      </w:r>
      <w:r>
        <w:rPr>
          <w:rFonts w:hint="eastAsia" w:ascii="仿宋" w:hAnsi="仿宋" w:eastAsia="仿宋" w:cs="宋体"/>
          <w:color w:val="auto"/>
          <w:sz w:val="24"/>
          <w:szCs w:val="24"/>
          <w:highlight w:val="none"/>
          <w:lang w:val="en-US" w:eastAsia="zh-CN"/>
        </w:rPr>
        <w:t>中国人民财产保险股份有限公司西藏自治区分公司各地市公司</w:t>
      </w:r>
      <w:r>
        <w:rPr>
          <w:rFonts w:hint="eastAsia" w:ascii="仿宋" w:hAnsi="仿宋" w:eastAsia="仿宋"/>
          <w:color w:val="auto"/>
          <w:sz w:val="24"/>
          <w:szCs w:val="24"/>
          <w:highlight w:val="none"/>
          <w:lang w:val="en-US" w:eastAsia="zh-CN"/>
        </w:rPr>
        <w:t>（具体以采购人指定地点为准）</w:t>
      </w:r>
    </w:p>
    <w:p>
      <w:pPr>
        <w:spacing w:line="360" w:lineRule="auto"/>
        <w:ind w:firstLine="480" w:firstLineChars="200"/>
        <w:rPr>
          <w:rFonts w:hint="eastAsia" w:ascii="仿宋" w:hAnsi="仿宋" w:eastAsia="仿宋" w:cs="宋体"/>
          <w:color w:val="auto"/>
          <w:sz w:val="24"/>
          <w:szCs w:val="24"/>
          <w:highlight w:val="none"/>
          <w:lang w:val="en-US" w:eastAsia="zh-CN"/>
        </w:rPr>
      </w:pPr>
      <w:r>
        <w:rPr>
          <w:rFonts w:hint="eastAsia" w:ascii="仿宋" w:hAnsi="仿宋" w:eastAsia="仿宋"/>
          <w:color w:val="auto"/>
          <w:sz w:val="24"/>
          <w:szCs w:val="24"/>
          <w:highlight w:val="none"/>
          <w:lang w:val="en-US" w:eastAsia="zh-CN"/>
        </w:rPr>
        <w:t>2.验收标准</w:t>
      </w:r>
      <w:r>
        <w:rPr>
          <w:rFonts w:ascii="仿宋" w:hAnsi="仿宋" w:eastAsia="仿宋"/>
          <w:color w:val="auto"/>
          <w:sz w:val="24"/>
          <w:szCs w:val="24"/>
          <w:highlight w:val="none"/>
        </w:rPr>
        <w:t>：</w:t>
      </w:r>
      <w:r>
        <w:rPr>
          <w:rFonts w:hint="eastAsia" w:ascii="仿宋" w:hAnsi="仿宋" w:eastAsia="仿宋"/>
          <w:color w:val="auto"/>
          <w:sz w:val="24"/>
          <w:szCs w:val="24"/>
          <w:highlight w:val="none"/>
          <w:lang w:val="en-US" w:eastAsia="zh-CN"/>
        </w:rPr>
        <w:t>成交</w:t>
      </w:r>
      <w:r>
        <w:rPr>
          <w:rFonts w:hint="eastAsia" w:ascii="仿宋" w:hAnsi="仿宋" w:eastAsia="仿宋" w:cs="宋体"/>
          <w:color w:val="auto"/>
          <w:sz w:val="24"/>
          <w:szCs w:val="24"/>
          <w:highlight w:val="none"/>
          <w:lang w:val="en-US" w:eastAsia="zh-CN"/>
        </w:rPr>
        <w:t>供应商将货物送达采购人指定地点后，由采购人及中国人民财产保险股份有限公司西藏自治区分公司共同组织进行验收，在验收同时对每件耳标随机抽样2-10套,现场密封后，分别寄往双方确定的国内权威第三方检测机构。由第三方检测机构按照招标文件规定技术参数逐项进行检测，并出具正式检测报告，检测费用由成交供应商承担。检测后按以下情形进行后续工作：</w:t>
      </w:r>
    </w:p>
    <w:p>
      <w:pPr>
        <w:spacing w:line="360" w:lineRule="auto"/>
        <w:ind w:firstLine="480" w:firstLineChars="20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1. 经采购人及中国人民财产保险股份有限公司西藏自治区分公司确定的第三方检测机构进行检测，对照招标文件要求相应技术参数均没有出现负偏离，验收合格。由采购人按照合同要求支付货款，中国人民财产保险股份有限公司西藏自治区分公司负责完成该批次耳标配打工作。</w:t>
      </w:r>
    </w:p>
    <w:p>
      <w:pPr>
        <w:spacing w:line="360" w:lineRule="auto"/>
        <w:ind w:firstLine="480" w:firstLineChars="20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2. 经采购人及中国人民财产保险股份有限公司西藏自治区分公司确定的第三方检测机构进行检测，对照招标文件要求相应技术参数均出现任何一项负偏离，不予验收，全部退货，返厂或处置费用由成交供应商承担，并就工期延迟等追究耳标供应商责任。经协商重新供货的，供货后按同等要求组织验收。供应商中断合同的，除追究相关法律责任外，由采购人按照预算金额重新组织政府采购工作。</w:t>
      </w:r>
    </w:p>
    <w:p>
      <w:pPr>
        <w:spacing w:line="360" w:lineRule="auto"/>
        <w:ind w:firstLine="480" w:firstLineChars="20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3. 经采购人及中国人民财产保险股份有限公司西藏自治区分公司确定的第三方检测机构对照招标文件要求的技术参数进行检测，其中仅一家检测机构检出负偏离的，由双方共同组织重新抽样送中国兽医药品监察所进行复检。经中国兽医药品监察所对照招标文件要求相应技术参数进行检测，均没有出现负偏离的，验收合格。由采购人按照合同要求支付货款，中国人民财产保险股份有限公司西藏自治区分公司负责完成该批次耳标配打工作。经中国兽医药品监察所对照招标文件要求相应技术参数进行检测，出现任意一项负偏离的，不予验收，进行退货处理。</w:t>
      </w:r>
    </w:p>
    <w:p>
      <w:pPr>
        <w:numPr>
          <w:ilvl w:val="0"/>
          <w:numId w:val="0"/>
        </w:numPr>
        <w:spacing w:line="360" w:lineRule="auto"/>
        <w:ind w:firstLine="482" w:firstLineChars="200"/>
        <w:rPr>
          <w:rFonts w:hint="default" w:ascii="仿宋" w:hAnsi="仿宋" w:eastAsia="仿宋"/>
          <w:b/>
          <w:bCs/>
          <w:color w:val="auto"/>
          <w:sz w:val="24"/>
          <w:szCs w:val="24"/>
          <w:highlight w:val="none"/>
          <w:lang w:val="en-US" w:eastAsia="zh-CN"/>
        </w:rPr>
      </w:pPr>
      <w:r>
        <w:rPr>
          <w:rFonts w:hint="eastAsia" w:ascii="仿宋" w:hAnsi="仿宋" w:eastAsia="仿宋"/>
          <w:b/>
          <w:bCs/>
          <w:color w:val="auto"/>
          <w:sz w:val="24"/>
          <w:szCs w:val="24"/>
          <w:highlight w:val="none"/>
          <w:lang w:val="en-US" w:eastAsia="zh-CN"/>
        </w:rPr>
        <w:t>注：投标人须针对上述验收标准在投标文件中做出承诺响应，否则其符合性审查将不予通过。</w:t>
      </w:r>
    </w:p>
    <w:p>
      <w:pPr>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br w:type="page"/>
      </w:r>
    </w:p>
    <w:p>
      <w:pPr>
        <w:bidi w:val="0"/>
        <w:jc w:val="left"/>
        <w:rPr>
          <w:rFonts w:hint="eastAsia" w:ascii="宋体" w:hAnsi="宋体" w:eastAsia="宋体" w:cs="宋体"/>
          <w:kern w:val="2"/>
          <w:sz w:val="21"/>
          <w:szCs w:val="22"/>
          <w:highlight w:val="none"/>
          <w:lang w:val="en-US" w:eastAsia="zh-CN" w:bidi="ar-SA"/>
        </w:rPr>
      </w:pPr>
    </w:p>
    <w:p>
      <w:pPr>
        <w:spacing w:line="360" w:lineRule="auto"/>
        <w:rPr>
          <w:rFonts w:hint="eastAsia" w:ascii="仿宋" w:hAnsi="仿宋" w:eastAsia="仿宋" w:cs="宋体"/>
          <w:sz w:val="24"/>
          <w:szCs w:val="24"/>
          <w:highlight w:val="none"/>
          <w:lang w:val="en-US" w:eastAsia="zh-CN"/>
        </w:rPr>
      </w:pPr>
      <w:r>
        <w:rPr>
          <w:rFonts w:hint="eastAsia" w:ascii="仿宋" w:hAnsi="仿宋" w:eastAsia="仿宋" w:cs="宋体"/>
          <w:b/>
          <w:bCs/>
          <w:sz w:val="24"/>
          <w:szCs w:val="24"/>
          <w:highlight w:val="none"/>
          <w:lang w:val="en-US" w:eastAsia="zh-CN"/>
        </w:rPr>
        <w:t>牛电子芯片耳标技术参数：</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1.牛电子耳标主标为圆形，辅标为圆形。</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2.主标耳标面：圆形，直径33mm±0.5mm，中央孔外口径6±0.25mm，厚度2.5±0.2mm（耳标号刻制在主标耳标面正面，中间为耳标二维码，编码位于二维码上、下位置，由激光刻制。）。</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耳标颈：圆台体，圆台底外径6±0.25mm、内孔直径3.7±0.1mm，圆台顶外直径4.5±0.23mm、内孔直径2.65±0.05mm，高13.5±0.30mm。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耳标头：密封圆锥体，锥底直径7.5±0.1mm、高度8±0.3mm，锥顶实体高度4±0.2mm。耳标头采用金属材质制作，金属钉直径不大于5.5mm。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3.辅标耳标面：圆形，直径28±0.5mm，厚度1.3±0.1mm。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4.耳标锁扣：耳标锁扣位于辅标中央，由锁芯和圆柱封闭套管组成，锁芯为五瓣花瓣倒喇叭立体形状，圆柱封闭套管顶部有排水口设计。锁芯外孔直径9.5±0.5mm，内孔直径5±0.1mm，高度4±0.1mm，壁厚2±0.1mm，圆柱封闭套管内直径9±0.2mm，壁厚1±0.3mm，高度12.5±0.5mm。</w:t>
      </w:r>
    </w:p>
    <w:p>
      <w:pPr>
        <w:spacing w:line="360" w:lineRule="auto"/>
        <w:ind w:firstLine="480" w:firstLineChars="200"/>
        <w:rPr>
          <w:rFonts w:hint="default"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5. 电子耳标芯片编码技术参数: 超高频电子耳标芯片编码和二维码编码需符合ISO18000-6C及</w:t>
      </w:r>
      <w:r>
        <w:rPr>
          <w:rFonts w:hint="eastAsia" w:ascii="仿宋" w:hAnsi="仿宋" w:eastAsia="仿宋" w:cs="宋体"/>
          <w:sz w:val="24"/>
          <w:szCs w:val="24"/>
          <w:highlight w:val="yellow"/>
          <w:lang w:val="en-US" w:eastAsia="zh-CN"/>
        </w:rPr>
        <w:t>NY/T938-2005</w:t>
      </w:r>
      <w:r>
        <w:rPr>
          <w:rFonts w:hint="eastAsia" w:ascii="仿宋" w:hAnsi="仿宋" w:eastAsia="仿宋" w:cs="宋体"/>
          <w:sz w:val="24"/>
          <w:szCs w:val="24"/>
          <w:highlight w:val="none"/>
          <w:lang w:val="en-US" w:eastAsia="zh-CN"/>
        </w:rPr>
        <w:t xml:space="preserve"> 动物二维码耳标规范，使用超高频智能手持终端产品读取超高频电子耳标芯片显示的编码和农业农村部动物标识编码相一致。 </w:t>
      </w:r>
      <w:r>
        <w:rPr>
          <w:rFonts w:hint="eastAsia" w:ascii="仿宋" w:hAnsi="仿宋" w:eastAsia="仿宋" w:cs="宋体"/>
          <w:sz w:val="24"/>
          <w:szCs w:val="24"/>
          <w:highlight w:val="none"/>
          <w:lang w:val="en-US" w:eastAsia="zh-CN"/>
        </w:rPr>
        <w:tab/>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6.电子标签：工作频率为920MHz-925MHz；区间识读灵敏度曲线要求低于-10dBm，芯片寿命，读写10万次以上，数据保存期为10年。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7.芯片存储区：电子产品代码区（EPC），有。大于96bit，存储电子耳标号，可读写，写入二维码耳标15位数字，前补0；标签识别号区（TID）不低于64bits，只读。芯片本身的唯一标识编码，只读；保留区（Reserved）不低于32bits；数据区（User）：无。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8.使用温度：-40℃-+50℃，耳标不发生脱离、变形、折裂，折裂十次不影响识读感应或不超过千分之一的破损率。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9.识读距离和寿命：智能手持终端产品识读距离3m。5%-90%的湿度之间芯片能正常识读。牛电子耳标寿命在5年以上。电子耳标能被农业农村部认定厂家生产的智能手持终端产品识读。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10.耳标字迹附着力：耳标编码用激光方式刻录，字迹均匀透入耳标内部。字迹清晰，在自然环境中不褪色。牲畜耳标的激光打码的颜色深度达到潘通色卡色号为：BlackC。激光打标印迹均匀渗透入耳标表面内部，激光打印深度应不小于0.15mm。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11.常温下（25℃）结合力不低于330N，低温下（-30℃）结合力不低于430N（结合力是指公母耳标结合的力度）。</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12.辅标采用不可拆卸设计 ，主辅标结合后无法通过外力完整分离。</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13.原材料：采用无毒、无异味、无刺激、无污染的聚醚型聚氨酯（TPU）材料制作，原料要添加抗紫外线添加剂钛白粉。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14.工艺要求：电子耳标封装工艺为二次注塑或双色注塑；片芯生产工艺为焊接。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15.耳标外观、颜色：外观表面光洁，边缘光滑，色泽均匀；牛电子耳标用黄色</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16.激光打码要求：耳标编码由激光刻制，耳标二维码为农业农村部专用二维码。</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17.主辅标包装规格：主标、辅标分别包装。袋内耳标号码连续，严禁出现缺号、断号、重号等现象。</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br w:type="page"/>
      </w:r>
    </w:p>
    <w:p>
      <w:pPr>
        <w:spacing w:line="360" w:lineRule="auto"/>
        <w:rPr>
          <w:rFonts w:hint="eastAsia" w:ascii="仿宋" w:hAnsi="仿宋" w:eastAsia="仿宋" w:cs="宋体"/>
          <w:b/>
          <w:bCs/>
          <w:sz w:val="24"/>
          <w:szCs w:val="24"/>
          <w:highlight w:val="none"/>
          <w:lang w:val="en-US" w:eastAsia="zh-CN"/>
        </w:rPr>
      </w:pPr>
      <w:r>
        <w:rPr>
          <w:rFonts w:hint="eastAsia" w:ascii="仿宋" w:hAnsi="仿宋" w:eastAsia="仿宋" w:cs="宋体"/>
          <w:b/>
          <w:bCs/>
          <w:sz w:val="24"/>
          <w:szCs w:val="24"/>
          <w:highlight w:val="none"/>
          <w:lang w:val="en-US" w:eastAsia="zh-CN"/>
        </w:rPr>
        <w:t>牛普通耳标（辅标）参数：</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1.牛普通耳标主标为圆形，辅标为圆形。</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2.主标耳标面：圆形，直径29mm±0.5mm，中央孔外口径6±0.25mm，厚度1.8±0.2mm（正面激光打印编码，编码由一位字母和14位数字构成，并标注PICC字样。）。</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3.耳标颈：圆台体，圆台底外径6±0.25mm、内孔直径3.7±0.1mm，圆台顶外直径4.5±0.23mm、内孔直径2.65±0.05mm，高14.7±0.30mm。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耳标头：密封圆锥体，锥底直径7.5±0.1mm、高度8±0.3mm，锥顶实体高度4±0.2mm。耳标头采用金属材质制作，金属钉直径不大于5.5mm。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4.辅标耳标面：圆形，直径28±0.5mm，厚度1.3±0.1mm内孔直径14±0.5mm，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5.耳标锁扣：耳标锁扣位于辅标中央，由锁芯和圆柱封闭套管组成，锁芯为五瓣花瓣倒喇叭立体形状，圆柱封闭套管顶部有排水口设计。锁芯外孔直径9.5±0.5mm，内孔直径5±0.1mm，高度4±0.1mm，壁厚2±0.1mm，圆柱封闭套管内直径9±0.2mm，壁厚1±0.3mm，高度12.5±0.5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6. 常温下（25℃）结合力不低于330N，低温下（-30℃）结合力不低于430N（结合力是指公母耳标结合的力度）。</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7.耳标外观：耳标表面光洁，边缘光滑，色泽均匀，各部位规格符合技术规范规定。</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8.环境要求：耳标及耳标钳在-45℃～50℃温度范围内保持使用性能，不出现因质量原因的脱落、变形、折裂现象。正常使用时钳压不破碎。</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9.记录信息的可靠程度：经长期使用在室外自然光照射下字迹保持清晰不脱落。使用期内耳标记录信息受酸、碱、洗涤剂浸擦不被腐蚀、不变形、不脱色、字迹不脱落。</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10.工艺要求：不出现缺料、溢料、塌坑、冷料、起泡、变形、分层等工艺缺陷。</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11.耳标颜色：黄色，对应潘通色卡色号（砂面U）为100U</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12.辅标采用不可拆卸设计，主辅标结合后无法通过外力完整分离。</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13.牲畜耳标原材料：牲畜耳标原材料采用无毒、无异味、无刺激、无污染的聚醚型聚氨酯制造。再生塑料不得作为制造牲畜耳标的原材料。</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14.激光打码要求：</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（一）耳标编码由激光刻制。</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二）耳标编码由一位字母和14位数字构成，第一位代表牲畜种类，后六位是县级行政区划代码，主编码代表牲畜种类和产地。主编码字体为黑体四号体。副编码由8位字符构成，以县为单位的连续编码，代表牲畜个体，字体为黑体四号体。另需标注PICC字样。</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15.耳标字迹附着力：耳标编码用激光方式刻录，字迹均匀透入耳标内部。字迹清晰，在自然环境中不褪色。牲畜耳标的激光打码的颜色深度达到潘通色卡色号为：BlackC。激光打标印迹均匀渗透入耳标表面内部，激光打印深度应不小于0.15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16.使用寿命：牛二维码耳标寿命要求3年以上。</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17.主辅标包装规格：主标、辅标分别包装。袋内耳标号码连续，严禁出现缺号、断号、重号等现象。</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br w:type="page"/>
      </w:r>
    </w:p>
    <w:p>
      <w:pPr>
        <w:spacing w:line="360" w:lineRule="auto"/>
        <w:rPr>
          <w:rFonts w:hint="eastAsia" w:ascii="仿宋" w:hAnsi="仿宋" w:eastAsia="仿宋" w:cs="宋体"/>
          <w:sz w:val="24"/>
          <w:szCs w:val="24"/>
          <w:highlight w:val="none"/>
          <w:lang w:val="en-US" w:eastAsia="zh-CN"/>
        </w:rPr>
      </w:pPr>
      <w:r>
        <w:rPr>
          <w:rFonts w:hint="eastAsia" w:ascii="仿宋" w:hAnsi="仿宋" w:eastAsia="仿宋" w:cs="宋体"/>
          <w:b/>
          <w:bCs/>
          <w:sz w:val="24"/>
          <w:szCs w:val="24"/>
          <w:highlight w:val="none"/>
          <w:lang w:val="en-US" w:eastAsia="zh-CN"/>
        </w:rPr>
        <w:t>羊电子芯片耳标技术参数：</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1.羊电子耳标主标为圆形，辅标为圆形。</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2.主标耳标面：圆形，直径30mm±0.5mm，中央孔外口径6±0.25mm，厚度2.4±0.2mm（耳标号刻制在主标耳标面正面，中间为耳标二维码，编码位于二维码上、下位置，由激光刻制。）。</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耳标颈：圆台体，圆台底外径6±0.25mm、内孔直径3.7±0.1mm，圆台顶外直径4.5±0.23mm、内孔直径2.65±0.05mm，高12.3±0.30mm。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耳标头：密封圆锥体，锥底直径7.5±0.1mm、高度8±0.3mm，锥顶实体高度3.5±0.2mm。耳标头采用金属材质制作，金属钉直径不大于4.5mm。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3.辅标耳标面：圆形，直径28±0.5mm，厚度1.3±0.1mm。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4.耳标锁扣：耳标锁扣位于辅标中央，由锁芯和圆柱封闭套管组成，锁芯为五瓣花瓣倒喇叭立体形状，圆柱封闭套管顶部有排水口设计。锁芯外孔直径9.5±0.5mm，内孔直径5±0.1mm，高度4±0.1mm，壁厚2±0.1mm，圆柱封闭套管内直径9±0.2mm，壁厚1±0.3mm，高度12.5±0.5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5. 电子耳标芯片编码技术参数: 超高频电子耳标芯片编码和二维码编码需符合ISO18000-6C及NY/T938-2005 动物二维码耳标规范，使用超高频智能手持终端产品读取超高频电子耳标芯片显示的编码和农业农村部动物标识编码相一致。</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6.电子标签：工作频率为920MHz-925MHz；区间识读灵敏度曲线要求低于-10dBm，芯片寿命，读写10万次以上，数据保存期为10年。</w:t>
      </w:r>
    </w:p>
    <w:p>
      <w:pPr>
        <w:spacing w:line="360" w:lineRule="auto"/>
        <w:ind w:firstLine="480" w:firstLineChars="200"/>
        <w:rPr>
          <w:rFonts w:hint="default"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7.芯片存储区：电子产品代码区（EPC），有。大于96bit，存储电子耳标号，可读写，写入二维码耳标15位数字，前补0；标签识别号区（TID）不低于64bits，只读。芯片本身的唯一标识编码，只读；保留区（Reserved）不低于32bits；数据区（User）：无。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8.使用温度：-40℃-+50℃，耳标不发生脱离、变形、折裂，折裂十次不影响识读感应或不超过千分之一的破损率。</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9.识读距离和寿命：智能手持终端产品识读距离1m。5%-90%的湿度之间芯片能正常识读。羊电子耳标寿命在3年以上（其中10%的产品供货前单独注明，寿命要求在5年以上）。电子耳标能被农业农村部认定厂家生产的智能手持终端产品识读。</w:t>
      </w:r>
    </w:p>
    <w:p>
      <w:pPr>
        <w:spacing w:line="360" w:lineRule="auto"/>
        <w:ind w:firstLine="480" w:firstLineChars="200"/>
        <w:rPr>
          <w:rFonts w:hint="default"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10.耳标字迹附着力：耳标编码用激光方式刻录，字迹均匀透入耳标内部。字迹清晰，在自然环境中不褪色。牲畜耳标的激光打码的颜色深度达到潘通色卡色号为：BlackC。激光打标印迹均匀渗透入耳标表面内部，激光打印深度应不小于0.15mm。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11.常温下（25℃）结合力不低于300N，低温下（-30℃）结合力不低于400N（结合力是指公母耳标结合的力度）。</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12.辅标采用不可拆卸设计，主辅标结合后无法通过外力完整分离。</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13.原材料：采用无毒、无异味、无刺激、无污染的聚醚型聚氨酯（TPU）材料制作，原料要添加抗紫外线添加剂钛白粉。耳标头采用铜头质地制作。</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14.工艺要求：电子耳标封装工艺为二次注塑或双色注塑；片芯生产工艺为焊接。</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15.掉标率要求：佩戴耳标一年后掉标率在5%以下。</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16.耳标外观、颜色：外观表面光洁，边缘光滑，色泽均匀；羊电子耳标用橘色。</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17.激光打码要求：</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耳标编码由激光刻制，耳标二维码为农业农村部专用二维码。</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18.主辅标包装规格：主标、辅标分别包装。袋内耳标号码连续，严禁出现缺号、断号、重号等现象。</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br w:type="page"/>
      </w:r>
    </w:p>
    <w:p>
      <w:pPr>
        <w:spacing w:line="360" w:lineRule="auto"/>
        <w:rPr>
          <w:rFonts w:hint="eastAsia" w:ascii="仿宋" w:hAnsi="仿宋" w:eastAsia="仿宋" w:cs="宋体"/>
          <w:sz w:val="24"/>
          <w:szCs w:val="24"/>
          <w:highlight w:val="none"/>
          <w:lang w:val="en-US" w:eastAsia="zh-CN"/>
        </w:rPr>
      </w:pPr>
      <w:r>
        <w:rPr>
          <w:rFonts w:hint="eastAsia" w:ascii="仿宋" w:hAnsi="仿宋" w:eastAsia="仿宋" w:cs="宋体"/>
          <w:b/>
          <w:bCs/>
          <w:sz w:val="24"/>
          <w:szCs w:val="24"/>
          <w:highlight w:val="none"/>
          <w:lang w:val="en-US" w:eastAsia="zh-CN"/>
        </w:rPr>
        <w:t>羊普通耳标（辅标）技术参数：</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1.主标耳标面：主标耳标面为圆形，直径29±0.2mm，中央孔外口直径6±0.25mm,厚度1.8±0.2mm。（正面激光打印编码，编码由一位字母和14位数字构成，并标注PICC字样）。</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2.耳标颈：圆台体，圆台底外径6±0.25mm、内孔直径3.7±0.1mm，圆台顶外直径4.5±0.23mm、内孔直径2.65±0.05mm，高13±0.30mm。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3. 耳标头：密封圆锥体，锥底直径7.5±0.1mm、高度8±0.3mm，锥顶实体高度3.5±0.2mm。耳标头采用金属材质制作，金属钉直径不大于4.5mm。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4.辅标耳标面：圆形，直径28±0.5mm，厚度1.3±0.1mm。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5.耳标锁扣：耳标锁扣位于辅标中央，由锁芯和圆柱封闭套管组成，锁芯为五瓣花瓣倒喇叭立体形状，圆柱封闭套管顶部有排水口设计。锁芯外孔直径9.5±0.5mm，内孔直径5±0.1mm，高度4±0.1mm，壁厚2±0.1mm，圆柱封闭套管内直径9±0.2mm，壁厚1±0.3mm，高度12.5±0.5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6.常温下（25℃）结合力不低于300N，低温下（-30℃）结合力不低于400N（结合力是指公母耳标结合的力度）。</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7.辅标采用不可拆卸设计，主辅标结合后无法通过外力完整分离。</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8.牲畜耳标原材料：牲畜耳标原材料采用无毒、无异味、无刺激、无污染的聚醚型聚氨酯制造。再生塑料不得作为制造牲畜耳标的原材料。</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9.环境要求：耳标及耳标钳在-45℃～50℃温度范围内保持使用性能，不出现因质量原因的脱落、变形、折裂现象。正常使用时钳压不破碎。</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10.记录信息的可靠程度：经长期使用在室外自然光照射下字迹保持清晰不脱落。使用期内耳标记录信息受酸、碱、洗涤剂浸擦不被腐蚀、不变形、不脱色、字迹不脱落。</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11.工艺要求：不出现缺料、溢料、塌坑、冷料、起泡、变形、分层等工艺缺陷。</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12.耳标外观：耳标表面光洁，边缘光滑，色泽均匀，各部位规格符合技术规范规定。</w:t>
      </w:r>
    </w:p>
    <w:p>
      <w:pPr>
        <w:spacing w:line="360" w:lineRule="auto"/>
        <w:ind w:firstLine="480" w:firstLineChars="200"/>
        <w:rPr>
          <w:rFonts w:hint="default"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13</w:t>
      </w:r>
      <w:r>
        <w:rPr>
          <w:rFonts w:hint="default" w:ascii="仿宋" w:hAnsi="仿宋" w:eastAsia="仿宋" w:cs="宋体"/>
          <w:sz w:val="24"/>
          <w:szCs w:val="24"/>
          <w:highlight w:val="none"/>
          <w:lang w:val="en" w:eastAsia="zh-CN"/>
        </w:rPr>
        <w:t>.</w:t>
      </w:r>
      <w:r>
        <w:rPr>
          <w:rFonts w:hint="eastAsia" w:ascii="仿宋" w:hAnsi="仿宋" w:eastAsia="仿宋" w:cs="宋体"/>
          <w:sz w:val="24"/>
          <w:szCs w:val="24"/>
          <w:highlight w:val="none"/>
          <w:lang w:val="en-US" w:eastAsia="zh-CN"/>
        </w:rPr>
        <w:t>耳标颜色：橙色，对应潘通色卡色号（砂面U）为150U</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14.激光打码要求：</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（一）耳标编码由激光刻制。</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二）辅标编码由一位字母和14位数字构成，第一位代表牲畜种类，后六位是县级行政区划代码，主编码代表牲畜种类和产地。主编码字体为黑体四号体。副编码由8位字符构成，以县为单位的连续编码，代表牲畜个体，字体为黑体四号体。另需标注PICC字样。</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15.耳标字迹附着力：耳标编码用激光方式刻录，字迹均匀透入耳标内部。字迹清晰，在自然环境中不褪色。牲畜耳标的激光打码的颜色深度达到潘通色卡色号为：BlackC。激光打标印迹均匀渗透入耳标表面内部，激光打印深度应不小于0.15m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16.使用寿命：羊普通耳标寿命要求2年以上。</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17.主辅标包装规格：主标、辅标分别包装。袋内耳标号码连续，严禁出现缺号、断号、重号等现象。</w:t>
      </w:r>
    </w:p>
    <w:p>
      <w:pPr>
        <w:spacing w:line="360" w:lineRule="auto"/>
        <w:ind w:firstLine="480" w:firstLineChars="200"/>
        <w:rPr>
          <w:rFonts w:hint="eastAsia" w:ascii="仿宋" w:hAnsi="仿宋" w:eastAsia="仿宋" w:cs="宋体"/>
          <w:sz w:val="24"/>
          <w:szCs w:val="24"/>
          <w:highlight w:val="none"/>
          <w:lang w:val="en-US" w:eastAsia="zh-CN"/>
        </w:rPr>
      </w:pPr>
    </w:p>
    <w:p>
      <w:pPr>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br w:type="page"/>
      </w:r>
    </w:p>
    <w:p>
      <w:pPr>
        <w:spacing w:line="360" w:lineRule="auto"/>
        <w:rPr>
          <w:rFonts w:hint="eastAsia" w:ascii="仿宋" w:hAnsi="仿宋" w:eastAsia="仿宋" w:cs="宋体"/>
          <w:sz w:val="24"/>
          <w:szCs w:val="24"/>
          <w:highlight w:val="none"/>
          <w:lang w:val="en-US" w:eastAsia="zh-CN"/>
        </w:rPr>
      </w:pPr>
      <w:r>
        <w:rPr>
          <w:rFonts w:hint="eastAsia" w:ascii="仿宋" w:hAnsi="仿宋" w:eastAsia="仿宋" w:cs="宋体"/>
          <w:b/>
          <w:bCs/>
          <w:sz w:val="24"/>
          <w:szCs w:val="24"/>
          <w:highlight w:val="none"/>
          <w:lang w:val="en-US" w:eastAsia="zh-CN"/>
        </w:rPr>
        <w:t>电子耳标识读器技术参数：</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基本参数</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1、显示屏 不小于5.4寸高清屏</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2、分辨率 分辨率不低于720*1440</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2、触控屏 工业级多点触控电容屏</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4、摄像头 前置不小于500万、后置不小于1300万像素</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5、GPS GPS或北斗导航系统，导航误差范围±5m</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6、性能参数</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CPU 八核64位处理器，主频2.0GHz</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内存容量 RAM不低于3GB  ROM不低于32GB</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扩展内存 支持256GB Micro Sd卡</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操作系统 不低于Android 10.0</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WIFI 2.4G/5G双频，符合IEEE802.11a/b/g/n/ac</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Bluetooth 符合Bluetooth 4.1及以上</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7、二维条码</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二维扫描引擎 Honeywell-6703/其它</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支持二维条码类型 支持码制PDF417, MicroPDF417等</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 xml:space="preserve">8、超高频 </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支持频率 915MHz、865MHz，（865-868MHz或902-928MHz）</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支持协议 针对EPC C1 GEN2 ISO18000-6C协议</w:t>
      </w:r>
    </w:p>
    <w:p>
      <w:pPr>
        <w:spacing w:line="360" w:lineRule="auto"/>
        <w:ind w:firstLine="480" w:firstLineChars="200"/>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9、识读距离 可选0-5米距离/与标签和环境有关</w:t>
      </w:r>
    </w:p>
    <w:p>
      <w:pPr>
        <w:widowControl/>
        <w:jc w:val="left"/>
        <w:rPr>
          <w:rFonts w:hint="eastAsia" w:ascii="仿宋" w:hAnsi="仿宋" w:eastAsia="仿宋" w:cs="宋体"/>
          <w:b/>
          <w:bCs/>
          <w:sz w:val="24"/>
          <w:szCs w:val="24"/>
          <w:highlight w:val="none"/>
          <w:lang w:val="en-US" w:eastAsia="zh-CN"/>
        </w:rPr>
      </w:pPr>
      <w:r>
        <w:rPr>
          <w:rFonts w:ascii="宋体" w:hAnsi="宋体"/>
          <w:color w:val="auto"/>
          <w:sz w:val="24"/>
          <w:highlight w:val="none"/>
        </w:rPr>
        <w:br w:type="page"/>
      </w:r>
      <w:r>
        <w:rPr>
          <w:rFonts w:hint="eastAsia" w:ascii="仿宋" w:hAnsi="仿宋" w:eastAsia="仿宋" w:cs="宋体"/>
          <w:b/>
          <w:bCs/>
          <w:sz w:val="24"/>
          <w:szCs w:val="24"/>
          <w:highlight w:val="none"/>
          <w:lang w:val="en-US" w:eastAsia="zh-CN"/>
        </w:rPr>
        <w:t>锂电池电动耳标钳详细技术参数：</w:t>
      </w:r>
    </w:p>
    <w:tbl>
      <w:tblPr>
        <w:tblStyle w:val="10"/>
        <w:tblpPr w:leftFromText="180" w:rightFromText="180" w:vertAnchor="page" w:horzAnchor="page" w:tblpX="1650" w:tblpY="218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shd w:val="clear" w:color="auto" w:fill="5B9BD5"/>
            <w:noWrap w:val="0"/>
            <w:vAlign w:val="top"/>
          </w:tcPr>
          <w:p>
            <w:pPr>
              <w:rPr>
                <w:rFonts w:hint="default" w:eastAsia="宋体"/>
                <w:b/>
                <w:bCs/>
                <w:highlight w:val="none"/>
                <w:vertAlign w:val="baseline"/>
                <w:lang w:val="en-US" w:eastAsia="zh-CN"/>
              </w:rPr>
            </w:pPr>
            <w:r>
              <w:rPr>
                <w:rFonts w:hint="eastAsia"/>
                <w:b/>
                <w:bCs/>
                <w:highlight w:val="none"/>
                <w:vertAlign w:val="baseline"/>
                <w:lang w:val="en-US" w:eastAsia="zh-CN"/>
              </w:rPr>
              <w:t>耳标钳</w:t>
            </w:r>
          </w:p>
        </w:tc>
        <w:tc>
          <w:tcPr>
            <w:tcW w:w="2841" w:type="dxa"/>
            <w:shd w:val="clear" w:color="auto" w:fill="5B9BD5"/>
            <w:noWrap w:val="0"/>
            <w:vAlign w:val="top"/>
          </w:tcPr>
          <w:p>
            <w:pPr>
              <w:rPr>
                <w:rFonts w:hint="eastAsia" w:eastAsia="宋体"/>
                <w:b/>
                <w:bCs/>
                <w:highlight w:val="none"/>
                <w:vertAlign w:val="baseline"/>
                <w:lang w:val="en-US" w:eastAsia="zh-CN"/>
              </w:rPr>
            </w:pPr>
            <w:r>
              <w:rPr>
                <w:rFonts w:hint="eastAsia"/>
                <w:b/>
                <w:bCs/>
                <w:highlight w:val="none"/>
                <w:vertAlign w:val="baseline"/>
                <w:lang w:val="en-US" w:eastAsia="zh-CN"/>
              </w:rPr>
              <w:t>参数</w:t>
            </w:r>
          </w:p>
        </w:tc>
        <w:tc>
          <w:tcPr>
            <w:tcW w:w="2841" w:type="dxa"/>
            <w:shd w:val="clear" w:color="auto" w:fill="5B9BD5"/>
            <w:noWrap w:val="0"/>
            <w:vAlign w:val="top"/>
          </w:tcPr>
          <w:p>
            <w:pPr>
              <w:rPr>
                <w:rFonts w:hint="default" w:eastAsia="宋体"/>
                <w:b/>
                <w:bCs/>
                <w:highlight w:val="none"/>
                <w:vertAlign w:val="baseline"/>
                <w:lang w:val="en-US" w:eastAsia="zh-CN"/>
              </w:rPr>
            </w:pPr>
            <w:r>
              <w:rPr>
                <w:rFonts w:hint="eastAsia"/>
                <w:b/>
                <w:bCs/>
                <w:highlight w:val="none"/>
                <w:vertAlign w:val="baseline"/>
                <w:lang w:val="en-US" w:eastAsia="zh-CN"/>
              </w:rPr>
              <w:t>红黑色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额定电压</w:t>
            </w:r>
          </w:p>
        </w:tc>
        <w:tc>
          <w:tcPr>
            <w:tcW w:w="2841" w:type="dxa"/>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D.C21v</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eastAsia" w:eastAsia="宋体"/>
                <w:highlight w:val="none"/>
                <w:vertAlign w:val="baseline"/>
                <w:lang w:val="en-US" w:eastAsia="zh-CN"/>
              </w:rPr>
            </w:pPr>
            <w:r>
              <w:rPr>
                <w:rFonts w:hint="eastAsia"/>
                <w:highlight w:val="none"/>
                <w:vertAlign w:val="baseline"/>
                <w:lang w:val="en-US" w:eastAsia="zh-CN"/>
              </w:rPr>
              <w:t>最大功率</w:t>
            </w:r>
          </w:p>
        </w:tc>
        <w:tc>
          <w:tcPr>
            <w:tcW w:w="2841" w:type="dxa"/>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600w</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eastAsia" w:eastAsia="宋体"/>
                <w:highlight w:val="none"/>
                <w:vertAlign w:val="baseline"/>
                <w:lang w:val="en-US" w:eastAsia="zh-CN"/>
              </w:rPr>
            </w:pPr>
            <w:r>
              <w:rPr>
                <w:rFonts w:hint="eastAsia"/>
                <w:highlight w:val="none"/>
                <w:vertAlign w:val="baseline"/>
                <w:lang w:val="en-US" w:eastAsia="zh-CN"/>
              </w:rPr>
              <w:t>尺寸</w:t>
            </w:r>
          </w:p>
        </w:tc>
        <w:tc>
          <w:tcPr>
            <w:tcW w:w="2841" w:type="dxa"/>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280mm*114mm*64mm</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钳口功能</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2档可调</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钳口闭合尺寸</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10mm</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1挡钳口张开尺寸</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70mm</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2挡钳口张开尺寸</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50mm</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固定下钳臂</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60mm*20mm</w:t>
            </w:r>
          </w:p>
        </w:tc>
        <w:tc>
          <w:tcPr>
            <w:tcW w:w="2841" w:type="dxa"/>
            <w:noWrap w:val="0"/>
            <w:vAlign w:val="top"/>
          </w:tcPr>
          <w:p>
            <w:pPr>
              <w:rPr>
                <w:rFonts w:hint="eastAsia" w:eastAsia="宋体"/>
                <w:highlight w:val="none"/>
                <w:vertAlign w:val="baseline"/>
                <w:lang w:val="en-US" w:eastAsia="zh-CN"/>
              </w:rPr>
            </w:pPr>
            <w:r>
              <w:rPr>
                <w:rFonts w:hint="eastAsia"/>
                <w:highlight w:val="none"/>
                <w:vertAlign w:val="baseline"/>
                <w:lang w:val="en-US" w:eastAsia="zh-CN"/>
              </w:rPr>
              <w:t>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活动上钳臂</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80mm*20mm</w:t>
            </w:r>
          </w:p>
        </w:tc>
        <w:tc>
          <w:tcPr>
            <w:tcW w:w="2841" w:type="dxa"/>
            <w:noWrap w:val="0"/>
            <w:vAlign w:val="top"/>
          </w:tcPr>
          <w:p>
            <w:pPr>
              <w:rPr>
                <w:rFonts w:hint="eastAsia" w:eastAsia="宋体"/>
                <w:highlight w:val="none"/>
                <w:vertAlign w:val="baseline"/>
                <w:lang w:val="en-US" w:eastAsia="zh-CN"/>
              </w:rPr>
            </w:pPr>
            <w:r>
              <w:rPr>
                <w:rFonts w:hint="eastAsia"/>
                <w:highlight w:val="none"/>
                <w:vertAlign w:val="baseline"/>
                <w:lang w:val="en-US" w:eastAsia="zh-CN"/>
              </w:rPr>
              <w:t>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扳机开关</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42mm</w:t>
            </w:r>
          </w:p>
        </w:tc>
        <w:tc>
          <w:tcPr>
            <w:tcW w:w="2841" w:type="dxa"/>
            <w:noWrap w:val="0"/>
            <w:vAlign w:val="top"/>
          </w:tcPr>
          <w:p>
            <w:pPr>
              <w:rPr>
                <w:rFonts w:hint="eastAsia" w:eastAsia="宋体"/>
                <w:highlight w:val="none"/>
                <w:vertAlign w:val="baseline"/>
                <w:lang w:val="en-US" w:eastAsia="zh-CN"/>
              </w:rPr>
            </w:pPr>
            <w:r>
              <w:rPr>
                <w:rFonts w:hint="eastAsia"/>
                <w:highlight w:val="none"/>
                <w:vertAlign w:val="baseline"/>
                <w:lang w:val="en-US" w:eastAsia="zh-CN"/>
              </w:rPr>
              <w:t>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电源控制开关</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黑色塑料滑块</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耳标固定压板</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47mm*19mm*1.5mm</w:t>
            </w:r>
          </w:p>
        </w:tc>
        <w:tc>
          <w:tcPr>
            <w:tcW w:w="2841" w:type="dxa"/>
            <w:noWrap w:val="0"/>
            <w:vAlign w:val="top"/>
          </w:tcPr>
          <w:p>
            <w:pPr>
              <w:rPr>
                <w:rFonts w:hint="eastAsia" w:eastAsia="宋体"/>
                <w:highlight w:val="none"/>
                <w:vertAlign w:val="baseline"/>
                <w:lang w:val="en-US" w:eastAsia="zh-CN"/>
              </w:rPr>
            </w:pPr>
            <w:r>
              <w:rPr>
                <w:rFonts w:hint="eastAsia"/>
                <w:highlight w:val="none"/>
                <w:vertAlign w:val="baseline"/>
                <w:lang w:val="en-US" w:eastAsia="zh-CN"/>
              </w:rPr>
              <w:t>银色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重量</w:t>
            </w:r>
          </w:p>
        </w:tc>
        <w:tc>
          <w:tcPr>
            <w:tcW w:w="2841" w:type="dxa"/>
            <w:noWrap w:val="0"/>
            <w:vAlign w:val="top"/>
          </w:tcPr>
          <w:p>
            <w:pPr>
              <w:rPr>
                <w:rFonts w:hint="default"/>
                <w:highlight w:val="none"/>
                <w:vertAlign w:val="baseline"/>
                <w:lang w:val="en-US" w:eastAsia="zh-CN"/>
              </w:rPr>
            </w:pPr>
            <w:r>
              <w:rPr>
                <w:rFonts w:hint="eastAsia"/>
                <w:highlight w:val="yellow"/>
                <w:vertAlign w:val="baseline"/>
                <w:lang w:val="en-US" w:eastAsia="zh-CN"/>
              </w:rPr>
              <w:t>872g</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shd w:val="clear" w:color="auto" w:fill="5B9BD5"/>
            <w:noWrap w:val="0"/>
            <w:vAlign w:val="top"/>
          </w:tcPr>
          <w:p>
            <w:pPr>
              <w:rPr>
                <w:rFonts w:hint="default"/>
                <w:highlight w:val="none"/>
                <w:vertAlign w:val="baseline"/>
                <w:lang w:val="en-US" w:eastAsia="zh-CN"/>
              </w:rPr>
            </w:pPr>
            <w:r>
              <w:rPr>
                <w:rFonts w:hint="eastAsia"/>
                <w:highlight w:val="none"/>
                <w:vertAlign w:val="baseline"/>
                <w:lang w:val="en-US" w:eastAsia="zh-CN"/>
              </w:rPr>
              <w:t>电池包</w:t>
            </w:r>
          </w:p>
        </w:tc>
        <w:tc>
          <w:tcPr>
            <w:tcW w:w="2841" w:type="dxa"/>
            <w:shd w:val="clear" w:color="auto" w:fill="5B9BD5"/>
            <w:noWrap w:val="0"/>
            <w:vAlign w:val="top"/>
          </w:tcPr>
          <w:p>
            <w:pPr>
              <w:rPr>
                <w:rFonts w:hint="eastAsia"/>
                <w:highlight w:val="none"/>
                <w:vertAlign w:val="baseline"/>
                <w:lang w:val="en-US" w:eastAsia="zh-CN"/>
              </w:rPr>
            </w:pPr>
          </w:p>
        </w:tc>
        <w:tc>
          <w:tcPr>
            <w:tcW w:w="2841" w:type="dxa"/>
            <w:shd w:val="clear" w:color="auto" w:fill="5B9BD5"/>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黑色 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额定电压</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21v</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eastAsia" w:eastAsia="宋体"/>
                <w:highlight w:val="none"/>
                <w:vertAlign w:val="baseline"/>
                <w:lang w:val="en-US" w:eastAsia="zh-CN"/>
              </w:rPr>
            </w:pPr>
            <w:r>
              <w:rPr>
                <w:rFonts w:hint="eastAsia"/>
                <w:highlight w:val="none"/>
                <w:vertAlign w:val="baseline"/>
                <w:lang w:val="en-US" w:eastAsia="zh-CN"/>
              </w:rPr>
              <w:t>额定功率</w:t>
            </w:r>
          </w:p>
        </w:tc>
        <w:tc>
          <w:tcPr>
            <w:tcW w:w="2841" w:type="dxa"/>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42wh</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充电时间</w:t>
            </w:r>
          </w:p>
        </w:tc>
        <w:tc>
          <w:tcPr>
            <w:tcW w:w="2841" w:type="dxa"/>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120分钟左右</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eastAsia" w:eastAsia="宋体"/>
                <w:highlight w:val="none"/>
                <w:vertAlign w:val="baseline"/>
                <w:lang w:val="en-US" w:eastAsia="zh-CN"/>
              </w:rPr>
            </w:pPr>
            <w:r>
              <w:rPr>
                <w:rFonts w:hint="eastAsia"/>
                <w:highlight w:val="none"/>
                <w:vertAlign w:val="baseline"/>
                <w:lang w:val="en-US" w:eastAsia="zh-CN"/>
              </w:rPr>
              <w:t>尺寸</w:t>
            </w:r>
          </w:p>
        </w:tc>
        <w:tc>
          <w:tcPr>
            <w:tcW w:w="2841" w:type="dxa"/>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116mm*74.5mm*42.5mm</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电池拆卸按钮</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红色按钮</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电池充电孔</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Φ6mm</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重量</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319g</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shd w:val="clear" w:color="auto" w:fill="5B9BD5"/>
            <w:noWrap w:val="0"/>
            <w:vAlign w:val="top"/>
          </w:tcPr>
          <w:p>
            <w:pPr>
              <w:rPr>
                <w:rFonts w:hint="eastAsia" w:eastAsia="宋体"/>
                <w:highlight w:val="none"/>
                <w:vertAlign w:val="baseline"/>
                <w:lang w:val="en-US" w:eastAsia="zh-CN"/>
              </w:rPr>
            </w:pPr>
            <w:r>
              <w:rPr>
                <w:rFonts w:hint="eastAsia"/>
                <w:highlight w:val="none"/>
                <w:vertAlign w:val="baseline"/>
                <w:lang w:val="en-US" w:eastAsia="zh-CN"/>
              </w:rPr>
              <w:t>耳标针</w:t>
            </w:r>
          </w:p>
        </w:tc>
        <w:tc>
          <w:tcPr>
            <w:tcW w:w="2841" w:type="dxa"/>
            <w:shd w:val="clear" w:color="auto" w:fill="5B9BD5"/>
            <w:noWrap w:val="0"/>
            <w:vAlign w:val="top"/>
          </w:tcPr>
          <w:p>
            <w:pPr>
              <w:rPr>
                <w:highlight w:val="none"/>
                <w:vertAlign w:val="baseline"/>
              </w:rPr>
            </w:pPr>
          </w:p>
        </w:tc>
        <w:tc>
          <w:tcPr>
            <w:tcW w:w="2841" w:type="dxa"/>
            <w:shd w:val="clear" w:color="auto" w:fill="5B9BD5"/>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按照耳标招标参数提供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耳牌针数量</w:t>
            </w:r>
          </w:p>
        </w:tc>
        <w:tc>
          <w:tcPr>
            <w:tcW w:w="2841" w:type="dxa"/>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2根</w:t>
            </w:r>
          </w:p>
        </w:tc>
        <w:tc>
          <w:tcPr>
            <w:tcW w:w="2841" w:type="dxa"/>
            <w:noWrap w:val="0"/>
            <w:vAlign w:val="top"/>
          </w:tcPr>
          <w:p>
            <w:pPr>
              <w:rPr>
                <w:rFonts w:hint="default" w:eastAsia="宋体"/>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shd w:val="clear" w:color="auto" w:fill="5B9BD5"/>
            <w:noWrap w:val="0"/>
            <w:vAlign w:val="top"/>
          </w:tcPr>
          <w:p>
            <w:pPr>
              <w:rPr>
                <w:rFonts w:hint="default"/>
                <w:highlight w:val="none"/>
                <w:vertAlign w:val="baseline"/>
                <w:lang w:val="en-US" w:eastAsia="zh-CN"/>
              </w:rPr>
            </w:pPr>
            <w:r>
              <w:rPr>
                <w:rFonts w:hint="eastAsia"/>
                <w:highlight w:val="none"/>
                <w:vertAlign w:val="baseline"/>
                <w:lang w:val="en-US" w:eastAsia="zh-CN"/>
              </w:rPr>
              <w:t>充电器</w:t>
            </w:r>
          </w:p>
        </w:tc>
        <w:tc>
          <w:tcPr>
            <w:tcW w:w="2841" w:type="dxa"/>
            <w:shd w:val="clear" w:color="auto" w:fill="5B9BD5"/>
            <w:noWrap w:val="0"/>
            <w:vAlign w:val="top"/>
          </w:tcPr>
          <w:p>
            <w:pPr>
              <w:rPr>
                <w:rFonts w:hint="default"/>
                <w:highlight w:val="none"/>
                <w:vertAlign w:val="baseline"/>
                <w:lang w:val="en-US" w:eastAsia="zh-CN"/>
              </w:rPr>
            </w:pPr>
          </w:p>
        </w:tc>
        <w:tc>
          <w:tcPr>
            <w:tcW w:w="2841" w:type="dxa"/>
            <w:shd w:val="clear" w:color="auto" w:fill="5B9BD5"/>
            <w:noWrap w:val="0"/>
            <w:vAlign w:val="top"/>
          </w:tcPr>
          <w:p>
            <w:pPr>
              <w:rPr>
                <w:rFonts w:hint="default" w:eastAsia="宋体"/>
                <w:highlight w:val="none"/>
                <w:vertAlign w:val="baseline"/>
                <w:lang w:val="en-US" w:eastAsia="zh-CN"/>
              </w:rPr>
            </w:pPr>
            <w:r>
              <w:rPr>
                <w:rFonts w:hint="eastAsia"/>
                <w:highlight w:val="none"/>
                <w:vertAlign w:val="baseline"/>
                <w:lang w:val="en-US" w:eastAsia="zh-CN"/>
              </w:rPr>
              <w:t>黑色 3C认证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输入</w:t>
            </w:r>
          </w:p>
        </w:tc>
        <w:tc>
          <w:tcPr>
            <w:tcW w:w="2841" w:type="dxa"/>
            <w:noWrap w:val="0"/>
            <w:vAlign w:val="top"/>
          </w:tcPr>
          <w:p>
            <w:pPr>
              <w:rPr>
                <w:rFonts w:hint="eastAsia"/>
                <w:highlight w:val="none"/>
                <w:vertAlign w:val="baseline"/>
                <w:lang w:val="en-US" w:eastAsia="zh-CN"/>
              </w:rPr>
            </w:pPr>
            <w:r>
              <w:rPr>
                <w:rFonts w:hint="eastAsia"/>
                <w:highlight w:val="none"/>
                <w:vertAlign w:val="baseline"/>
                <w:lang w:val="en-US" w:eastAsia="zh-CN"/>
              </w:rPr>
              <w:t>AC100-240V 50/60Hz</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输出</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DC21V  1A</w:t>
            </w:r>
          </w:p>
        </w:tc>
        <w:tc>
          <w:tcPr>
            <w:tcW w:w="2841" w:type="dxa"/>
            <w:noWrap w:val="0"/>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shd w:val="clear" w:color="auto" w:fill="4F81BD"/>
            <w:noWrap w:val="0"/>
            <w:vAlign w:val="top"/>
          </w:tcPr>
          <w:p>
            <w:pPr>
              <w:rPr>
                <w:rFonts w:hint="default"/>
                <w:highlight w:val="none"/>
                <w:vertAlign w:val="baseline"/>
                <w:lang w:val="en-US" w:eastAsia="zh-CN"/>
              </w:rPr>
            </w:pPr>
            <w:r>
              <w:rPr>
                <w:rFonts w:hint="eastAsia"/>
                <w:highlight w:val="none"/>
                <w:vertAlign w:val="baseline"/>
                <w:lang w:val="en-US" w:eastAsia="zh-CN"/>
              </w:rPr>
              <w:t>外包装</w:t>
            </w:r>
          </w:p>
        </w:tc>
        <w:tc>
          <w:tcPr>
            <w:tcW w:w="2841" w:type="dxa"/>
            <w:shd w:val="clear" w:color="auto" w:fill="4F81BD"/>
            <w:noWrap w:val="0"/>
            <w:vAlign w:val="top"/>
          </w:tcPr>
          <w:p>
            <w:pPr>
              <w:rPr>
                <w:rFonts w:hint="eastAsia"/>
                <w:highlight w:val="none"/>
                <w:vertAlign w:val="baseline"/>
                <w:lang w:val="en-US" w:eastAsia="zh-CN"/>
              </w:rPr>
            </w:pPr>
          </w:p>
        </w:tc>
        <w:tc>
          <w:tcPr>
            <w:tcW w:w="2841" w:type="dxa"/>
            <w:shd w:val="clear" w:color="auto" w:fill="4F81BD"/>
            <w:noWrap w:val="0"/>
            <w:vAlign w:val="top"/>
          </w:tcPr>
          <w:p>
            <w:pPr>
              <w:rPr>
                <w:rFonts w:hint="default" w:eastAsia="宋体"/>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rPr>
                <w:rFonts w:hint="default"/>
                <w:highlight w:val="none"/>
                <w:vertAlign w:val="baseline"/>
                <w:lang w:val="en-US" w:eastAsia="zh-CN"/>
              </w:rPr>
            </w:pPr>
            <w:r>
              <w:rPr>
                <w:rFonts w:hint="eastAsia"/>
                <w:highlight w:val="none"/>
                <w:vertAlign w:val="baseline"/>
                <w:lang w:val="en-US" w:eastAsia="zh-CN"/>
              </w:rPr>
              <w:t>上翻带扣工具箱</w:t>
            </w:r>
          </w:p>
        </w:tc>
        <w:tc>
          <w:tcPr>
            <w:tcW w:w="2841" w:type="dxa"/>
            <w:noWrap w:val="0"/>
            <w:vAlign w:val="top"/>
          </w:tcPr>
          <w:p>
            <w:pPr>
              <w:rPr>
                <w:rFonts w:hint="default"/>
                <w:highlight w:val="none"/>
                <w:vertAlign w:val="baseline"/>
                <w:lang w:val="en-US" w:eastAsia="zh-CN"/>
              </w:rPr>
            </w:pPr>
            <w:r>
              <w:rPr>
                <w:rFonts w:hint="eastAsia"/>
                <w:highlight w:val="none"/>
                <w:vertAlign w:val="baseline"/>
                <w:lang w:val="en-US" w:eastAsia="zh-CN"/>
              </w:rPr>
              <w:t>330mm*255mm*80mm</w:t>
            </w:r>
          </w:p>
        </w:tc>
        <w:tc>
          <w:tcPr>
            <w:tcW w:w="2841" w:type="dxa"/>
            <w:noWrap w:val="0"/>
            <w:vAlign w:val="top"/>
          </w:tcPr>
          <w:p>
            <w:pPr>
              <w:rPr>
                <w:highlight w:val="none"/>
                <w:vertAlign w:val="baseline"/>
              </w:rPr>
            </w:pPr>
            <w:r>
              <w:rPr>
                <w:rFonts w:hint="eastAsia"/>
                <w:highlight w:val="none"/>
                <w:vertAlign w:val="baseline"/>
                <w:lang w:val="en-US" w:eastAsia="zh-CN"/>
              </w:rPr>
              <w:t>黑色</w:t>
            </w:r>
          </w:p>
        </w:tc>
      </w:tr>
    </w:tbl>
    <w:p>
      <w:pPr>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br w:type="page"/>
      </w:r>
    </w:p>
    <w:p>
      <w:pPr>
        <w:ind w:left="420" w:leftChars="0" w:firstLine="420" w:firstLineChars="0"/>
        <w:jc w:val="center"/>
        <w:outlineLvl w:val="0"/>
        <w:rPr>
          <w:rFonts w:ascii="仿宋" w:hAnsi="仿宋" w:eastAsia="仿宋" w:cs="仿宋"/>
          <w:b/>
          <w:bCs/>
          <w:sz w:val="44"/>
          <w:szCs w:val="44"/>
          <w:highlight w:val="none"/>
        </w:rPr>
      </w:pPr>
      <w:r>
        <w:rPr>
          <w:rFonts w:hint="eastAsia" w:ascii="仿宋" w:hAnsi="仿宋" w:eastAsia="仿宋" w:cs="仿宋"/>
          <w:b/>
          <w:bCs/>
          <w:sz w:val="44"/>
          <w:szCs w:val="44"/>
          <w:highlight w:val="none"/>
        </w:rPr>
        <w:t>第七章 评标办法</w:t>
      </w:r>
      <w:bookmarkEnd w:id="172"/>
    </w:p>
    <w:bookmarkEnd w:id="0"/>
    <w:p>
      <w:pPr>
        <w:jc w:val="both"/>
        <w:rPr>
          <w:rFonts w:ascii="仿宋" w:hAnsi="仿宋" w:eastAsia="仿宋" w:cs="仿宋"/>
          <w:b/>
          <w:bCs/>
          <w:sz w:val="24"/>
          <w:szCs w:val="24"/>
          <w:highlight w:val="none"/>
        </w:rPr>
      </w:pPr>
      <w:r>
        <w:rPr>
          <w:rFonts w:hint="eastAsia" w:ascii="仿宋" w:hAnsi="仿宋" w:eastAsia="仿宋" w:cs="仿宋"/>
          <w:b/>
          <w:bCs/>
          <w:sz w:val="24"/>
          <w:szCs w:val="24"/>
          <w:highlight w:val="none"/>
        </w:rPr>
        <w:t>1</w:t>
      </w:r>
      <w:r>
        <w:rPr>
          <w:rFonts w:ascii="仿宋" w:hAnsi="仿宋" w:eastAsia="仿宋" w:cs="仿宋"/>
          <w:b/>
          <w:bCs/>
          <w:sz w:val="24"/>
          <w:szCs w:val="24"/>
          <w:highlight w:val="none"/>
        </w:rPr>
        <w:t>.</w:t>
      </w:r>
      <w:r>
        <w:rPr>
          <w:rFonts w:hint="eastAsia" w:ascii="仿宋" w:hAnsi="仿宋" w:eastAsia="仿宋" w:cs="仿宋"/>
          <w:b/>
          <w:bCs/>
          <w:sz w:val="24"/>
          <w:szCs w:val="24"/>
          <w:highlight w:val="none"/>
        </w:rPr>
        <w:t>资格审查</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w:t>
      </w:r>
      <w:r>
        <w:rPr>
          <w:rFonts w:ascii="仿宋" w:hAnsi="仿宋" w:eastAsia="仿宋" w:cs="Times New Roman"/>
          <w:sz w:val="24"/>
          <w:szCs w:val="24"/>
          <w:highlight w:val="none"/>
        </w:rPr>
        <w:t xml:space="preserve">.1 </w:t>
      </w:r>
      <w:r>
        <w:rPr>
          <w:rFonts w:hint="eastAsia" w:ascii="仿宋" w:hAnsi="仿宋" w:eastAsia="仿宋" w:cs="Times New Roman"/>
          <w:sz w:val="24"/>
          <w:szCs w:val="24"/>
          <w:highlight w:val="none"/>
        </w:rPr>
        <w:t>公开招标采购项目开标结束后，由采购人或者采购代理机构对投标人的资格进行审查。</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w:t>
      </w:r>
      <w:r>
        <w:rPr>
          <w:rFonts w:ascii="仿宋" w:hAnsi="仿宋" w:eastAsia="仿宋" w:cs="Times New Roman"/>
          <w:sz w:val="24"/>
          <w:szCs w:val="24"/>
          <w:highlight w:val="none"/>
        </w:rPr>
        <w:t xml:space="preserve">.2 </w:t>
      </w:r>
      <w:r>
        <w:rPr>
          <w:rFonts w:hint="eastAsia" w:ascii="仿宋" w:hAnsi="仿宋" w:eastAsia="仿宋" w:cs="Times New Roman"/>
          <w:sz w:val="24"/>
          <w:szCs w:val="24"/>
          <w:highlight w:val="none"/>
        </w:rPr>
        <w:t>未通过资格审查的投标人为不合格投标人，不进入评标环节。</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w:t>
      </w:r>
      <w:r>
        <w:rPr>
          <w:rFonts w:ascii="仿宋" w:hAnsi="仿宋" w:eastAsia="仿宋" w:cs="Times New Roman"/>
          <w:sz w:val="24"/>
          <w:szCs w:val="24"/>
          <w:highlight w:val="none"/>
        </w:rPr>
        <w:t xml:space="preserve">.3 </w:t>
      </w:r>
      <w:r>
        <w:rPr>
          <w:rFonts w:hint="eastAsia" w:ascii="仿宋" w:hAnsi="仿宋" w:eastAsia="仿宋" w:cs="Times New Roman"/>
          <w:sz w:val="24"/>
          <w:szCs w:val="24"/>
          <w:highlight w:val="none"/>
        </w:rPr>
        <w:t>合格投标人不足</w:t>
      </w:r>
      <w:r>
        <w:rPr>
          <w:rFonts w:ascii="仿宋" w:hAnsi="仿宋" w:eastAsia="仿宋" w:cs="Times New Roman"/>
          <w:sz w:val="24"/>
          <w:szCs w:val="24"/>
          <w:highlight w:val="none"/>
        </w:rPr>
        <w:t>3家的，</w:t>
      </w:r>
      <w:r>
        <w:rPr>
          <w:rFonts w:hint="eastAsia" w:ascii="仿宋" w:hAnsi="仿宋" w:eastAsia="仿宋" w:cs="Times New Roman"/>
          <w:sz w:val="24"/>
          <w:szCs w:val="24"/>
          <w:highlight w:val="none"/>
        </w:rPr>
        <w:t>不执行</w:t>
      </w:r>
      <w:r>
        <w:rPr>
          <w:rFonts w:ascii="仿宋" w:hAnsi="仿宋" w:eastAsia="仿宋" w:cs="Times New Roman"/>
          <w:sz w:val="24"/>
          <w:szCs w:val="24"/>
          <w:highlight w:val="none"/>
        </w:rPr>
        <w:t>评标</w:t>
      </w:r>
      <w:r>
        <w:rPr>
          <w:rFonts w:hint="eastAsia" w:ascii="仿宋" w:hAnsi="仿宋" w:eastAsia="仿宋" w:cs="Times New Roman"/>
          <w:sz w:val="24"/>
          <w:szCs w:val="24"/>
          <w:highlight w:val="none"/>
        </w:rPr>
        <w:t>程序</w:t>
      </w:r>
      <w:r>
        <w:rPr>
          <w:rFonts w:ascii="仿宋" w:hAnsi="仿宋" w:eastAsia="仿宋" w:cs="Times New Roman"/>
          <w:sz w:val="24"/>
          <w:szCs w:val="24"/>
          <w:highlight w:val="none"/>
        </w:rPr>
        <w:t>。</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 xml:space="preserve">1.4 </w:t>
      </w:r>
      <w:r>
        <w:rPr>
          <w:rFonts w:hint="eastAsia" w:ascii="仿宋" w:hAnsi="仿宋" w:eastAsia="仿宋" w:cs="Times New Roman"/>
          <w:sz w:val="24"/>
          <w:szCs w:val="24"/>
          <w:highlight w:val="none"/>
        </w:rPr>
        <w:t>资格审查标准、条件以下表（资格审查细则表）要求为准</w:t>
      </w:r>
    </w:p>
    <w:p>
      <w:pPr>
        <w:widowControl/>
        <w:spacing w:line="360" w:lineRule="auto"/>
        <w:ind w:firstLine="482" w:firstLineChars="200"/>
        <w:jc w:val="center"/>
        <w:rPr>
          <w:rFonts w:ascii="仿宋" w:hAnsi="仿宋" w:eastAsia="仿宋" w:cs="Times New Roman"/>
          <w:b/>
          <w:bCs/>
          <w:sz w:val="24"/>
          <w:szCs w:val="24"/>
          <w:highlight w:val="none"/>
        </w:rPr>
      </w:pPr>
      <w:r>
        <w:rPr>
          <w:rFonts w:hint="eastAsia" w:ascii="仿宋" w:hAnsi="仿宋" w:eastAsia="仿宋" w:cs="Times New Roman"/>
          <w:b/>
          <w:bCs/>
          <w:sz w:val="24"/>
          <w:szCs w:val="24"/>
          <w:highlight w:val="none"/>
        </w:rPr>
        <w:t>资格审查细则表</w:t>
      </w:r>
    </w:p>
    <w:tbl>
      <w:tblPr>
        <w:tblStyle w:val="9"/>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2056"/>
        <w:gridCol w:w="5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07" w:type="dxa"/>
            <w:vAlign w:val="center"/>
          </w:tcPr>
          <w:p>
            <w:pPr>
              <w:widowControl/>
              <w:jc w:val="center"/>
              <w:rPr>
                <w:rFonts w:ascii="仿宋" w:hAnsi="仿宋" w:eastAsia="仿宋"/>
                <w:b/>
                <w:bCs/>
                <w:kern w:val="0"/>
                <w:szCs w:val="21"/>
                <w:highlight w:val="none"/>
              </w:rPr>
            </w:pPr>
            <w:r>
              <w:rPr>
                <w:rFonts w:hint="eastAsia" w:ascii="仿宋" w:hAnsi="仿宋" w:eastAsia="仿宋"/>
                <w:b/>
                <w:bCs/>
                <w:kern w:val="0"/>
                <w:szCs w:val="21"/>
                <w:highlight w:val="none"/>
              </w:rPr>
              <w:t>序号</w:t>
            </w:r>
          </w:p>
        </w:tc>
        <w:tc>
          <w:tcPr>
            <w:tcW w:w="2056" w:type="dxa"/>
            <w:vAlign w:val="center"/>
          </w:tcPr>
          <w:p>
            <w:pPr>
              <w:widowControl/>
              <w:jc w:val="center"/>
              <w:rPr>
                <w:rFonts w:ascii="仿宋" w:hAnsi="仿宋" w:eastAsia="仿宋"/>
                <w:b/>
                <w:bCs/>
                <w:kern w:val="0"/>
                <w:szCs w:val="21"/>
                <w:highlight w:val="none"/>
              </w:rPr>
            </w:pPr>
            <w:r>
              <w:rPr>
                <w:rFonts w:hint="eastAsia" w:ascii="仿宋" w:hAnsi="仿宋" w:eastAsia="仿宋"/>
                <w:b/>
                <w:bCs/>
                <w:kern w:val="0"/>
                <w:szCs w:val="21"/>
                <w:highlight w:val="none"/>
              </w:rPr>
              <w:t>审查项目</w:t>
            </w:r>
          </w:p>
        </w:tc>
        <w:tc>
          <w:tcPr>
            <w:tcW w:w="5569" w:type="dxa"/>
            <w:vAlign w:val="center"/>
          </w:tcPr>
          <w:p>
            <w:pPr>
              <w:widowControl/>
              <w:jc w:val="center"/>
              <w:rPr>
                <w:rFonts w:ascii="仿宋" w:hAnsi="仿宋" w:eastAsia="仿宋"/>
                <w:b/>
                <w:kern w:val="0"/>
                <w:szCs w:val="21"/>
                <w:highlight w:val="none"/>
              </w:rPr>
            </w:pPr>
            <w:r>
              <w:rPr>
                <w:rFonts w:hint="eastAsia" w:ascii="仿宋" w:hAnsi="仿宋" w:eastAsia="仿宋"/>
                <w:b/>
                <w:kern w:val="0"/>
                <w:szCs w:val="21"/>
                <w:highlight w:val="none"/>
              </w:rPr>
              <w:t>审查内容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807"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1</w:t>
            </w:r>
          </w:p>
        </w:tc>
        <w:tc>
          <w:tcPr>
            <w:tcW w:w="2056"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具备《中华人民共和国政府采购法》第二十二条规定的条件</w:t>
            </w:r>
          </w:p>
        </w:tc>
        <w:tc>
          <w:tcPr>
            <w:tcW w:w="5569" w:type="dxa"/>
            <w:vAlign w:val="center"/>
          </w:tcPr>
          <w:p>
            <w:pPr>
              <w:widowControl/>
              <w:jc w:val="left"/>
              <w:rPr>
                <w:rFonts w:ascii="仿宋" w:hAnsi="仿宋" w:eastAsia="仿宋"/>
                <w:kern w:val="0"/>
                <w:szCs w:val="21"/>
                <w:highlight w:val="none"/>
              </w:rPr>
            </w:pPr>
            <w:r>
              <w:rPr>
                <w:rFonts w:hint="eastAsia" w:ascii="仿宋" w:hAnsi="仿宋" w:eastAsia="仿宋"/>
                <w:kern w:val="0"/>
                <w:szCs w:val="21"/>
                <w:highlight w:val="none"/>
              </w:rPr>
              <w:t>（一）具有独立承担民事责任的能力；</w:t>
            </w:r>
          </w:p>
          <w:p>
            <w:pPr>
              <w:widowControl/>
              <w:jc w:val="left"/>
              <w:rPr>
                <w:rFonts w:ascii="仿宋" w:hAnsi="仿宋" w:eastAsia="仿宋"/>
                <w:kern w:val="0"/>
                <w:szCs w:val="21"/>
                <w:highlight w:val="none"/>
              </w:rPr>
            </w:pPr>
            <w:r>
              <w:rPr>
                <w:rFonts w:hint="eastAsia" w:ascii="仿宋" w:hAnsi="仿宋" w:eastAsia="仿宋"/>
                <w:kern w:val="0"/>
                <w:szCs w:val="21"/>
                <w:highlight w:val="none"/>
              </w:rPr>
              <w:t>（二）具有良好的商业信誉和健全的财务会计制度；</w:t>
            </w:r>
          </w:p>
          <w:p>
            <w:pPr>
              <w:widowControl/>
              <w:jc w:val="left"/>
              <w:rPr>
                <w:rFonts w:ascii="仿宋" w:hAnsi="仿宋" w:eastAsia="仿宋"/>
                <w:kern w:val="0"/>
                <w:szCs w:val="21"/>
                <w:highlight w:val="none"/>
              </w:rPr>
            </w:pPr>
            <w:r>
              <w:rPr>
                <w:rFonts w:hint="eastAsia" w:ascii="仿宋" w:hAnsi="仿宋" w:eastAsia="仿宋"/>
                <w:kern w:val="0"/>
                <w:szCs w:val="21"/>
                <w:highlight w:val="none"/>
              </w:rPr>
              <w:t>（三）具有履行合同所必需的设备和专业技术能力；</w:t>
            </w:r>
          </w:p>
          <w:p>
            <w:pPr>
              <w:widowControl/>
              <w:jc w:val="left"/>
              <w:rPr>
                <w:rFonts w:ascii="仿宋" w:hAnsi="仿宋" w:eastAsia="仿宋"/>
                <w:kern w:val="0"/>
                <w:szCs w:val="21"/>
                <w:highlight w:val="none"/>
              </w:rPr>
            </w:pPr>
            <w:r>
              <w:rPr>
                <w:rFonts w:hint="eastAsia" w:ascii="仿宋" w:hAnsi="仿宋" w:eastAsia="仿宋"/>
                <w:kern w:val="0"/>
                <w:szCs w:val="21"/>
                <w:highlight w:val="none"/>
              </w:rPr>
              <w:t>（四）有依法缴纳税收和社会保障资金的良好记录；</w:t>
            </w:r>
          </w:p>
          <w:p>
            <w:pPr>
              <w:widowControl/>
              <w:jc w:val="left"/>
              <w:rPr>
                <w:rFonts w:ascii="仿宋" w:hAnsi="仿宋" w:eastAsia="仿宋"/>
                <w:kern w:val="0"/>
                <w:szCs w:val="21"/>
                <w:highlight w:val="none"/>
              </w:rPr>
            </w:pPr>
            <w:r>
              <w:rPr>
                <w:rFonts w:hint="eastAsia" w:ascii="仿宋" w:hAnsi="仿宋" w:eastAsia="仿宋"/>
                <w:kern w:val="0"/>
                <w:szCs w:val="21"/>
                <w:highlight w:val="none"/>
              </w:rPr>
              <w:t>（五）参加政府采购活动前三年内，在经营活动中没有重大违法记录；</w:t>
            </w:r>
          </w:p>
          <w:p>
            <w:pPr>
              <w:widowControl/>
              <w:jc w:val="left"/>
              <w:rPr>
                <w:rFonts w:ascii="仿宋" w:hAnsi="仿宋" w:eastAsia="仿宋"/>
                <w:kern w:val="0"/>
                <w:szCs w:val="21"/>
                <w:highlight w:val="none"/>
              </w:rPr>
            </w:pPr>
            <w:r>
              <w:rPr>
                <w:rFonts w:hint="eastAsia" w:ascii="仿宋" w:hAnsi="仿宋" w:eastAsia="仿宋"/>
                <w:kern w:val="0"/>
                <w:szCs w:val="21"/>
                <w:highlight w:val="none"/>
              </w:rPr>
              <w:t>（六）法律、行政法规规定的其他条件。</w:t>
            </w:r>
          </w:p>
          <w:p>
            <w:pPr>
              <w:widowControl/>
              <w:jc w:val="left"/>
              <w:rPr>
                <w:rFonts w:ascii="仿宋" w:hAnsi="仿宋" w:eastAsia="仿宋"/>
                <w:kern w:val="0"/>
                <w:szCs w:val="21"/>
                <w:highlight w:val="none"/>
              </w:rPr>
            </w:pPr>
            <w:r>
              <w:rPr>
                <w:rFonts w:hint="eastAsia" w:ascii="仿宋" w:hAnsi="仿宋" w:eastAsia="仿宋"/>
                <w:kern w:val="0"/>
                <w:szCs w:val="21"/>
                <w:highlight w:val="none"/>
              </w:rPr>
              <w:t>具体按照招标文件“第五章 投标文件格式 附件5</w:t>
            </w:r>
            <w:r>
              <w:rPr>
                <w:rFonts w:ascii="仿宋" w:hAnsi="仿宋" w:eastAsia="仿宋"/>
                <w:kern w:val="0"/>
                <w:szCs w:val="21"/>
                <w:highlight w:val="none"/>
              </w:rPr>
              <w:t xml:space="preserve"> </w:t>
            </w:r>
            <w:r>
              <w:rPr>
                <w:rFonts w:hint="eastAsia" w:ascii="仿宋" w:hAnsi="仿宋" w:eastAsia="仿宋"/>
                <w:kern w:val="0"/>
                <w:szCs w:val="21"/>
                <w:highlight w:val="none"/>
              </w:rPr>
              <w:t>资格审查资料”相关要求执行。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07" w:type="dxa"/>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2</w:t>
            </w:r>
          </w:p>
        </w:tc>
        <w:tc>
          <w:tcPr>
            <w:tcW w:w="2056" w:type="dxa"/>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投标人诚信</w:t>
            </w:r>
          </w:p>
        </w:tc>
        <w:tc>
          <w:tcPr>
            <w:tcW w:w="5569" w:type="dxa"/>
            <w:vAlign w:val="center"/>
          </w:tcPr>
          <w:p>
            <w:pPr>
              <w:widowControl/>
              <w:jc w:val="left"/>
              <w:rPr>
                <w:rFonts w:ascii="仿宋" w:hAnsi="仿宋" w:eastAsia="仿宋"/>
                <w:kern w:val="0"/>
                <w:szCs w:val="21"/>
                <w:highlight w:val="none"/>
              </w:rPr>
            </w:pPr>
            <w:r>
              <w:rPr>
                <w:rFonts w:hint="eastAsia" w:ascii="仿宋" w:hAnsi="仿宋" w:eastAsia="仿宋"/>
                <w:kern w:val="0"/>
                <w:szCs w:val="21"/>
                <w:highlight w:val="none"/>
              </w:rPr>
              <w:t>根据《关于在政府采购活动中查询及使用信用记录有关问题的通知》（财库〔</w:t>
            </w:r>
            <w:r>
              <w:rPr>
                <w:rFonts w:ascii="仿宋" w:hAnsi="仿宋" w:eastAsia="仿宋"/>
                <w:kern w:val="0"/>
                <w:szCs w:val="21"/>
                <w:highlight w:val="none"/>
              </w:rPr>
              <w:t>2016〕125号）的要求，采购代理机构将通过“信用中国”网站（www.creditchina.gov.cn）、“中国政府采购网”网站（www.ccgp.gov.cn）等渠道查询供应商在</w:t>
            </w:r>
            <w:r>
              <w:rPr>
                <w:rFonts w:hint="eastAsia" w:ascii="仿宋" w:hAnsi="仿宋" w:eastAsia="仿宋"/>
                <w:kern w:val="0"/>
                <w:szCs w:val="21"/>
                <w:highlight w:val="none"/>
              </w:rPr>
              <w:t>采购结果公示</w:t>
            </w:r>
            <w:r>
              <w:rPr>
                <w:rFonts w:ascii="仿宋" w:hAnsi="仿宋" w:eastAsia="仿宋"/>
                <w:kern w:val="0"/>
                <w:szCs w:val="21"/>
                <w:highlight w:val="none"/>
              </w:rPr>
              <w:t>前的信用记录</w:t>
            </w:r>
            <w:r>
              <w:rPr>
                <w:rFonts w:hint="eastAsia" w:ascii="仿宋" w:hAnsi="仿宋" w:eastAsia="仿宋"/>
                <w:kern w:val="0"/>
                <w:szCs w:val="21"/>
                <w:highlight w:val="none"/>
              </w:rPr>
              <w:t>或由投标人自行在投标文件中提供查询截图</w:t>
            </w:r>
            <w:r>
              <w:rPr>
                <w:rFonts w:ascii="仿宋" w:hAnsi="仿宋" w:eastAsia="仿宋"/>
                <w:kern w:val="0"/>
                <w:szCs w:val="21"/>
                <w:highlight w:val="none"/>
              </w:rPr>
              <w:t>，拒绝列入失信被执行人名单、</w:t>
            </w:r>
            <w:r>
              <w:rPr>
                <w:rFonts w:hint="eastAsia" w:ascii="仿宋" w:hAnsi="仿宋" w:eastAsia="仿宋"/>
                <w:kern w:val="0"/>
                <w:szCs w:val="21"/>
                <w:highlight w:val="none"/>
              </w:rPr>
              <w:t>税收违法黑名单</w:t>
            </w:r>
            <w:r>
              <w:rPr>
                <w:rFonts w:ascii="仿宋" w:hAnsi="仿宋" w:eastAsia="仿宋"/>
                <w:kern w:val="0"/>
                <w:szCs w:val="21"/>
                <w:highlight w:val="none"/>
              </w:rPr>
              <w:t>、政府采购严重违法失信行为记录名单中的供应商参加本项目的采购活动（以联合体形式参加本项目采购活动，联合体成员存在不良信用记录的，视同联合体存在不良信用记录）。信用信息查询记录和证据</w:t>
            </w:r>
            <w:r>
              <w:rPr>
                <w:rFonts w:hint="eastAsia" w:ascii="仿宋" w:hAnsi="仿宋" w:eastAsia="仿宋"/>
                <w:kern w:val="0"/>
                <w:szCs w:val="21"/>
                <w:highlight w:val="none"/>
              </w:rPr>
              <w:t>由采购代理机构随其他采购文件一同留存，信用信息仅在法律规定范围内使用。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07" w:type="dxa"/>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3</w:t>
            </w:r>
          </w:p>
        </w:tc>
        <w:tc>
          <w:tcPr>
            <w:tcW w:w="2056" w:type="dxa"/>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特定资格条件</w:t>
            </w:r>
          </w:p>
        </w:tc>
        <w:tc>
          <w:tcPr>
            <w:tcW w:w="5569" w:type="dxa"/>
            <w:vAlign w:val="center"/>
          </w:tcPr>
          <w:p>
            <w:pPr>
              <w:widowControl/>
              <w:jc w:val="left"/>
              <w:rPr>
                <w:rFonts w:ascii="仿宋" w:hAnsi="仿宋" w:eastAsia="仿宋"/>
                <w:kern w:val="0"/>
                <w:szCs w:val="21"/>
                <w:highlight w:val="none"/>
              </w:rPr>
            </w:pPr>
            <w:r>
              <w:rPr>
                <w:rFonts w:hint="eastAsia" w:ascii="仿宋" w:hAnsi="仿宋" w:eastAsia="仿宋"/>
                <w:kern w:val="0"/>
                <w:szCs w:val="21"/>
                <w:highlight w:val="none"/>
              </w:rPr>
              <w:t>第</w:t>
            </w:r>
            <w:r>
              <w:rPr>
                <w:rFonts w:hint="eastAsia" w:ascii="仿宋" w:hAnsi="仿宋" w:eastAsia="仿宋"/>
                <w:kern w:val="0"/>
                <w:szCs w:val="21"/>
                <w:highlight w:val="none"/>
                <w:lang w:eastAsia="zh-CN"/>
              </w:rPr>
              <w:t>二至四标段</w:t>
            </w:r>
            <w:r>
              <w:rPr>
                <w:rFonts w:hint="eastAsia" w:ascii="仿宋" w:hAnsi="仿宋" w:eastAsia="仿宋"/>
                <w:kern w:val="0"/>
                <w:szCs w:val="21"/>
                <w:highlight w:val="none"/>
              </w:rPr>
              <w:t>潜在投标人需</w:t>
            </w:r>
            <w:r>
              <w:rPr>
                <w:rFonts w:hint="eastAsia" w:ascii="仿宋" w:hAnsi="仿宋" w:eastAsia="仿宋"/>
                <w:kern w:val="0"/>
                <w:szCs w:val="21"/>
                <w:highlight w:val="none"/>
                <w:lang w:eastAsia="zh-CN"/>
              </w:rPr>
              <w:t>为生产企业，必须是在中国兽医网上公布名录中的二维码耳标生产企业。投标文件中需提供中国兽医网名录截图并</w:t>
            </w:r>
            <w:r>
              <w:rPr>
                <w:rFonts w:hint="eastAsia" w:ascii="仿宋" w:hAnsi="仿宋" w:eastAsia="仿宋"/>
                <w:kern w:val="0"/>
                <w:szCs w:val="21"/>
                <w:highlight w:val="none"/>
              </w:rPr>
              <w:t>提供与中国动物疫病预防控制中心签订的本项目执行期间有效的《动物标识专用二维条形码编解码及摄像识读软件</w:t>
            </w:r>
            <w:r>
              <w:rPr>
                <w:rFonts w:ascii="仿宋" w:hAnsi="仿宋" w:eastAsia="仿宋"/>
                <w:kern w:val="0"/>
                <w:szCs w:val="21"/>
                <w:highlight w:val="none"/>
              </w:rPr>
              <w:t>v1.0</w:t>
            </w:r>
            <w:r>
              <w:rPr>
                <w:rFonts w:hint="eastAsia" w:ascii="仿宋" w:hAnsi="仿宋" w:eastAsia="仿宋"/>
                <w:kern w:val="0"/>
                <w:szCs w:val="21"/>
                <w:highlight w:val="none"/>
              </w:rPr>
              <w:t>授权许可使用协议书》或《追溯系统牲畜耳标生产控制软件授权许可使用协议》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807" w:type="dxa"/>
            <w:vAlign w:val="center"/>
          </w:tcPr>
          <w:p>
            <w:pPr>
              <w:widowControl/>
              <w:jc w:val="center"/>
              <w:rPr>
                <w:rFonts w:hint="eastAsia" w:ascii="仿宋" w:hAnsi="仿宋" w:eastAsia="仿宋"/>
                <w:bCs/>
                <w:kern w:val="0"/>
                <w:szCs w:val="21"/>
                <w:highlight w:val="none"/>
                <w:lang w:val="en-US" w:eastAsia="zh-CN"/>
              </w:rPr>
            </w:pPr>
            <w:r>
              <w:rPr>
                <w:rFonts w:hint="eastAsia" w:ascii="仿宋" w:hAnsi="仿宋" w:eastAsia="仿宋"/>
                <w:bCs/>
                <w:kern w:val="0"/>
                <w:szCs w:val="21"/>
                <w:highlight w:val="none"/>
                <w:lang w:val="en-US" w:eastAsia="zh-CN"/>
              </w:rPr>
              <w:t>4</w:t>
            </w:r>
          </w:p>
        </w:tc>
        <w:tc>
          <w:tcPr>
            <w:tcW w:w="2056" w:type="dxa"/>
            <w:vAlign w:val="center"/>
          </w:tcPr>
          <w:p>
            <w:pPr>
              <w:widowControl/>
              <w:jc w:val="center"/>
              <w:rPr>
                <w:rFonts w:hint="default" w:ascii="仿宋" w:hAnsi="仿宋" w:eastAsia="仿宋"/>
                <w:bCs/>
                <w:kern w:val="0"/>
                <w:szCs w:val="21"/>
                <w:highlight w:val="none"/>
                <w:lang w:val="en-US" w:eastAsia="zh-CN"/>
              </w:rPr>
            </w:pPr>
            <w:r>
              <w:rPr>
                <w:rFonts w:hint="eastAsia" w:ascii="仿宋" w:hAnsi="仿宋" w:eastAsia="仿宋"/>
                <w:bCs/>
                <w:kern w:val="0"/>
                <w:szCs w:val="21"/>
                <w:highlight w:val="none"/>
                <w:lang w:val="en-US" w:eastAsia="zh-CN"/>
              </w:rPr>
              <w:t>联合体投标</w:t>
            </w:r>
          </w:p>
        </w:tc>
        <w:tc>
          <w:tcPr>
            <w:tcW w:w="5569" w:type="dxa"/>
            <w:vAlign w:val="center"/>
          </w:tcPr>
          <w:p>
            <w:pPr>
              <w:widowControl/>
              <w:jc w:val="left"/>
              <w:rPr>
                <w:rFonts w:hint="default" w:ascii="仿宋" w:hAnsi="仿宋" w:eastAsia="仿宋"/>
                <w:kern w:val="0"/>
                <w:szCs w:val="21"/>
                <w:highlight w:val="none"/>
                <w:lang w:val="en-US" w:eastAsia="zh-CN"/>
              </w:rPr>
            </w:pPr>
            <w:r>
              <w:rPr>
                <w:rFonts w:hint="eastAsia" w:ascii="仿宋" w:hAnsi="仿宋" w:eastAsia="仿宋"/>
                <w:kern w:val="0"/>
                <w:szCs w:val="21"/>
                <w:highlight w:val="none"/>
                <w:lang w:val="en-US" w:eastAsia="zh-CN"/>
              </w:rPr>
              <w:t>本项目第一至第四标段不接受联合体投标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432" w:type="dxa"/>
            <w:gridSpan w:val="3"/>
            <w:vAlign w:val="center"/>
          </w:tcPr>
          <w:p>
            <w:pPr>
              <w:widowControl/>
              <w:rPr>
                <w:rFonts w:ascii="仿宋" w:hAnsi="仿宋" w:eastAsia="仿宋"/>
                <w:kern w:val="0"/>
                <w:szCs w:val="21"/>
                <w:highlight w:val="none"/>
              </w:rPr>
            </w:pPr>
            <w:r>
              <w:rPr>
                <w:rFonts w:hint="eastAsia" w:ascii="仿宋" w:hAnsi="仿宋" w:eastAsia="仿宋"/>
                <w:kern w:val="0"/>
                <w:szCs w:val="21"/>
                <w:highlight w:val="none"/>
              </w:rPr>
              <w:t>注：以上各项有任意一条不满足视为未通过资格审查，为不合格投标人，不进入评标。</w:t>
            </w:r>
          </w:p>
        </w:tc>
      </w:tr>
    </w:tbl>
    <w:p>
      <w:pPr>
        <w:widowControl/>
        <w:spacing w:line="360" w:lineRule="auto"/>
        <w:ind w:firstLine="482" w:firstLineChars="200"/>
        <w:rPr>
          <w:rFonts w:ascii="仿宋" w:hAnsi="仿宋" w:eastAsia="仿宋" w:cs="Times New Roman"/>
          <w:b/>
          <w:bCs/>
          <w:sz w:val="24"/>
          <w:szCs w:val="24"/>
          <w:highlight w:val="none"/>
        </w:rPr>
      </w:pPr>
      <w:r>
        <w:rPr>
          <w:rFonts w:hint="eastAsia" w:ascii="仿宋" w:hAnsi="仿宋" w:eastAsia="仿宋" w:cs="Times New Roman"/>
          <w:b/>
          <w:bCs/>
          <w:sz w:val="24"/>
          <w:szCs w:val="24"/>
          <w:highlight w:val="none"/>
        </w:rPr>
        <w:t>2</w:t>
      </w:r>
      <w:r>
        <w:rPr>
          <w:rFonts w:ascii="仿宋" w:hAnsi="仿宋" w:eastAsia="仿宋" w:cs="Times New Roman"/>
          <w:b/>
          <w:bCs/>
          <w:sz w:val="24"/>
          <w:szCs w:val="24"/>
          <w:highlight w:val="none"/>
        </w:rPr>
        <w:t xml:space="preserve">. </w:t>
      </w:r>
      <w:r>
        <w:rPr>
          <w:rFonts w:hint="eastAsia" w:ascii="仿宋" w:hAnsi="仿宋" w:eastAsia="仿宋" w:cs="Times New Roman"/>
          <w:b/>
          <w:bCs/>
          <w:sz w:val="24"/>
          <w:szCs w:val="24"/>
          <w:highlight w:val="none"/>
        </w:rPr>
        <w:t>评标</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.1 </w:t>
      </w:r>
      <w:r>
        <w:rPr>
          <w:rFonts w:hint="eastAsia" w:ascii="仿宋" w:hAnsi="仿宋" w:eastAsia="仿宋" w:cs="Times New Roman"/>
          <w:sz w:val="24"/>
          <w:szCs w:val="24"/>
          <w:highlight w:val="none"/>
        </w:rPr>
        <w:t>评标方法</w:t>
      </w:r>
    </w:p>
    <w:p>
      <w:pPr>
        <w:widowControl/>
        <w:spacing w:line="360" w:lineRule="auto"/>
        <w:ind w:firstLine="482" w:firstLineChars="200"/>
        <w:rPr>
          <w:rFonts w:ascii="仿宋" w:hAnsi="仿宋" w:eastAsia="仿宋" w:cs="Times New Roman"/>
          <w:b/>
          <w:bCs/>
          <w:sz w:val="24"/>
          <w:szCs w:val="24"/>
          <w:highlight w:val="none"/>
        </w:rPr>
      </w:pPr>
      <w:r>
        <w:rPr>
          <w:rFonts w:hint="eastAsia" w:ascii="仿宋" w:hAnsi="仿宋" w:eastAsia="仿宋" w:cs="Times New Roman"/>
          <w:b/>
          <w:bCs/>
          <w:sz w:val="24"/>
          <w:szCs w:val="24"/>
          <w:highlight w:val="none"/>
        </w:rPr>
        <w:t>本项目采用综合评分法。</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.2 </w:t>
      </w:r>
      <w:r>
        <w:rPr>
          <w:rFonts w:hint="eastAsia" w:ascii="仿宋" w:hAnsi="仿宋" w:eastAsia="仿宋" w:cs="Times New Roman"/>
          <w:sz w:val="24"/>
          <w:szCs w:val="24"/>
          <w:highlight w:val="none"/>
        </w:rPr>
        <w:t>评标委员会</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.2.1 </w:t>
      </w:r>
      <w:r>
        <w:rPr>
          <w:rFonts w:hint="eastAsia" w:ascii="仿宋" w:hAnsi="仿宋" w:eastAsia="仿宋" w:cs="Times New Roman"/>
          <w:sz w:val="24"/>
          <w:szCs w:val="24"/>
          <w:highlight w:val="none"/>
        </w:rPr>
        <w:t>评标委员会的组成</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依照“投标人须知前附表”要求组建。</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.2.2 </w:t>
      </w:r>
      <w:r>
        <w:rPr>
          <w:rFonts w:hint="eastAsia" w:ascii="仿宋" w:hAnsi="仿宋" w:eastAsia="仿宋" w:cs="Times New Roman"/>
          <w:sz w:val="24"/>
          <w:szCs w:val="24"/>
          <w:highlight w:val="none"/>
        </w:rPr>
        <w:t>评标委员会负责具体评标事务，并独立履行评标职责。</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.2.3 与投标人有利害关系的</w:t>
      </w:r>
      <w:r>
        <w:rPr>
          <w:rFonts w:hint="eastAsia" w:ascii="仿宋" w:hAnsi="仿宋" w:eastAsia="仿宋" w:cs="Times New Roman"/>
          <w:sz w:val="24"/>
          <w:szCs w:val="24"/>
          <w:highlight w:val="none"/>
        </w:rPr>
        <w:t>，</w:t>
      </w:r>
      <w:r>
        <w:rPr>
          <w:rFonts w:ascii="仿宋" w:hAnsi="仿宋" w:eastAsia="仿宋" w:cs="Times New Roman"/>
          <w:sz w:val="24"/>
          <w:szCs w:val="24"/>
          <w:highlight w:val="none"/>
        </w:rPr>
        <w:t>不得进入评标委员会。</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.2.4 评标委员会成员名单在中标结果确定前保密。</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.2 </w:t>
      </w:r>
      <w:r>
        <w:rPr>
          <w:rFonts w:hint="eastAsia" w:ascii="仿宋" w:hAnsi="仿宋" w:eastAsia="仿宋" w:cs="Times New Roman"/>
          <w:sz w:val="24"/>
          <w:szCs w:val="24"/>
          <w:highlight w:val="none"/>
        </w:rPr>
        <w:t>评标程序</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评标委员会应按照以下顺序开展评标工作：</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（1）推选评标委员会组长；</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2</w:t>
      </w:r>
      <w:r>
        <w:rPr>
          <w:rFonts w:hint="eastAsia" w:ascii="仿宋" w:hAnsi="仿宋" w:eastAsia="仿宋" w:cs="Times New Roman"/>
          <w:sz w:val="24"/>
          <w:szCs w:val="24"/>
          <w:highlight w:val="none"/>
        </w:rPr>
        <w:t>）进行符合性审查；</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3</w:t>
      </w:r>
      <w:r>
        <w:rPr>
          <w:rFonts w:hint="eastAsia" w:ascii="仿宋" w:hAnsi="仿宋" w:eastAsia="仿宋" w:cs="Times New Roman"/>
          <w:sz w:val="24"/>
          <w:szCs w:val="24"/>
          <w:highlight w:val="none"/>
        </w:rPr>
        <w:t>）详细评审；</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w:t>
      </w:r>
      <w:r>
        <w:rPr>
          <w:rFonts w:ascii="仿宋" w:hAnsi="仿宋" w:eastAsia="仿宋" w:cs="Times New Roman"/>
          <w:sz w:val="24"/>
          <w:szCs w:val="24"/>
          <w:highlight w:val="none"/>
        </w:rPr>
        <w:t>4</w:t>
      </w:r>
      <w:r>
        <w:rPr>
          <w:rFonts w:hint="eastAsia" w:ascii="仿宋" w:hAnsi="仿宋" w:eastAsia="仿宋" w:cs="Times New Roman"/>
          <w:sz w:val="24"/>
          <w:szCs w:val="24"/>
          <w:highlight w:val="none"/>
        </w:rPr>
        <w:t>）排序并推荐中标候选人，或直接确定中标人。</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.3 </w:t>
      </w:r>
      <w:r>
        <w:rPr>
          <w:rFonts w:hint="eastAsia" w:ascii="仿宋" w:hAnsi="仿宋" w:eastAsia="仿宋" w:cs="Times New Roman"/>
          <w:sz w:val="24"/>
          <w:szCs w:val="24"/>
          <w:highlight w:val="none"/>
        </w:rPr>
        <w:t>符合性审查</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.3.1 </w:t>
      </w:r>
      <w:r>
        <w:rPr>
          <w:rFonts w:hint="eastAsia" w:ascii="仿宋" w:hAnsi="仿宋" w:eastAsia="仿宋" w:cs="Times New Roman"/>
          <w:sz w:val="24"/>
          <w:szCs w:val="24"/>
          <w:highlight w:val="none"/>
        </w:rPr>
        <w:t>评标委员会应对通过资格审查的投标人进行符合性审查。</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.3.2 </w:t>
      </w:r>
      <w:r>
        <w:rPr>
          <w:rFonts w:hint="eastAsia" w:ascii="仿宋" w:hAnsi="仿宋" w:eastAsia="仿宋" w:cs="Times New Roman"/>
          <w:sz w:val="24"/>
          <w:szCs w:val="24"/>
          <w:highlight w:val="none"/>
        </w:rPr>
        <w:t>符合性审查细则</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符合性审查标准、条件以下表（符合性审查细则表）要求为准</w:t>
      </w:r>
    </w:p>
    <w:p>
      <w:pPr>
        <w:widowControl/>
        <w:spacing w:line="360" w:lineRule="auto"/>
        <w:ind w:firstLine="482" w:firstLineChars="200"/>
        <w:jc w:val="center"/>
        <w:rPr>
          <w:rFonts w:ascii="仿宋" w:hAnsi="仿宋" w:eastAsia="仿宋" w:cs="Times New Roman"/>
          <w:b/>
          <w:bCs/>
          <w:sz w:val="24"/>
          <w:szCs w:val="24"/>
          <w:highlight w:val="none"/>
        </w:rPr>
      </w:pPr>
      <w:r>
        <w:rPr>
          <w:rFonts w:hint="eastAsia" w:ascii="仿宋" w:hAnsi="仿宋" w:eastAsia="仿宋" w:cs="Times New Roman"/>
          <w:b/>
          <w:bCs/>
          <w:sz w:val="24"/>
          <w:szCs w:val="24"/>
          <w:highlight w:val="none"/>
        </w:rPr>
        <w:t>符合性审查细则表</w:t>
      </w:r>
    </w:p>
    <w:tbl>
      <w:tblPr>
        <w:tblStyle w:val="9"/>
        <w:tblW w:w="8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883"/>
        <w:gridCol w:w="5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
                <w:bCs/>
                <w:kern w:val="0"/>
                <w:szCs w:val="21"/>
                <w:highlight w:val="none"/>
              </w:rPr>
            </w:pPr>
            <w:r>
              <w:rPr>
                <w:rFonts w:hint="eastAsia" w:ascii="仿宋" w:hAnsi="仿宋" w:eastAsia="仿宋"/>
                <w:b/>
                <w:bCs/>
                <w:kern w:val="0"/>
                <w:szCs w:val="21"/>
                <w:highlight w:val="none"/>
              </w:rPr>
              <w:t>序号</w:t>
            </w:r>
          </w:p>
        </w:tc>
        <w:tc>
          <w:tcPr>
            <w:tcW w:w="1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
                <w:bCs/>
                <w:kern w:val="0"/>
                <w:szCs w:val="21"/>
                <w:highlight w:val="none"/>
              </w:rPr>
            </w:pPr>
            <w:r>
              <w:rPr>
                <w:rFonts w:hint="eastAsia" w:ascii="仿宋" w:hAnsi="仿宋" w:eastAsia="仿宋"/>
                <w:b/>
                <w:bCs/>
                <w:kern w:val="0"/>
                <w:szCs w:val="21"/>
                <w:highlight w:val="none"/>
              </w:rPr>
              <w:t>审查项目</w:t>
            </w:r>
          </w:p>
        </w:tc>
        <w:tc>
          <w:tcPr>
            <w:tcW w:w="56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
                <w:kern w:val="0"/>
                <w:szCs w:val="21"/>
                <w:highlight w:val="none"/>
              </w:rPr>
            </w:pPr>
            <w:r>
              <w:rPr>
                <w:rFonts w:hint="eastAsia" w:ascii="仿宋" w:hAnsi="仿宋" w:eastAsia="仿宋"/>
                <w:b/>
                <w:kern w:val="0"/>
                <w:szCs w:val="21"/>
                <w:highlight w:val="none"/>
              </w:rPr>
              <w:t>审查内容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1</w:t>
            </w:r>
          </w:p>
        </w:tc>
        <w:tc>
          <w:tcPr>
            <w:tcW w:w="1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附加条件</w:t>
            </w:r>
          </w:p>
        </w:tc>
        <w:tc>
          <w:tcPr>
            <w:tcW w:w="56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Cs w:val="21"/>
                <w:highlight w:val="none"/>
              </w:rPr>
            </w:pPr>
            <w:r>
              <w:rPr>
                <w:rFonts w:hint="eastAsia" w:ascii="仿宋" w:hAnsi="仿宋" w:eastAsia="仿宋"/>
                <w:kern w:val="0"/>
                <w:szCs w:val="21"/>
                <w:highlight w:val="none"/>
              </w:rPr>
              <w:t>投标文件应不含有采购人不能接受的附加条件。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2</w:t>
            </w:r>
          </w:p>
        </w:tc>
        <w:tc>
          <w:tcPr>
            <w:tcW w:w="1883" w:type="dxa"/>
            <w:vAlign w:val="center"/>
          </w:tcPr>
          <w:p>
            <w:pPr>
              <w:widowControl/>
              <w:jc w:val="center"/>
              <w:rPr>
                <w:rFonts w:ascii="仿宋" w:hAnsi="仿宋" w:eastAsia="仿宋"/>
                <w:bCs/>
                <w:kern w:val="0"/>
                <w:szCs w:val="21"/>
                <w:highlight w:val="none"/>
              </w:rPr>
            </w:pPr>
            <w:r>
              <w:rPr>
                <w:rFonts w:hint="eastAsia" w:ascii="仿宋" w:hAnsi="仿宋" w:eastAsia="仿宋"/>
                <w:bCs/>
                <w:szCs w:val="21"/>
                <w:highlight w:val="none"/>
              </w:rPr>
              <w:t>控股及管理关系</w:t>
            </w:r>
          </w:p>
        </w:tc>
        <w:tc>
          <w:tcPr>
            <w:tcW w:w="5611" w:type="dxa"/>
            <w:vAlign w:val="center"/>
          </w:tcPr>
          <w:p>
            <w:pPr>
              <w:widowControl/>
              <w:jc w:val="left"/>
              <w:rPr>
                <w:rFonts w:ascii="仿宋" w:hAnsi="仿宋" w:eastAsia="仿宋"/>
                <w:kern w:val="0"/>
                <w:szCs w:val="21"/>
                <w:highlight w:val="none"/>
              </w:rPr>
            </w:pPr>
            <w:r>
              <w:rPr>
                <w:rFonts w:hint="eastAsia" w:ascii="仿宋" w:hAnsi="仿宋" w:eastAsia="仿宋"/>
                <w:szCs w:val="21"/>
                <w:highlight w:val="none"/>
              </w:rPr>
              <w:t>单位负责人为同一人或者存在控股、管理关系的不同单位，不得同时参加本项目。提供承诺函。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3</w:t>
            </w:r>
          </w:p>
        </w:tc>
        <w:tc>
          <w:tcPr>
            <w:tcW w:w="1883" w:type="dxa"/>
            <w:vAlign w:val="center"/>
          </w:tcPr>
          <w:p>
            <w:pPr>
              <w:widowControl/>
              <w:jc w:val="center"/>
              <w:rPr>
                <w:rFonts w:ascii="仿宋" w:hAnsi="仿宋" w:eastAsia="仿宋"/>
                <w:bCs/>
                <w:kern w:val="0"/>
                <w:szCs w:val="21"/>
                <w:highlight w:val="none"/>
              </w:rPr>
            </w:pPr>
            <w:r>
              <w:rPr>
                <w:rFonts w:hint="eastAsia" w:ascii="仿宋" w:hAnsi="仿宋" w:eastAsia="仿宋"/>
                <w:bCs/>
                <w:szCs w:val="21"/>
                <w:highlight w:val="none"/>
              </w:rPr>
              <w:t>前期工作关联性</w:t>
            </w:r>
          </w:p>
        </w:tc>
        <w:tc>
          <w:tcPr>
            <w:tcW w:w="5611" w:type="dxa"/>
            <w:vAlign w:val="center"/>
          </w:tcPr>
          <w:p>
            <w:pPr>
              <w:widowControl/>
              <w:jc w:val="left"/>
              <w:rPr>
                <w:rFonts w:ascii="仿宋" w:hAnsi="仿宋" w:eastAsia="仿宋"/>
                <w:kern w:val="0"/>
                <w:szCs w:val="21"/>
                <w:highlight w:val="none"/>
              </w:rPr>
            </w:pPr>
            <w:r>
              <w:rPr>
                <w:rFonts w:hint="eastAsia" w:ascii="仿宋" w:hAnsi="仿宋" w:eastAsia="仿宋"/>
                <w:szCs w:val="21"/>
                <w:highlight w:val="none"/>
              </w:rPr>
              <w:t>提供投标人未为本项目提供整体设计、规范编制或者项目管理、监理、检测等服务。提供承诺函。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4</w:t>
            </w:r>
          </w:p>
        </w:tc>
        <w:tc>
          <w:tcPr>
            <w:tcW w:w="1883" w:type="dxa"/>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投标保证金</w:t>
            </w:r>
          </w:p>
        </w:tc>
        <w:tc>
          <w:tcPr>
            <w:tcW w:w="5611" w:type="dxa"/>
            <w:vAlign w:val="center"/>
          </w:tcPr>
          <w:p>
            <w:pPr>
              <w:widowControl/>
              <w:jc w:val="left"/>
              <w:rPr>
                <w:rFonts w:ascii="仿宋" w:hAnsi="仿宋" w:eastAsia="仿宋"/>
                <w:kern w:val="0"/>
                <w:szCs w:val="21"/>
                <w:highlight w:val="none"/>
              </w:rPr>
            </w:pPr>
            <w:r>
              <w:rPr>
                <w:rFonts w:hint="eastAsia" w:ascii="仿宋" w:hAnsi="仿宋" w:eastAsia="仿宋"/>
                <w:kern w:val="0"/>
                <w:szCs w:val="21"/>
                <w:highlight w:val="none"/>
              </w:rPr>
              <w:t>投标人应按照招标文件要求递交规定数额的保证金。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ascii="仿宋" w:hAnsi="仿宋" w:eastAsia="仿宋"/>
                <w:bCs/>
                <w:kern w:val="0"/>
                <w:szCs w:val="21"/>
                <w:highlight w:val="none"/>
              </w:rPr>
              <w:t>5</w:t>
            </w:r>
          </w:p>
        </w:tc>
        <w:tc>
          <w:tcPr>
            <w:tcW w:w="1883"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合同履行期限和地点</w:t>
            </w:r>
          </w:p>
        </w:tc>
        <w:tc>
          <w:tcPr>
            <w:tcW w:w="5611" w:type="dxa"/>
            <w:vAlign w:val="center"/>
          </w:tcPr>
          <w:p>
            <w:pPr>
              <w:widowControl/>
              <w:jc w:val="left"/>
              <w:rPr>
                <w:rFonts w:ascii="仿宋" w:hAnsi="仿宋" w:eastAsia="仿宋"/>
                <w:kern w:val="0"/>
                <w:szCs w:val="21"/>
                <w:highlight w:val="none"/>
              </w:rPr>
            </w:pPr>
            <w:r>
              <w:rPr>
                <w:rFonts w:hint="eastAsia" w:ascii="仿宋" w:hAnsi="仿宋" w:eastAsia="仿宋"/>
                <w:kern w:val="0"/>
                <w:szCs w:val="21"/>
                <w:highlight w:val="none"/>
              </w:rPr>
              <w:t>合同履行期限和地点应满足招标文件要求。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ascii="仿宋" w:hAnsi="仿宋" w:eastAsia="仿宋"/>
                <w:bCs/>
                <w:kern w:val="0"/>
                <w:szCs w:val="21"/>
                <w:highlight w:val="none"/>
              </w:rPr>
              <w:t>6</w:t>
            </w:r>
          </w:p>
        </w:tc>
        <w:tc>
          <w:tcPr>
            <w:tcW w:w="1883"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投标有效期</w:t>
            </w:r>
          </w:p>
        </w:tc>
        <w:tc>
          <w:tcPr>
            <w:tcW w:w="5611" w:type="dxa"/>
            <w:vAlign w:val="center"/>
          </w:tcPr>
          <w:p>
            <w:pPr>
              <w:widowControl/>
              <w:rPr>
                <w:rFonts w:ascii="仿宋" w:hAnsi="仿宋" w:eastAsia="仿宋"/>
                <w:kern w:val="0"/>
                <w:szCs w:val="21"/>
                <w:highlight w:val="none"/>
              </w:rPr>
            </w:pPr>
            <w:r>
              <w:rPr>
                <w:rFonts w:hint="eastAsia" w:ascii="仿宋" w:hAnsi="仿宋" w:eastAsia="仿宋"/>
                <w:kern w:val="0"/>
                <w:szCs w:val="21"/>
                <w:highlight w:val="none"/>
              </w:rPr>
              <w:t>不少于招标文件要求的9</w:t>
            </w:r>
            <w:r>
              <w:rPr>
                <w:rFonts w:ascii="仿宋" w:hAnsi="仿宋" w:eastAsia="仿宋"/>
                <w:kern w:val="0"/>
                <w:szCs w:val="21"/>
                <w:highlight w:val="none"/>
              </w:rPr>
              <w:t>0</w:t>
            </w:r>
            <w:r>
              <w:rPr>
                <w:rFonts w:hint="eastAsia" w:ascii="仿宋" w:hAnsi="仿宋" w:eastAsia="仿宋"/>
                <w:kern w:val="0"/>
                <w:szCs w:val="21"/>
                <w:highlight w:val="none"/>
              </w:rPr>
              <w:t>天的投标有效期。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hint="eastAsia" w:ascii="仿宋" w:hAnsi="仿宋" w:eastAsia="仿宋"/>
                <w:bCs/>
                <w:kern w:val="0"/>
                <w:szCs w:val="21"/>
                <w:highlight w:val="none"/>
              </w:rPr>
              <w:t>7</w:t>
            </w:r>
          </w:p>
        </w:tc>
        <w:tc>
          <w:tcPr>
            <w:tcW w:w="1883"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弄虚作假、恶意串通等情形</w:t>
            </w:r>
          </w:p>
        </w:tc>
        <w:tc>
          <w:tcPr>
            <w:tcW w:w="5611" w:type="dxa"/>
            <w:vAlign w:val="center"/>
          </w:tcPr>
          <w:p>
            <w:pPr>
              <w:widowControl/>
              <w:rPr>
                <w:rFonts w:ascii="仿宋" w:hAnsi="仿宋" w:eastAsia="仿宋"/>
                <w:kern w:val="0"/>
                <w:szCs w:val="21"/>
                <w:highlight w:val="none"/>
              </w:rPr>
            </w:pPr>
            <w:r>
              <w:rPr>
                <w:rFonts w:hint="eastAsia" w:ascii="仿宋" w:hAnsi="仿宋" w:eastAsia="仿宋"/>
                <w:kern w:val="0"/>
                <w:szCs w:val="21"/>
                <w:highlight w:val="none"/>
              </w:rPr>
              <w:t>供应商在本次采购活动中不存在弄虚作假、恶意串通等情形。提供承诺函。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ascii="仿宋" w:hAnsi="仿宋" w:eastAsia="仿宋"/>
                <w:bCs/>
                <w:kern w:val="0"/>
                <w:szCs w:val="21"/>
                <w:highlight w:val="none"/>
              </w:rPr>
              <w:t>8</w:t>
            </w:r>
          </w:p>
        </w:tc>
        <w:tc>
          <w:tcPr>
            <w:tcW w:w="1883" w:type="dxa"/>
            <w:vAlign w:val="center"/>
          </w:tcPr>
          <w:p>
            <w:pPr>
              <w:widowControl/>
              <w:jc w:val="center"/>
              <w:rPr>
                <w:rFonts w:ascii="仿宋" w:hAnsi="仿宋" w:eastAsia="仿宋"/>
                <w:kern w:val="0"/>
                <w:szCs w:val="21"/>
                <w:highlight w:val="none"/>
              </w:rPr>
            </w:pPr>
            <w:r>
              <w:rPr>
                <w:rFonts w:hint="eastAsia" w:ascii="仿宋" w:hAnsi="仿宋" w:eastAsia="仿宋"/>
                <w:kern w:val="0"/>
                <w:szCs w:val="21"/>
                <w:highlight w:val="none"/>
              </w:rPr>
              <w:t>实质性响应</w:t>
            </w:r>
          </w:p>
        </w:tc>
        <w:tc>
          <w:tcPr>
            <w:tcW w:w="5611" w:type="dxa"/>
            <w:vAlign w:val="center"/>
          </w:tcPr>
          <w:p>
            <w:pPr>
              <w:widowControl/>
              <w:rPr>
                <w:rFonts w:ascii="仿宋" w:hAnsi="仿宋" w:eastAsia="仿宋"/>
                <w:kern w:val="0"/>
                <w:szCs w:val="21"/>
                <w:highlight w:val="none"/>
              </w:rPr>
            </w:pPr>
            <w:r>
              <w:rPr>
                <w:rFonts w:hint="eastAsia" w:ascii="仿宋" w:hAnsi="仿宋" w:eastAsia="仿宋"/>
                <w:kern w:val="0"/>
                <w:szCs w:val="21"/>
                <w:highlight w:val="none"/>
              </w:rPr>
              <w:t>投标文件响应招标文件各项实质性要求。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Cs/>
                <w:kern w:val="0"/>
                <w:szCs w:val="21"/>
                <w:highlight w:val="none"/>
              </w:rPr>
            </w:pPr>
            <w:r>
              <w:rPr>
                <w:rFonts w:ascii="仿宋" w:hAnsi="仿宋" w:eastAsia="仿宋"/>
                <w:bCs/>
                <w:kern w:val="0"/>
                <w:szCs w:val="21"/>
                <w:highlight w:val="none"/>
              </w:rPr>
              <w:t>9</w:t>
            </w:r>
          </w:p>
        </w:tc>
        <w:tc>
          <w:tcPr>
            <w:tcW w:w="1883" w:type="dxa"/>
            <w:vAlign w:val="center"/>
          </w:tcPr>
          <w:p>
            <w:pPr>
              <w:widowControl/>
              <w:jc w:val="center"/>
              <w:rPr>
                <w:rFonts w:ascii="仿宋" w:hAnsi="仿宋" w:eastAsia="仿宋"/>
                <w:kern w:val="0"/>
                <w:szCs w:val="21"/>
                <w:highlight w:val="none"/>
              </w:rPr>
            </w:pPr>
            <w:r>
              <w:rPr>
                <w:rFonts w:hint="eastAsia" w:ascii="仿宋" w:hAnsi="仿宋" w:eastAsia="仿宋"/>
                <w:bCs/>
                <w:kern w:val="0"/>
                <w:szCs w:val="21"/>
                <w:highlight w:val="none"/>
              </w:rPr>
              <w:t>投标报价</w:t>
            </w:r>
          </w:p>
        </w:tc>
        <w:tc>
          <w:tcPr>
            <w:tcW w:w="5611" w:type="dxa"/>
            <w:vAlign w:val="center"/>
          </w:tcPr>
          <w:p>
            <w:pPr>
              <w:widowControl/>
              <w:jc w:val="left"/>
              <w:rPr>
                <w:rFonts w:ascii="仿宋" w:hAnsi="仿宋" w:eastAsia="仿宋"/>
                <w:kern w:val="0"/>
                <w:szCs w:val="21"/>
                <w:highlight w:val="none"/>
              </w:rPr>
            </w:pPr>
            <w:r>
              <w:rPr>
                <w:rFonts w:ascii="仿宋" w:hAnsi="仿宋" w:eastAsia="仿宋"/>
                <w:kern w:val="0"/>
                <w:szCs w:val="21"/>
                <w:highlight w:val="none"/>
              </w:rPr>
              <w:t>1.</w:t>
            </w:r>
            <w:r>
              <w:rPr>
                <w:rFonts w:hint="eastAsia" w:ascii="仿宋" w:hAnsi="仿宋" w:eastAsia="仿宋"/>
                <w:kern w:val="0"/>
                <w:szCs w:val="21"/>
                <w:highlight w:val="none"/>
              </w:rPr>
              <w:t>投标报价是固定价且未超过预算金额（招标文件有最高限价的，报价未超过最高限价）。</w:t>
            </w:r>
          </w:p>
          <w:p>
            <w:pPr>
              <w:widowControl/>
              <w:jc w:val="left"/>
              <w:rPr>
                <w:rFonts w:ascii="仿宋" w:hAnsi="仿宋" w:eastAsia="仿宋"/>
                <w:kern w:val="0"/>
                <w:szCs w:val="21"/>
                <w:highlight w:val="none"/>
              </w:rPr>
            </w:pPr>
            <w:r>
              <w:rPr>
                <w:rFonts w:ascii="仿宋" w:hAnsi="仿宋" w:eastAsia="仿宋"/>
                <w:kern w:val="0"/>
                <w:szCs w:val="21"/>
                <w:highlight w:val="none"/>
              </w:rPr>
              <w:t>2.</w:t>
            </w:r>
            <w:r>
              <w:rPr>
                <w:rFonts w:hint="eastAsia" w:ascii="仿宋" w:hAnsi="仿宋" w:eastAsia="仿宋"/>
                <w:kern w:val="0"/>
                <w:szCs w:val="21"/>
                <w:highlight w:val="none"/>
              </w:rPr>
              <w:t>评标委员会认为投标人的报价明显低于其他通过符合性审查投标人的报价，有可能影响产品质量或者不能诚信履</w:t>
            </w:r>
          </w:p>
          <w:p>
            <w:pPr>
              <w:widowControl/>
              <w:jc w:val="left"/>
              <w:rPr>
                <w:rFonts w:ascii="仿宋" w:hAnsi="仿宋" w:eastAsia="仿宋"/>
                <w:kern w:val="0"/>
                <w:szCs w:val="21"/>
                <w:highlight w:val="none"/>
              </w:rPr>
            </w:pPr>
            <w:r>
              <w:rPr>
                <w:rFonts w:hint="eastAsia" w:ascii="仿宋" w:hAnsi="仿宋" w:eastAsia="仿宋"/>
                <w:kern w:val="0"/>
                <w:szCs w:val="21"/>
                <w:highlight w:val="none"/>
              </w:rPr>
              <w:t>约的，应当要求其在评标现场合理的时间内提供书面说明，必要时提交相关证明材料；投标人不能证明其报价合理性的，评标委员会应当将其作为无效投标处理。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339" w:type="dxa"/>
            <w:gridSpan w:val="3"/>
            <w:tcBorders>
              <w:top w:val="single" w:color="auto" w:sz="4" w:space="0"/>
              <w:left w:val="single" w:color="auto" w:sz="4" w:space="0"/>
              <w:bottom w:val="single" w:color="auto" w:sz="4" w:space="0"/>
            </w:tcBorders>
            <w:vAlign w:val="center"/>
          </w:tcPr>
          <w:p>
            <w:pPr>
              <w:widowControl/>
              <w:jc w:val="left"/>
              <w:rPr>
                <w:rFonts w:ascii="仿宋" w:hAnsi="仿宋" w:eastAsia="仿宋"/>
                <w:kern w:val="0"/>
                <w:szCs w:val="21"/>
                <w:highlight w:val="none"/>
              </w:rPr>
            </w:pPr>
            <w:r>
              <w:rPr>
                <w:rFonts w:hint="eastAsia" w:ascii="仿宋" w:hAnsi="仿宋" w:eastAsia="仿宋"/>
                <w:kern w:val="0"/>
                <w:szCs w:val="21"/>
                <w:highlight w:val="none"/>
              </w:rPr>
              <w:t>注：以上任意一项不符合，视为未对招标文件作实质响应，不进入详细评审。</w:t>
            </w:r>
          </w:p>
        </w:tc>
      </w:tr>
    </w:tbl>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.4 </w:t>
      </w:r>
      <w:r>
        <w:rPr>
          <w:rFonts w:hint="eastAsia" w:ascii="仿宋" w:hAnsi="仿宋" w:eastAsia="仿宋" w:cs="Times New Roman"/>
          <w:sz w:val="24"/>
          <w:szCs w:val="24"/>
          <w:highlight w:val="none"/>
        </w:rPr>
        <w:t>详细评审</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.4.1 </w:t>
      </w:r>
      <w:r>
        <w:rPr>
          <w:rFonts w:hint="eastAsia" w:ascii="仿宋" w:hAnsi="仿宋" w:eastAsia="仿宋" w:cs="Times New Roman"/>
          <w:sz w:val="24"/>
          <w:szCs w:val="24"/>
          <w:highlight w:val="none"/>
        </w:rPr>
        <w:t>详细评审前，评标委员会对确定为实质响应的投标文件报价进行审核，如出现前后不一致的情况，按照《政府采购货物和服务招标投标管理办法》第五十九条规定进行修正并由投标人确认。</w:t>
      </w:r>
    </w:p>
    <w:p>
      <w:pPr>
        <w:widowControl/>
        <w:spacing w:line="360" w:lineRule="auto"/>
        <w:ind w:firstLine="480" w:firstLineChars="200"/>
        <w:rPr>
          <w:rFonts w:ascii="仿宋" w:hAnsi="仿宋" w:eastAsia="仿宋" w:cs="Times New Roman"/>
          <w:b/>
          <w:bCs/>
          <w:sz w:val="24"/>
          <w:szCs w:val="24"/>
          <w:highlight w:val="none"/>
          <w:u w:val="single"/>
        </w:rPr>
      </w:pPr>
      <w:r>
        <w:rPr>
          <w:rFonts w:hint="eastAsia" w:ascii="仿宋" w:hAnsi="仿宋" w:eastAsia="仿宋" w:cs="仿宋"/>
          <w:sz w:val="24"/>
          <w:szCs w:val="24"/>
          <w:highlight w:val="none"/>
        </w:rPr>
        <w:t>▲</w:t>
      </w:r>
      <w:r>
        <w:rPr>
          <w:rFonts w:hint="eastAsia" w:ascii="仿宋" w:hAnsi="仿宋" w:eastAsia="仿宋" w:cs="Times New Roman"/>
          <w:sz w:val="24"/>
          <w:szCs w:val="24"/>
          <w:highlight w:val="none"/>
        </w:rPr>
        <w:t>2</w:t>
      </w:r>
      <w:r>
        <w:rPr>
          <w:rFonts w:ascii="仿宋" w:hAnsi="仿宋" w:eastAsia="仿宋" w:cs="Times New Roman"/>
          <w:sz w:val="24"/>
          <w:szCs w:val="24"/>
          <w:highlight w:val="none"/>
        </w:rPr>
        <w:t xml:space="preserve">.4.2 </w:t>
      </w:r>
      <w:r>
        <w:rPr>
          <w:rFonts w:hint="eastAsia" w:ascii="仿宋" w:hAnsi="仿宋" w:eastAsia="仿宋" w:cs="Times New Roman"/>
          <w:sz w:val="24"/>
          <w:szCs w:val="24"/>
          <w:highlight w:val="none"/>
        </w:rPr>
        <w:t>实质上响应的投标应该是与招标文件的全部条款、条件和规格相符，没有重大偏离。所谓重大偏离是指影响合同的履约，或者在实质上限制了合同中买方的权利和投标人义务；要求澄清、说明或者补正这些偏离将会对其他实质性响应要求的投标人的竞争地位产生不公正的影响。</w:t>
      </w:r>
      <w:r>
        <w:rPr>
          <w:rFonts w:hint="eastAsia" w:ascii="仿宋" w:hAnsi="仿宋" w:eastAsia="仿宋" w:cs="Times New Roman"/>
          <w:b/>
          <w:bCs/>
          <w:sz w:val="24"/>
          <w:szCs w:val="24"/>
          <w:highlight w:val="none"/>
          <w:u w:val="single"/>
        </w:rPr>
        <w:t>评标委员会有权认定有重大偏离情况的投标为无效投标。</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.4.2</w:t>
      </w:r>
      <w:r>
        <w:rPr>
          <w:rFonts w:hint="eastAsia" w:ascii="仿宋" w:hAnsi="仿宋" w:eastAsia="仿宋" w:cs="Times New Roman"/>
          <w:sz w:val="24"/>
          <w:szCs w:val="24"/>
          <w:highlight w:val="none"/>
          <w:lang w:val="en-US" w:eastAsia="zh-CN"/>
        </w:rPr>
        <w:t>.1</w:t>
      </w:r>
      <w:r>
        <w:rPr>
          <w:rFonts w:ascii="仿宋" w:hAnsi="仿宋" w:eastAsia="仿宋" w:cs="Times New Roman"/>
          <w:sz w:val="24"/>
          <w:szCs w:val="24"/>
          <w:highlight w:val="none"/>
        </w:rPr>
        <w:t xml:space="preserve"> </w:t>
      </w:r>
      <w:r>
        <w:rPr>
          <w:rFonts w:ascii="仿宋" w:hAnsi="仿宋" w:eastAsia="仿宋" w:cs="Times New Roman"/>
          <w:b/>
          <w:bCs/>
          <w:sz w:val="24"/>
          <w:szCs w:val="24"/>
          <w:highlight w:val="none"/>
        </w:rPr>
        <w:t>第一标段评分细则</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综合评分各项标准及权重以下表为准。</w:t>
      </w:r>
    </w:p>
    <w:tbl>
      <w:tblPr>
        <w:tblStyle w:val="9"/>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1112"/>
        <w:gridCol w:w="917"/>
        <w:gridCol w:w="5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center"/>
              <w:rPr>
                <w:rFonts w:ascii="仿宋" w:hAnsi="仿宋" w:eastAsia="仿宋" w:cs="仿宋"/>
                <w:b/>
                <w:bCs/>
                <w:spacing w:val="-20"/>
                <w:kern w:val="1"/>
                <w:szCs w:val="21"/>
                <w:highlight w:val="none"/>
              </w:rPr>
            </w:pPr>
            <w:r>
              <w:rPr>
                <w:rFonts w:hint="eastAsia" w:ascii="仿宋" w:hAnsi="仿宋" w:eastAsia="仿宋" w:cs="仿宋"/>
                <w:b/>
                <w:bCs/>
                <w:spacing w:val="-20"/>
                <w:kern w:val="1"/>
                <w:szCs w:val="21"/>
                <w:highlight w:val="none"/>
              </w:rPr>
              <w:t>序号</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评分项目</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分值</w:t>
            </w:r>
          </w:p>
        </w:tc>
        <w:tc>
          <w:tcPr>
            <w:tcW w:w="589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1"/>
                <w:szCs w:val="21"/>
                <w:highlight w:val="none"/>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1"/>
                <w:szCs w:val="21"/>
                <w:highlight w:val="none"/>
              </w:rPr>
            </w:pPr>
            <w:r>
              <w:rPr>
                <w:rFonts w:hint="eastAsia" w:ascii="仿宋" w:hAnsi="仿宋" w:eastAsia="仿宋" w:cs="仿宋"/>
                <w:kern w:val="1"/>
                <w:szCs w:val="21"/>
                <w:highlight w:val="none"/>
              </w:rPr>
              <w:t>总分</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1"/>
                <w:szCs w:val="21"/>
                <w:highlight w:val="none"/>
              </w:rPr>
            </w:pPr>
            <w:r>
              <w:rPr>
                <w:rFonts w:hint="eastAsia" w:ascii="仿宋" w:hAnsi="仿宋" w:eastAsia="仿宋" w:cs="仿宋"/>
                <w:kern w:val="1"/>
                <w:szCs w:val="21"/>
                <w:highlight w:val="none"/>
              </w:rPr>
              <w:t>100</w:t>
            </w:r>
          </w:p>
        </w:tc>
        <w:tc>
          <w:tcPr>
            <w:tcW w:w="589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kern w:val="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一</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szCs w:val="21"/>
                <w:highlight w:val="none"/>
              </w:rPr>
              <w:t>报价部分</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ascii="仿宋" w:hAnsi="仿宋" w:eastAsia="仿宋" w:cs="仿宋"/>
                <w:b/>
                <w:bCs/>
                <w:kern w:val="1"/>
                <w:szCs w:val="21"/>
                <w:highlight w:val="none"/>
              </w:rPr>
              <w:t>30</w:t>
            </w:r>
          </w:p>
        </w:tc>
        <w:tc>
          <w:tcPr>
            <w:tcW w:w="5897"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1"/>
                <w:szCs w:val="21"/>
                <w:highlight w:val="none"/>
              </w:rPr>
            </w:pPr>
            <w:r>
              <w:rPr>
                <w:rFonts w:hint="eastAsia" w:ascii="仿宋" w:hAnsi="仿宋" w:eastAsia="仿宋" w:cs="仿宋"/>
                <w:kern w:val="1"/>
                <w:szCs w:val="21"/>
                <w:highlight w:val="none"/>
              </w:rPr>
              <w:t>资格审查合格、技术参数完全满足招标文件要求且投标报价中最低的投标报价为评标基准价其价格分为满分；其他投标人的价格分统一按照以下公式计算：</w:t>
            </w:r>
          </w:p>
          <w:p>
            <w:pPr>
              <w:widowControl/>
              <w:rPr>
                <w:rFonts w:ascii="仿宋" w:hAnsi="仿宋" w:eastAsia="仿宋" w:cs="仿宋"/>
                <w:kern w:val="1"/>
                <w:szCs w:val="21"/>
                <w:highlight w:val="none"/>
              </w:rPr>
            </w:pPr>
            <w:r>
              <w:rPr>
                <w:rFonts w:hint="eastAsia" w:ascii="仿宋" w:hAnsi="仿宋" w:eastAsia="仿宋" w:cs="仿宋"/>
                <w:kern w:val="1"/>
                <w:szCs w:val="21"/>
                <w:highlight w:val="none"/>
              </w:rPr>
              <w:t>投标报价得分=（评标基准价/投标报价）×</w:t>
            </w:r>
            <w:r>
              <w:rPr>
                <w:rFonts w:hint="eastAsia" w:ascii="仿宋" w:hAnsi="仿宋" w:eastAsia="仿宋" w:cs="仿宋"/>
                <w:kern w:val="1"/>
                <w:szCs w:val="21"/>
                <w:highlight w:val="none"/>
                <w:lang w:val="en-US" w:eastAsia="zh-CN"/>
              </w:rPr>
              <w:t>3</w:t>
            </w:r>
            <w:r>
              <w:rPr>
                <w:rFonts w:hint="eastAsia" w:ascii="仿宋" w:hAnsi="仿宋" w:eastAsia="仿宋" w:cs="仿宋"/>
                <w:kern w:val="1"/>
                <w:szCs w:val="21"/>
                <w:highlight w:val="none"/>
              </w:rPr>
              <w:t>0（最后结果保留</w:t>
            </w:r>
          </w:p>
          <w:p>
            <w:pPr>
              <w:widowControl/>
              <w:rPr>
                <w:rFonts w:ascii="仿宋" w:hAnsi="仿宋" w:eastAsia="仿宋" w:cs="仿宋"/>
                <w:kern w:val="1"/>
                <w:szCs w:val="21"/>
                <w:highlight w:val="none"/>
              </w:rPr>
            </w:pPr>
            <w:r>
              <w:rPr>
                <w:rFonts w:hint="eastAsia" w:ascii="仿宋" w:hAnsi="仿宋" w:eastAsia="仿宋" w:cs="仿宋"/>
                <w:kern w:val="1"/>
                <w:szCs w:val="21"/>
                <w:highlight w:val="none"/>
              </w:rPr>
              <w:t>二位小数，第三位四舍五入）</w:t>
            </w:r>
          </w:p>
          <w:p>
            <w:pPr>
              <w:widowControl/>
              <w:rPr>
                <w:rFonts w:ascii="仿宋" w:hAnsi="仿宋" w:eastAsia="仿宋" w:cs="仿宋"/>
                <w:kern w:val="1"/>
                <w:szCs w:val="21"/>
                <w:highlight w:val="none"/>
              </w:rPr>
            </w:pPr>
            <w:r>
              <w:rPr>
                <w:rFonts w:hint="eastAsia" w:ascii="仿宋" w:hAnsi="仿宋" w:eastAsia="仿宋" w:cs="仿宋"/>
                <w:kern w:val="1"/>
                <w:szCs w:val="21"/>
                <w:highlight w:val="none"/>
              </w:rPr>
              <w:t>2.</w:t>
            </w:r>
            <w:r>
              <w:rPr>
                <w:rFonts w:ascii="仿宋" w:hAnsi="仿宋" w:eastAsia="仿宋" w:cs="仿宋"/>
                <w:kern w:val="1"/>
                <w:szCs w:val="21"/>
                <w:highlight w:val="none"/>
              </w:rPr>
              <w:t>过程中，不得去掉报价中的最高报价和最低报价。</w:t>
            </w:r>
          </w:p>
          <w:p>
            <w:pPr>
              <w:widowControl/>
              <w:rPr>
                <w:rFonts w:ascii="仿宋" w:hAnsi="仿宋" w:eastAsia="仿宋" w:cs="仿宋"/>
                <w:kern w:val="1"/>
                <w:szCs w:val="21"/>
                <w:highlight w:val="none"/>
              </w:rPr>
            </w:pPr>
            <w:r>
              <w:rPr>
                <w:rFonts w:hint="eastAsia" w:ascii="仿宋" w:hAnsi="仿宋" w:eastAsia="仿宋" w:cs="仿宋"/>
                <w:kern w:val="1"/>
                <w:szCs w:val="21"/>
                <w:highlight w:val="none"/>
              </w:rPr>
              <w:t>3.</w:t>
            </w:r>
            <w:r>
              <w:rPr>
                <w:rFonts w:ascii="仿宋" w:hAnsi="仿宋" w:eastAsia="仿宋" w:cs="仿宋"/>
                <w:kern w:val="1"/>
                <w:szCs w:val="21"/>
                <w:highlight w:val="none"/>
              </w:rPr>
              <w:t>因落实政府采购政策进行价格调整的，以调整后的价格计算评标基准价和投标报价。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idowControl/>
              <w:rPr>
                <w:rFonts w:ascii="仿宋" w:hAnsi="仿宋" w:eastAsia="仿宋" w:cs="仿宋"/>
                <w:kern w:val="1"/>
                <w:szCs w:val="21"/>
                <w:highlight w:val="none"/>
              </w:rPr>
            </w:pPr>
            <w:r>
              <w:rPr>
                <w:rFonts w:hint="eastAsia" w:ascii="仿宋" w:hAnsi="仿宋" w:eastAsia="仿宋" w:cs="仿宋"/>
                <w:kern w:val="1"/>
                <w:szCs w:val="21"/>
                <w:highlight w:val="none"/>
              </w:rPr>
              <w:t>4.</w:t>
            </w:r>
            <w:r>
              <w:rPr>
                <w:rFonts w:ascii="仿宋" w:hAnsi="仿宋" w:eastAsia="仿宋" w:cs="仿宋"/>
                <w:kern w:val="1"/>
                <w:szCs w:val="21"/>
                <w:highlight w:val="none"/>
              </w:rPr>
              <w:t>落实政府采购政策进行价格调整的标准及认定以“第二章投标人须知前附表”规定为准。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二</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技术部分</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 w:hAnsi="仿宋" w:eastAsia="仿宋" w:cs="仿宋"/>
                <w:b/>
                <w:bCs/>
                <w:kern w:val="1"/>
                <w:szCs w:val="21"/>
                <w:highlight w:val="none"/>
                <w:lang w:val="en-US" w:eastAsia="zh-CN"/>
              </w:rPr>
            </w:pPr>
            <w:r>
              <w:rPr>
                <w:rFonts w:hint="eastAsia" w:ascii="仿宋" w:hAnsi="仿宋" w:eastAsia="仿宋" w:cs="仿宋"/>
                <w:b/>
                <w:bCs/>
                <w:kern w:val="1"/>
                <w:szCs w:val="21"/>
                <w:highlight w:val="none"/>
                <w:lang w:val="en-US" w:eastAsia="zh-CN"/>
              </w:rPr>
              <w:t>20</w:t>
            </w:r>
          </w:p>
        </w:tc>
        <w:tc>
          <w:tcPr>
            <w:tcW w:w="589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kern w:val="1"/>
                <w:szCs w:val="21"/>
                <w:highlight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1112" w:type="dxa"/>
            <w:tcBorders>
              <w:top w:val="single" w:color="auto" w:sz="4" w:space="0"/>
              <w:left w:val="nil"/>
              <w:bottom w:val="single" w:color="auto" w:sz="4" w:space="0"/>
              <w:right w:val="single" w:color="auto" w:sz="4" w:space="0"/>
            </w:tcBorders>
            <w:vAlign w:val="top"/>
          </w:tcPr>
          <w:p>
            <w:pPr>
              <w:pStyle w:val="16"/>
              <w:rPr>
                <w:b/>
                <w:color w:val="auto"/>
                <w:sz w:val="20"/>
                <w:highlight w:val="none"/>
              </w:rPr>
            </w:pPr>
          </w:p>
          <w:p>
            <w:pPr>
              <w:pStyle w:val="16"/>
              <w:rPr>
                <w:b/>
                <w:color w:val="auto"/>
                <w:sz w:val="20"/>
                <w:highlight w:val="none"/>
              </w:rPr>
            </w:pPr>
          </w:p>
          <w:p>
            <w:pPr>
              <w:pStyle w:val="16"/>
              <w:rPr>
                <w:b/>
                <w:color w:val="auto"/>
                <w:sz w:val="20"/>
                <w:highlight w:val="none"/>
              </w:rPr>
            </w:pPr>
          </w:p>
          <w:p>
            <w:pPr>
              <w:pStyle w:val="16"/>
              <w:ind w:left="104" w:right="97"/>
              <w:jc w:val="center"/>
              <w:rPr>
                <w:b/>
                <w:color w:val="auto"/>
                <w:sz w:val="20"/>
                <w:highlight w:val="none"/>
              </w:rPr>
            </w:pPr>
          </w:p>
          <w:p>
            <w:pPr>
              <w:pStyle w:val="16"/>
              <w:ind w:left="104" w:leftChars="0" w:right="97" w:rightChars="0"/>
              <w:jc w:val="center"/>
              <w:rPr>
                <w:rFonts w:ascii="仿宋" w:hAnsi="仿宋" w:eastAsia="仿宋" w:cs="仿宋"/>
                <w:color w:val="auto"/>
                <w:szCs w:val="21"/>
                <w:highlight w:val="none"/>
              </w:rPr>
            </w:pPr>
            <w:r>
              <w:rPr>
                <w:rFonts w:hint="eastAsia"/>
                <w:color w:val="auto"/>
                <w:sz w:val="21"/>
                <w:highlight w:val="none"/>
              </w:rPr>
              <w:t>系统</w:t>
            </w:r>
            <w:r>
              <w:rPr>
                <w:rFonts w:hint="eastAsia"/>
                <w:color w:val="auto"/>
                <w:sz w:val="21"/>
                <w:highlight w:val="none"/>
                <w:lang w:val="en-US" w:eastAsia="zh-CN"/>
              </w:rPr>
              <w:t xml:space="preserve"> </w:t>
            </w:r>
            <w:r>
              <w:rPr>
                <w:color w:val="auto"/>
                <w:sz w:val="21"/>
                <w:highlight w:val="none"/>
              </w:rPr>
              <w:t>功能</w:t>
            </w:r>
          </w:p>
        </w:tc>
        <w:tc>
          <w:tcPr>
            <w:tcW w:w="917" w:type="dxa"/>
            <w:tcBorders>
              <w:top w:val="single" w:color="auto" w:sz="4" w:space="0"/>
              <w:left w:val="nil"/>
              <w:bottom w:val="single" w:color="auto" w:sz="4" w:space="0"/>
              <w:right w:val="single" w:color="auto" w:sz="4" w:space="0"/>
            </w:tcBorders>
            <w:vAlign w:val="top"/>
          </w:tcPr>
          <w:p>
            <w:pPr>
              <w:pStyle w:val="16"/>
              <w:rPr>
                <w:b/>
                <w:color w:val="auto"/>
                <w:sz w:val="20"/>
                <w:highlight w:val="none"/>
              </w:rPr>
            </w:pPr>
          </w:p>
          <w:p>
            <w:pPr>
              <w:pStyle w:val="16"/>
              <w:rPr>
                <w:b/>
                <w:color w:val="auto"/>
                <w:sz w:val="20"/>
                <w:highlight w:val="none"/>
              </w:rPr>
            </w:pPr>
          </w:p>
          <w:p>
            <w:pPr>
              <w:pStyle w:val="16"/>
              <w:rPr>
                <w:b/>
                <w:color w:val="auto"/>
                <w:sz w:val="20"/>
                <w:highlight w:val="none"/>
              </w:rPr>
            </w:pPr>
          </w:p>
          <w:p>
            <w:pPr>
              <w:pStyle w:val="16"/>
              <w:ind w:left="330" w:right="325"/>
              <w:jc w:val="center"/>
              <w:rPr>
                <w:b/>
                <w:color w:val="auto"/>
                <w:sz w:val="20"/>
                <w:highlight w:val="none"/>
              </w:rPr>
            </w:pPr>
          </w:p>
          <w:p>
            <w:pPr>
              <w:pStyle w:val="16"/>
              <w:keepNext w:val="0"/>
              <w:keepLines w:val="0"/>
              <w:pageBreakBefore w:val="0"/>
              <w:widowControl w:val="0"/>
              <w:kinsoku/>
              <w:wordWrap/>
              <w:overflowPunct/>
              <w:topLinePunct w:val="0"/>
              <w:autoSpaceDE w:val="0"/>
              <w:autoSpaceDN w:val="0"/>
              <w:bidi w:val="0"/>
              <w:adjustRightInd/>
              <w:snapToGrid/>
              <w:ind w:right="0" w:rightChars="0"/>
              <w:jc w:val="center"/>
              <w:textAlignment w:val="auto"/>
              <w:rPr>
                <w:rFonts w:hint="default" w:ascii="仿宋" w:hAnsi="仿宋" w:eastAsia="仿宋" w:cs="仿宋"/>
                <w:color w:val="auto"/>
                <w:szCs w:val="21"/>
                <w:highlight w:val="none"/>
                <w:lang w:val="en-US" w:eastAsia="zh-CN"/>
              </w:rPr>
            </w:pPr>
            <w:r>
              <w:rPr>
                <w:rFonts w:hint="eastAsia"/>
                <w:color w:val="auto"/>
                <w:sz w:val="21"/>
                <w:highlight w:val="none"/>
                <w:lang w:val="en-US" w:eastAsia="zh-CN"/>
              </w:rPr>
              <w:t xml:space="preserve"> 20</w:t>
            </w:r>
          </w:p>
        </w:tc>
        <w:tc>
          <w:tcPr>
            <w:tcW w:w="5897" w:type="dxa"/>
            <w:tcBorders>
              <w:top w:val="single" w:color="auto" w:sz="4" w:space="0"/>
              <w:left w:val="nil"/>
              <w:bottom w:val="single" w:color="auto" w:sz="4" w:space="0"/>
              <w:right w:val="single" w:color="auto" w:sz="4" w:space="0"/>
            </w:tcBorders>
            <w:vAlign w:val="top"/>
          </w:tcPr>
          <w:p>
            <w:pPr>
              <w:pStyle w:val="16"/>
              <w:tabs>
                <w:tab w:val="left" w:pos="318"/>
              </w:tabs>
              <w:spacing w:before="43" w:line="278" w:lineRule="auto"/>
              <w:ind w:right="94" w:rightChars="0"/>
              <w:jc w:val="both"/>
              <w:rPr>
                <w:rFonts w:ascii="仿宋" w:hAnsi="仿宋" w:eastAsia="仿宋" w:cs="Times New Roman"/>
                <w:color w:val="auto"/>
                <w:sz w:val="21"/>
                <w:szCs w:val="21"/>
                <w:highlight w:val="none"/>
              </w:rPr>
            </w:pPr>
            <w:r>
              <w:rPr>
                <w:rFonts w:hint="eastAsia" w:ascii="仿宋" w:hAnsi="仿宋" w:eastAsia="仿宋" w:cs="Times New Roman"/>
                <w:color w:val="auto"/>
                <w:sz w:val="21"/>
                <w:szCs w:val="21"/>
                <w:highlight w:val="none"/>
              </w:rPr>
              <w:t>“西藏牧运通升级项目”</w:t>
            </w:r>
          </w:p>
          <w:p>
            <w:pPr>
              <w:pStyle w:val="16"/>
              <w:tabs>
                <w:tab w:val="left" w:pos="318"/>
              </w:tabs>
              <w:spacing w:before="43" w:line="278" w:lineRule="auto"/>
              <w:ind w:right="94" w:rightChars="0"/>
              <w:jc w:val="both"/>
              <w:rPr>
                <w:rFonts w:ascii="仿宋" w:hAnsi="仿宋" w:eastAsia="仿宋" w:cs="Times New Roman"/>
                <w:color w:val="auto"/>
                <w:sz w:val="21"/>
                <w:szCs w:val="21"/>
                <w:highlight w:val="none"/>
              </w:rPr>
            </w:pPr>
            <w:r>
              <w:rPr>
                <w:rFonts w:hint="eastAsia" w:ascii="仿宋" w:hAnsi="仿宋" w:eastAsia="仿宋" w:cs="Times New Roman"/>
                <w:color w:val="auto"/>
                <w:sz w:val="21"/>
                <w:szCs w:val="21"/>
                <w:highlight w:val="none"/>
              </w:rPr>
              <w:t>根据投标人按 “西藏牧运通升级项目”技术参数中应用系统分项设计模块的实施方案进行综合评分。方案描述全部内容，科学合理，操作性能优的得</w:t>
            </w:r>
            <w:r>
              <w:rPr>
                <w:rFonts w:ascii="仿宋" w:hAnsi="仿宋" w:eastAsia="仿宋" w:cs="Times New Roman"/>
                <w:color w:val="auto"/>
                <w:sz w:val="21"/>
                <w:szCs w:val="21"/>
                <w:highlight w:val="none"/>
              </w:rPr>
              <w:t>2</w:t>
            </w:r>
            <w:r>
              <w:rPr>
                <w:rFonts w:hint="eastAsia" w:ascii="仿宋" w:hAnsi="仿宋" w:eastAsia="仿宋" w:cs="Times New Roman"/>
                <w:color w:val="auto"/>
                <w:sz w:val="21"/>
                <w:szCs w:val="21"/>
                <w:highlight w:val="none"/>
              </w:rPr>
              <w:t>0分，方案描述部分内容，科学合理，操作性能良得</w:t>
            </w:r>
            <w:r>
              <w:rPr>
                <w:rFonts w:ascii="仿宋" w:hAnsi="仿宋" w:eastAsia="仿宋" w:cs="Times New Roman"/>
                <w:color w:val="auto"/>
                <w:sz w:val="21"/>
                <w:szCs w:val="21"/>
                <w:highlight w:val="none"/>
              </w:rPr>
              <w:t>1</w:t>
            </w:r>
            <w:r>
              <w:rPr>
                <w:rFonts w:hint="eastAsia" w:ascii="仿宋" w:hAnsi="仿宋" w:eastAsia="仿宋" w:cs="Times New Roman"/>
                <w:color w:val="auto"/>
                <w:sz w:val="21"/>
                <w:szCs w:val="21"/>
                <w:highlight w:val="none"/>
              </w:rPr>
              <w:t>0分，描述少量内容，不科学，操作性能一般的得5分。</w:t>
            </w:r>
          </w:p>
          <w:p>
            <w:pPr>
              <w:pStyle w:val="16"/>
              <w:tabs>
                <w:tab w:val="left" w:pos="318"/>
              </w:tabs>
              <w:spacing w:before="43" w:line="278" w:lineRule="auto"/>
              <w:ind w:right="94" w:rightChars="0"/>
              <w:jc w:val="both"/>
              <w:rPr>
                <w:rFonts w:ascii="仿宋" w:hAnsi="仿宋" w:eastAsia="仿宋" w:cs="Times New Roman"/>
                <w:color w:val="auto"/>
                <w:szCs w:val="21"/>
                <w:highlight w:val="none"/>
              </w:rPr>
            </w:pPr>
            <w:r>
              <w:rPr>
                <w:rFonts w:hint="eastAsia" w:ascii="仿宋" w:hAnsi="仿宋" w:eastAsia="仿宋" w:cs="Times New Roman"/>
                <w:b/>
                <w:bCs/>
                <w:color w:val="auto"/>
                <w:sz w:val="21"/>
                <w:szCs w:val="21"/>
                <w:highlight w:val="none"/>
              </w:rPr>
              <w:t>评审依据：以投标文件中提供的应用系统分项设计实施方案（方案中需提供“西藏牧运通升级项目”相关功能截图）为佐证，未提供不得分。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szCs w:val="21"/>
                <w:highlight w:val="none"/>
              </w:rPr>
            </w:pPr>
            <w:r>
              <w:rPr>
                <w:rFonts w:hint="eastAsia" w:ascii="仿宋" w:hAnsi="仿宋" w:eastAsia="仿宋" w:cs="仿宋"/>
                <w:b/>
                <w:bCs/>
                <w:color w:val="auto"/>
                <w:szCs w:val="21"/>
                <w:highlight w:val="none"/>
              </w:rPr>
              <w:t>三</w:t>
            </w:r>
          </w:p>
        </w:tc>
        <w:tc>
          <w:tcPr>
            <w:tcW w:w="111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b/>
                <w:bCs/>
                <w:color w:val="auto"/>
                <w:szCs w:val="21"/>
                <w:highlight w:val="none"/>
              </w:rPr>
            </w:pPr>
            <w:r>
              <w:rPr>
                <w:rFonts w:hint="eastAsia" w:ascii="仿宋" w:hAnsi="仿宋" w:eastAsia="仿宋" w:cs="仿宋"/>
                <w:b/>
                <w:bCs/>
                <w:color w:val="auto"/>
                <w:szCs w:val="21"/>
                <w:highlight w:val="none"/>
              </w:rPr>
              <w:t>商务部分</w:t>
            </w:r>
          </w:p>
        </w:tc>
        <w:tc>
          <w:tcPr>
            <w:tcW w:w="917" w:type="dxa"/>
            <w:tcBorders>
              <w:top w:val="single" w:color="auto" w:sz="4" w:space="0"/>
              <w:left w:val="nil"/>
              <w:bottom w:val="single" w:color="auto" w:sz="4" w:space="0"/>
              <w:right w:val="single" w:color="auto" w:sz="4" w:space="0"/>
            </w:tcBorders>
            <w:vAlign w:val="center"/>
          </w:tcPr>
          <w:p>
            <w:pPr>
              <w:widowControl/>
              <w:jc w:val="center"/>
              <w:rPr>
                <w:rFonts w:hint="default" w:ascii="仿宋" w:hAnsi="仿宋" w:eastAsia="仿宋" w:cs="仿宋"/>
                <w:b/>
                <w:bCs/>
                <w:color w:val="auto"/>
                <w:kern w:val="1"/>
                <w:szCs w:val="21"/>
                <w:highlight w:val="none"/>
                <w:lang w:val="en-US" w:eastAsia="zh-CN"/>
              </w:rPr>
            </w:pPr>
            <w:r>
              <w:rPr>
                <w:rFonts w:hint="eastAsia" w:ascii="仿宋" w:hAnsi="仿宋" w:eastAsia="仿宋" w:cs="仿宋"/>
                <w:b/>
                <w:bCs/>
                <w:color w:val="auto"/>
                <w:kern w:val="1"/>
                <w:szCs w:val="21"/>
                <w:highlight w:val="none"/>
                <w:lang w:val="en-US" w:eastAsia="zh-CN"/>
              </w:rPr>
              <w:t>50</w:t>
            </w:r>
          </w:p>
        </w:tc>
        <w:tc>
          <w:tcPr>
            <w:tcW w:w="5897" w:type="dxa"/>
            <w:tcBorders>
              <w:top w:val="single" w:color="auto" w:sz="4" w:space="0"/>
              <w:left w:val="nil"/>
              <w:bottom w:val="single" w:color="auto" w:sz="4" w:space="0"/>
              <w:right w:val="single" w:color="auto" w:sz="4" w:space="0"/>
            </w:tcBorders>
            <w:vAlign w:val="center"/>
          </w:tcPr>
          <w:p>
            <w:pPr>
              <w:rPr>
                <w:rFonts w:ascii="仿宋" w:hAnsi="仿宋" w:eastAsia="仿宋" w:cs="Times New Roman"/>
                <w:color w:val="auto"/>
                <w:szCs w:val="21"/>
                <w:highlight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center"/>
              <w:rPr>
                <w:rFonts w:hint="eastAsia"/>
                <w:color w:val="auto"/>
                <w:spacing w:val="-3"/>
                <w:sz w:val="21"/>
                <w:highlight w:val="none"/>
              </w:rPr>
            </w:pPr>
            <w:r>
              <w:rPr>
                <w:rFonts w:hint="eastAsia"/>
                <w:color w:val="auto"/>
                <w:spacing w:val="-3"/>
                <w:sz w:val="21"/>
                <w:highlight w:val="none"/>
              </w:rPr>
              <w:t>1</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eastAsia"/>
                <w:color w:val="auto"/>
                <w:spacing w:val="-3"/>
                <w:sz w:val="21"/>
                <w:szCs w:val="21"/>
                <w:highlight w:val="none"/>
              </w:rPr>
            </w:pPr>
            <w:r>
              <w:rPr>
                <w:rFonts w:hint="eastAsia"/>
                <w:color w:val="auto"/>
                <w:spacing w:val="-3"/>
                <w:sz w:val="21"/>
                <w:szCs w:val="21"/>
                <w:highlight w:val="none"/>
              </w:rPr>
              <w:t>项目业绩</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eastAsia"/>
                <w:color w:val="auto"/>
                <w:spacing w:val="-3"/>
                <w:sz w:val="21"/>
                <w:szCs w:val="21"/>
                <w:highlight w:val="none"/>
              </w:rPr>
            </w:pPr>
            <w:r>
              <w:rPr>
                <w:rFonts w:hint="eastAsia"/>
                <w:color w:val="auto"/>
                <w:spacing w:val="-3"/>
                <w:sz w:val="21"/>
                <w:szCs w:val="21"/>
                <w:highlight w:val="none"/>
              </w:rPr>
              <w:t>5</w:t>
            </w:r>
          </w:p>
        </w:tc>
        <w:tc>
          <w:tcPr>
            <w:tcW w:w="589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both"/>
              <w:rPr>
                <w:rFonts w:hint="eastAsia"/>
                <w:color w:val="auto"/>
                <w:spacing w:val="-3"/>
                <w:sz w:val="21"/>
                <w:highlight w:val="none"/>
              </w:rPr>
            </w:pPr>
            <w:r>
              <w:rPr>
                <w:rFonts w:hint="eastAsia"/>
                <w:color w:val="auto"/>
                <w:spacing w:val="-3"/>
                <w:sz w:val="21"/>
                <w:highlight w:val="none"/>
              </w:rPr>
              <w:t>自20</w:t>
            </w:r>
            <w:r>
              <w:rPr>
                <w:rFonts w:hint="eastAsia"/>
                <w:color w:val="auto"/>
                <w:spacing w:val="-3"/>
                <w:sz w:val="21"/>
                <w:highlight w:val="none"/>
                <w:lang w:val="en-US" w:eastAsia="zh-CN"/>
              </w:rPr>
              <w:t>20</w:t>
            </w:r>
            <w:r>
              <w:rPr>
                <w:rFonts w:hint="eastAsia"/>
                <w:color w:val="auto"/>
                <w:spacing w:val="-3"/>
                <w:sz w:val="21"/>
                <w:highlight w:val="none"/>
              </w:rPr>
              <w:t>年1月1日至开标当天（以合同签订日期为准）获得省级及以上同类项目业绩，每提供1个计5分，本项最高得5分。以投标文件中提供的中标通知书及合同复印件为准。</w:t>
            </w:r>
            <w:r>
              <w:rPr>
                <w:rFonts w:hint="eastAsia"/>
                <w:b/>
                <w:bCs/>
                <w:color w:val="auto"/>
                <w:spacing w:val="-3"/>
                <w:sz w:val="21"/>
                <w:highlight w:val="none"/>
              </w:rPr>
              <w:t>评审依据：投标人需提供中标通知书和合同复印件并加盖投标人公章，未提供不计分。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center"/>
              <w:rPr>
                <w:rFonts w:hint="eastAsia"/>
                <w:color w:val="auto"/>
                <w:spacing w:val="-3"/>
                <w:sz w:val="21"/>
                <w:highlight w:val="none"/>
              </w:rPr>
            </w:pPr>
            <w:r>
              <w:rPr>
                <w:rFonts w:hint="eastAsia"/>
                <w:color w:val="auto"/>
                <w:spacing w:val="-3"/>
                <w:sz w:val="21"/>
                <w:highlight w:val="none"/>
              </w:rPr>
              <w:t>2</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eastAsia"/>
                <w:color w:val="auto"/>
                <w:spacing w:val="-3"/>
                <w:sz w:val="21"/>
                <w:szCs w:val="21"/>
                <w:highlight w:val="none"/>
              </w:rPr>
            </w:pPr>
            <w:r>
              <w:rPr>
                <w:rFonts w:hint="eastAsia"/>
                <w:color w:val="auto"/>
                <w:spacing w:val="-3"/>
                <w:sz w:val="21"/>
                <w:szCs w:val="21"/>
                <w:highlight w:val="none"/>
              </w:rPr>
              <w:t>供应商</w:t>
            </w:r>
          </w:p>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eastAsia"/>
                <w:color w:val="auto"/>
                <w:spacing w:val="-3"/>
                <w:sz w:val="21"/>
                <w:szCs w:val="21"/>
                <w:highlight w:val="none"/>
              </w:rPr>
            </w:pPr>
            <w:r>
              <w:rPr>
                <w:rFonts w:hint="eastAsia"/>
                <w:color w:val="auto"/>
                <w:spacing w:val="-3"/>
                <w:sz w:val="21"/>
                <w:szCs w:val="21"/>
                <w:highlight w:val="none"/>
              </w:rPr>
              <w:t>综合实力</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default"/>
                <w:color w:val="auto"/>
                <w:spacing w:val="-3"/>
                <w:sz w:val="21"/>
                <w:szCs w:val="21"/>
                <w:highlight w:val="none"/>
                <w:lang w:val="en-US"/>
              </w:rPr>
            </w:pPr>
            <w:r>
              <w:rPr>
                <w:rFonts w:hint="eastAsia"/>
                <w:color w:val="auto"/>
                <w:spacing w:val="-3"/>
                <w:sz w:val="21"/>
                <w:szCs w:val="21"/>
                <w:highlight w:val="none"/>
                <w:lang w:val="en-US" w:eastAsia="zh-CN"/>
              </w:rPr>
              <w:t>16</w:t>
            </w:r>
          </w:p>
        </w:tc>
        <w:tc>
          <w:tcPr>
            <w:tcW w:w="5897" w:type="dxa"/>
            <w:tcBorders>
              <w:top w:val="single" w:color="auto" w:sz="4" w:space="0"/>
              <w:left w:val="nil"/>
              <w:bottom w:val="single" w:color="auto" w:sz="4" w:space="0"/>
              <w:right w:val="single" w:color="auto" w:sz="4" w:space="0"/>
            </w:tcBorders>
            <w:vAlign w:val="top"/>
          </w:tcPr>
          <w:p>
            <w:pPr>
              <w:pStyle w:val="16"/>
              <w:tabs>
                <w:tab w:val="left" w:pos="318"/>
              </w:tabs>
              <w:spacing w:before="43" w:line="278" w:lineRule="auto"/>
              <w:ind w:right="94"/>
              <w:jc w:val="both"/>
              <w:rPr>
                <w:rFonts w:hint="eastAsia"/>
                <w:color w:val="auto"/>
                <w:spacing w:val="-3"/>
                <w:sz w:val="21"/>
                <w:highlight w:val="none"/>
              </w:rPr>
            </w:pPr>
            <w:r>
              <w:rPr>
                <w:rFonts w:hint="eastAsia"/>
                <w:color w:val="auto"/>
                <w:spacing w:val="-3"/>
                <w:sz w:val="21"/>
                <w:highlight w:val="none"/>
              </w:rPr>
              <w:t>1、投标人具有动物检疫（检疫出证）、畜禽运输、养殖档案管理、屠宰管理、大数据分析软件、无害化处理等类著作权登记证书，每提供一类证书计0.5分，共5分。</w:t>
            </w:r>
          </w:p>
          <w:p>
            <w:pPr>
              <w:pStyle w:val="16"/>
              <w:tabs>
                <w:tab w:val="left" w:pos="318"/>
              </w:tabs>
              <w:spacing w:before="43" w:line="278" w:lineRule="auto"/>
              <w:ind w:right="94"/>
              <w:jc w:val="both"/>
              <w:rPr>
                <w:rFonts w:hint="eastAsia"/>
                <w:color w:val="auto"/>
                <w:spacing w:val="-3"/>
                <w:sz w:val="21"/>
                <w:highlight w:val="none"/>
              </w:rPr>
            </w:pPr>
            <w:r>
              <w:rPr>
                <w:rFonts w:hint="eastAsia"/>
                <w:color w:val="auto"/>
                <w:spacing w:val="-3"/>
                <w:sz w:val="21"/>
                <w:highlight w:val="none"/>
              </w:rPr>
              <w:t>2、投标人具有畜产品追溯、粪污资源化利用、动物检疫、猪场管理、智能消洗、智慧养殖、养殖电子信息、标识识别、互联网技术、物联网技术等10个方面行业专利，每个方面1个，每个0.5分，共5分。</w:t>
            </w:r>
          </w:p>
          <w:p>
            <w:pPr>
              <w:pStyle w:val="16"/>
              <w:tabs>
                <w:tab w:val="left" w:pos="318"/>
              </w:tabs>
              <w:spacing w:before="43" w:line="278" w:lineRule="auto"/>
              <w:ind w:right="94"/>
              <w:jc w:val="both"/>
              <w:rPr>
                <w:rFonts w:hint="eastAsia"/>
                <w:color w:val="auto"/>
                <w:spacing w:val="-3"/>
                <w:sz w:val="21"/>
                <w:highlight w:val="none"/>
              </w:rPr>
            </w:pPr>
            <w:r>
              <w:rPr>
                <w:rFonts w:hint="eastAsia"/>
                <w:color w:val="auto"/>
                <w:spacing w:val="-3"/>
                <w:sz w:val="21"/>
                <w:highlight w:val="none"/>
              </w:rPr>
              <w:t>3、投标人具有有效的ISO14001（GB/T24001）环境管理体系认证证书、ISO9001（GB/T19001）质量管理体系认证证书、ISO45001（GB/T45001）职业健康安全管理体系认证证书，每提供一类证书计</w:t>
            </w:r>
            <w:r>
              <w:rPr>
                <w:rFonts w:hint="eastAsia"/>
                <w:color w:val="auto"/>
                <w:spacing w:val="-3"/>
                <w:sz w:val="21"/>
                <w:highlight w:val="none"/>
                <w:lang w:val="en-US" w:eastAsia="zh-CN"/>
              </w:rPr>
              <w:t>2</w:t>
            </w:r>
            <w:r>
              <w:rPr>
                <w:rFonts w:hint="eastAsia"/>
                <w:color w:val="auto"/>
                <w:spacing w:val="-3"/>
                <w:sz w:val="21"/>
                <w:highlight w:val="none"/>
              </w:rPr>
              <w:t>分，共6分。</w:t>
            </w:r>
          </w:p>
          <w:p>
            <w:pPr>
              <w:pStyle w:val="16"/>
              <w:tabs>
                <w:tab w:val="left" w:pos="318"/>
              </w:tabs>
              <w:spacing w:before="43" w:line="278" w:lineRule="auto"/>
              <w:ind w:right="94"/>
              <w:jc w:val="both"/>
              <w:rPr>
                <w:rFonts w:hint="eastAsia"/>
                <w:color w:val="auto"/>
                <w:spacing w:val="-3"/>
                <w:sz w:val="21"/>
                <w:highlight w:val="none"/>
              </w:rPr>
            </w:pPr>
            <w:r>
              <w:rPr>
                <w:rFonts w:hint="eastAsia"/>
                <w:b/>
                <w:bCs/>
                <w:color w:val="auto"/>
                <w:spacing w:val="-3"/>
                <w:sz w:val="21"/>
                <w:highlight w:val="none"/>
              </w:rPr>
              <w:t>评审依据：投标人需提供证书复印件并加盖投标人公章，未提供不计分，原件备查。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center"/>
              <w:rPr>
                <w:rFonts w:hint="eastAsia"/>
                <w:color w:val="auto"/>
                <w:spacing w:val="-3"/>
                <w:sz w:val="21"/>
                <w:highlight w:val="none"/>
              </w:rPr>
            </w:pPr>
            <w:r>
              <w:rPr>
                <w:rFonts w:hint="eastAsia"/>
                <w:color w:val="auto"/>
                <w:spacing w:val="-3"/>
                <w:sz w:val="21"/>
                <w:highlight w:val="none"/>
              </w:rPr>
              <w:t>3</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eastAsia"/>
                <w:color w:val="auto"/>
                <w:spacing w:val="-3"/>
                <w:sz w:val="21"/>
                <w:szCs w:val="21"/>
                <w:highlight w:val="none"/>
              </w:rPr>
            </w:pPr>
            <w:r>
              <w:rPr>
                <w:rFonts w:hint="eastAsia"/>
                <w:color w:val="auto"/>
                <w:sz w:val="21"/>
                <w:szCs w:val="21"/>
                <w:highlight w:val="none"/>
              </w:rPr>
              <w:t>技术实力</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eastAsia" w:eastAsia="仿宋"/>
                <w:color w:val="auto"/>
                <w:spacing w:val="-3"/>
                <w:sz w:val="21"/>
                <w:szCs w:val="21"/>
                <w:highlight w:val="none"/>
                <w:lang w:eastAsia="zh-CN"/>
              </w:rPr>
            </w:pPr>
            <w:r>
              <w:rPr>
                <w:rFonts w:hint="eastAsia"/>
                <w:color w:val="auto"/>
                <w:spacing w:val="-3"/>
                <w:sz w:val="21"/>
                <w:szCs w:val="21"/>
                <w:highlight w:val="none"/>
              </w:rPr>
              <w:t>1</w:t>
            </w:r>
            <w:r>
              <w:rPr>
                <w:rFonts w:hint="eastAsia"/>
                <w:color w:val="auto"/>
                <w:spacing w:val="-3"/>
                <w:sz w:val="21"/>
                <w:szCs w:val="21"/>
                <w:highlight w:val="none"/>
                <w:lang w:val="en-US" w:eastAsia="zh-CN"/>
              </w:rPr>
              <w:t>0</w:t>
            </w:r>
          </w:p>
        </w:tc>
        <w:tc>
          <w:tcPr>
            <w:tcW w:w="5897" w:type="dxa"/>
            <w:tcBorders>
              <w:top w:val="single" w:color="auto" w:sz="4" w:space="0"/>
              <w:left w:val="nil"/>
              <w:bottom w:val="single" w:color="auto" w:sz="4" w:space="0"/>
              <w:right w:val="single" w:color="auto" w:sz="4" w:space="0"/>
            </w:tcBorders>
            <w:vAlign w:val="top"/>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left"/>
              <w:textAlignment w:val="auto"/>
              <w:rPr>
                <w:rFonts w:hint="eastAsia"/>
                <w:color w:val="auto"/>
                <w:spacing w:val="-3"/>
                <w:sz w:val="21"/>
                <w:highlight w:val="none"/>
              </w:rPr>
            </w:pPr>
            <w:r>
              <w:rPr>
                <w:rFonts w:hint="eastAsia"/>
                <w:color w:val="auto"/>
                <w:spacing w:val="-3"/>
                <w:sz w:val="21"/>
                <w:highlight w:val="none"/>
              </w:rPr>
              <w:t>1、投标人承诺完成“西藏牧运通系统</w:t>
            </w:r>
            <w:r>
              <w:rPr>
                <w:rFonts w:hint="eastAsia"/>
                <w:color w:val="auto"/>
                <w:spacing w:val="-3"/>
                <w:sz w:val="21"/>
                <w:highlight w:val="none"/>
                <w:lang w:val="en-US" w:eastAsia="zh-CN"/>
              </w:rPr>
              <w:t>升级功能</w:t>
            </w:r>
            <w:r>
              <w:rPr>
                <w:rFonts w:hint="eastAsia"/>
                <w:color w:val="auto"/>
                <w:spacing w:val="-3"/>
                <w:sz w:val="21"/>
                <w:highlight w:val="none"/>
              </w:rPr>
              <w:t>”</w:t>
            </w:r>
            <w:r>
              <w:rPr>
                <w:rFonts w:hint="eastAsia"/>
                <w:color w:val="auto"/>
                <w:spacing w:val="-3"/>
                <w:sz w:val="21"/>
                <w:highlight w:val="none"/>
                <w:lang w:val="en-US" w:eastAsia="zh-CN"/>
              </w:rPr>
              <w:t>的</w:t>
            </w:r>
            <w:r>
              <w:rPr>
                <w:rFonts w:hint="eastAsia"/>
                <w:color w:val="auto"/>
                <w:spacing w:val="-3"/>
                <w:sz w:val="21"/>
                <w:highlight w:val="none"/>
              </w:rPr>
              <w:t>藏汉双语版升级的得5分。</w:t>
            </w:r>
          </w:p>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left"/>
              <w:textAlignment w:val="auto"/>
              <w:rPr>
                <w:rFonts w:hint="eastAsia"/>
                <w:color w:val="auto"/>
                <w:spacing w:val="-3"/>
                <w:sz w:val="21"/>
                <w:highlight w:val="none"/>
              </w:rPr>
            </w:pPr>
            <w:r>
              <w:rPr>
                <w:rFonts w:hint="eastAsia"/>
                <w:b/>
                <w:bCs/>
                <w:color w:val="auto"/>
                <w:spacing w:val="-3"/>
                <w:sz w:val="21"/>
                <w:highlight w:val="none"/>
              </w:rPr>
              <w:t>评审依据：以投标人提供承诺函为准，未提供不计分。</w:t>
            </w:r>
          </w:p>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left"/>
              <w:textAlignment w:val="auto"/>
              <w:rPr>
                <w:rFonts w:hint="eastAsia"/>
                <w:color w:val="auto"/>
                <w:spacing w:val="-3"/>
                <w:sz w:val="21"/>
                <w:highlight w:val="none"/>
              </w:rPr>
            </w:pPr>
            <w:r>
              <w:rPr>
                <w:rFonts w:hint="eastAsia"/>
                <w:color w:val="auto"/>
                <w:spacing w:val="-3"/>
                <w:sz w:val="21"/>
                <w:highlight w:val="none"/>
              </w:rPr>
              <w:t>2、投标人证明具有“牧运通系统”开发及服务能力的得5分。</w:t>
            </w:r>
          </w:p>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left"/>
              <w:textAlignment w:val="auto"/>
              <w:rPr>
                <w:rFonts w:hint="eastAsia"/>
                <w:color w:val="auto"/>
                <w:spacing w:val="-3"/>
                <w:sz w:val="21"/>
                <w:highlight w:val="none"/>
              </w:rPr>
            </w:pPr>
            <w:r>
              <w:rPr>
                <w:rFonts w:hint="eastAsia"/>
                <w:b/>
                <w:bCs/>
                <w:color w:val="auto"/>
                <w:spacing w:val="-3"/>
                <w:sz w:val="21"/>
                <w:highlight w:val="none"/>
              </w:rPr>
              <w:t>评审依据：以投标人提供合同复印件并加盖投标人公章为准，未提供不计分，原件备查。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center"/>
              <w:rPr>
                <w:rFonts w:hint="eastAsia"/>
                <w:color w:val="auto"/>
                <w:spacing w:val="-3"/>
                <w:sz w:val="21"/>
                <w:highlight w:val="none"/>
              </w:rPr>
            </w:pPr>
            <w:r>
              <w:rPr>
                <w:rFonts w:hint="eastAsia"/>
                <w:color w:val="auto"/>
                <w:spacing w:val="-3"/>
                <w:sz w:val="21"/>
                <w:highlight w:val="none"/>
              </w:rPr>
              <w:t>4</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eastAsia"/>
                <w:color w:val="auto"/>
                <w:spacing w:val="-3"/>
                <w:sz w:val="21"/>
                <w:szCs w:val="21"/>
                <w:highlight w:val="none"/>
              </w:rPr>
            </w:pPr>
            <w:r>
              <w:rPr>
                <w:rFonts w:hint="eastAsia"/>
                <w:color w:val="auto"/>
                <w:sz w:val="21"/>
                <w:szCs w:val="21"/>
                <w:highlight w:val="none"/>
              </w:rPr>
              <w:t>项目团队</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eastAsia"/>
                <w:color w:val="auto"/>
                <w:spacing w:val="-3"/>
                <w:sz w:val="21"/>
                <w:szCs w:val="21"/>
                <w:highlight w:val="none"/>
              </w:rPr>
            </w:pPr>
            <w:r>
              <w:rPr>
                <w:rFonts w:hint="eastAsia"/>
                <w:color w:val="auto"/>
                <w:spacing w:val="-3"/>
                <w:sz w:val="21"/>
                <w:szCs w:val="21"/>
                <w:highlight w:val="none"/>
              </w:rPr>
              <w:t>5</w:t>
            </w:r>
          </w:p>
        </w:tc>
        <w:tc>
          <w:tcPr>
            <w:tcW w:w="5897"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left"/>
              <w:textAlignment w:val="auto"/>
              <w:rPr>
                <w:rFonts w:hint="eastAsia"/>
                <w:color w:val="auto"/>
                <w:spacing w:val="-3"/>
                <w:sz w:val="21"/>
                <w:highlight w:val="none"/>
              </w:rPr>
            </w:pPr>
            <w:r>
              <w:rPr>
                <w:rFonts w:hint="eastAsia"/>
                <w:color w:val="auto"/>
                <w:spacing w:val="-3"/>
                <w:sz w:val="21"/>
                <w:highlight w:val="none"/>
              </w:rPr>
              <w:t>1、项目负责人（1名）：具有计算机类中级及以上职称得2分。</w:t>
            </w:r>
          </w:p>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left"/>
              <w:textAlignment w:val="auto"/>
              <w:rPr>
                <w:rFonts w:hint="eastAsia"/>
                <w:color w:val="auto"/>
                <w:spacing w:val="-3"/>
                <w:sz w:val="21"/>
                <w:highlight w:val="none"/>
              </w:rPr>
            </w:pPr>
            <w:r>
              <w:rPr>
                <w:rFonts w:hint="eastAsia"/>
                <w:color w:val="auto"/>
                <w:spacing w:val="-3"/>
                <w:sz w:val="21"/>
                <w:highlight w:val="none"/>
              </w:rPr>
              <w:t>2、研发人员：具有计算机相关专业本科及以上学历，在投入5人的基础上计1分，每增加一人计1分，共3分。</w:t>
            </w:r>
          </w:p>
          <w:p>
            <w:pPr>
              <w:pStyle w:val="16"/>
              <w:tabs>
                <w:tab w:val="left" w:pos="318"/>
              </w:tabs>
              <w:spacing w:before="43" w:line="278" w:lineRule="auto"/>
              <w:ind w:right="94"/>
              <w:jc w:val="both"/>
              <w:rPr>
                <w:rFonts w:hint="eastAsia"/>
                <w:color w:val="auto"/>
                <w:spacing w:val="-3"/>
                <w:sz w:val="21"/>
                <w:highlight w:val="none"/>
              </w:rPr>
            </w:pPr>
            <w:r>
              <w:rPr>
                <w:rFonts w:hint="eastAsia"/>
                <w:b/>
                <w:bCs/>
                <w:color w:val="auto"/>
                <w:spacing w:val="-3"/>
                <w:sz w:val="21"/>
                <w:highlight w:val="none"/>
              </w:rPr>
              <w:t>评审依据：以投标人提供的相应证书复印件和人员在职证明为准，未提供不计分。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center"/>
              <w:rPr>
                <w:rFonts w:hint="eastAsia"/>
                <w:color w:val="auto"/>
                <w:spacing w:val="-3"/>
                <w:sz w:val="21"/>
                <w:highlight w:val="none"/>
              </w:rPr>
            </w:pPr>
            <w:r>
              <w:rPr>
                <w:rFonts w:hint="eastAsia"/>
                <w:color w:val="auto"/>
                <w:spacing w:val="-3"/>
                <w:sz w:val="21"/>
                <w:highlight w:val="none"/>
              </w:rPr>
              <w:t>5</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eastAsia"/>
                <w:color w:val="auto"/>
                <w:spacing w:val="-3"/>
                <w:sz w:val="21"/>
                <w:szCs w:val="21"/>
                <w:highlight w:val="none"/>
              </w:rPr>
            </w:pPr>
            <w:r>
              <w:rPr>
                <w:rFonts w:hint="eastAsia"/>
                <w:color w:val="auto"/>
                <w:sz w:val="21"/>
                <w:szCs w:val="21"/>
                <w:highlight w:val="none"/>
              </w:rPr>
              <w:t>安装部署、售后服务及培训</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eastAsia"/>
                <w:color w:val="auto"/>
                <w:spacing w:val="-3"/>
                <w:sz w:val="21"/>
                <w:szCs w:val="21"/>
                <w:highlight w:val="none"/>
              </w:rPr>
            </w:pPr>
            <w:r>
              <w:rPr>
                <w:rFonts w:hint="eastAsia"/>
                <w:color w:val="auto"/>
                <w:spacing w:val="-3"/>
                <w:sz w:val="21"/>
                <w:szCs w:val="21"/>
                <w:highlight w:val="none"/>
              </w:rPr>
              <w:t>5</w:t>
            </w:r>
          </w:p>
        </w:tc>
        <w:tc>
          <w:tcPr>
            <w:tcW w:w="589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both"/>
              <w:rPr>
                <w:rFonts w:hint="eastAsia"/>
                <w:color w:val="auto"/>
                <w:spacing w:val="-3"/>
                <w:sz w:val="21"/>
                <w:highlight w:val="none"/>
              </w:rPr>
            </w:pPr>
            <w:r>
              <w:rPr>
                <w:rFonts w:hint="eastAsia"/>
                <w:color w:val="auto"/>
                <w:szCs w:val="21"/>
                <w:highlight w:val="none"/>
              </w:rPr>
              <w:t>承诺安装部署在合同签订后10个日历天内、服务承诺周到、细致，培训计划及培训内容安排科学、合理、可行的，计5分；安装部署时间长、服务承诺一般，培训计划及培训内容安排一般的，计3分；安装部署时间不确定、服务承诺较差，培训计划及培训内容安排不合理的，计0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center"/>
              <w:rPr>
                <w:rFonts w:hint="eastAsia" w:eastAsia="仿宋"/>
                <w:color w:val="auto"/>
                <w:spacing w:val="-3"/>
                <w:sz w:val="21"/>
                <w:highlight w:val="none"/>
                <w:lang w:val="en-US" w:eastAsia="zh-CN"/>
              </w:rPr>
            </w:pPr>
            <w:r>
              <w:rPr>
                <w:rFonts w:hint="eastAsia"/>
                <w:color w:val="auto"/>
                <w:spacing w:val="-3"/>
                <w:sz w:val="21"/>
                <w:highlight w:val="none"/>
                <w:lang w:val="en-US" w:eastAsia="zh-CN"/>
              </w:rPr>
              <w:t>6</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eastAsia"/>
                <w:color w:val="auto"/>
                <w:sz w:val="21"/>
                <w:szCs w:val="21"/>
                <w:highlight w:val="none"/>
              </w:rPr>
            </w:pPr>
            <w:r>
              <w:rPr>
                <w:rFonts w:hint="eastAsia"/>
                <w:color w:val="auto"/>
                <w:sz w:val="21"/>
                <w:szCs w:val="21"/>
                <w:highlight w:val="none"/>
              </w:rPr>
              <w:t>国产化</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eastAsia" w:eastAsia="仿宋"/>
                <w:color w:val="auto"/>
                <w:spacing w:val="-3"/>
                <w:sz w:val="21"/>
                <w:szCs w:val="21"/>
                <w:highlight w:val="none"/>
                <w:lang w:val="en-US" w:eastAsia="zh-CN"/>
              </w:rPr>
            </w:pPr>
            <w:r>
              <w:rPr>
                <w:rFonts w:hint="eastAsia"/>
                <w:color w:val="auto"/>
                <w:spacing w:val="-3"/>
                <w:sz w:val="21"/>
                <w:szCs w:val="21"/>
                <w:highlight w:val="none"/>
                <w:lang w:val="en-US" w:eastAsia="zh-CN"/>
              </w:rPr>
              <w:t>5</w:t>
            </w:r>
          </w:p>
        </w:tc>
        <w:tc>
          <w:tcPr>
            <w:tcW w:w="589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both"/>
              <w:rPr>
                <w:rFonts w:hint="eastAsia"/>
                <w:color w:val="auto"/>
                <w:szCs w:val="21"/>
                <w:highlight w:val="none"/>
              </w:rPr>
            </w:pPr>
            <w:r>
              <w:rPr>
                <w:rFonts w:hint="eastAsia"/>
                <w:color w:val="auto"/>
                <w:szCs w:val="21"/>
                <w:highlight w:val="none"/>
              </w:rPr>
              <w:t>本项目考虑国产化及数据安全性，要求所提供软件产品兼容国产数据库（至少一款国产数据库做兼容互认证）。有产品兼容互认证证书得5分。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center"/>
              <w:rPr>
                <w:rFonts w:hint="default"/>
                <w:color w:val="auto"/>
                <w:spacing w:val="-3"/>
                <w:sz w:val="21"/>
                <w:highlight w:val="none"/>
                <w:lang w:val="en-US" w:eastAsia="zh-CN"/>
              </w:rPr>
            </w:pPr>
            <w:r>
              <w:rPr>
                <w:rFonts w:hint="eastAsia"/>
                <w:color w:val="auto"/>
                <w:spacing w:val="-3"/>
                <w:sz w:val="21"/>
                <w:highlight w:val="none"/>
                <w:lang w:val="en-US" w:eastAsia="zh-CN"/>
              </w:rPr>
              <w:t>7</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default" w:eastAsia="仿宋"/>
                <w:color w:val="auto"/>
                <w:sz w:val="21"/>
                <w:szCs w:val="21"/>
                <w:highlight w:val="none"/>
                <w:lang w:val="en-US" w:eastAsia="zh-CN"/>
              </w:rPr>
            </w:pPr>
            <w:r>
              <w:rPr>
                <w:rFonts w:hint="eastAsia"/>
                <w:color w:val="auto"/>
                <w:sz w:val="21"/>
                <w:szCs w:val="21"/>
                <w:highlight w:val="none"/>
                <w:lang w:val="en-US" w:eastAsia="zh-CN"/>
              </w:rPr>
              <w:t>响应文件的编制</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default"/>
                <w:color w:val="auto"/>
                <w:spacing w:val="-3"/>
                <w:sz w:val="21"/>
                <w:szCs w:val="21"/>
                <w:highlight w:val="none"/>
                <w:lang w:val="en-US" w:eastAsia="zh-CN"/>
              </w:rPr>
            </w:pPr>
            <w:r>
              <w:rPr>
                <w:rFonts w:hint="eastAsia"/>
                <w:color w:val="auto"/>
                <w:spacing w:val="-3"/>
                <w:sz w:val="21"/>
                <w:szCs w:val="21"/>
                <w:highlight w:val="none"/>
                <w:lang w:val="en-US" w:eastAsia="zh-CN"/>
              </w:rPr>
              <w:t>4</w:t>
            </w:r>
          </w:p>
        </w:tc>
        <w:tc>
          <w:tcPr>
            <w:tcW w:w="589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both"/>
              <w:rPr>
                <w:rFonts w:hint="eastAsia"/>
                <w:color w:val="auto"/>
                <w:szCs w:val="21"/>
                <w:highlight w:val="none"/>
              </w:rPr>
            </w:pPr>
            <w:r>
              <w:rPr>
                <w:rFonts w:hint="eastAsia"/>
                <w:color w:val="auto"/>
                <w:szCs w:val="21"/>
                <w:highlight w:val="none"/>
              </w:rPr>
              <w:t>响应文件的编制，目录详细准确，内容完整，针对性强，便于评分，逐页编写页码无误，目录与有关材料装订顺序对应清晰，查阅方便，且盖章、署名齐全等，综合评判计分，优秀计4分、良好计3分、一般记1分，较差计0分。</w:t>
            </w:r>
          </w:p>
        </w:tc>
      </w:tr>
    </w:tbl>
    <w:p>
      <w:pPr>
        <w:widowControl/>
        <w:spacing w:line="360" w:lineRule="auto"/>
        <w:ind w:firstLine="480" w:firstLineChars="200"/>
        <w:rPr>
          <w:rFonts w:hint="eastAsia" w:ascii="仿宋" w:hAnsi="仿宋" w:eastAsia="仿宋" w:cs="Times New Roman"/>
          <w:sz w:val="24"/>
          <w:szCs w:val="24"/>
          <w:highlight w:val="none"/>
        </w:rPr>
      </w:pPr>
    </w:p>
    <w:p>
      <w:pPr>
        <w:widowControl/>
        <w:spacing w:line="360" w:lineRule="auto"/>
        <w:ind w:firstLine="480" w:firstLineChars="200"/>
        <w:rPr>
          <w:rFonts w:hint="eastAsia" w:ascii="仿宋" w:hAnsi="仿宋" w:eastAsia="仿宋" w:cs="Times New Roman"/>
          <w:sz w:val="24"/>
          <w:szCs w:val="24"/>
          <w:highlight w:val="none"/>
        </w:rPr>
      </w:pPr>
    </w:p>
    <w:p>
      <w:pPr>
        <w:widowControl/>
        <w:spacing w:line="360" w:lineRule="auto"/>
        <w:ind w:firstLine="480" w:firstLineChars="200"/>
        <w:rPr>
          <w:rFonts w:hint="eastAsia" w:ascii="仿宋" w:hAnsi="仿宋" w:eastAsia="仿宋" w:cs="Times New Roman"/>
          <w:sz w:val="24"/>
          <w:szCs w:val="24"/>
          <w:highlight w:val="none"/>
        </w:rPr>
      </w:pPr>
    </w:p>
    <w:p>
      <w:pPr>
        <w:widowControl/>
        <w:spacing w:line="360" w:lineRule="auto"/>
        <w:ind w:firstLine="480" w:firstLineChars="200"/>
        <w:rPr>
          <w:rFonts w:hint="eastAsia" w:ascii="仿宋" w:hAnsi="仿宋" w:eastAsia="仿宋" w:cs="Times New Roman"/>
          <w:sz w:val="24"/>
          <w:szCs w:val="24"/>
          <w:highlight w:val="none"/>
        </w:rPr>
      </w:pPr>
    </w:p>
    <w:p>
      <w:pPr>
        <w:widowControl/>
        <w:spacing w:line="360" w:lineRule="auto"/>
        <w:rPr>
          <w:rFonts w:hint="eastAsia" w:ascii="仿宋" w:hAnsi="仿宋" w:eastAsia="仿宋" w:cs="Times New Roman"/>
          <w:sz w:val="24"/>
          <w:szCs w:val="24"/>
          <w:highlight w:val="none"/>
        </w:rPr>
      </w:pPr>
    </w:p>
    <w:p>
      <w:pPr>
        <w:widowControl/>
        <w:spacing w:line="360" w:lineRule="auto"/>
        <w:ind w:firstLine="480" w:firstLineChars="200"/>
        <w:rPr>
          <w:rFonts w:hint="eastAsia" w:ascii="仿宋" w:hAnsi="仿宋" w:eastAsia="仿宋" w:cs="Times New Roman"/>
          <w:sz w:val="24"/>
          <w:szCs w:val="24"/>
          <w:highlight w:val="none"/>
        </w:rPr>
      </w:pPr>
    </w:p>
    <w:p>
      <w:pPr>
        <w:widowControl/>
        <w:spacing w:line="360" w:lineRule="auto"/>
        <w:rPr>
          <w:rFonts w:hint="eastAsia" w:ascii="仿宋" w:hAnsi="仿宋" w:eastAsia="仿宋" w:cs="Times New Roman"/>
          <w:sz w:val="24"/>
          <w:szCs w:val="24"/>
          <w:highlight w:val="none"/>
        </w:rPr>
      </w:pPr>
    </w:p>
    <w:p>
      <w:pPr>
        <w:rPr>
          <w:rFonts w:hint="eastAsia" w:ascii="仿宋" w:hAnsi="仿宋" w:eastAsia="仿宋" w:cs="Times New Roman"/>
          <w:sz w:val="24"/>
          <w:szCs w:val="24"/>
          <w:highlight w:val="none"/>
        </w:rPr>
      </w:pPr>
      <w:r>
        <w:rPr>
          <w:rFonts w:hint="eastAsia" w:ascii="仿宋" w:hAnsi="仿宋" w:eastAsia="仿宋" w:cs="Times New Roman"/>
          <w:sz w:val="24"/>
          <w:szCs w:val="24"/>
          <w:highlight w:val="none"/>
        </w:rPr>
        <w:br w:type="page"/>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.4.2</w:t>
      </w:r>
      <w:r>
        <w:rPr>
          <w:rFonts w:hint="eastAsia" w:ascii="仿宋" w:hAnsi="仿宋" w:eastAsia="仿宋" w:cs="Times New Roman"/>
          <w:sz w:val="24"/>
          <w:szCs w:val="24"/>
          <w:highlight w:val="none"/>
          <w:lang w:val="en-US" w:eastAsia="zh-CN"/>
        </w:rPr>
        <w:t>.2</w:t>
      </w:r>
      <w:r>
        <w:rPr>
          <w:rFonts w:ascii="仿宋" w:hAnsi="仿宋" w:eastAsia="仿宋" w:cs="Times New Roman"/>
          <w:sz w:val="24"/>
          <w:szCs w:val="24"/>
          <w:highlight w:val="none"/>
        </w:rPr>
        <w:t xml:space="preserve"> </w:t>
      </w:r>
      <w:r>
        <w:rPr>
          <w:rFonts w:ascii="仿宋" w:hAnsi="仿宋" w:eastAsia="仿宋" w:cs="Times New Roman"/>
          <w:b/>
          <w:bCs/>
          <w:sz w:val="24"/>
          <w:szCs w:val="24"/>
          <w:highlight w:val="none"/>
        </w:rPr>
        <w:t>第</w:t>
      </w:r>
      <w:r>
        <w:rPr>
          <w:rFonts w:hint="eastAsia" w:ascii="仿宋" w:hAnsi="仿宋" w:eastAsia="仿宋" w:cs="Times New Roman"/>
          <w:b/>
          <w:bCs/>
          <w:sz w:val="24"/>
          <w:szCs w:val="24"/>
          <w:highlight w:val="none"/>
          <w:lang w:val="en-US" w:eastAsia="zh-CN"/>
        </w:rPr>
        <w:t>二至第四</w:t>
      </w:r>
      <w:r>
        <w:rPr>
          <w:rFonts w:ascii="仿宋" w:hAnsi="仿宋" w:eastAsia="仿宋" w:cs="Times New Roman"/>
          <w:b/>
          <w:bCs/>
          <w:sz w:val="24"/>
          <w:szCs w:val="24"/>
          <w:highlight w:val="none"/>
        </w:rPr>
        <w:t>标段评分细则</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综合评分各项标准及权重以下表为准。</w:t>
      </w:r>
    </w:p>
    <w:tbl>
      <w:tblPr>
        <w:tblStyle w:val="9"/>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1112"/>
        <w:gridCol w:w="917"/>
        <w:gridCol w:w="5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center"/>
              <w:rPr>
                <w:rFonts w:ascii="仿宋" w:hAnsi="仿宋" w:eastAsia="仿宋" w:cs="仿宋"/>
                <w:b/>
                <w:bCs/>
                <w:spacing w:val="-20"/>
                <w:kern w:val="1"/>
                <w:szCs w:val="21"/>
                <w:highlight w:val="none"/>
              </w:rPr>
            </w:pPr>
            <w:r>
              <w:rPr>
                <w:rFonts w:hint="eastAsia" w:ascii="仿宋" w:hAnsi="仿宋" w:eastAsia="仿宋" w:cs="仿宋"/>
                <w:b/>
                <w:bCs/>
                <w:spacing w:val="-20"/>
                <w:kern w:val="1"/>
                <w:szCs w:val="21"/>
                <w:highlight w:val="none"/>
              </w:rPr>
              <w:t>序号</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评分项目</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分值</w:t>
            </w:r>
          </w:p>
        </w:tc>
        <w:tc>
          <w:tcPr>
            <w:tcW w:w="589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1"/>
                <w:szCs w:val="21"/>
                <w:highlight w:val="none"/>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1"/>
                <w:szCs w:val="21"/>
                <w:highlight w:val="none"/>
              </w:rPr>
            </w:pPr>
            <w:r>
              <w:rPr>
                <w:rFonts w:hint="eastAsia" w:ascii="仿宋" w:hAnsi="仿宋" w:eastAsia="仿宋" w:cs="仿宋"/>
                <w:kern w:val="1"/>
                <w:szCs w:val="21"/>
                <w:highlight w:val="none"/>
              </w:rPr>
              <w:t>总分</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1"/>
                <w:szCs w:val="21"/>
                <w:highlight w:val="none"/>
              </w:rPr>
            </w:pPr>
            <w:r>
              <w:rPr>
                <w:rFonts w:hint="eastAsia" w:ascii="仿宋" w:hAnsi="仿宋" w:eastAsia="仿宋" w:cs="仿宋"/>
                <w:kern w:val="1"/>
                <w:szCs w:val="21"/>
                <w:highlight w:val="none"/>
              </w:rPr>
              <w:t>100</w:t>
            </w:r>
          </w:p>
        </w:tc>
        <w:tc>
          <w:tcPr>
            <w:tcW w:w="589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kern w:val="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一</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szCs w:val="21"/>
                <w:highlight w:val="none"/>
              </w:rPr>
              <w:t>报价部分</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ascii="仿宋" w:hAnsi="仿宋" w:eastAsia="仿宋" w:cs="仿宋"/>
                <w:b/>
                <w:bCs/>
                <w:kern w:val="1"/>
                <w:szCs w:val="21"/>
                <w:highlight w:val="none"/>
              </w:rPr>
              <w:t>30</w:t>
            </w:r>
          </w:p>
        </w:tc>
        <w:tc>
          <w:tcPr>
            <w:tcW w:w="5897"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1"/>
                <w:szCs w:val="21"/>
                <w:highlight w:val="none"/>
              </w:rPr>
            </w:pPr>
            <w:r>
              <w:rPr>
                <w:rFonts w:hint="eastAsia" w:ascii="仿宋" w:hAnsi="仿宋" w:eastAsia="仿宋" w:cs="仿宋"/>
                <w:kern w:val="1"/>
                <w:szCs w:val="21"/>
                <w:highlight w:val="none"/>
              </w:rPr>
              <w:t>1.</w:t>
            </w:r>
            <w:r>
              <w:rPr>
                <w:rFonts w:ascii="仿宋" w:hAnsi="仿宋" w:eastAsia="仿宋" w:cs="仿宋"/>
                <w:kern w:val="1"/>
                <w:szCs w:val="21"/>
                <w:highlight w:val="none"/>
              </w:rPr>
              <w:t>根据《政府采购货物和服务招标投标管理办法》（财政部令第 87 号）第五十五条规定：货物项目的价格分值占总分值的比重不得低于30%；服务项目的价格分值占总分值的比重不得低于10%。执行国家统一定价标准和采用固定价格采购的项目，其价格不列为评审因素。</w:t>
            </w:r>
          </w:p>
          <w:p>
            <w:pPr>
              <w:widowControl/>
              <w:rPr>
                <w:rFonts w:ascii="仿宋" w:hAnsi="仿宋" w:eastAsia="仿宋" w:cs="仿宋"/>
                <w:kern w:val="1"/>
                <w:szCs w:val="21"/>
                <w:highlight w:val="none"/>
              </w:rPr>
            </w:pPr>
            <w:r>
              <w:rPr>
                <w:rFonts w:ascii="仿宋" w:hAnsi="仿宋" w:eastAsia="仿宋" w:cs="仿宋"/>
                <w:kern w:val="1"/>
                <w:szCs w:val="21"/>
                <w:highlight w:val="none"/>
              </w:rPr>
              <w:t>价格分应当采用低价优先法计算，即满足招标文件要求且投标价格最低的投标报价为评标基准价，其价格分为满分。其他投标人的价格分统一按照下列公式计算：</w:t>
            </w:r>
          </w:p>
          <w:p>
            <w:pPr>
              <w:widowControl/>
              <w:rPr>
                <w:rFonts w:ascii="仿宋" w:hAnsi="仿宋" w:eastAsia="仿宋" w:cs="仿宋"/>
                <w:kern w:val="1"/>
                <w:szCs w:val="21"/>
                <w:highlight w:val="none"/>
              </w:rPr>
            </w:pPr>
            <w:r>
              <w:rPr>
                <w:rFonts w:ascii="仿宋" w:hAnsi="仿宋" w:eastAsia="仿宋" w:cs="仿宋"/>
                <w:kern w:val="1"/>
                <w:szCs w:val="21"/>
                <w:highlight w:val="none"/>
              </w:rPr>
              <w:t>投标报价得分=(评标基准价／该投标人投标报价)×30。</w:t>
            </w:r>
          </w:p>
          <w:p>
            <w:pPr>
              <w:widowControl/>
              <w:rPr>
                <w:rFonts w:ascii="仿宋" w:hAnsi="仿宋" w:eastAsia="仿宋" w:cs="仿宋"/>
                <w:kern w:val="1"/>
                <w:szCs w:val="21"/>
                <w:highlight w:val="none"/>
              </w:rPr>
            </w:pPr>
            <w:r>
              <w:rPr>
                <w:rFonts w:hint="eastAsia" w:ascii="仿宋" w:hAnsi="仿宋" w:eastAsia="仿宋" w:cs="仿宋"/>
                <w:kern w:val="1"/>
                <w:szCs w:val="21"/>
                <w:highlight w:val="none"/>
              </w:rPr>
              <w:t>2.</w:t>
            </w:r>
            <w:r>
              <w:rPr>
                <w:rFonts w:ascii="仿宋" w:hAnsi="仿宋" w:eastAsia="仿宋" w:cs="仿宋"/>
                <w:kern w:val="1"/>
                <w:szCs w:val="21"/>
                <w:highlight w:val="none"/>
              </w:rPr>
              <w:t>过程中，不得去掉报价中的最高报价和最低报价。</w:t>
            </w:r>
          </w:p>
          <w:p>
            <w:pPr>
              <w:widowControl/>
              <w:rPr>
                <w:rFonts w:ascii="仿宋" w:hAnsi="仿宋" w:eastAsia="仿宋" w:cs="仿宋"/>
                <w:kern w:val="1"/>
                <w:szCs w:val="21"/>
                <w:highlight w:val="none"/>
              </w:rPr>
            </w:pPr>
            <w:r>
              <w:rPr>
                <w:rFonts w:hint="eastAsia" w:ascii="仿宋" w:hAnsi="仿宋" w:eastAsia="仿宋" w:cs="仿宋"/>
                <w:kern w:val="1"/>
                <w:szCs w:val="21"/>
                <w:highlight w:val="none"/>
              </w:rPr>
              <w:t>3.</w:t>
            </w:r>
            <w:r>
              <w:rPr>
                <w:rFonts w:ascii="仿宋" w:hAnsi="仿宋" w:eastAsia="仿宋" w:cs="仿宋"/>
                <w:kern w:val="1"/>
                <w:szCs w:val="21"/>
                <w:highlight w:val="none"/>
              </w:rPr>
              <w:t>因落实政府采购政策进行价格调整的，以调整后的价格计算评标基准价和投标报价。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idowControl/>
              <w:rPr>
                <w:rFonts w:ascii="仿宋" w:hAnsi="仿宋" w:eastAsia="仿宋" w:cs="仿宋"/>
                <w:kern w:val="1"/>
                <w:szCs w:val="21"/>
                <w:highlight w:val="none"/>
              </w:rPr>
            </w:pPr>
            <w:r>
              <w:rPr>
                <w:rFonts w:hint="eastAsia" w:ascii="仿宋" w:hAnsi="仿宋" w:eastAsia="仿宋" w:cs="仿宋"/>
                <w:kern w:val="1"/>
                <w:szCs w:val="21"/>
                <w:highlight w:val="none"/>
              </w:rPr>
              <w:t>4.</w:t>
            </w:r>
            <w:r>
              <w:rPr>
                <w:rFonts w:ascii="仿宋" w:hAnsi="仿宋" w:eastAsia="仿宋" w:cs="仿宋"/>
                <w:kern w:val="1"/>
                <w:szCs w:val="21"/>
                <w:highlight w:val="none"/>
              </w:rPr>
              <w:t>落实政府采购政策进行价格调整的标准及认定以“第二章投标人须知前附表”规定为准。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二</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kern w:val="1"/>
                <w:szCs w:val="21"/>
                <w:highlight w:val="none"/>
              </w:rPr>
            </w:pPr>
            <w:r>
              <w:rPr>
                <w:rFonts w:hint="eastAsia" w:ascii="仿宋" w:hAnsi="仿宋" w:eastAsia="仿宋" w:cs="仿宋"/>
                <w:b/>
                <w:bCs/>
                <w:kern w:val="1"/>
                <w:szCs w:val="21"/>
                <w:highlight w:val="none"/>
              </w:rPr>
              <w:t>技术部分</w:t>
            </w: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 w:hAnsi="仿宋" w:eastAsia="仿宋" w:cs="仿宋"/>
                <w:b/>
                <w:bCs/>
                <w:kern w:val="1"/>
                <w:szCs w:val="21"/>
                <w:highlight w:val="none"/>
                <w:lang w:val="en-US" w:eastAsia="zh-CN"/>
              </w:rPr>
            </w:pPr>
            <w:r>
              <w:rPr>
                <w:rFonts w:hint="eastAsia" w:ascii="仿宋" w:hAnsi="仿宋" w:eastAsia="仿宋" w:cs="仿宋"/>
                <w:b/>
                <w:bCs/>
                <w:kern w:val="1"/>
                <w:szCs w:val="21"/>
                <w:highlight w:val="none"/>
                <w:lang w:val="en-US" w:eastAsia="zh-CN"/>
              </w:rPr>
              <w:t>40</w:t>
            </w:r>
          </w:p>
        </w:tc>
        <w:tc>
          <w:tcPr>
            <w:tcW w:w="589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kern w:val="1"/>
                <w:szCs w:val="21"/>
                <w:highlight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219"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1"/>
                <w:szCs w:val="21"/>
                <w:highlight w:val="none"/>
              </w:rPr>
            </w:pPr>
            <w:r>
              <w:rPr>
                <w:rFonts w:hint="eastAsia" w:ascii="仿宋" w:hAnsi="仿宋" w:eastAsia="仿宋" w:cs="仿宋"/>
                <w:kern w:val="1"/>
                <w:szCs w:val="21"/>
                <w:highlight w:val="none"/>
                <w:lang w:val="en-US" w:eastAsia="zh-CN"/>
              </w:rPr>
              <w:t>1</w:t>
            </w:r>
          </w:p>
        </w:tc>
        <w:tc>
          <w:tcPr>
            <w:tcW w:w="111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1"/>
                <w:szCs w:val="21"/>
                <w:highlight w:val="none"/>
              </w:rPr>
            </w:pPr>
            <w:r>
              <w:rPr>
                <w:rFonts w:ascii="仿宋" w:hAnsi="仿宋" w:eastAsia="仿宋" w:cs="仿宋"/>
                <w:kern w:val="1"/>
                <w:szCs w:val="21"/>
                <w:highlight w:val="none"/>
              </w:rPr>
              <w:t>耳标技术</w:t>
            </w:r>
            <w:r>
              <w:rPr>
                <w:rFonts w:hint="eastAsia" w:ascii="仿宋" w:hAnsi="仿宋" w:eastAsia="仿宋" w:cs="仿宋"/>
                <w:kern w:val="1"/>
                <w:szCs w:val="21"/>
                <w:highlight w:val="none"/>
              </w:rPr>
              <w:t>水平</w:t>
            </w:r>
          </w:p>
        </w:tc>
        <w:tc>
          <w:tcPr>
            <w:tcW w:w="917"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1"/>
                <w:szCs w:val="21"/>
                <w:highlight w:val="none"/>
              </w:rPr>
            </w:pPr>
            <w:r>
              <w:rPr>
                <w:rFonts w:hint="eastAsia" w:ascii="仿宋" w:hAnsi="仿宋" w:eastAsia="仿宋" w:cs="仿宋"/>
                <w:kern w:val="1"/>
                <w:szCs w:val="21"/>
                <w:highlight w:val="none"/>
                <w:lang w:val="en-US" w:eastAsia="zh-CN"/>
              </w:rPr>
              <w:t>30</w:t>
            </w:r>
          </w:p>
        </w:tc>
        <w:tc>
          <w:tcPr>
            <w:tcW w:w="5897" w:type="dxa"/>
            <w:tcBorders>
              <w:top w:val="single" w:color="auto" w:sz="4" w:space="0"/>
              <w:left w:val="nil"/>
              <w:bottom w:val="single" w:color="auto" w:sz="4" w:space="0"/>
              <w:right w:val="single" w:color="auto" w:sz="4" w:space="0"/>
            </w:tcBorders>
            <w:vAlign w:val="top"/>
          </w:tcPr>
          <w:p>
            <w:pPr>
              <w:widowControl/>
              <w:numPr>
                <w:ilvl w:val="0"/>
                <w:numId w:val="0"/>
              </w:numPr>
              <w:rPr>
                <w:rFonts w:hint="eastAsia" w:ascii="仿宋" w:hAnsi="仿宋" w:eastAsia="仿宋" w:cs="仿宋"/>
                <w:kern w:val="1"/>
                <w:szCs w:val="21"/>
                <w:highlight w:val="none"/>
                <w:lang w:val="en-US" w:eastAsia="zh-CN"/>
              </w:rPr>
            </w:pPr>
            <w:r>
              <w:rPr>
                <w:rFonts w:hint="eastAsia" w:ascii="仿宋" w:hAnsi="仿宋" w:eastAsia="仿宋" w:cs="仿宋"/>
                <w:kern w:val="1"/>
                <w:szCs w:val="21"/>
                <w:highlight w:val="none"/>
                <w:lang w:val="en-US" w:eastAsia="zh-CN"/>
              </w:rPr>
              <w:t>投标人需提供每种耳标样品5套，共20套，用于现场技术评审。1、技术评审以现场样品的第三方检测报告进行评审，检测报告</w:t>
            </w:r>
            <w:r>
              <w:rPr>
                <w:rFonts w:hint="default" w:ascii="仿宋" w:hAnsi="仿宋" w:eastAsia="仿宋" w:cs="仿宋"/>
                <w:kern w:val="1"/>
                <w:szCs w:val="21"/>
                <w:highlight w:val="none"/>
                <w:lang w:val="en-US" w:eastAsia="zh-CN"/>
              </w:rPr>
              <w:t>需附第三方检测机构资质证明材料</w:t>
            </w:r>
            <w:r>
              <w:rPr>
                <w:rFonts w:hint="eastAsia" w:ascii="仿宋" w:hAnsi="仿宋" w:eastAsia="仿宋" w:cs="仿宋"/>
                <w:kern w:val="1"/>
                <w:szCs w:val="21"/>
                <w:highlight w:val="none"/>
                <w:lang w:val="en-US" w:eastAsia="zh-CN"/>
              </w:rPr>
              <w:t>，检测报告上的耳标编号需包含现场投递的20套样品，且编号完全一致。若未提供检测报告或检测报告中的耳标编号与现场递交样品中任意一套耳标编号不一致的，本项不予计分。</w:t>
            </w:r>
          </w:p>
          <w:p>
            <w:pPr>
              <w:widowControl/>
              <w:numPr>
                <w:ilvl w:val="0"/>
                <w:numId w:val="0"/>
              </w:numPr>
              <w:rPr>
                <w:rFonts w:hint="default" w:ascii="仿宋" w:hAnsi="仿宋" w:eastAsia="仿宋" w:cs="仿宋"/>
                <w:b/>
                <w:bCs/>
                <w:kern w:val="1"/>
                <w:szCs w:val="21"/>
                <w:highlight w:val="none"/>
                <w:lang w:val="en-US" w:eastAsia="zh-CN"/>
              </w:rPr>
            </w:pPr>
            <w:r>
              <w:rPr>
                <w:rFonts w:hint="eastAsia" w:ascii="仿宋" w:hAnsi="仿宋" w:eastAsia="仿宋" w:cs="仿宋"/>
                <w:b/>
                <w:bCs/>
                <w:kern w:val="1"/>
                <w:szCs w:val="21"/>
                <w:highlight w:val="none"/>
                <w:lang w:val="en-US" w:eastAsia="zh-CN"/>
              </w:rPr>
              <w:t>注：各投标人提供的样品编号以投标人企业自主生成的为准进行制作并送检（严格按照招标文件技术参数中的要求制作）；若投标人参与多标段投标，仅需提供一份样品（每种耳标样品5套，共20套），无须分标段提供。</w:t>
            </w:r>
          </w:p>
          <w:p>
            <w:pPr>
              <w:widowControl/>
              <w:numPr>
                <w:ilvl w:val="0"/>
                <w:numId w:val="0"/>
              </w:numPr>
              <w:rPr>
                <w:rFonts w:hint="eastAsia" w:ascii="仿宋" w:hAnsi="仿宋" w:eastAsia="仿宋" w:cs="仿宋"/>
                <w:kern w:val="1"/>
                <w:szCs w:val="21"/>
                <w:highlight w:val="none"/>
                <w:lang w:val="en-US" w:eastAsia="zh-CN"/>
              </w:rPr>
            </w:pPr>
            <w:r>
              <w:rPr>
                <w:rFonts w:hint="eastAsia" w:ascii="仿宋" w:hAnsi="仿宋" w:eastAsia="仿宋" w:cs="仿宋"/>
                <w:kern w:val="1"/>
                <w:szCs w:val="21"/>
                <w:highlight w:val="none"/>
                <w:lang w:val="en-US" w:eastAsia="zh-CN"/>
              </w:rPr>
              <w:t>2、用于现场评审的耳标样品，每个耳标主标除按技术参数要求激光赋码外，还需在主标适当位置能够体现生产企业标识，并与招标文件中要求的标识位置一致。否则本项不予计分。</w:t>
            </w:r>
          </w:p>
          <w:p>
            <w:pPr>
              <w:widowControl/>
              <w:rPr>
                <w:rFonts w:ascii="仿宋" w:hAnsi="仿宋" w:eastAsia="仿宋" w:cs="仿宋"/>
                <w:kern w:val="1"/>
                <w:szCs w:val="21"/>
                <w:highlight w:val="none"/>
              </w:rPr>
            </w:pPr>
            <w:r>
              <w:rPr>
                <w:rFonts w:hint="eastAsia" w:ascii="仿宋" w:hAnsi="仿宋" w:eastAsia="仿宋" w:cs="仿宋"/>
                <w:kern w:val="1"/>
                <w:szCs w:val="21"/>
                <w:highlight w:val="none"/>
                <w:lang w:val="en-US" w:eastAsia="zh-CN"/>
              </w:rPr>
              <w:t>3、牛、羊电子芯片耳标需检测招标技术参数的1-10项；牛、羊普通耳标需检测招标技术参数的1-12项。（</w:t>
            </w:r>
            <w:r>
              <w:rPr>
                <w:rFonts w:hint="eastAsia" w:ascii="仿宋" w:hAnsi="仿宋" w:eastAsia="仿宋" w:cs="仿宋"/>
                <w:b/>
                <w:bCs/>
                <w:kern w:val="1"/>
                <w:szCs w:val="21"/>
                <w:highlight w:val="none"/>
                <w:lang w:val="en-US" w:eastAsia="zh-CN"/>
              </w:rPr>
              <w:t>如有检测机构无法检测的项目，如使用寿命、不可拆卸、电子标签的数据保存年限等，由投标人提供承诺函进行响应）</w:t>
            </w:r>
            <w:r>
              <w:rPr>
                <w:rFonts w:hint="eastAsia" w:ascii="仿宋" w:hAnsi="仿宋" w:eastAsia="仿宋" w:cs="仿宋"/>
                <w:kern w:val="1"/>
                <w:szCs w:val="21"/>
                <w:highlight w:val="none"/>
                <w:lang w:val="en-US" w:eastAsia="zh-CN"/>
              </w:rPr>
              <w:t>。根据检测报告对比招标技术参数，每有一项负偏离扣1.5分，扣完为止。</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1"/>
                <w:szCs w:val="21"/>
                <w:highlight w:val="none"/>
              </w:rPr>
            </w:pPr>
            <w:r>
              <w:rPr>
                <w:rFonts w:hint="eastAsia" w:ascii="仿宋" w:hAnsi="仿宋" w:eastAsia="仿宋" w:cs="仿宋"/>
                <w:kern w:val="1"/>
                <w:szCs w:val="21"/>
                <w:highlight w:val="none"/>
                <w:lang w:val="en-US" w:eastAsia="zh-CN"/>
              </w:rPr>
              <w:t>2</w:t>
            </w:r>
          </w:p>
        </w:tc>
        <w:tc>
          <w:tcPr>
            <w:tcW w:w="1112"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kern w:val="1"/>
                <w:szCs w:val="21"/>
                <w:highlight w:val="none"/>
              </w:rPr>
            </w:pPr>
            <w:r>
              <w:rPr>
                <w:rFonts w:hint="eastAsia" w:ascii="仿宋" w:hAnsi="仿宋" w:eastAsia="仿宋" w:cs="仿宋"/>
                <w:kern w:val="1"/>
                <w:szCs w:val="21"/>
                <w:highlight w:val="none"/>
                <w:lang w:eastAsia="zh-CN"/>
              </w:rPr>
              <w:t>配套</w:t>
            </w:r>
            <w:r>
              <w:rPr>
                <w:rFonts w:ascii="仿宋" w:hAnsi="仿宋" w:eastAsia="仿宋" w:cs="仿宋"/>
                <w:kern w:val="1"/>
                <w:szCs w:val="21"/>
                <w:highlight w:val="none"/>
              </w:rPr>
              <w:t>识读器技术水平</w:t>
            </w:r>
          </w:p>
        </w:tc>
        <w:tc>
          <w:tcPr>
            <w:tcW w:w="917"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kern w:val="1"/>
                <w:szCs w:val="21"/>
                <w:highlight w:val="none"/>
                <w:lang w:val="en-US" w:eastAsia="zh-CN"/>
              </w:rPr>
            </w:pPr>
            <w:r>
              <w:rPr>
                <w:rFonts w:hint="eastAsia" w:ascii="仿宋" w:hAnsi="仿宋" w:eastAsia="仿宋" w:cs="仿宋"/>
                <w:kern w:val="1"/>
                <w:szCs w:val="21"/>
                <w:highlight w:val="none"/>
                <w:lang w:val="en-US" w:eastAsia="zh-CN"/>
              </w:rPr>
              <w:t>6</w:t>
            </w:r>
          </w:p>
        </w:tc>
        <w:tc>
          <w:tcPr>
            <w:tcW w:w="5897" w:type="dxa"/>
            <w:tcBorders>
              <w:top w:val="single" w:color="auto" w:sz="4" w:space="0"/>
              <w:left w:val="nil"/>
              <w:bottom w:val="single" w:color="auto" w:sz="4" w:space="0"/>
              <w:right w:val="single" w:color="auto" w:sz="4" w:space="0"/>
            </w:tcBorders>
            <w:vAlign w:val="top"/>
          </w:tcPr>
          <w:p>
            <w:pPr>
              <w:widowControl/>
              <w:rPr>
                <w:rFonts w:hint="eastAsia" w:ascii="仿宋" w:hAnsi="仿宋" w:eastAsia="仿宋" w:cs="仿宋"/>
                <w:kern w:val="1"/>
                <w:szCs w:val="21"/>
                <w:highlight w:val="none"/>
              </w:rPr>
            </w:pPr>
            <w:r>
              <w:rPr>
                <w:rFonts w:hint="eastAsia" w:ascii="仿宋" w:hAnsi="仿宋" w:eastAsia="仿宋" w:cs="仿宋"/>
                <w:kern w:val="1"/>
                <w:szCs w:val="21"/>
                <w:highlight w:val="none"/>
                <w:lang w:eastAsia="zh-CN"/>
              </w:rPr>
              <w:t>根据招标文件技术参数进行评审，投标识读器技术参数</w:t>
            </w:r>
            <w:r>
              <w:rPr>
                <w:rFonts w:hint="eastAsia" w:ascii="仿宋" w:hAnsi="仿宋" w:eastAsia="仿宋" w:cs="仿宋"/>
                <w:kern w:val="1"/>
                <w:szCs w:val="21"/>
                <w:highlight w:val="none"/>
                <w:lang w:val="en-US" w:eastAsia="zh-CN"/>
              </w:rPr>
              <w:t>每有一项</w:t>
            </w:r>
            <w:r>
              <w:rPr>
                <w:rFonts w:ascii="仿宋" w:hAnsi="仿宋" w:eastAsia="仿宋" w:cs="仿宋"/>
                <w:kern w:val="1"/>
                <w:szCs w:val="21"/>
                <w:highlight w:val="none"/>
              </w:rPr>
              <w:t>负偏离扣</w:t>
            </w:r>
            <w:r>
              <w:rPr>
                <w:rFonts w:hint="eastAsia" w:ascii="仿宋" w:hAnsi="仿宋" w:eastAsia="仿宋" w:cs="仿宋"/>
                <w:kern w:val="1"/>
                <w:szCs w:val="21"/>
                <w:highlight w:val="none"/>
                <w:lang w:val="en-US" w:eastAsia="zh-CN"/>
              </w:rPr>
              <w:t>1</w:t>
            </w:r>
            <w:r>
              <w:rPr>
                <w:rFonts w:ascii="仿宋" w:hAnsi="仿宋" w:eastAsia="仿宋" w:cs="仿宋"/>
                <w:kern w:val="1"/>
                <w:szCs w:val="21"/>
                <w:highlight w:val="none"/>
              </w:rPr>
              <w:t>分，</w:t>
            </w:r>
            <w:r>
              <w:rPr>
                <w:rFonts w:hint="eastAsia" w:ascii="仿宋" w:hAnsi="仿宋" w:eastAsia="仿宋" w:cs="仿宋"/>
                <w:kern w:val="1"/>
                <w:szCs w:val="21"/>
                <w:highlight w:val="none"/>
                <w:lang w:eastAsia="zh-CN"/>
              </w:rPr>
              <w:t>扣完为止</w:t>
            </w:r>
            <w:r>
              <w:rPr>
                <w:rFonts w:ascii="仿宋" w:hAnsi="仿宋" w:eastAsia="仿宋" w:cs="仿宋"/>
                <w:kern w:val="1"/>
                <w:szCs w:val="21"/>
                <w:highlight w:val="none"/>
              </w:rPr>
              <w:t>。</w:t>
            </w:r>
            <w:r>
              <w:rPr>
                <w:rFonts w:hint="eastAsia" w:ascii="仿宋" w:hAnsi="仿宋" w:eastAsia="仿宋" w:cs="仿宋"/>
                <w:kern w:val="1"/>
                <w:szCs w:val="21"/>
                <w:highlight w:val="none"/>
                <w:lang w:eastAsia="zh-CN"/>
              </w:rPr>
              <w:t>（因各厂家参数不一致，属于对招标文件技术参数正偏离的，投标单位需逐项予以说明）</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1"/>
                <w:szCs w:val="21"/>
                <w:highlight w:val="none"/>
              </w:rPr>
            </w:pPr>
            <w:r>
              <w:rPr>
                <w:rFonts w:hint="default" w:ascii="仿宋" w:hAnsi="仿宋" w:eastAsia="仿宋" w:cs="仿宋"/>
                <w:kern w:val="1"/>
                <w:szCs w:val="21"/>
                <w:highlight w:val="none"/>
                <w:lang w:eastAsia="zh-CN"/>
              </w:rPr>
              <w:t>3</w:t>
            </w:r>
          </w:p>
        </w:tc>
        <w:tc>
          <w:tcPr>
            <w:tcW w:w="1112"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kern w:val="1"/>
                <w:szCs w:val="21"/>
                <w:highlight w:val="none"/>
              </w:rPr>
            </w:pPr>
            <w:r>
              <w:rPr>
                <w:rFonts w:hint="default" w:ascii="仿宋" w:hAnsi="仿宋" w:eastAsia="仿宋" w:cs="仿宋"/>
                <w:kern w:val="1"/>
                <w:szCs w:val="21"/>
                <w:highlight w:val="none"/>
                <w:lang w:eastAsia="zh-CN"/>
              </w:rPr>
              <w:t>电动耳标钳技术水平</w:t>
            </w:r>
          </w:p>
        </w:tc>
        <w:tc>
          <w:tcPr>
            <w:tcW w:w="917"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kern w:val="1"/>
                <w:szCs w:val="21"/>
                <w:highlight w:val="none"/>
                <w:lang w:val="en-US" w:eastAsia="zh-CN"/>
              </w:rPr>
            </w:pPr>
            <w:r>
              <w:rPr>
                <w:rFonts w:hint="eastAsia" w:ascii="仿宋" w:hAnsi="仿宋" w:eastAsia="仿宋" w:cs="仿宋"/>
                <w:kern w:val="1"/>
                <w:szCs w:val="21"/>
                <w:highlight w:val="none"/>
                <w:lang w:val="en-US" w:eastAsia="zh-CN"/>
              </w:rPr>
              <w:t>4</w:t>
            </w:r>
          </w:p>
        </w:tc>
        <w:tc>
          <w:tcPr>
            <w:tcW w:w="5897" w:type="dxa"/>
            <w:tcBorders>
              <w:top w:val="single" w:color="auto" w:sz="4" w:space="0"/>
              <w:left w:val="nil"/>
              <w:bottom w:val="single" w:color="auto" w:sz="4" w:space="0"/>
              <w:right w:val="single" w:color="auto" w:sz="4" w:space="0"/>
            </w:tcBorders>
            <w:vAlign w:val="top"/>
          </w:tcPr>
          <w:p>
            <w:pPr>
              <w:widowControl/>
              <w:rPr>
                <w:rFonts w:hint="eastAsia" w:ascii="仿宋" w:hAnsi="仿宋" w:eastAsia="仿宋" w:cs="仿宋"/>
                <w:kern w:val="1"/>
                <w:szCs w:val="21"/>
                <w:highlight w:val="none"/>
              </w:rPr>
            </w:pPr>
            <w:r>
              <w:rPr>
                <w:rFonts w:hint="eastAsia" w:ascii="仿宋" w:hAnsi="仿宋" w:eastAsia="仿宋" w:cs="仿宋"/>
                <w:kern w:val="1"/>
                <w:szCs w:val="21"/>
                <w:highlight w:val="none"/>
                <w:lang w:eastAsia="zh-CN"/>
              </w:rPr>
              <w:t>根据招标文件技术参数进行评审，投标电动耳标钳技术参数</w:t>
            </w:r>
            <w:r>
              <w:rPr>
                <w:rFonts w:hint="eastAsia" w:ascii="仿宋" w:hAnsi="仿宋" w:eastAsia="仿宋" w:cs="仿宋"/>
                <w:kern w:val="1"/>
                <w:szCs w:val="21"/>
                <w:highlight w:val="none"/>
                <w:lang w:val="en-US" w:eastAsia="zh-CN"/>
              </w:rPr>
              <w:t>每有一项</w:t>
            </w:r>
            <w:r>
              <w:rPr>
                <w:rFonts w:ascii="仿宋" w:hAnsi="仿宋" w:eastAsia="仿宋" w:cs="仿宋"/>
                <w:kern w:val="1"/>
                <w:szCs w:val="21"/>
                <w:highlight w:val="none"/>
              </w:rPr>
              <w:t>负偏离扣</w:t>
            </w:r>
            <w:r>
              <w:rPr>
                <w:rFonts w:hint="eastAsia" w:ascii="仿宋" w:hAnsi="仿宋" w:eastAsia="仿宋" w:cs="仿宋"/>
                <w:kern w:val="1"/>
                <w:szCs w:val="21"/>
                <w:highlight w:val="none"/>
                <w:lang w:val="en-US" w:eastAsia="zh-CN"/>
              </w:rPr>
              <w:t>1</w:t>
            </w:r>
            <w:r>
              <w:rPr>
                <w:rFonts w:ascii="仿宋" w:hAnsi="仿宋" w:eastAsia="仿宋" w:cs="仿宋"/>
                <w:kern w:val="1"/>
                <w:szCs w:val="21"/>
                <w:highlight w:val="none"/>
              </w:rPr>
              <w:t>分，</w:t>
            </w:r>
            <w:r>
              <w:rPr>
                <w:rFonts w:hint="eastAsia" w:ascii="仿宋" w:hAnsi="仿宋" w:eastAsia="仿宋" w:cs="仿宋"/>
                <w:kern w:val="1"/>
                <w:szCs w:val="21"/>
                <w:highlight w:val="none"/>
                <w:lang w:eastAsia="zh-CN"/>
              </w:rPr>
              <w:t>扣完为止</w:t>
            </w:r>
            <w:r>
              <w:rPr>
                <w:rFonts w:ascii="仿宋" w:hAnsi="仿宋" w:eastAsia="仿宋" w:cs="仿宋"/>
                <w:kern w:val="1"/>
                <w:szCs w:val="21"/>
                <w:highlight w:val="none"/>
              </w:rPr>
              <w:t>。</w:t>
            </w:r>
            <w:r>
              <w:rPr>
                <w:rFonts w:hint="eastAsia" w:ascii="仿宋" w:hAnsi="仿宋" w:eastAsia="仿宋" w:cs="仿宋"/>
                <w:kern w:val="1"/>
                <w:szCs w:val="21"/>
                <w:highlight w:val="none"/>
                <w:lang w:eastAsia="zh-CN"/>
              </w:rPr>
              <w:t>（因各厂家参数不一致，属于对招标文件技术参数正偏离的，投标单位需逐项予以说明。</w:t>
            </w:r>
            <w:r>
              <w:rPr>
                <w:rFonts w:hint="eastAsia" w:ascii="仿宋" w:hAnsi="仿宋" w:eastAsia="仿宋" w:cs="仿宋"/>
                <w:kern w:val="1"/>
                <w:szCs w:val="21"/>
                <w:highlight w:val="none"/>
                <w:lang w:val="en-US" w:eastAsia="zh-CN"/>
              </w:rPr>
              <w:t>在满足使用的情况下，其颜色及尺寸不做规定</w:t>
            </w:r>
            <w:r>
              <w:rPr>
                <w:rFonts w:hint="eastAsia" w:ascii="仿宋" w:hAnsi="仿宋" w:eastAsia="仿宋" w:cs="仿宋"/>
                <w:kern w:val="1"/>
                <w:szCs w:val="21"/>
                <w:highlight w:val="none"/>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szCs w:val="21"/>
                <w:highlight w:val="none"/>
              </w:rPr>
            </w:pPr>
            <w:r>
              <w:rPr>
                <w:rFonts w:hint="eastAsia" w:ascii="仿宋" w:hAnsi="仿宋" w:eastAsia="仿宋" w:cs="仿宋"/>
                <w:b/>
                <w:bCs/>
                <w:szCs w:val="21"/>
                <w:highlight w:val="none"/>
              </w:rPr>
              <w:t>三</w:t>
            </w:r>
          </w:p>
        </w:tc>
        <w:tc>
          <w:tcPr>
            <w:tcW w:w="111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b/>
                <w:bCs/>
                <w:szCs w:val="21"/>
                <w:highlight w:val="none"/>
              </w:rPr>
            </w:pPr>
            <w:r>
              <w:rPr>
                <w:rFonts w:hint="eastAsia" w:ascii="仿宋" w:hAnsi="仿宋" w:eastAsia="仿宋" w:cs="仿宋"/>
                <w:b/>
                <w:bCs/>
                <w:szCs w:val="21"/>
                <w:highlight w:val="none"/>
              </w:rPr>
              <w:t>商务部分</w:t>
            </w:r>
          </w:p>
        </w:tc>
        <w:tc>
          <w:tcPr>
            <w:tcW w:w="917" w:type="dxa"/>
            <w:tcBorders>
              <w:top w:val="single" w:color="auto" w:sz="4" w:space="0"/>
              <w:left w:val="nil"/>
              <w:bottom w:val="single" w:color="auto" w:sz="4" w:space="0"/>
              <w:right w:val="single" w:color="auto" w:sz="4" w:space="0"/>
            </w:tcBorders>
            <w:vAlign w:val="center"/>
          </w:tcPr>
          <w:p>
            <w:pPr>
              <w:widowControl/>
              <w:jc w:val="center"/>
              <w:rPr>
                <w:rFonts w:hint="default" w:ascii="仿宋" w:hAnsi="仿宋" w:eastAsia="仿宋" w:cs="仿宋"/>
                <w:b/>
                <w:bCs/>
                <w:kern w:val="1"/>
                <w:szCs w:val="21"/>
                <w:highlight w:val="none"/>
                <w:lang w:val="en-US" w:eastAsia="zh-CN"/>
              </w:rPr>
            </w:pPr>
            <w:r>
              <w:rPr>
                <w:rFonts w:hint="eastAsia" w:ascii="仿宋" w:hAnsi="仿宋" w:eastAsia="仿宋" w:cs="仿宋"/>
                <w:b/>
                <w:bCs/>
                <w:kern w:val="1"/>
                <w:szCs w:val="21"/>
                <w:highlight w:val="none"/>
                <w:lang w:val="en-US" w:eastAsia="zh-CN"/>
              </w:rPr>
              <w:t>30</w:t>
            </w:r>
          </w:p>
        </w:tc>
        <w:tc>
          <w:tcPr>
            <w:tcW w:w="5897" w:type="dxa"/>
            <w:tcBorders>
              <w:top w:val="single" w:color="auto" w:sz="4" w:space="0"/>
              <w:left w:val="nil"/>
              <w:bottom w:val="single" w:color="auto" w:sz="4" w:space="0"/>
              <w:right w:val="single" w:color="auto" w:sz="4" w:space="0"/>
            </w:tcBorders>
            <w:vAlign w:val="center"/>
          </w:tcPr>
          <w:p>
            <w:pPr>
              <w:rPr>
                <w:rFonts w:ascii="仿宋" w:hAnsi="仿宋" w:eastAsia="仿宋" w:cs="Times New Roman"/>
                <w:szCs w:val="21"/>
                <w:highlight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both"/>
              <w:rPr>
                <w:rFonts w:hint="eastAsia"/>
                <w:spacing w:val="-3"/>
                <w:sz w:val="21"/>
                <w:highlight w:val="none"/>
              </w:rPr>
            </w:pPr>
            <w:r>
              <w:rPr>
                <w:rFonts w:hint="eastAsia"/>
                <w:spacing w:val="-3"/>
                <w:sz w:val="21"/>
                <w:highlight w:val="none"/>
              </w:rPr>
              <w:t>1</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eastAsia"/>
                <w:spacing w:val="-3"/>
                <w:sz w:val="21"/>
                <w:highlight w:val="none"/>
              </w:rPr>
            </w:pPr>
            <w:r>
              <w:rPr>
                <w:rFonts w:hint="eastAsia"/>
                <w:spacing w:val="-3"/>
                <w:sz w:val="21"/>
                <w:highlight w:val="none"/>
              </w:rPr>
              <w:t>项目业绩</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default" w:eastAsia="仿宋"/>
                <w:spacing w:val="-3"/>
                <w:sz w:val="21"/>
                <w:highlight w:val="none"/>
                <w:lang w:val="en-US" w:eastAsia="zh-CN"/>
              </w:rPr>
            </w:pPr>
            <w:r>
              <w:rPr>
                <w:rFonts w:hint="eastAsia"/>
                <w:spacing w:val="-3"/>
                <w:sz w:val="21"/>
                <w:highlight w:val="none"/>
                <w:lang w:val="en-US" w:eastAsia="zh-CN"/>
              </w:rPr>
              <w:t>14</w:t>
            </w:r>
          </w:p>
        </w:tc>
        <w:tc>
          <w:tcPr>
            <w:tcW w:w="589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both"/>
              <w:rPr>
                <w:rFonts w:hint="eastAsia"/>
                <w:spacing w:val="-3"/>
                <w:sz w:val="21"/>
                <w:highlight w:val="none"/>
              </w:rPr>
            </w:pPr>
            <w:r>
              <w:rPr>
                <w:rFonts w:hint="eastAsia"/>
                <w:spacing w:val="-3"/>
                <w:sz w:val="21"/>
                <w:highlight w:val="none"/>
                <w:lang w:val="en-US" w:eastAsia="zh-CN"/>
              </w:rPr>
              <w:t>自2021年1月1日（含）以来至开标之日，每有一项动物电子标识类似项目履约经验得2分，最高得14分</w:t>
            </w:r>
            <w:r>
              <w:rPr>
                <w:rFonts w:hint="eastAsia"/>
                <w:spacing w:val="-3"/>
                <w:sz w:val="21"/>
                <w:highlight w:val="none"/>
              </w:rPr>
              <w:t>。</w:t>
            </w:r>
            <w:r>
              <w:rPr>
                <w:rFonts w:hint="eastAsia"/>
                <w:b/>
                <w:bCs/>
                <w:spacing w:val="-3"/>
                <w:sz w:val="21"/>
                <w:highlight w:val="none"/>
              </w:rPr>
              <w:t>评审依据：投标人需提供中标通知书</w:t>
            </w:r>
            <w:r>
              <w:rPr>
                <w:rFonts w:hint="eastAsia"/>
                <w:b/>
                <w:bCs/>
                <w:spacing w:val="-3"/>
                <w:sz w:val="21"/>
                <w:highlight w:val="none"/>
                <w:lang w:val="en-US" w:eastAsia="zh-CN"/>
              </w:rPr>
              <w:t>或</w:t>
            </w:r>
            <w:r>
              <w:rPr>
                <w:rFonts w:hint="eastAsia"/>
                <w:b/>
                <w:bCs/>
                <w:spacing w:val="-3"/>
                <w:sz w:val="21"/>
                <w:highlight w:val="none"/>
              </w:rPr>
              <w:t>合同复印件并加盖投标人公章，未提供不计分。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both"/>
              <w:rPr>
                <w:rFonts w:hint="eastAsia"/>
                <w:spacing w:val="-3"/>
                <w:sz w:val="21"/>
                <w:highlight w:val="none"/>
              </w:rPr>
            </w:pPr>
            <w:r>
              <w:rPr>
                <w:rFonts w:hint="eastAsia"/>
                <w:spacing w:val="-3"/>
                <w:sz w:val="21"/>
                <w:highlight w:val="none"/>
              </w:rPr>
              <w:t>2</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default" w:eastAsia="仿宋"/>
                <w:spacing w:val="-3"/>
                <w:sz w:val="21"/>
                <w:highlight w:val="none"/>
                <w:lang w:val="en-US" w:eastAsia="zh-CN"/>
              </w:rPr>
            </w:pPr>
            <w:r>
              <w:rPr>
                <w:rFonts w:hint="eastAsia"/>
                <w:spacing w:val="-3"/>
                <w:sz w:val="21"/>
                <w:highlight w:val="none"/>
                <w:lang w:val="en-US" w:eastAsia="zh-CN"/>
              </w:rPr>
              <w:t>检验报告</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eastAsia"/>
                <w:spacing w:val="-3"/>
                <w:sz w:val="21"/>
                <w:highlight w:val="none"/>
              </w:rPr>
            </w:pPr>
            <w:r>
              <w:rPr>
                <w:rFonts w:hint="eastAsia"/>
                <w:spacing w:val="-3"/>
                <w:sz w:val="21"/>
                <w:highlight w:val="none"/>
                <w:lang w:val="en-US" w:eastAsia="zh-CN"/>
              </w:rPr>
              <w:t>7</w:t>
            </w:r>
          </w:p>
        </w:tc>
        <w:tc>
          <w:tcPr>
            <w:tcW w:w="5897" w:type="dxa"/>
            <w:tcBorders>
              <w:top w:val="single" w:color="auto" w:sz="4" w:space="0"/>
              <w:left w:val="nil"/>
              <w:bottom w:val="single" w:color="auto" w:sz="4" w:space="0"/>
              <w:right w:val="single" w:color="auto" w:sz="4" w:space="0"/>
            </w:tcBorders>
            <w:vAlign w:val="top"/>
          </w:tcPr>
          <w:p>
            <w:pPr>
              <w:pStyle w:val="16"/>
              <w:tabs>
                <w:tab w:val="left" w:pos="318"/>
              </w:tabs>
              <w:spacing w:before="43" w:line="278" w:lineRule="auto"/>
              <w:ind w:right="94"/>
              <w:jc w:val="both"/>
              <w:rPr>
                <w:rFonts w:hint="default" w:eastAsia="仿宋"/>
                <w:spacing w:val="-3"/>
                <w:sz w:val="21"/>
                <w:highlight w:val="none"/>
                <w:lang w:val="en-US" w:eastAsia="zh-CN"/>
              </w:rPr>
            </w:pPr>
            <w:r>
              <w:rPr>
                <w:rFonts w:hint="eastAsia"/>
                <w:spacing w:val="-3"/>
                <w:sz w:val="21"/>
                <w:highlight w:val="none"/>
                <w:lang w:val="en-US" w:eastAsia="zh-CN"/>
              </w:rPr>
              <w:t>投标人提供的电子耳标2021年以来带CMA或CNAS标识的检验报告或中国兽医药品监察所的牲畜耳标检测报告，且报告中《牲畜耳标技术规范（修订稿）》（农办牧[2021]3号）中规定的牛、羊二维码耳标质量检测项目全部合格的得7分，每少检测一项扣1分，每不合格一项扣7分，扣完为止。</w:t>
            </w:r>
            <w:r>
              <w:rPr>
                <w:rFonts w:hint="eastAsia"/>
                <w:b/>
                <w:bCs/>
                <w:spacing w:val="-3"/>
                <w:sz w:val="21"/>
                <w:highlight w:val="none"/>
              </w:rPr>
              <w:t>评审依据：</w:t>
            </w:r>
            <w:r>
              <w:rPr>
                <w:rFonts w:hint="eastAsia"/>
                <w:b/>
                <w:bCs/>
                <w:spacing w:val="-3"/>
                <w:sz w:val="21"/>
                <w:highlight w:val="none"/>
                <w:lang w:val="en-US" w:eastAsia="zh-CN"/>
              </w:rPr>
              <w:t>提供检验报告复印件；送检单位与投标人名称一致；投标人未按上述要求提供证明材料的，在评审时不予认定。</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0"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pPr>
              <w:pStyle w:val="16"/>
              <w:tabs>
                <w:tab w:val="left" w:pos="318"/>
              </w:tabs>
              <w:spacing w:before="43" w:line="278" w:lineRule="auto"/>
              <w:ind w:right="94"/>
              <w:jc w:val="both"/>
              <w:rPr>
                <w:rFonts w:hint="eastAsia" w:eastAsia="仿宋"/>
                <w:spacing w:val="-3"/>
                <w:sz w:val="21"/>
                <w:highlight w:val="none"/>
                <w:lang w:eastAsia="zh-CN"/>
              </w:rPr>
            </w:pPr>
            <w:r>
              <w:rPr>
                <w:rFonts w:hint="eastAsia"/>
                <w:spacing w:val="-3"/>
                <w:sz w:val="21"/>
                <w:highlight w:val="none"/>
                <w:lang w:val="en-US" w:eastAsia="zh-CN"/>
              </w:rPr>
              <w:t>3</w:t>
            </w:r>
          </w:p>
        </w:tc>
        <w:tc>
          <w:tcPr>
            <w:tcW w:w="1112" w:type="dxa"/>
            <w:tcBorders>
              <w:top w:val="single" w:color="auto" w:sz="4" w:space="0"/>
              <w:left w:val="nil"/>
              <w:bottom w:val="single" w:color="auto" w:sz="4" w:space="0"/>
              <w:right w:val="single" w:color="auto" w:sz="4" w:space="0"/>
            </w:tcBorders>
            <w:vAlign w:val="center"/>
          </w:tcPr>
          <w:p>
            <w:pPr>
              <w:pStyle w:val="16"/>
              <w:keepNext w:val="0"/>
              <w:keepLines w:val="0"/>
              <w:pageBreakBefore w:val="0"/>
              <w:widowControl w:val="0"/>
              <w:tabs>
                <w:tab w:val="left" w:pos="318"/>
              </w:tabs>
              <w:kinsoku/>
              <w:wordWrap/>
              <w:overflowPunct/>
              <w:topLinePunct w:val="0"/>
              <w:autoSpaceDE w:val="0"/>
              <w:autoSpaceDN w:val="0"/>
              <w:bidi w:val="0"/>
              <w:adjustRightInd/>
              <w:snapToGrid/>
              <w:spacing w:before="43" w:line="279" w:lineRule="auto"/>
              <w:ind w:right="0"/>
              <w:jc w:val="center"/>
              <w:textAlignment w:val="auto"/>
              <w:rPr>
                <w:rFonts w:hint="eastAsia" w:eastAsia="仿宋"/>
                <w:spacing w:val="-3"/>
                <w:sz w:val="21"/>
                <w:highlight w:val="none"/>
                <w:lang w:eastAsia="zh-CN"/>
              </w:rPr>
            </w:pPr>
            <w:r>
              <w:rPr>
                <w:rFonts w:hint="eastAsia"/>
                <w:spacing w:val="-3"/>
                <w:sz w:val="21"/>
                <w:highlight w:val="none"/>
                <w:lang w:val="en-US" w:eastAsia="zh-CN"/>
              </w:rPr>
              <w:t>售后服务</w:t>
            </w:r>
          </w:p>
        </w:tc>
        <w:tc>
          <w:tcPr>
            <w:tcW w:w="917" w:type="dxa"/>
            <w:tcBorders>
              <w:top w:val="single" w:color="auto" w:sz="4" w:space="0"/>
              <w:left w:val="nil"/>
              <w:bottom w:val="single" w:color="auto" w:sz="4" w:space="0"/>
              <w:right w:val="single" w:color="auto" w:sz="4" w:space="0"/>
            </w:tcBorders>
            <w:vAlign w:val="center"/>
          </w:tcPr>
          <w:p>
            <w:pPr>
              <w:pStyle w:val="16"/>
              <w:tabs>
                <w:tab w:val="left" w:pos="318"/>
              </w:tabs>
              <w:spacing w:before="43" w:line="278" w:lineRule="auto"/>
              <w:ind w:right="94"/>
              <w:jc w:val="center"/>
              <w:rPr>
                <w:rFonts w:hint="default" w:eastAsia="仿宋"/>
                <w:spacing w:val="-3"/>
                <w:sz w:val="21"/>
                <w:highlight w:val="none"/>
                <w:lang w:val="en-US" w:eastAsia="zh-CN"/>
              </w:rPr>
            </w:pPr>
            <w:r>
              <w:rPr>
                <w:rFonts w:hint="eastAsia"/>
                <w:spacing w:val="-3"/>
                <w:sz w:val="21"/>
                <w:highlight w:val="none"/>
                <w:lang w:val="en-US" w:eastAsia="zh-CN"/>
              </w:rPr>
              <w:t>9</w:t>
            </w:r>
          </w:p>
        </w:tc>
        <w:tc>
          <w:tcPr>
            <w:tcW w:w="5897" w:type="dxa"/>
            <w:tcBorders>
              <w:top w:val="single" w:color="auto" w:sz="4" w:space="0"/>
              <w:left w:val="nil"/>
              <w:bottom w:val="single" w:color="auto" w:sz="4" w:space="0"/>
              <w:right w:val="single" w:color="auto" w:sz="4" w:space="0"/>
            </w:tcBorders>
            <w:vAlign w:val="center"/>
          </w:tcPr>
          <w:p>
            <w:pPr>
              <w:pStyle w:val="16"/>
              <w:numPr>
                <w:ilvl w:val="0"/>
                <w:numId w:val="5"/>
              </w:numPr>
              <w:tabs>
                <w:tab w:val="left" w:pos="318"/>
                <w:tab w:val="clear" w:pos="312"/>
              </w:tabs>
              <w:spacing w:before="43" w:line="278" w:lineRule="auto"/>
              <w:ind w:right="94"/>
              <w:jc w:val="both"/>
              <w:rPr>
                <w:rFonts w:hint="eastAsia"/>
                <w:spacing w:val="-3"/>
                <w:sz w:val="21"/>
                <w:highlight w:val="none"/>
                <w:lang w:val="en-US" w:eastAsia="zh-CN"/>
              </w:rPr>
            </w:pPr>
            <w:r>
              <w:rPr>
                <w:rFonts w:hint="eastAsia"/>
                <w:spacing w:val="-3"/>
                <w:sz w:val="21"/>
                <w:highlight w:val="none"/>
                <w:lang w:val="en-US" w:eastAsia="zh-CN"/>
              </w:rPr>
              <w:t>产品质量问题处理方案及实际应用中发现问题的解决方案（6分）</w:t>
            </w:r>
          </w:p>
          <w:p>
            <w:pPr>
              <w:pStyle w:val="16"/>
              <w:numPr>
                <w:ilvl w:val="0"/>
                <w:numId w:val="0"/>
              </w:numPr>
              <w:tabs>
                <w:tab w:val="left" w:pos="318"/>
              </w:tabs>
              <w:spacing w:before="43" w:line="278" w:lineRule="auto"/>
              <w:ind w:right="94" w:rightChars="0"/>
              <w:jc w:val="both"/>
              <w:rPr>
                <w:rFonts w:hint="eastAsia"/>
                <w:spacing w:val="-3"/>
                <w:sz w:val="21"/>
                <w:highlight w:val="none"/>
                <w:lang w:val="en-US" w:eastAsia="zh-CN"/>
              </w:rPr>
            </w:pPr>
            <w:r>
              <w:rPr>
                <w:rFonts w:hint="eastAsia"/>
                <w:spacing w:val="-3"/>
                <w:sz w:val="21"/>
                <w:highlight w:val="none"/>
                <w:lang w:val="en-US" w:eastAsia="zh-CN"/>
              </w:rPr>
              <w:t>1.1投标人承诺投标电子耳标及耳标钳等配件的无条件质保期在满足招标文件要求基础上，每增加6个月得1分，最多得4分；</w:t>
            </w:r>
          </w:p>
          <w:p>
            <w:pPr>
              <w:pStyle w:val="16"/>
              <w:numPr>
                <w:ilvl w:val="0"/>
                <w:numId w:val="0"/>
              </w:numPr>
              <w:tabs>
                <w:tab w:val="left" w:pos="318"/>
              </w:tabs>
              <w:spacing w:before="43" w:line="278" w:lineRule="auto"/>
              <w:ind w:right="94" w:rightChars="0"/>
              <w:jc w:val="both"/>
              <w:rPr>
                <w:rFonts w:hint="eastAsia"/>
                <w:spacing w:val="-3"/>
                <w:sz w:val="21"/>
                <w:highlight w:val="none"/>
                <w:lang w:val="en-US" w:eastAsia="zh-CN"/>
              </w:rPr>
            </w:pPr>
            <w:r>
              <w:rPr>
                <w:rFonts w:hint="eastAsia"/>
                <w:spacing w:val="-3"/>
                <w:sz w:val="21"/>
                <w:highlight w:val="none"/>
                <w:lang w:val="en-US" w:eastAsia="zh-CN"/>
              </w:rPr>
              <w:t>1.2投标人承诺承担由于产品质量问题所产生的额外工作费用指出（包括但不限于劳务费、差旅费、运输费、检验检测费、专家评审论证费等），得2分。</w:t>
            </w:r>
          </w:p>
          <w:p>
            <w:pPr>
              <w:pStyle w:val="16"/>
              <w:numPr>
                <w:ilvl w:val="0"/>
                <w:numId w:val="5"/>
              </w:numPr>
              <w:tabs>
                <w:tab w:val="left" w:pos="318"/>
                <w:tab w:val="clear" w:pos="312"/>
              </w:tabs>
              <w:spacing w:before="43" w:line="278" w:lineRule="auto"/>
              <w:ind w:left="0" w:leftChars="0" w:right="94" w:rightChars="0" w:firstLine="0" w:firstLineChars="0"/>
              <w:jc w:val="both"/>
              <w:rPr>
                <w:rFonts w:hint="eastAsia"/>
                <w:spacing w:val="-3"/>
                <w:sz w:val="21"/>
                <w:highlight w:val="none"/>
                <w:lang w:val="en-US" w:eastAsia="zh-CN"/>
              </w:rPr>
            </w:pPr>
            <w:r>
              <w:rPr>
                <w:rFonts w:hint="eastAsia"/>
                <w:spacing w:val="-3"/>
                <w:sz w:val="21"/>
                <w:highlight w:val="none"/>
                <w:lang w:val="en-US" w:eastAsia="zh-CN"/>
              </w:rPr>
              <w:t>培训方案（3分）</w:t>
            </w:r>
          </w:p>
          <w:p>
            <w:pPr>
              <w:pStyle w:val="16"/>
              <w:numPr>
                <w:ilvl w:val="0"/>
                <w:numId w:val="0"/>
              </w:numPr>
              <w:tabs>
                <w:tab w:val="left" w:pos="318"/>
              </w:tabs>
              <w:spacing w:before="43" w:line="278" w:lineRule="auto"/>
              <w:ind w:leftChars="0" w:right="94" w:rightChars="0"/>
              <w:jc w:val="both"/>
              <w:rPr>
                <w:rFonts w:hint="eastAsia"/>
                <w:b/>
                <w:bCs/>
                <w:color w:val="auto"/>
                <w:spacing w:val="-3"/>
                <w:sz w:val="21"/>
                <w:highlight w:val="none"/>
                <w:lang w:val="en-US" w:eastAsia="zh-CN"/>
              </w:rPr>
            </w:pPr>
            <w:r>
              <w:rPr>
                <w:rFonts w:hint="eastAsia"/>
                <w:spacing w:val="-3"/>
                <w:sz w:val="21"/>
                <w:highlight w:val="none"/>
                <w:lang w:val="en-US" w:eastAsia="zh-CN"/>
              </w:rPr>
              <w:t>投标人提供培训方案包含①操作使用、管理；②培训时间；③培训内容；</w:t>
            </w:r>
            <w:bookmarkStart w:id="173" w:name="_GoBack"/>
            <w:r>
              <w:rPr>
                <w:rFonts w:hint="eastAsia"/>
                <w:b/>
                <w:bCs/>
                <w:color w:val="auto"/>
                <w:spacing w:val="-3"/>
                <w:sz w:val="21"/>
                <w:highlight w:val="none"/>
                <w:lang w:val="en-US" w:eastAsia="zh-CN"/>
              </w:rPr>
              <w:t>包含上述全部3项内容且均无明显错误得3分（如有缺项或明显错误在此分数基础上进行扣分）。以上3项中，每缺少1项的扣1分，每有1项存在明显错误的扣0.5分。</w:t>
            </w:r>
            <w:bookmarkEnd w:id="173"/>
          </w:p>
          <w:p>
            <w:pPr>
              <w:pStyle w:val="16"/>
              <w:numPr>
                <w:ilvl w:val="0"/>
                <w:numId w:val="0"/>
              </w:numPr>
              <w:tabs>
                <w:tab w:val="left" w:pos="318"/>
              </w:tabs>
              <w:spacing w:before="43" w:line="278" w:lineRule="auto"/>
              <w:ind w:leftChars="0" w:right="94" w:rightChars="0"/>
              <w:jc w:val="both"/>
              <w:rPr>
                <w:rFonts w:hint="default"/>
                <w:spacing w:val="-3"/>
                <w:sz w:val="21"/>
                <w:highlight w:val="none"/>
                <w:lang w:val="en-US" w:eastAsia="zh-CN"/>
              </w:rPr>
            </w:pPr>
            <w:r>
              <w:rPr>
                <w:rFonts w:hint="eastAsia"/>
                <w:b/>
                <w:bCs/>
                <w:color w:val="auto"/>
                <w:spacing w:val="-3"/>
                <w:sz w:val="21"/>
                <w:highlight w:val="none"/>
                <w:lang w:val="en-US" w:eastAsia="zh-CN"/>
              </w:rPr>
              <w:t>备注：明显错误系指项目内容、实施时间地点、涉及的规范、服务标准要求、法律法规与本项目要求有不一致或不适用之处，或涉及的规范、服务标准要求、法律法规已取消的情形。投标人承诺对操作人员随时安排电话、网络等远程方式培训指导的，得0.5分。</w:t>
            </w:r>
          </w:p>
        </w:tc>
      </w:tr>
    </w:tbl>
    <w:p>
      <w:pPr>
        <w:rPr>
          <w:rFonts w:hint="eastAsia" w:ascii="仿宋" w:hAnsi="仿宋" w:eastAsia="仿宋" w:cs="Times New Roman"/>
          <w:sz w:val="24"/>
          <w:szCs w:val="24"/>
          <w:highlight w:val="none"/>
        </w:rPr>
      </w:pPr>
      <w:r>
        <w:rPr>
          <w:rFonts w:hint="eastAsia" w:ascii="仿宋" w:hAnsi="仿宋" w:eastAsia="仿宋" w:cs="Times New Roman"/>
          <w:sz w:val="24"/>
          <w:szCs w:val="24"/>
          <w:highlight w:val="none"/>
        </w:rPr>
        <w:br w:type="page"/>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w:t>
      </w:r>
      <w:r>
        <w:rPr>
          <w:rFonts w:ascii="仿宋" w:hAnsi="仿宋" w:eastAsia="仿宋" w:cs="Times New Roman"/>
          <w:sz w:val="24"/>
          <w:szCs w:val="24"/>
          <w:highlight w:val="none"/>
        </w:rPr>
        <w:t>.4.3 评分计算方法及中标原则</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 xml:space="preserve">2.4.3.1 </w:t>
      </w:r>
      <w:r>
        <w:rPr>
          <w:rFonts w:hint="eastAsia" w:ascii="仿宋" w:hAnsi="仿宋" w:eastAsia="仿宋" w:cs="Times New Roman"/>
          <w:sz w:val="24"/>
          <w:szCs w:val="24"/>
          <w:highlight w:val="none"/>
        </w:rPr>
        <w:t>评分计算方法</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（1）每位评审专家为各投标人所打</w:t>
      </w:r>
      <w:r>
        <w:rPr>
          <w:rFonts w:ascii="仿宋" w:hAnsi="仿宋" w:eastAsia="仿宋" w:cs="Times New Roman"/>
          <w:sz w:val="24"/>
          <w:szCs w:val="24"/>
          <w:highlight w:val="none"/>
        </w:rPr>
        <w:t>评标总得分</w:t>
      </w:r>
      <w:r>
        <w:rPr>
          <w:rFonts w:hint="eastAsia" w:ascii="仿宋" w:hAnsi="仿宋" w:eastAsia="仿宋" w:cs="Times New Roman"/>
          <w:sz w:val="24"/>
          <w:szCs w:val="24"/>
          <w:highlight w:val="none"/>
        </w:rPr>
        <w:t>按以下公式计算：</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评标总得分＝</w:t>
      </w:r>
      <w:r>
        <w:rPr>
          <w:rFonts w:ascii="仿宋" w:hAnsi="仿宋" w:eastAsia="仿宋" w:cs="Times New Roman"/>
          <w:sz w:val="24"/>
          <w:szCs w:val="24"/>
          <w:highlight w:val="none"/>
        </w:rPr>
        <w:t>F1×A1＋F2×A2＋……＋Fn×An</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F1、F2……Fn分别为各项评审因素的得分；</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A1、A2、……An 分别为各项评审因素所占的权重(A1＋A2＋……＋An＝1)。</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（2）投标人最终评审得分为所有评标总得分的算术平均值。</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（3）各评分保留两位小数（四舍五入）。</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 xml:space="preserve">2.4.3.2 </w:t>
      </w:r>
      <w:r>
        <w:rPr>
          <w:rFonts w:hint="eastAsia" w:ascii="仿宋" w:hAnsi="仿宋" w:eastAsia="仿宋" w:cs="Times New Roman"/>
          <w:sz w:val="24"/>
          <w:szCs w:val="24"/>
          <w:highlight w:val="none"/>
        </w:rPr>
        <w:t>同品牌投标</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采用最低评标价法的采购项目，提供相同品牌产品的不同投标人参加同一合同项下投标的，以其中通过资格审查、符合性审查且报价最低的参加评标；报价相同的，由评标委员会以随机抽取方式确定，其他投标无效。</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使用综合评分法的采购项目，提供相同品牌产品且通过资格审查、符合性审查的不同投标人参加同一合同项下投标的，按一家投标人计算，评审后得分最高的同品牌投标人获得中标人推荐资格；评审得分相同的，由评标委员会以随机抽取方式确定，其他同品牌投标人不作为中标候选人。</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2.4.3.3 排序原则</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按最终评审得分由高到低顺序排序；得分相同的，按投标报价由低到高顺序排列；得分且投标报价相同的，以技术部分得分由高到低顺序排列；评审得分、投标报价、技术部分得分全部相同时，以注册地点在少数民族地区或不发达地区的供应商获得靠前排序。</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2.4.3.4 中标原则</w:t>
      </w:r>
    </w:p>
    <w:p>
      <w:pPr>
        <w:widowControl/>
        <w:spacing w:line="360" w:lineRule="auto"/>
        <w:ind w:firstLine="480" w:firstLineChars="200"/>
        <w:rPr>
          <w:rFonts w:ascii="仿宋" w:hAnsi="仿宋" w:eastAsia="仿宋" w:cs="Times New Roman"/>
          <w:sz w:val="24"/>
          <w:szCs w:val="24"/>
          <w:highlight w:val="none"/>
        </w:rPr>
      </w:pPr>
      <w:r>
        <w:rPr>
          <w:rFonts w:hint="eastAsia" w:ascii="仿宋" w:hAnsi="仿宋" w:eastAsia="仿宋" w:cs="Times New Roman"/>
          <w:sz w:val="24"/>
          <w:szCs w:val="24"/>
          <w:highlight w:val="none"/>
        </w:rPr>
        <w:t>采购人将按照评标报告推荐的中标候选人顺序及相关法律法规确定中标人，或由评标委员会直接确定中标人（以本项目委托代理协议为准）。</w:t>
      </w:r>
    </w:p>
    <w:p>
      <w:pPr>
        <w:widowControl/>
        <w:spacing w:line="360" w:lineRule="auto"/>
        <w:ind w:firstLine="480" w:firstLineChars="200"/>
        <w:rPr>
          <w:rFonts w:ascii="仿宋" w:hAnsi="仿宋" w:eastAsia="仿宋" w:cs="Times New Roman"/>
          <w:color w:val="auto"/>
          <w:sz w:val="24"/>
          <w:szCs w:val="24"/>
          <w:highlight w:val="none"/>
        </w:rPr>
      </w:pPr>
      <w:r>
        <w:rPr>
          <w:rFonts w:ascii="仿宋" w:hAnsi="仿宋" w:eastAsia="仿宋" w:cs="Times New Roman"/>
          <w:sz w:val="24"/>
          <w:szCs w:val="24"/>
          <w:highlight w:val="none"/>
        </w:rPr>
        <w:t>3.</w:t>
      </w:r>
      <w:r>
        <w:rPr>
          <w:rFonts w:hint="eastAsia" w:ascii="仿宋" w:hAnsi="仿宋" w:eastAsia="仿宋" w:cs="Times New Roman"/>
          <w:sz w:val="24"/>
          <w:szCs w:val="24"/>
          <w:highlight w:val="none"/>
          <w:lang w:eastAsia="zh-CN"/>
        </w:rPr>
        <w:t>西藏自治区2023年三标合一追溯体系和常规疫苗政府采购</w:t>
      </w:r>
      <w:r>
        <w:rPr>
          <w:rFonts w:ascii="仿宋" w:hAnsi="仿宋" w:eastAsia="仿宋" w:cs="Times New Roman"/>
          <w:color w:val="auto"/>
          <w:sz w:val="24"/>
          <w:szCs w:val="24"/>
          <w:highlight w:val="none"/>
        </w:rPr>
        <w:t>第</w:t>
      </w:r>
      <w:r>
        <w:rPr>
          <w:rFonts w:hint="eastAsia" w:ascii="仿宋" w:hAnsi="仿宋" w:eastAsia="仿宋" w:cs="Times New Roman"/>
          <w:color w:val="auto"/>
          <w:sz w:val="24"/>
          <w:szCs w:val="24"/>
          <w:highlight w:val="none"/>
          <w:lang w:val="en-US" w:eastAsia="zh-CN"/>
        </w:rPr>
        <w:t>二</w:t>
      </w:r>
      <w:r>
        <w:rPr>
          <w:rFonts w:ascii="仿宋" w:hAnsi="仿宋" w:eastAsia="仿宋" w:cs="Times New Roman"/>
          <w:color w:val="auto"/>
          <w:sz w:val="24"/>
          <w:szCs w:val="24"/>
          <w:highlight w:val="none"/>
        </w:rPr>
        <w:t>标段至第四标段不允许兼中，具体要求如下：</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color w:val="auto"/>
          <w:sz w:val="24"/>
          <w:szCs w:val="24"/>
          <w:highlight w:val="none"/>
        </w:rPr>
        <w:t>3.1 各供应商可以就本项目第</w:t>
      </w:r>
      <w:r>
        <w:rPr>
          <w:rFonts w:hint="eastAsia" w:ascii="仿宋" w:hAnsi="仿宋" w:eastAsia="仿宋" w:cs="Times New Roman"/>
          <w:color w:val="auto"/>
          <w:sz w:val="24"/>
          <w:szCs w:val="24"/>
          <w:highlight w:val="none"/>
          <w:lang w:val="en-US" w:eastAsia="zh-CN"/>
        </w:rPr>
        <w:t>二</w:t>
      </w:r>
      <w:r>
        <w:rPr>
          <w:rFonts w:ascii="仿宋" w:hAnsi="仿宋" w:eastAsia="仿宋" w:cs="Times New Roman"/>
          <w:color w:val="auto"/>
          <w:sz w:val="24"/>
          <w:szCs w:val="24"/>
          <w:highlight w:val="none"/>
        </w:rPr>
        <w:t>标段至第四标段</w:t>
      </w:r>
      <w:r>
        <w:rPr>
          <w:rFonts w:ascii="仿宋" w:hAnsi="仿宋" w:eastAsia="仿宋" w:cs="Times New Roman"/>
          <w:sz w:val="24"/>
          <w:szCs w:val="24"/>
          <w:highlight w:val="none"/>
        </w:rPr>
        <w:t>的一个标包（标段）或多个标包（标段）投标，但仅能获取其中一个标包（标段）的中标权（即仅能成为其中一个标包（标段）的第一中标候选人/中标人）。本项目第</w:t>
      </w:r>
      <w:r>
        <w:rPr>
          <w:rFonts w:hint="eastAsia" w:ascii="仿宋" w:hAnsi="仿宋" w:eastAsia="仿宋" w:cs="Times New Roman"/>
          <w:sz w:val="24"/>
          <w:szCs w:val="24"/>
          <w:highlight w:val="none"/>
          <w:lang w:val="en-US" w:eastAsia="zh-CN"/>
        </w:rPr>
        <w:t>一</w:t>
      </w:r>
      <w:r>
        <w:rPr>
          <w:rFonts w:ascii="仿宋" w:hAnsi="仿宋" w:eastAsia="仿宋" w:cs="Times New Roman"/>
          <w:sz w:val="24"/>
          <w:szCs w:val="24"/>
          <w:highlight w:val="none"/>
        </w:rPr>
        <w:t>标段至第四标段依据标段顺序进行开评标，本次采购活动中已获得前序标段中标权的供应商，则其后序标段不再被推荐为中标候选人/中标人。</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3.2 若在本次</w:t>
      </w:r>
      <w:r>
        <w:rPr>
          <w:rFonts w:ascii="仿宋" w:hAnsi="仿宋" w:eastAsia="仿宋" w:cs="Times New Roman"/>
          <w:color w:val="auto"/>
          <w:sz w:val="24"/>
          <w:szCs w:val="24"/>
          <w:highlight w:val="none"/>
        </w:rPr>
        <w:t>第</w:t>
      </w:r>
      <w:r>
        <w:rPr>
          <w:rFonts w:hint="eastAsia" w:ascii="仿宋" w:hAnsi="仿宋" w:eastAsia="仿宋" w:cs="Times New Roman"/>
          <w:color w:val="auto"/>
          <w:sz w:val="24"/>
          <w:szCs w:val="24"/>
          <w:highlight w:val="none"/>
          <w:lang w:val="en-US" w:eastAsia="zh-CN"/>
        </w:rPr>
        <w:t>二</w:t>
      </w:r>
      <w:r>
        <w:rPr>
          <w:rFonts w:ascii="仿宋" w:hAnsi="仿宋" w:eastAsia="仿宋" w:cs="Times New Roman"/>
          <w:color w:val="auto"/>
          <w:sz w:val="24"/>
          <w:szCs w:val="24"/>
          <w:highlight w:val="none"/>
        </w:rPr>
        <w:t>标段至第四标段</w:t>
      </w:r>
      <w:r>
        <w:rPr>
          <w:rFonts w:ascii="仿宋" w:hAnsi="仿宋" w:eastAsia="仿宋" w:cs="Times New Roman"/>
          <w:sz w:val="24"/>
          <w:szCs w:val="24"/>
          <w:highlight w:val="none"/>
        </w:rPr>
        <w:t>招标中，前序标段未开标或废标，而后序标段满足开评标条件，则后序标段依法进行开评标工作，且推荐中标候选人时不再考虑前序未开标或废标标段的供应商中标候选情况。</w:t>
      </w:r>
    </w:p>
    <w:p>
      <w:pPr>
        <w:widowControl/>
        <w:spacing w:line="360" w:lineRule="auto"/>
        <w:ind w:firstLine="480" w:firstLineChars="200"/>
        <w:rPr>
          <w:rFonts w:ascii="仿宋" w:hAnsi="仿宋" w:eastAsia="仿宋" w:cs="Times New Roman"/>
          <w:sz w:val="24"/>
          <w:szCs w:val="24"/>
          <w:highlight w:val="none"/>
        </w:rPr>
      </w:pPr>
      <w:r>
        <w:rPr>
          <w:rFonts w:ascii="仿宋" w:hAnsi="仿宋" w:eastAsia="仿宋" w:cs="Times New Roman"/>
          <w:sz w:val="24"/>
          <w:szCs w:val="24"/>
          <w:highlight w:val="none"/>
        </w:rPr>
        <w:t>4.本项目各标包（标段）通过资格、符合性审查并实质响应招标文件的投标人，即使未被推荐为中标候选人，其投标依然有效（即其投标不被视为无效投标）。</w:t>
      </w:r>
    </w:p>
    <w:p>
      <w:pPr>
        <w:rPr>
          <w:highlight w:val="none"/>
        </w:rPr>
      </w:pPr>
    </w:p>
    <w:p>
      <w:pPr>
        <w:rPr>
          <w:highlight w:val="none"/>
        </w:rPr>
      </w:pPr>
    </w:p>
    <w:sectPr>
      <w:headerReference r:id="rId4" w:type="default"/>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F4689805-B354-4B5D-A690-70105DA0DD8E}"/>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5B4E61DF-0B89-40F2-84CF-364F04C2C3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82BDBEE4-F6E3-4C4D-A925-7196EB56172F}"/>
  </w:font>
  <w:font w:name="仿宋">
    <w:panose1 w:val="02010609060101010101"/>
    <w:charset w:val="86"/>
    <w:family w:val="modern"/>
    <w:pitch w:val="default"/>
    <w:sig w:usb0="800002BF" w:usb1="38CF7CFA" w:usb2="00000016" w:usb3="00000000" w:csb0="00040001" w:csb1="00000000"/>
    <w:embedRegular r:id="rId4" w:fontKey="{650B5614-94FA-406A-89E2-25CCB10A26C1}"/>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5" w:fontKey="{7E7994FC-F0F1-4920-9E96-06D942FEDB59}"/>
  </w:font>
  <w:font w:name="华文中宋">
    <w:panose1 w:val="02010600040101010101"/>
    <w:charset w:val="86"/>
    <w:family w:val="auto"/>
    <w:pitch w:val="default"/>
    <w:sig w:usb0="00000287" w:usb1="080F0000" w:usb2="00000000" w:usb3="00000000" w:csb0="0004009F" w:csb1="DFD70000"/>
    <w:embedRegular r:id="rId6" w:fontKey="{B561AFD5-A41B-4D1E-89F2-9844ABDE9B3E}"/>
  </w:font>
  <w:font w:name="仿宋_GB2312">
    <w:altName w:val="仿宋"/>
    <w:panose1 w:val="02010609030101010101"/>
    <w:charset w:val="86"/>
    <w:family w:val="modern"/>
    <w:pitch w:val="default"/>
    <w:sig w:usb0="00000000" w:usb1="00000000" w:usb2="00000000" w:usb3="00000000" w:csb0="00040000" w:csb1="00000000"/>
    <w:embedRegular r:id="rId7" w:fontKey="{41F4A467-6E17-4B40-B6F9-82C098D43C1D}"/>
  </w:font>
  <w:font w:name="华文仿宋">
    <w:panose1 w:val="02010600040101010101"/>
    <w:charset w:val="86"/>
    <w:family w:val="auto"/>
    <w:pitch w:val="default"/>
    <w:sig w:usb0="00000287" w:usb1="080F0000" w:usb2="00000000" w:usb3="00000000" w:csb0="0004009F" w:csb1="DFD70000"/>
    <w:embedRegular r:id="rId8" w:fontKey="{D9ECB0D7-9498-4167-A166-5A296EE4B5B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posOffset>2431415</wp:posOffset>
              </wp:positionH>
              <wp:positionV relativeFrom="paragraph">
                <wp:posOffset>-2540</wp:posOffset>
              </wp:positionV>
              <wp:extent cx="630555" cy="210185"/>
              <wp:effectExtent l="0" t="0" r="0" b="0"/>
              <wp:wrapNone/>
              <wp:docPr id="4" name="文本框 2"/>
              <wp:cNvGraphicFramePr/>
              <a:graphic xmlns:a="http://schemas.openxmlformats.org/drawingml/2006/main">
                <a:graphicData uri="http://schemas.microsoft.com/office/word/2010/wordprocessingShape">
                  <wps:wsp>
                    <wps:cNvSpPr txBox="1"/>
                    <wps:spPr>
                      <a:xfrm>
                        <a:off x="0" y="0"/>
                        <a:ext cx="630789" cy="210263"/>
                      </a:xfrm>
                      <a:prstGeom prst="rect">
                        <a:avLst/>
                      </a:prstGeom>
                      <a:noFill/>
                      <a:ln w="6350">
                        <a:noFill/>
                      </a:ln>
                      <a:effectLst/>
                    </wps:spPr>
                    <wps:txbx>
                      <w:txbxContent>
                        <w:p>
                          <w:pPr>
                            <w:pStyle w:val="5"/>
                            <w:jc w:val="center"/>
                          </w:pPr>
                          <w:r>
                            <w:rPr>
                              <w:rFonts w:hint="eastAsia"/>
                            </w:rPr>
                            <w:t xml:space="preserve">第 </w:t>
                          </w:r>
                          <w:r>
                            <w:fldChar w:fldCharType="begin"/>
                          </w:r>
                          <w:r>
                            <w:instrText xml:space="preserve">PAGE   \* MERGEFORMAT</w:instrText>
                          </w:r>
                          <w:r>
                            <w:fldChar w:fldCharType="separate"/>
                          </w:r>
                          <w:r>
                            <w:rPr>
                              <w:lang w:val="zh-CN"/>
                            </w:rPr>
                            <w:t>4</w:t>
                          </w:r>
                          <w:r>
                            <w:rPr>
                              <w:lang w:val="zh-CN"/>
                            </w:rPr>
                            <w:fldChar w:fldCharType="end"/>
                          </w:r>
                          <w:r>
                            <w:t xml:space="preserve"> </w:t>
                          </w:r>
                          <w:r>
                            <w:rPr>
                              <w:rFonts w:hint="eastAsia"/>
                            </w:rPr>
                            <w:t>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2" o:spid="_x0000_s1026" o:spt="202" type="#_x0000_t202" style="position:absolute;left:0pt;margin-left:191.45pt;margin-top:-0.2pt;height:16.55pt;width:49.65pt;mso-position-horizontal-relative:margin;z-index:251659264;mso-width-relative:page;mso-height-relative:page;" filled="f" stroked="f" coordsize="21600,21600" o:gfxdata="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H/cqifXAAAACAEAAA8AAAAAAAAAAQAgAAAAIgAAAGRycy9kb3ducmV2&#10;LnhtbFBLAQIUABQAAAAIAIdO4kCftFqmNgIAAGMEAAAOAAAAAAAAAAEAIAAAACYBAABkcnMvZTJv&#10;RG9jLnhtbFBLBQYAAAAABgAGAFkBAADOBQAAAAA=&#10;">
              <v:fill on="f" focussize="0,0"/>
              <v:stroke on="f" weight="0.5pt"/>
              <v:imagedata o:title=""/>
              <o:lock v:ext="edit" aspectratio="f"/>
              <v:textbox inset="0mm,0mm,0mm,0mm">
                <w:txbxContent>
                  <w:p>
                    <w:pPr>
                      <w:pStyle w:val="5"/>
                      <w:jc w:val="center"/>
                    </w:pPr>
                    <w:r>
                      <w:rPr>
                        <w:rFonts w:hint="eastAsia"/>
                      </w:rPr>
                      <w:t xml:space="preserve">第 </w:t>
                    </w:r>
                    <w:r>
                      <w:fldChar w:fldCharType="begin"/>
                    </w:r>
                    <w:r>
                      <w:instrText xml:space="preserve">PAGE   \* MERGEFORMAT</w:instrText>
                    </w:r>
                    <w:r>
                      <w:fldChar w:fldCharType="separate"/>
                    </w:r>
                    <w:r>
                      <w:rPr>
                        <w:lang w:val="zh-CN"/>
                      </w:rPr>
                      <w:t>4</w:t>
                    </w:r>
                    <w:r>
                      <w:rPr>
                        <w:lang w:val="zh-CN"/>
                      </w:rPr>
                      <w:fldChar w:fldCharType="end"/>
                    </w:r>
                    <w:r>
                      <w:t xml:space="preserve"> </w:t>
                    </w:r>
                    <w:r>
                      <w:rPr>
                        <w:rFonts w:hint="eastAsia"/>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jc w:val="left"/>
    </w:pPr>
    <w:r>
      <w:rPr>
        <w:rFonts w:hint="eastAsia"/>
      </w:rPr>
      <w:t xml:space="preserve"> </w:t>
    </w:r>
    <w:r>
      <w:t xml:space="preserve">                                              </w:t>
    </w:r>
    <w:r>
      <w:rPr>
        <w:rFonts w:hint="eastAsia"/>
        <w:lang w:val="en-US" w:eastAsia="zh-CN"/>
      </w:rPr>
      <w:t xml:space="preserve">       </w:t>
    </w:r>
    <w:r>
      <w:t xml:space="preserve"> 540000232102000</w:t>
    </w:r>
    <w:r>
      <w:rPr>
        <w:rFonts w:hint="eastAsia"/>
        <w:lang w:val="en-US" w:eastAsia="zh-CN"/>
      </w:rPr>
      <w:t>11601</w:t>
    </w:r>
    <w:r>
      <w:t xml:space="preserve">  </w:t>
    </w:r>
    <w:r>
      <w:rPr>
        <w:rFonts w:hint="eastAsia"/>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45A97"/>
    <w:multiLevelType w:val="singleLevel"/>
    <w:tmpl w:val="8E945A97"/>
    <w:lvl w:ilvl="0" w:tentative="0">
      <w:start w:val="6"/>
      <w:numFmt w:val="chineseCounting"/>
      <w:suff w:val="nothing"/>
      <w:lvlText w:val="%1、"/>
      <w:lvlJc w:val="left"/>
      <w:rPr>
        <w:rFonts w:hint="eastAsia"/>
      </w:rPr>
    </w:lvl>
  </w:abstractNum>
  <w:abstractNum w:abstractNumId="1">
    <w:nsid w:val="982DE5AD"/>
    <w:multiLevelType w:val="singleLevel"/>
    <w:tmpl w:val="982DE5AD"/>
    <w:lvl w:ilvl="0" w:tentative="0">
      <w:start w:val="1"/>
      <w:numFmt w:val="decimal"/>
      <w:suff w:val="nothing"/>
      <w:lvlText w:val="（%1）"/>
      <w:lvlJc w:val="left"/>
    </w:lvl>
  </w:abstractNum>
  <w:abstractNum w:abstractNumId="2">
    <w:nsid w:val="B8D9BA9D"/>
    <w:multiLevelType w:val="singleLevel"/>
    <w:tmpl w:val="B8D9BA9D"/>
    <w:lvl w:ilvl="0" w:tentative="0">
      <w:start w:val="2"/>
      <w:numFmt w:val="decimal"/>
      <w:lvlText w:val="%1."/>
      <w:lvlJc w:val="left"/>
      <w:pPr>
        <w:tabs>
          <w:tab w:val="left" w:pos="312"/>
        </w:tabs>
      </w:pPr>
    </w:lvl>
  </w:abstractNum>
  <w:abstractNum w:abstractNumId="3">
    <w:nsid w:val="1C058623"/>
    <w:multiLevelType w:val="singleLevel"/>
    <w:tmpl w:val="1C058623"/>
    <w:lvl w:ilvl="0" w:tentative="0">
      <w:start w:val="1"/>
      <w:numFmt w:val="decimal"/>
      <w:lvlText w:val="%1."/>
      <w:lvlJc w:val="left"/>
      <w:pPr>
        <w:tabs>
          <w:tab w:val="left" w:pos="312"/>
        </w:tabs>
      </w:pPr>
    </w:lvl>
  </w:abstractNum>
  <w:abstractNum w:abstractNumId="4">
    <w:nsid w:val="4AAA131A"/>
    <w:multiLevelType w:val="singleLevel"/>
    <w:tmpl w:val="4AAA131A"/>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zBkMDM5NzNhMDc3MDNlYTAyMjFlN2Q0MGRmZmEifQ=="/>
  </w:docVars>
  <w:rsids>
    <w:rsidRoot w:val="7DD9320A"/>
    <w:rsid w:val="081B4A3C"/>
    <w:rsid w:val="11FF0572"/>
    <w:rsid w:val="134D32E9"/>
    <w:rsid w:val="191B2FFA"/>
    <w:rsid w:val="1F0D7B4D"/>
    <w:rsid w:val="22742463"/>
    <w:rsid w:val="22AA408E"/>
    <w:rsid w:val="239E2FCA"/>
    <w:rsid w:val="2E821DE4"/>
    <w:rsid w:val="4260659F"/>
    <w:rsid w:val="4D3A6EDA"/>
    <w:rsid w:val="56841908"/>
    <w:rsid w:val="5F6220ED"/>
    <w:rsid w:val="676768B1"/>
    <w:rsid w:val="765234F2"/>
    <w:rsid w:val="7DD93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2"/>
    <w:basedOn w:val="1"/>
    <w:qFormat/>
    <w:uiPriority w:val="0"/>
    <w:pPr>
      <w:spacing w:after="120" w:line="480" w:lineRule="auto"/>
      <w:ind w:left="420" w:leftChars="200"/>
    </w:pPr>
    <w:rPr>
      <w:sz w:val="20"/>
    </w:rPr>
  </w:style>
  <w:style w:type="paragraph" w:styleId="5">
    <w:name w:val="footer"/>
    <w:basedOn w:val="1"/>
    <w:unhideWhenUsed/>
    <w:qFormat/>
    <w:uiPriority w:val="99"/>
    <w:pPr>
      <w:tabs>
        <w:tab w:val="center" w:pos="4153"/>
        <w:tab w:val="right" w:pos="8306"/>
      </w:tabs>
      <w:snapToGrid w:val="0"/>
      <w:jc w:val="left"/>
    </w:pPr>
    <w:rPr>
      <w:rFonts w:ascii="仿宋" w:hAnsi="仿宋" w:eastAsia="仿宋" w:cs="仿宋"/>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rFonts w:ascii="仿宋" w:hAnsi="仿宋" w:eastAsia="仿宋" w:cs="仿宋"/>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paragraph" w:customStyle="1" w:styleId="13">
    <w:name w:val="TOC 标题1"/>
    <w:basedOn w:val="2"/>
    <w:next w:val="1"/>
    <w:unhideWhenUsed/>
    <w:qFormat/>
    <w:uiPriority w:val="39"/>
    <w:pPr>
      <w:widowControl/>
      <w:spacing w:before="240" w:after="0" w:line="259" w:lineRule="auto"/>
      <w:jc w:val="left"/>
      <w:outlineLvl w:val="9"/>
    </w:pPr>
    <w:rPr>
      <w:b w:val="0"/>
      <w:bCs w:val="0"/>
      <w:color w:val="2E75B6" w:themeColor="accent1" w:themeShade="BF"/>
      <w:kern w:val="0"/>
      <w:sz w:val="32"/>
      <w:szCs w:val="32"/>
    </w:rPr>
  </w:style>
  <w:style w:type="character" w:customStyle="1" w:styleId="14">
    <w:name w:val="font01"/>
    <w:basedOn w:val="11"/>
    <w:qFormat/>
    <w:uiPriority w:val="0"/>
    <w:rPr>
      <w:rFonts w:hint="eastAsia" w:ascii="宋体" w:hAnsi="宋体" w:eastAsia="宋体" w:cs="宋体"/>
      <w:color w:val="000000"/>
      <w:sz w:val="24"/>
      <w:szCs w:val="24"/>
      <w:u w:val="none"/>
    </w:rPr>
  </w:style>
  <w:style w:type="paragraph" w:customStyle="1" w:styleId="15">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16">
    <w:name w:val="Table Paragraph"/>
    <w:basedOn w:val="1"/>
    <w:qFormat/>
    <w:uiPriority w:val="1"/>
    <w:pPr>
      <w:autoSpaceDE w:val="0"/>
      <w:autoSpaceDN w:val="0"/>
      <w:jc w:val="left"/>
    </w:pPr>
    <w:rPr>
      <w:rFonts w:ascii="仿宋" w:hAnsi="仿宋" w:eastAsia="仿宋" w:cs="仿宋"/>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97</Pages>
  <Words>44730</Words>
  <Characters>48058</Characters>
  <Lines>0</Lines>
  <Paragraphs>0</Paragraphs>
  <TotalTime>245</TotalTime>
  <ScaleCrop>false</ScaleCrop>
  <LinksUpToDate>false</LinksUpToDate>
  <CharactersWithSpaces>49639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2023-06-28T03:08:00Z</dcterms:created>
  <dc:creator>1005876951</dc:creator>
  <cp:lastModifiedBy>Liu</cp:lastModifiedBy>
  <cp:lastPrinted>2023-06-28T03:11:00Z</cp:lastPrinted>
  <dcterms:modified xsi:type="dcterms:W3CDTF">2023-08-01T11:21:50Z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D21123D2C24D48438280463272B3C798_13</vt:lpwstr>
  </property>
</Properties>
</file>