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Style w:val="39"/>
          <w:rFonts w:ascii="华文中宋" w:hAnsi="华文中宋" w:eastAsia="华文中宋"/>
          <w:sz w:val="36"/>
        </w:rPr>
      </w:pPr>
      <w:r>
        <w:rPr>
          <w:rStyle w:val="39"/>
          <w:rFonts w:ascii="华文中宋" w:hAnsi="华文中宋" w:eastAsia="华文中宋"/>
          <w:sz w:val="36"/>
        </w:rPr>
        <w:drawing>
          <wp:inline distT="0" distB="0" distL="114300" distR="114300">
            <wp:extent cx="693420" cy="541020"/>
            <wp:effectExtent l="0" t="0" r="11430"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1"/>
                    <a:stretch>
                      <a:fillRect/>
                    </a:stretch>
                  </pic:blipFill>
                  <pic:spPr>
                    <a:xfrm>
                      <a:off x="0" y="0"/>
                      <a:ext cx="693420" cy="541020"/>
                    </a:xfrm>
                    <a:prstGeom prst="rect">
                      <a:avLst/>
                    </a:prstGeom>
                    <a:noFill/>
                    <a:ln>
                      <a:noFill/>
                    </a:ln>
                  </pic:spPr>
                </pic:pic>
              </a:graphicData>
            </a:graphic>
          </wp:inline>
        </w:drawing>
      </w:r>
    </w:p>
    <w:p>
      <w:pPr>
        <w:pStyle w:val="227"/>
        <w:tabs>
          <w:tab w:val="right" w:leader="dot" w:pos="9412"/>
        </w:tabs>
        <w:ind w:left="25" w:hanging="6"/>
        <w:outlineLvl w:val="0"/>
        <w:rPr>
          <w:rStyle w:val="39"/>
          <w:rFonts w:ascii="宋体" w:hAnsi="宋体"/>
          <w:iCs/>
          <w:caps/>
          <w:sz w:val="24"/>
          <w:szCs w:val="24"/>
        </w:rPr>
      </w:pPr>
      <w:bookmarkStart w:id="0" w:name="_Toc18003"/>
      <w:r>
        <w:rPr>
          <w:rStyle w:val="39"/>
          <w:b/>
          <w:bCs/>
          <w:color w:val="000080"/>
          <w:sz w:val="28"/>
          <w:szCs w:val="24"/>
        </w:rPr>
        <w:t>GXTC</w:t>
      </w:r>
      <w:bookmarkEnd w:id="0"/>
    </w:p>
    <w:p>
      <w:pPr>
        <w:pStyle w:val="5"/>
        <w:ind w:firstLineChars="0"/>
        <w:jc w:val="left"/>
        <w:rPr>
          <w:rStyle w:val="39"/>
          <w:rFonts w:ascii="黑体"/>
          <w:b w:val="0"/>
          <w:sz w:val="52"/>
        </w:rPr>
      </w:pPr>
    </w:p>
    <w:p>
      <w:pPr>
        <w:jc w:val="center"/>
        <w:rPr>
          <w:rStyle w:val="39"/>
          <w:rFonts w:eastAsia="黑体"/>
          <w:b/>
          <w:bCs/>
          <w:sz w:val="84"/>
        </w:rPr>
      </w:pPr>
      <w:r>
        <w:rPr>
          <w:rStyle w:val="39"/>
          <w:rFonts w:eastAsia="黑体"/>
          <w:b/>
          <w:bCs/>
          <w:sz w:val="84"/>
        </w:rPr>
        <w:t>招标文件</w:t>
      </w:r>
    </w:p>
    <w:p>
      <w:pPr>
        <w:ind w:firstLine="1084" w:firstLineChars="300"/>
        <w:jc w:val="left"/>
        <w:rPr>
          <w:rStyle w:val="39"/>
          <w:b/>
          <w:bCs/>
          <w:sz w:val="36"/>
        </w:rPr>
      </w:pPr>
    </w:p>
    <w:p>
      <w:pPr>
        <w:ind w:firstLine="1084" w:firstLineChars="300"/>
        <w:jc w:val="left"/>
        <w:rPr>
          <w:rStyle w:val="39"/>
          <w:b/>
          <w:bCs/>
          <w:sz w:val="36"/>
        </w:rPr>
      </w:pPr>
    </w:p>
    <w:p>
      <w:pPr>
        <w:ind w:firstLine="2249" w:firstLineChars="700"/>
        <w:rPr>
          <w:rStyle w:val="39"/>
          <w:b/>
          <w:bCs/>
          <w:sz w:val="32"/>
          <w:szCs w:val="32"/>
        </w:rPr>
      </w:pPr>
      <w:r>
        <w:rPr>
          <w:rStyle w:val="39"/>
          <w:b/>
          <w:bCs/>
          <w:sz w:val="32"/>
          <w:szCs w:val="32"/>
        </w:rPr>
        <w:t>项目编号：</w:t>
      </w:r>
      <w:r>
        <w:rPr>
          <w:rStyle w:val="39"/>
          <w:rFonts w:hint="eastAsia"/>
          <w:b/>
          <w:bCs/>
          <w:sz w:val="32"/>
          <w:szCs w:val="32"/>
        </w:rPr>
        <w:t>GXTC-D5-23270066</w:t>
      </w:r>
      <w:r>
        <w:rPr>
          <w:rStyle w:val="39"/>
          <w:rFonts w:hint="eastAsia"/>
          <w:b/>
          <w:bCs/>
          <w:sz w:val="32"/>
          <w:szCs w:val="32"/>
        </w:rPr>
        <w:tab/>
      </w:r>
    </w:p>
    <w:p>
      <w:pPr>
        <w:ind w:firstLine="2249" w:firstLineChars="700"/>
        <w:jc w:val="left"/>
        <w:rPr>
          <w:rStyle w:val="39"/>
          <w:rFonts w:ascii="宋体" w:hAnsi="宋体"/>
          <w:kern w:val="0"/>
          <w:sz w:val="32"/>
          <w:szCs w:val="32"/>
        </w:rPr>
      </w:pPr>
      <w:r>
        <w:rPr>
          <w:rStyle w:val="39"/>
          <w:b/>
          <w:bCs/>
          <w:sz w:val="32"/>
          <w:szCs w:val="32"/>
        </w:rPr>
        <w:t>项目名称：</w:t>
      </w:r>
      <w:r>
        <w:rPr>
          <w:rStyle w:val="39"/>
          <w:rFonts w:hint="eastAsia" w:ascii="宋体" w:hAnsi="宋体"/>
          <w:kern w:val="0"/>
          <w:sz w:val="32"/>
          <w:szCs w:val="32"/>
        </w:rPr>
        <w:t>2023年农产品质量安全监测（第二次）</w:t>
      </w: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p>
      <w:pPr>
        <w:snapToGrid w:val="0"/>
        <w:spacing w:after="156"/>
        <w:jc w:val="center"/>
        <w:rPr>
          <w:rStyle w:val="39"/>
          <w:rFonts w:ascii="宋体"/>
          <w:kern w:val="0"/>
          <w:sz w:val="32"/>
          <w:szCs w:val="32"/>
        </w:rPr>
      </w:pPr>
    </w:p>
    <w:tbl>
      <w:tblPr>
        <w:tblStyle w:val="15"/>
        <w:tblW w:w="8013" w:type="dxa"/>
        <w:jc w:val="center"/>
        <w:tblLayout w:type="fixed"/>
        <w:tblCellMar>
          <w:top w:w="0" w:type="dxa"/>
          <w:left w:w="0" w:type="dxa"/>
          <w:bottom w:w="0" w:type="dxa"/>
          <w:right w:w="0" w:type="dxa"/>
        </w:tblCellMar>
      </w:tblPr>
      <w:tblGrid>
        <w:gridCol w:w="2785"/>
        <w:gridCol w:w="5228"/>
      </w:tblGrid>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w:t>
            </w:r>
            <w:r>
              <w:rPr>
                <w:rFonts w:ascii="宋体" w:hAnsi="宋体" w:cs="黑体"/>
                <w:kern w:val="0"/>
                <w:sz w:val="32"/>
                <w:szCs w:val="32"/>
              </w:rPr>
              <w:t xml:space="preserve">   </w:t>
            </w:r>
            <w:r>
              <w:rPr>
                <w:rFonts w:hint="eastAsia" w:ascii="宋体" w:hAnsi="宋体" w:cs="黑体"/>
                <w:kern w:val="0"/>
                <w:sz w:val="32"/>
                <w:szCs w:val="32"/>
              </w:rPr>
              <w:t>购</w:t>
            </w:r>
            <w:r>
              <w:rPr>
                <w:rFonts w:ascii="宋体" w:hAnsi="宋体" w:cs="黑体"/>
                <w:kern w:val="0"/>
                <w:sz w:val="32"/>
                <w:szCs w:val="32"/>
              </w:rPr>
              <w:t xml:space="preserve">   </w:t>
            </w:r>
            <w:r>
              <w:rPr>
                <w:rFonts w:hint="eastAsia" w:ascii="宋体" w:hAnsi="宋体" w:cs="黑体"/>
                <w:kern w:val="0"/>
                <w:sz w:val="32"/>
                <w:szCs w:val="32"/>
              </w:rPr>
              <w:t>人：</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cs="黑体"/>
                <w:kern w:val="0"/>
                <w:sz w:val="32"/>
                <w:szCs w:val="32"/>
              </w:rPr>
              <w:t>西藏自治区农牧科学院农业质量标准与检测研究所</w:t>
            </w:r>
          </w:p>
        </w:tc>
      </w:tr>
      <w:tr>
        <w:tblPrEx>
          <w:tblCellMar>
            <w:top w:w="0" w:type="dxa"/>
            <w:left w:w="0" w:type="dxa"/>
            <w:bottom w:w="0" w:type="dxa"/>
            <w:right w:w="0" w:type="dxa"/>
          </w:tblCellMar>
        </w:tblPrEx>
        <w:trPr>
          <w:jc w:val="center"/>
        </w:trPr>
        <w:tc>
          <w:tcPr>
            <w:tcW w:w="2785" w:type="dxa"/>
          </w:tcPr>
          <w:p>
            <w:pPr>
              <w:autoSpaceDE w:val="0"/>
              <w:autoSpaceDN w:val="0"/>
              <w:adjustRightInd w:val="0"/>
              <w:snapToGrid w:val="0"/>
              <w:spacing w:after="156" w:afterLines="50"/>
              <w:jc w:val="center"/>
              <w:rPr>
                <w:rStyle w:val="39"/>
                <w:rFonts w:ascii="宋体"/>
                <w:kern w:val="0"/>
                <w:sz w:val="32"/>
                <w:szCs w:val="32"/>
              </w:rPr>
            </w:pPr>
            <w:r>
              <w:rPr>
                <w:rFonts w:hint="eastAsia" w:ascii="宋体" w:hAnsi="宋体" w:cs="黑体"/>
                <w:kern w:val="0"/>
                <w:sz w:val="32"/>
                <w:szCs w:val="32"/>
              </w:rPr>
              <w:t>采购代理机构：</w:t>
            </w:r>
          </w:p>
        </w:tc>
        <w:tc>
          <w:tcPr>
            <w:tcW w:w="5228" w:type="dxa"/>
          </w:tcPr>
          <w:p>
            <w:pPr>
              <w:autoSpaceDE w:val="0"/>
              <w:autoSpaceDN w:val="0"/>
              <w:adjustRightInd w:val="0"/>
              <w:snapToGrid w:val="0"/>
              <w:spacing w:after="156" w:afterLines="50"/>
              <w:jc w:val="left"/>
              <w:rPr>
                <w:rStyle w:val="39"/>
                <w:rFonts w:ascii="宋体"/>
                <w:kern w:val="0"/>
                <w:sz w:val="32"/>
                <w:szCs w:val="32"/>
              </w:rPr>
            </w:pPr>
            <w:r>
              <w:rPr>
                <w:rFonts w:hint="eastAsia" w:ascii="宋体" w:hAnsi="宋体" w:cs="黑体"/>
                <w:kern w:val="0"/>
                <w:sz w:val="32"/>
                <w:szCs w:val="32"/>
              </w:rPr>
              <w:t>国信（西藏）招标咨询有限责任公司</w:t>
            </w:r>
          </w:p>
        </w:tc>
      </w:tr>
    </w:tbl>
    <w:p>
      <w:pPr>
        <w:snapToGrid w:val="0"/>
        <w:spacing w:after="156"/>
        <w:jc w:val="center"/>
        <w:rPr>
          <w:rStyle w:val="39"/>
          <w:rFonts w:ascii="宋体"/>
          <w:kern w:val="0"/>
          <w:sz w:val="32"/>
          <w:szCs w:val="32"/>
        </w:rPr>
      </w:pPr>
    </w:p>
    <w:p>
      <w:pPr>
        <w:jc w:val="center"/>
        <w:rPr>
          <w:rStyle w:val="39"/>
          <w:rFonts w:ascii="黑体" w:hAnsi="黑体" w:eastAsia="黑体"/>
          <w:color w:val="000000"/>
          <w:sz w:val="24"/>
        </w:rPr>
        <w:sectPr>
          <w:pgSz w:w="11906" w:h="16838"/>
          <w:pgMar w:top="1440" w:right="1247" w:bottom="1361" w:left="1247" w:header="851" w:footer="992" w:gutter="0"/>
          <w:pgNumType w:start="1"/>
          <w:cols w:space="425" w:num="1"/>
          <w:docGrid w:type="lines" w:linePitch="312" w:charSpace="0"/>
        </w:sectPr>
      </w:pPr>
      <w:r>
        <w:rPr>
          <w:rStyle w:val="39"/>
          <w:rFonts w:ascii="宋体" w:hAnsi="宋体"/>
          <w:kern w:val="0"/>
          <w:sz w:val="32"/>
          <w:szCs w:val="32"/>
        </w:rPr>
        <w:t>202</w:t>
      </w:r>
      <w:r>
        <w:rPr>
          <w:rStyle w:val="39"/>
          <w:rFonts w:hint="eastAsia" w:ascii="宋体" w:hAnsi="宋体"/>
          <w:kern w:val="0"/>
          <w:sz w:val="32"/>
          <w:szCs w:val="32"/>
        </w:rPr>
        <w:t>3</w:t>
      </w:r>
      <w:r>
        <w:rPr>
          <w:rStyle w:val="39"/>
          <w:rFonts w:ascii="宋体" w:hAnsi="宋体"/>
          <w:kern w:val="0"/>
          <w:sz w:val="32"/>
          <w:szCs w:val="32"/>
        </w:rPr>
        <w:t>年</w:t>
      </w:r>
      <w:r>
        <w:rPr>
          <w:rStyle w:val="39"/>
          <w:rFonts w:hint="eastAsia" w:ascii="宋体" w:hAnsi="宋体"/>
          <w:kern w:val="0"/>
          <w:sz w:val="32"/>
          <w:szCs w:val="32"/>
        </w:rPr>
        <w:t>6</w:t>
      </w:r>
      <w:r>
        <w:rPr>
          <w:rStyle w:val="39"/>
          <w:rFonts w:ascii="宋体" w:hAnsi="宋体"/>
          <w:kern w:val="0"/>
          <w:sz w:val="32"/>
          <w:szCs w:val="32"/>
        </w:rPr>
        <w:t>月</w:t>
      </w:r>
    </w:p>
    <w:p>
      <w:pPr>
        <w:tabs>
          <w:tab w:val="right" w:leader="dot" w:pos="9412"/>
        </w:tabs>
        <w:jc w:val="center"/>
        <w:rPr>
          <w:rStyle w:val="39"/>
          <w:rFonts w:ascii="宋体" w:hAnsi="宋体"/>
          <w:iCs/>
          <w:caps/>
          <w:sz w:val="28"/>
          <w:szCs w:val="28"/>
        </w:rPr>
      </w:pPr>
      <w:r>
        <w:rPr>
          <w:rStyle w:val="39"/>
          <w:rFonts w:ascii="宋体" w:hAnsi="宋体"/>
          <w:iCs/>
          <w:caps/>
          <w:sz w:val="28"/>
          <w:szCs w:val="28"/>
        </w:rPr>
        <w:t>目录</w:t>
      </w:r>
    </w:p>
    <w:sdt>
      <w:sdtPr>
        <w:rPr>
          <w:rFonts w:ascii="宋体" w:hAnsi="宋体"/>
          <w:sz w:val="24"/>
          <w:szCs w:val="20"/>
        </w:rPr>
        <w:id w:val="147454322"/>
        <w15:color w:val="DBDBDB"/>
        <w:docPartObj>
          <w:docPartGallery w:val="Table of Contents"/>
          <w:docPartUnique/>
        </w:docPartObj>
      </w:sdtPr>
      <w:sdtEndPr>
        <w:rPr>
          <w:rFonts w:ascii="Times New Roman" w:hAnsi="Times New Roman"/>
          <w:sz w:val="24"/>
          <w:szCs w:val="20"/>
        </w:rPr>
      </w:sdtEndPr>
      <w:sdtContent>
        <w:p>
          <w:pPr>
            <w:jc w:val="center"/>
          </w:pPr>
        </w:p>
        <w:p>
          <w:pPr>
            <w:pStyle w:val="533"/>
            <w:tabs>
              <w:tab w:val="right" w:leader="dot" w:pos="9412"/>
            </w:tabs>
          </w:pPr>
          <w:r>
            <w:fldChar w:fldCharType="begin"/>
          </w:r>
          <w:r>
            <w:instrText xml:space="preserve">TOC \o "1-1" \h \u </w:instrText>
          </w:r>
          <w:r>
            <w:fldChar w:fldCharType="separate"/>
          </w:r>
          <w:r>
            <w:fldChar w:fldCharType="begin"/>
          </w:r>
          <w:r>
            <w:instrText xml:space="preserve"> HYPERLINK \l "_Toc29238" </w:instrText>
          </w:r>
          <w:r>
            <w:fldChar w:fldCharType="separate"/>
          </w:r>
          <w:r>
            <w:rPr>
              <w:rFonts w:ascii="宋体" w:hAnsi="宋体"/>
              <w:szCs w:val="32"/>
            </w:rPr>
            <w:t>第一章  招标公告</w:t>
          </w:r>
          <w:r>
            <w:tab/>
          </w:r>
          <w:r>
            <w:fldChar w:fldCharType="begin"/>
          </w:r>
          <w:r>
            <w:instrText xml:space="preserve"> PAGEREF _Toc29238 \h </w:instrText>
          </w:r>
          <w:r>
            <w:fldChar w:fldCharType="separate"/>
          </w:r>
          <w:r>
            <w:t>2</w:t>
          </w:r>
          <w:r>
            <w:fldChar w:fldCharType="end"/>
          </w:r>
          <w:r>
            <w:fldChar w:fldCharType="end"/>
          </w:r>
        </w:p>
        <w:p>
          <w:pPr>
            <w:pStyle w:val="533"/>
            <w:tabs>
              <w:tab w:val="right" w:leader="dot" w:pos="9412"/>
            </w:tabs>
          </w:pPr>
          <w:r>
            <w:fldChar w:fldCharType="begin"/>
          </w:r>
          <w:r>
            <w:instrText xml:space="preserve"> HYPERLINK \l "_Toc11780" </w:instrText>
          </w:r>
          <w:r>
            <w:fldChar w:fldCharType="separate"/>
          </w:r>
          <w:r>
            <w:rPr>
              <w:rFonts w:ascii="宋体" w:hAnsi="宋体"/>
              <w:szCs w:val="32"/>
            </w:rPr>
            <w:t>第二章</w:t>
          </w:r>
          <w:r>
            <w:rPr>
              <w:rFonts w:hint="eastAsia" w:ascii="宋体" w:hAnsi="宋体"/>
              <w:szCs w:val="32"/>
            </w:rPr>
            <w:t xml:space="preserve"> </w:t>
          </w:r>
          <w:r>
            <w:rPr>
              <w:rFonts w:ascii="宋体" w:hAnsi="宋体"/>
              <w:szCs w:val="32"/>
            </w:rPr>
            <w:t>投标人须知</w:t>
          </w:r>
          <w:r>
            <w:tab/>
          </w:r>
          <w:r>
            <w:fldChar w:fldCharType="begin"/>
          </w:r>
          <w:r>
            <w:instrText xml:space="preserve"> PAGEREF _Toc11780 \h </w:instrText>
          </w:r>
          <w:r>
            <w:fldChar w:fldCharType="separate"/>
          </w:r>
          <w:r>
            <w:t>6</w:t>
          </w:r>
          <w:r>
            <w:fldChar w:fldCharType="end"/>
          </w:r>
          <w:r>
            <w:fldChar w:fldCharType="end"/>
          </w:r>
        </w:p>
        <w:p>
          <w:pPr>
            <w:pStyle w:val="533"/>
            <w:tabs>
              <w:tab w:val="right" w:leader="dot" w:pos="9412"/>
            </w:tabs>
          </w:pPr>
          <w:r>
            <w:fldChar w:fldCharType="begin"/>
          </w:r>
          <w:r>
            <w:instrText xml:space="preserve"> HYPERLINK \l "_Toc25118" </w:instrText>
          </w:r>
          <w:r>
            <w:fldChar w:fldCharType="separate"/>
          </w:r>
          <w:r>
            <w:rPr>
              <w:rFonts w:ascii="宋体" w:hAnsi="宋体"/>
              <w:szCs w:val="32"/>
            </w:rPr>
            <w:t>第三章 资格审查、评标办法和标准</w:t>
          </w:r>
          <w:r>
            <w:tab/>
          </w:r>
          <w:r>
            <w:fldChar w:fldCharType="begin"/>
          </w:r>
          <w:r>
            <w:instrText xml:space="preserve"> PAGEREF _Toc25118 \h </w:instrText>
          </w:r>
          <w:r>
            <w:fldChar w:fldCharType="separate"/>
          </w:r>
          <w:r>
            <w:t>19</w:t>
          </w:r>
          <w:r>
            <w:fldChar w:fldCharType="end"/>
          </w:r>
          <w:r>
            <w:fldChar w:fldCharType="end"/>
          </w:r>
        </w:p>
        <w:p>
          <w:pPr>
            <w:pStyle w:val="533"/>
            <w:tabs>
              <w:tab w:val="right" w:leader="dot" w:pos="9412"/>
            </w:tabs>
          </w:pPr>
          <w:r>
            <w:fldChar w:fldCharType="begin"/>
          </w:r>
          <w:r>
            <w:instrText xml:space="preserve"> HYPERLINK \l "_Toc27655" </w:instrText>
          </w:r>
          <w:r>
            <w:fldChar w:fldCharType="separate"/>
          </w:r>
          <w:r>
            <w:rPr>
              <w:rFonts w:hint="eastAsia" w:hAnsi="宋体" w:cs="宋体"/>
              <w:szCs w:val="24"/>
            </w:rPr>
            <w:t>第四章  合同条款</w:t>
          </w:r>
          <w:r>
            <w:tab/>
          </w:r>
          <w:r>
            <w:fldChar w:fldCharType="begin"/>
          </w:r>
          <w:r>
            <w:instrText xml:space="preserve"> PAGEREF _Toc27655 \h </w:instrText>
          </w:r>
          <w:r>
            <w:fldChar w:fldCharType="separate"/>
          </w:r>
          <w:r>
            <w:t>29</w:t>
          </w:r>
          <w:r>
            <w:fldChar w:fldCharType="end"/>
          </w:r>
          <w:r>
            <w:fldChar w:fldCharType="end"/>
          </w:r>
        </w:p>
        <w:p>
          <w:pPr>
            <w:pStyle w:val="533"/>
            <w:tabs>
              <w:tab w:val="right" w:leader="dot" w:pos="9412"/>
            </w:tabs>
          </w:pPr>
          <w:r>
            <w:fldChar w:fldCharType="begin"/>
          </w:r>
          <w:r>
            <w:instrText xml:space="preserve"> HYPERLINK \l "_Toc13926" </w:instrText>
          </w:r>
          <w:r>
            <w:fldChar w:fldCharType="separate"/>
          </w:r>
          <w:r>
            <w:rPr>
              <w:rFonts w:hint="eastAsia" w:ascii="宋体" w:hAnsi="宋体"/>
            </w:rPr>
            <w:t xml:space="preserve">第五章 </w:t>
          </w:r>
          <w:r>
            <w:rPr>
              <w:rFonts w:ascii="宋体" w:hAnsi="宋体"/>
            </w:rPr>
            <w:t>采购需求</w:t>
          </w:r>
          <w:r>
            <w:tab/>
          </w:r>
          <w:r>
            <w:fldChar w:fldCharType="begin"/>
          </w:r>
          <w:r>
            <w:instrText xml:space="preserve"> PAGEREF _Toc13926 \h </w:instrText>
          </w:r>
          <w:r>
            <w:fldChar w:fldCharType="separate"/>
          </w:r>
          <w:r>
            <w:t>44</w:t>
          </w:r>
          <w:r>
            <w:fldChar w:fldCharType="end"/>
          </w:r>
          <w:r>
            <w:fldChar w:fldCharType="end"/>
          </w:r>
        </w:p>
        <w:p>
          <w:pPr>
            <w:pStyle w:val="533"/>
            <w:tabs>
              <w:tab w:val="right" w:leader="dot" w:pos="9412"/>
            </w:tabs>
          </w:pPr>
          <w:r>
            <w:fldChar w:fldCharType="begin"/>
          </w:r>
          <w:r>
            <w:instrText xml:space="preserve"> HYPERLINK \l "_Toc8438" </w:instrText>
          </w:r>
          <w:r>
            <w:fldChar w:fldCharType="separate"/>
          </w:r>
          <w:r>
            <w:rPr>
              <w:szCs w:val="44"/>
            </w:rPr>
            <w:t>第六章</w:t>
          </w:r>
          <w:r>
            <w:rPr>
              <w:rFonts w:hint="eastAsia"/>
              <w:szCs w:val="44"/>
            </w:rPr>
            <w:t xml:space="preserve"> </w:t>
          </w:r>
          <w:r>
            <w:rPr>
              <w:szCs w:val="44"/>
            </w:rPr>
            <w:t>投标文件格式</w:t>
          </w:r>
          <w:r>
            <w:tab/>
          </w:r>
          <w:r>
            <w:fldChar w:fldCharType="begin"/>
          </w:r>
          <w:r>
            <w:instrText xml:space="preserve"> PAGEREF _Toc8438 \h </w:instrText>
          </w:r>
          <w:r>
            <w:fldChar w:fldCharType="separate"/>
          </w:r>
          <w:r>
            <w:t>55</w:t>
          </w:r>
          <w:r>
            <w:fldChar w:fldCharType="end"/>
          </w:r>
          <w:r>
            <w:fldChar w:fldCharType="end"/>
          </w:r>
        </w:p>
        <w:p>
          <w:pPr>
            <w:pStyle w:val="2"/>
            <w:sectPr>
              <w:footerReference r:id="rId3" w:type="default"/>
              <w:pgSz w:w="11906" w:h="16838"/>
              <w:pgMar w:top="1440" w:right="1247" w:bottom="1361" w:left="1247" w:header="851" w:footer="992" w:gutter="0"/>
              <w:pgNumType w:start="1"/>
              <w:cols w:space="425" w:num="1"/>
              <w:docGrid w:type="lines" w:linePitch="312" w:charSpace="0"/>
            </w:sectPr>
          </w:pPr>
          <w:r>
            <w:fldChar w:fldCharType="end"/>
          </w:r>
        </w:p>
      </w:sdtContent>
    </w:sdt>
    <w:p>
      <w:pPr>
        <w:snapToGrid w:val="0"/>
        <w:spacing w:after="156"/>
        <w:jc w:val="center"/>
        <w:outlineLvl w:val="0"/>
        <w:rPr>
          <w:rStyle w:val="39"/>
          <w:rFonts w:ascii="宋体" w:hAnsi="宋体"/>
          <w:kern w:val="0"/>
          <w:sz w:val="32"/>
          <w:szCs w:val="32"/>
        </w:rPr>
      </w:pPr>
      <w:bookmarkStart w:id="1" w:name="_Toc29238"/>
      <w:r>
        <w:rPr>
          <w:rStyle w:val="39"/>
          <w:rFonts w:ascii="宋体" w:hAnsi="宋体"/>
          <w:kern w:val="0"/>
          <w:sz w:val="32"/>
          <w:szCs w:val="32"/>
        </w:rPr>
        <w:t>第一章  招标公告</w:t>
      </w:r>
      <w:bookmarkEnd w:id="1"/>
    </w:p>
    <w:p>
      <w:pPr>
        <w:pStyle w:val="201"/>
        <w:ind w:firstLine="555"/>
        <w:jc w:val="both"/>
        <w:rPr>
          <w:rStyle w:val="39"/>
          <w:rFonts w:ascii="宋体" w:hAnsi="宋体" w:cs="宋体"/>
        </w:rPr>
      </w:pPr>
      <w:r>
        <w:rPr>
          <w:rStyle w:val="39"/>
          <w:rFonts w:hint="eastAsia" w:ascii="宋体" w:hAnsi="宋体" w:cs="宋体"/>
          <w:color w:val="333333"/>
          <w:spacing w:val="8"/>
        </w:rPr>
        <w:t>项目概况</w:t>
      </w:r>
    </w:p>
    <w:p>
      <w:pPr>
        <w:pStyle w:val="201"/>
        <w:ind w:firstLine="555"/>
        <w:rPr>
          <w:rStyle w:val="39"/>
          <w:rFonts w:ascii="宋体" w:hAnsi="宋体" w:cs="宋体"/>
          <w:color w:val="333333"/>
          <w:spacing w:val="8"/>
          <w:u w:val="single"/>
        </w:rPr>
      </w:pPr>
      <w:r>
        <w:rPr>
          <w:rStyle w:val="39"/>
          <w:rFonts w:hint="eastAsia" w:ascii="宋体" w:hAnsi="宋体" w:cs="宋体"/>
          <w:color w:val="333333"/>
          <w:spacing w:val="8"/>
          <w:u w:val="single"/>
        </w:rPr>
        <w:t>2023年农产品质量安全监测（第二次）</w:t>
      </w:r>
      <w:r>
        <w:rPr>
          <w:rFonts w:hint="eastAsia" w:cs="仿宋"/>
          <w:color w:val="000000"/>
          <w:spacing w:val="8"/>
          <w:shd w:val="clear" w:color="auto" w:fill="FFFFFF"/>
        </w:rPr>
        <w:t>招标项目的潜在投标人应在录</w:t>
      </w:r>
      <w:r>
        <w:rPr>
          <w:rFonts w:hint="eastAsia" w:cs="仿宋"/>
          <w:color w:val="000000"/>
          <w:spacing w:val="8"/>
          <w:u w:val="single"/>
          <w:shd w:val="clear" w:color="auto" w:fill="FFFFFF"/>
        </w:rPr>
        <w:t>西藏自治区公共资源交易网（http://ggzy.xizang.gov.cn/）</w:t>
      </w:r>
      <w:r>
        <w:rPr>
          <w:rFonts w:hint="eastAsia" w:cs="仿宋"/>
          <w:color w:val="000000"/>
          <w:spacing w:val="8"/>
          <w:shd w:val="clear" w:color="auto" w:fill="FFFFFF"/>
        </w:rPr>
        <w:t>获取招标文件</w:t>
      </w:r>
      <w:r>
        <w:rPr>
          <w:rStyle w:val="39"/>
          <w:rFonts w:hint="eastAsia" w:ascii="宋体" w:hAnsi="宋体" w:cs="宋体"/>
          <w:color w:val="333333"/>
          <w:spacing w:val="8"/>
        </w:rPr>
        <w:t>，并于</w:t>
      </w:r>
      <w:r>
        <w:rPr>
          <w:rStyle w:val="39"/>
          <w:rFonts w:hint="eastAsia" w:ascii="宋体" w:hAnsi="宋体" w:cs="宋体"/>
          <w:color w:val="333333"/>
          <w:spacing w:val="8"/>
          <w:u w:val="single"/>
        </w:rPr>
        <w:t>2023年</w:t>
      </w:r>
      <w:r>
        <w:rPr>
          <w:rStyle w:val="39"/>
          <w:rFonts w:hint="eastAsia" w:ascii="宋体" w:hAnsi="宋体" w:cs="宋体"/>
          <w:color w:val="333333"/>
          <w:spacing w:val="8"/>
          <w:u w:val="single"/>
          <w:lang w:val="en-US" w:eastAsia="zh-CN"/>
        </w:rPr>
        <w:t>7</w:t>
      </w:r>
      <w:r>
        <w:rPr>
          <w:rStyle w:val="39"/>
          <w:rFonts w:hint="eastAsia" w:ascii="宋体" w:hAnsi="宋体" w:cs="宋体"/>
          <w:color w:val="333333"/>
          <w:spacing w:val="8"/>
          <w:u w:val="single"/>
        </w:rPr>
        <w:t>月</w:t>
      </w:r>
      <w:r>
        <w:rPr>
          <w:rStyle w:val="39"/>
          <w:rFonts w:hint="eastAsia" w:ascii="宋体" w:hAnsi="宋体" w:cs="宋体"/>
          <w:color w:val="333333"/>
          <w:spacing w:val="8"/>
          <w:u w:val="single"/>
          <w:lang w:val="en-US" w:eastAsia="zh-CN"/>
        </w:rPr>
        <w:t>7</w:t>
      </w:r>
      <w:r>
        <w:rPr>
          <w:rStyle w:val="39"/>
          <w:rFonts w:hint="eastAsia" w:ascii="宋体" w:hAnsi="宋体" w:cs="宋体"/>
          <w:color w:val="333333"/>
          <w:spacing w:val="8"/>
          <w:u w:val="single"/>
        </w:rPr>
        <w:t>日</w:t>
      </w:r>
      <w:r>
        <w:rPr>
          <w:rStyle w:val="39"/>
          <w:rFonts w:hint="eastAsia" w:ascii="宋体" w:hAnsi="宋体" w:cs="宋体"/>
          <w:color w:val="333333"/>
          <w:spacing w:val="8"/>
          <w:u w:val="single"/>
          <w:lang w:val="en-US" w:eastAsia="zh-CN"/>
        </w:rPr>
        <w:t>09</w:t>
      </w:r>
      <w:r>
        <w:rPr>
          <w:rStyle w:val="39"/>
          <w:rFonts w:hint="eastAsia" w:ascii="宋体" w:hAnsi="宋体" w:cs="宋体"/>
          <w:color w:val="333333"/>
          <w:spacing w:val="8"/>
          <w:u w:val="single"/>
        </w:rPr>
        <w:t>点</w:t>
      </w:r>
      <w:r>
        <w:rPr>
          <w:rStyle w:val="39"/>
          <w:rFonts w:hint="eastAsia" w:ascii="宋体" w:hAnsi="宋体" w:cs="宋体"/>
          <w:color w:val="333333"/>
          <w:spacing w:val="8"/>
          <w:u w:val="single"/>
          <w:lang w:val="en-US" w:eastAsia="zh-CN"/>
        </w:rPr>
        <w:t>50</w:t>
      </w:r>
      <w:r>
        <w:rPr>
          <w:rStyle w:val="39"/>
          <w:rFonts w:hint="eastAsia" w:ascii="宋体" w:hAnsi="宋体" w:cs="宋体"/>
          <w:color w:val="333333"/>
          <w:spacing w:val="8"/>
          <w:u w:val="single"/>
        </w:rPr>
        <w:t>分</w:t>
      </w:r>
      <w:r>
        <w:rPr>
          <w:rStyle w:val="39"/>
          <w:rFonts w:hint="eastAsia" w:ascii="宋体" w:hAnsi="宋体" w:cs="宋体"/>
          <w:color w:val="333333"/>
          <w:spacing w:val="8"/>
        </w:rPr>
        <w:t>（北京时间）前上传提交。</w:t>
      </w:r>
    </w:p>
    <w:p>
      <w:pPr>
        <w:pStyle w:val="201"/>
        <w:jc w:val="both"/>
        <w:rPr>
          <w:rStyle w:val="39"/>
          <w:rFonts w:ascii="宋体" w:hAnsi="宋体" w:cs="宋体"/>
        </w:rPr>
      </w:pPr>
      <w:r>
        <w:rPr>
          <w:rStyle w:val="39"/>
          <w:rFonts w:hint="eastAsia" w:ascii="宋体" w:hAnsi="宋体" w:cs="宋体"/>
          <w:color w:val="333333"/>
          <w:spacing w:val="8"/>
        </w:rPr>
        <w:t> 一、项目基本情况</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项目编号：GXTC-D5-23270066</w:t>
      </w:r>
      <w:r>
        <w:rPr>
          <w:rStyle w:val="39"/>
          <w:rFonts w:hint="eastAsia" w:ascii="宋体" w:hAnsi="宋体" w:cs="宋体"/>
          <w:color w:val="333333"/>
          <w:spacing w:val="8"/>
        </w:rPr>
        <w:tab/>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项目名称：2023年农产品质量安全监测（第二次）</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资金落实情况：审批手续已办理完毕，资金已落实。</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预算金额：113万元。其中，一包：72万元；二包：41万元。</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最高限价：一包：72万元；二包：41万元。</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采购需求：</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一包：液相色谱-原子荧光联用仪。</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二包：紫外可见分光光度计、全自动凯氏定氮仪、颗粒分析自控吸液仪、水浴振荡器、土壤团聚体分析仪。</w:t>
      </w:r>
    </w:p>
    <w:p>
      <w:pPr>
        <w:pStyle w:val="201"/>
        <w:ind w:firstLine="512" w:firstLineChars="200"/>
        <w:jc w:val="both"/>
        <w:rPr>
          <w:rStyle w:val="39"/>
          <w:rFonts w:ascii="宋体" w:hAnsi="宋体" w:cs="宋体"/>
          <w:spacing w:val="8"/>
        </w:rPr>
      </w:pPr>
      <w:r>
        <w:rPr>
          <w:rStyle w:val="39"/>
          <w:rFonts w:hint="eastAsia" w:ascii="宋体" w:hAnsi="宋体" w:cs="宋体"/>
          <w:spacing w:val="8"/>
        </w:rPr>
        <w:t>交货期：合同签订后30个日历天</w:t>
      </w:r>
    </w:p>
    <w:p>
      <w:pPr>
        <w:pStyle w:val="201"/>
        <w:ind w:firstLine="512" w:firstLineChars="200"/>
        <w:jc w:val="both"/>
        <w:rPr>
          <w:rStyle w:val="39"/>
          <w:rFonts w:ascii="宋体" w:hAnsi="宋体" w:cs="宋体"/>
          <w:spacing w:val="8"/>
        </w:rPr>
      </w:pPr>
      <w:r>
        <w:rPr>
          <w:rStyle w:val="39"/>
          <w:rFonts w:hint="eastAsia" w:ascii="宋体" w:hAnsi="宋体" w:cs="宋体"/>
          <w:spacing w:val="8"/>
        </w:rPr>
        <w:t>交货地点：西藏自治区农牧科学院农业质量标准与检测研究所</w:t>
      </w:r>
    </w:p>
    <w:p>
      <w:pPr>
        <w:pStyle w:val="13"/>
        <w:spacing w:beforeAutospacing="0" w:afterAutospacing="0"/>
        <w:ind w:firstLine="512" w:firstLineChars="200"/>
        <w:jc w:val="both"/>
        <w:rPr>
          <w:rStyle w:val="39"/>
          <w:rFonts w:ascii="宋体" w:hAnsi="宋体" w:cs="宋体"/>
          <w:spacing w:val="8"/>
        </w:rPr>
      </w:pPr>
      <w:r>
        <w:rPr>
          <w:rFonts w:hint="eastAsia" w:ascii="宋体" w:hAnsi="宋体" w:cs="宋体"/>
          <w:spacing w:val="8"/>
          <w:shd w:val="clear" w:color="auto" w:fill="FFFFFF"/>
        </w:rPr>
        <w:t>是否接受进口产品投标：否；</w:t>
      </w:r>
    </w:p>
    <w:p>
      <w:pPr>
        <w:pStyle w:val="201"/>
        <w:ind w:firstLine="512" w:firstLineChars="200"/>
        <w:jc w:val="both"/>
        <w:rPr>
          <w:rStyle w:val="39"/>
          <w:rFonts w:ascii="宋体" w:hAnsi="宋体" w:cs="宋体"/>
          <w:spacing w:val="8"/>
        </w:rPr>
      </w:pPr>
      <w:r>
        <w:rPr>
          <w:rStyle w:val="39"/>
          <w:rFonts w:hint="eastAsia" w:ascii="宋体" w:hAnsi="宋体" w:cs="宋体"/>
          <w:spacing w:val="8"/>
        </w:rPr>
        <w:t>其他：投标人必须对所投包的招标货物内所有货物进行投标，每包不允许只投标其中的一部分，否则作为无效投标处理。允许兼投兼中</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本项目不接受联合体投标。</w:t>
      </w:r>
    </w:p>
    <w:p>
      <w:pPr>
        <w:pStyle w:val="201"/>
        <w:spacing w:line="383" w:lineRule="atLeast"/>
        <w:ind w:firstLine="555"/>
        <w:jc w:val="both"/>
        <w:rPr>
          <w:rStyle w:val="39"/>
          <w:rFonts w:hint="eastAsia" w:ascii="宋体" w:hAnsi="宋体" w:eastAsia="宋体" w:cs="宋体"/>
          <w:spacing w:val="8"/>
          <w:lang w:eastAsia="zh-CN"/>
        </w:rPr>
      </w:pPr>
      <w:r>
        <w:rPr>
          <w:rStyle w:val="39"/>
          <w:rFonts w:hint="eastAsia" w:ascii="宋体" w:hAnsi="宋体" w:cs="宋体"/>
          <w:spacing w:val="8"/>
        </w:rPr>
        <w:t>是否专门面对中小企业：</w:t>
      </w:r>
      <w:r>
        <w:rPr>
          <w:rStyle w:val="39"/>
          <w:rFonts w:hint="eastAsia" w:ascii="宋体" w:hAnsi="宋体" w:cs="宋体"/>
          <w:spacing w:val="8"/>
          <w:lang w:val="en-US" w:eastAsia="zh-CN"/>
        </w:rPr>
        <w:t>否</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合同履行期限：30个日历天</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质量标准：满足招标文件要求</w:t>
      </w:r>
    </w:p>
    <w:p>
      <w:pPr>
        <w:pStyle w:val="201"/>
        <w:spacing w:line="383" w:lineRule="atLeast"/>
        <w:ind w:firstLine="555"/>
        <w:jc w:val="both"/>
        <w:rPr>
          <w:rStyle w:val="39"/>
          <w:rFonts w:ascii="宋体" w:hAnsi="宋体" w:cs="宋体"/>
          <w:spacing w:val="8"/>
        </w:rPr>
      </w:pPr>
      <w:r>
        <w:rPr>
          <w:rStyle w:val="39"/>
          <w:rFonts w:hint="eastAsia" w:ascii="宋体" w:hAnsi="宋体" w:cs="宋体"/>
          <w:spacing w:val="8"/>
        </w:rPr>
        <w:t>中小企业所属行业：零售业</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二、申请人的资格要求：</w:t>
      </w:r>
    </w:p>
    <w:p>
      <w:pPr>
        <w:pStyle w:val="201"/>
        <w:ind w:firstLine="555"/>
        <w:jc w:val="both"/>
        <w:rPr>
          <w:rStyle w:val="39"/>
          <w:rFonts w:ascii="宋体" w:hAnsi="宋体" w:cs="宋体"/>
        </w:rPr>
      </w:pPr>
      <w:r>
        <w:rPr>
          <w:rStyle w:val="39"/>
          <w:rFonts w:hint="eastAsia" w:ascii="宋体" w:hAnsi="宋体" w:cs="宋体"/>
          <w:spacing w:val="8"/>
        </w:rPr>
        <w:t>1.满足《中华人民共和国政府采购法》第二十二条规定；</w:t>
      </w:r>
    </w:p>
    <w:p>
      <w:pPr>
        <w:pStyle w:val="201"/>
        <w:ind w:firstLine="555"/>
        <w:rPr>
          <w:rStyle w:val="39"/>
          <w:rFonts w:ascii="宋体" w:hAnsi="宋体" w:cs="宋体"/>
          <w:spacing w:val="8"/>
        </w:rPr>
      </w:pPr>
      <w:r>
        <w:rPr>
          <w:rStyle w:val="39"/>
          <w:rFonts w:hint="eastAsia" w:ascii="宋体" w:hAnsi="宋体" w:cs="宋体"/>
          <w:spacing w:val="8"/>
        </w:rPr>
        <w:t>2.落实政府采购政策需满足的资格要求：</w:t>
      </w:r>
    </w:p>
    <w:p>
      <w:pPr>
        <w:pStyle w:val="201"/>
        <w:ind w:firstLine="555"/>
        <w:rPr>
          <w:rStyle w:val="39"/>
          <w:rFonts w:ascii="宋体" w:hAnsi="宋体" w:cs="宋体"/>
          <w:spacing w:val="8"/>
          <w:u w:val="single"/>
        </w:rPr>
      </w:pPr>
      <w:r>
        <w:rPr>
          <w:rStyle w:val="39"/>
          <w:rFonts w:hint="eastAsia" w:ascii="宋体" w:hAnsi="宋体" w:cs="宋体"/>
          <w:spacing w:val="8"/>
          <w:u w:val="single"/>
        </w:rPr>
        <w:t>（1）．对小微企业的产品给予价格扣除（监狱企业、残疾人福利性单位视同小微企业；残疾人福利性单位属于小型、微型企业的，不重复享受政策）；</w:t>
      </w:r>
    </w:p>
    <w:p>
      <w:pPr>
        <w:pStyle w:val="201"/>
        <w:ind w:firstLine="555"/>
        <w:jc w:val="both"/>
        <w:rPr>
          <w:rStyle w:val="39"/>
          <w:rFonts w:ascii="宋体" w:hAnsi="宋体" w:cs="宋体"/>
        </w:rPr>
      </w:pPr>
      <w:r>
        <w:rPr>
          <w:rStyle w:val="39"/>
          <w:rFonts w:hint="eastAsia" w:ascii="宋体" w:hAnsi="宋体" w:cs="宋体"/>
          <w:spacing w:val="8"/>
          <w:u w:val="single"/>
        </w:rPr>
        <w:t>（2）．优先采购节能环保产品（注：所采购的货物在采购期间内属于有效的“节能产品政府采购清单”、“环境标志产品政府采购清单”范围）。</w:t>
      </w:r>
    </w:p>
    <w:p>
      <w:pPr>
        <w:pStyle w:val="13"/>
        <w:spacing w:beforeAutospacing="0" w:afterAutospacing="0" w:line="360" w:lineRule="auto"/>
        <w:ind w:firstLine="555"/>
        <w:jc w:val="both"/>
        <w:rPr>
          <w:rStyle w:val="39"/>
          <w:rFonts w:ascii="宋体" w:hAnsi="宋体" w:cs="宋体"/>
          <w:spacing w:val="8"/>
        </w:rPr>
      </w:pPr>
      <w:r>
        <w:rPr>
          <w:rStyle w:val="39"/>
          <w:rFonts w:hint="eastAsia" w:ascii="宋体" w:hAnsi="宋体" w:cs="宋体"/>
          <w:spacing w:val="8"/>
        </w:rPr>
        <w:t>3.本项目的特定资格要求：无。</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三、获取招标文件</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时间：2023年</w:t>
      </w:r>
      <w:r>
        <w:rPr>
          <w:rStyle w:val="39"/>
          <w:rFonts w:hint="eastAsia" w:ascii="宋体" w:hAnsi="宋体" w:cs="宋体"/>
          <w:spacing w:val="8"/>
          <w:lang w:val="en-US" w:eastAsia="zh-CN"/>
        </w:rPr>
        <w:t>6</w:t>
      </w:r>
      <w:r>
        <w:rPr>
          <w:rStyle w:val="39"/>
          <w:rFonts w:hint="eastAsia" w:ascii="宋体" w:hAnsi="宋体" w:cs="宋体"/>
          <w:spacing w:val="8"/>
        </w:rPr>
        <w:t>月</w:t>
      </w:r>
      <w:r>
        <w:rPr>
          <w:rStyle w:val="39"/>
          <w:rFonts w:hint="eastAsia" w:ascii="宋体" w:hAnsi="宋体" w:cs="宋体"/>
          <w:spacing w:val="8"/>
          <w:lang w:val="en-US" w:eastAsia="zh-CN"/>
        </w:rPr>
        <w:t>16</w:t>
      </w:r>
      <w:r>
        <w:rPr>
          <w:rStyle w:val="39"/>
          <w:rFonts w:hint="eastAsia" w:ascii="宋体" w:hAnsi="宋体" w:cs="宋体"/>
          <w:spacing w:val="8"/>
        </w:rPr>
        <w:t>日至2023年</w:t>
      </w:r>
      <w:r>
        <w:rPr>
          <w:rStyle w:val="39"/>
          <w:rFonts w:hint="eastAsia" w:ascii="宋体" w:hAnsi="宋体" w:cs="宋体"/>
          <w:spacing w:val="8"/>
          <w:lang w:val="en-US" w:eastAsia="zh-CN"/>
        </w:rPr>
        <w:t>6</w:t>
      </w:r>
      <w:r>
        <w:rPr>
          <w:rStyle w:val="39"/>
          <w:rFonts w:hint="eastAsia" w:ascii="宋体" w:hAnsi="宋体" w:cs="宋体"/>
          <w:spacing w:val="8"/>
        </w:rPr>
        <w:t>月</w:t>
      </w:r>
      <w:r>
        <w:rPr>
          <w:rStyle w:val="39"/>
          <w:rFonts w:hint="eastAsia" w:ascii="宋体" w:hAnsi="宋体" w:cs="宋体"/>
          <w:spacing w:val="8"/>
          <w:lang w:val="en-US" w:eastAsia="zh-CN"/>
        </w:rPr>
        <w:t>26</w:t>
      </w:r>
      <w:r>
        <w:rPr>
          <w:rStyle w:val="39"/>
          <w:rFonts w:hint="eastAsia" w:ascii="宋体" w:hAnsi="宋体" w:cs="宋体"/>
          <w:spacing w:val="8"/>
        </w:rPr>
        <w:t>日，每天00:00时至24:00时（北京时间，法定节假日除外）</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地点：西藏自治区公共资源交易网（http://ggzy.xizang.gov.cn/）</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方式：各潜在投标人在办理 CA 数字证书后，登录西藏自治区公共资源交易网（http://ggzy.xizang.gov.cn/）在有效期内报名并下载采购文件。</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售价：免费获取</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四、提交投标文件截止时间、开标时间、地点及方式</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开标时间：2023年</w:t>
      </w:r>
      <w:r>
        <w:rPr>
          <w:rStyle w:val="39"/>
          <w:rFonts w:hint="eastAsia" w:ascii="宋体" w:hAnsi="宋体" w:cs="宋体"/>
          <w:color w:val="333333"/>
          <w:spacing w:val="8"/>
          <w:lang w:val="en-US" w:eastAsia="zh-CN"/>
        </w:rPr>
        <w:t>7</w:t>
      </w:r>
      <w:r>
        <w:rPr>
          <w:rStyle w:val="39"/>
          <w:rFonts w:hint="eastAsia" w:ascii="宋体" w:hAnsi="宋体" w:cs="宋体"/>
          <w:color w:val="333333"/>
          <w:spacing w:val="8"/>
        </w:rPr>
        <w:t>月</w:t>
      </w:r>
      <w:r>
        <w:rPr>
          <w:rStyle w:val="39"/>
          <w:rFonts w:hint="eastAsia" w:ascii="宋体" w:hAnsi="宋体" w:cs="宋体"/>
          <w:color w:val="333333"/>
          <w:spacing w:val="8"/>
          <w:lang w:val="en-US" w:eastAsia="zh-CN"/>
        </w:rPr>
        <w:t>7</w:t>
      </w:r>
      <w:r>
        <w:rPr>
          <w:rStyle w:val="39"/>
          <w:rFonts w:hint="eastAsia" w:ascii="宋体" w:hAnsi="宋体" w:cs="宋体"/>
          <w:color w:val="333333"/>
          <w:spacing w:val="8"/>
        </w:rPr>
        <w:t>日</w:t>
      </w:r>
      <w:r>
        <w:rPr>
          <w:rStyle w:val="39"/>
          <w:rFonts w:hint="eastAsia" w:ascii="宋体" w:hAnsi="宋体" w:cs="宋体"/>
          <w:color w:val="333333"/>
          <w:spacing w:val="8"/>
          <w:lang w:val="en-US" w:eastAsia="zh-CN"/>
        </w:rPr>
        <w:t>09</w:t>
      </w:r>
      <w:r>
        <w:rPr>
          <w:rStyle w:val="39"/>
          <w:rFonts w:hint="eastAsia" w:ascii="宋体" w:hAnsi="宋体" w:cs="宋体"/>
          <w:color w:val="333333"/>
          <w:spacing w:val="8"/>
        </w:rPr>
        <w:t>点</w:t>
      </w:r>
      <w:r>
        <w:rPr>
          <w:rStyle w:val="39"/>
          <w:rFonts w:hint="eastAsia" w:ascii="宋体" w:hAnsi="宋体" w:cs="宋体"/>
          <w:color w:val="333333"/>
          <w:spacing w:val="8"/>
          <w:lang w:val="en-US" w:eastAsia="zh-CN"/>
        </w:rPr>
        <w:t>50</w:t>
      </w:r>
      <w:r>
        <w:rPr>
          <w:rStyle w:val="39"/>
          <w:rFonts w:hint="eastAsia" w:ascii="宋体" w:hAnsi="宋体" w:cs="宋体"/>
          <w:color w:val="333333"/>
          <w:spacing w:val="8"/>
        </w:rPr>
        <w:t>分（北京时间）</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开标地点：西藏自治区公共资源交易中心开标室</w:t>
      </w:r>
    </w:p>
    <w:p>
      <w:pPr>
        <w:pStyle w:val="201"/>
        <w:ind w:firstLine="555"/>
        <w:jc w:val="both"/>
        <w:rPr>
          <w:rStyle w:val="39"/>
          <w:rFonts w:ascii="宋体" w:hAnsi="宋体" w:cs="宋体"/>
          <w:color w:val="333333"/>
          <w:spacing w:val="8"/>
        </w:rPr>
      </w:pPr>
      <w:r>
        <w:rPr>
          <w:rStyle w:val="39"/>
          <w:rFonts w:hint="eastAsia" w:ascii="宋体" w:hAnsi="宋体" w:cs="宋体"/>
          <w:color w:val="333333"/>
          <w:spacing w:val="8"/>
        </w:rPr>
        <w:t>电子投标文件提交地点：投标人请登录西藏自治区公共资源交易网（http://ggzy.xizang.gov.cn/）提交电子投标文件。</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spacing w:val="8"/>
          <w:sz w:val="24"/>
          <w:szCs w:val="24"/>
        </w:rPr>
        <w:t>五、公告期限和发布媒介</w:t>
      </w:r>
    </w:p>
    <w:p>
      <w:pPr>
        <w:pStyle w:val="201"/>
        <w:ind w:firstLine="555"/>
        <w:jc w:val="both"/>
        <w:rPr>
          <w:rStyle w:val="39"/>
          <w:rFonts w:ascii="宋体" w:hAnsi="宋体" w:cs="宋体"/>
          <w:spacing w:val="8"/>
        </w:rPr>
      </w:pPr>
      <w:r>
        <w:rPr>
          <w:rStyle w:val="39"/>
          <w:rFonts w:hint="eastAsia" w:ascii="宋体" w:hAnsi="宋体" w:cs="宋体"/>
          <w:spacing w:val="8"/>
        </w:rPr>
        <w:t>自本公告发布之日起5个工作日。</w:t>
      </w:r>
    </w:p>
    <w:p>
      <w:pPr>
        <w:pStyle w:val="201"/>
        <w:ind w:firstLine="555"/>
        <w:jc w:val="both"/>
        <w:rPr>
          <w:rStyle w:val="39"/>
          <w:rFonts w:ascii="宋体" w:hAnsi="宋体" w:cs="宋体"/>
        </w:rPr>
      </w:pPr>
      <w:r>
        <w:rPr>
          <w:rStyle w:val="39"/>
          <w:rFonts w:hint="eastAsia" w:ascii="宋体" w:hAnsi="宋体" w:cs="宋体"/>
          <w:spacing w:val="8"/>
        </w:rPr>
        <w:t>发布媒介：《西藏自治区政府采购网》、《西藏自治区公共资源交易网》</w:t>
      </w:r>
    </w:p>
    <w:p>
      <w:pPr>
        <w:pStyle w:val="31"/>
        <w:spacing w:before="0" w:after="0" w:line="360" w:lineRule="atLeast"/>
        <w:rPr>
          <w:rStyle w:val="39"/>
          <w:rFonts w:ascii="宋体" w:hAnsi="宋体" w:eastAsia="宋体" w:cs="宋体"/>
          <w:b w:val="0"/>
          <w:spacing w:val="8"/>
          <w:sz w:val="24"/>
          <w:szCs w:val="24"/>
        </w:rPr>
      </w:pPr>
      <w:r>
        <w:rPr>
          <w:rStyle w:val="39"/>
          <w:rFonts w:hint="eastAsia" w:ascii="宋体" w:hAnsi="宋体" w:eastAsia="宋体" w:cs="宋体"/>
          <w:b w:val="0"/>
          <w:spacing w:val="8"/>
          <w:sz w:val="24"/>
          <w:szCs w:val="24"/>
        </w:rPr>
        <w:t>六、其他补充事宜</w:t>
      </w:r>
    </w:p>
    <w:p>
      <w:pPr>
        <w:pStyle w:val="201"/>
        <w:spacing w:line="383" w:lineRule="atLeast"/>
        <w:ind w:firstLine="512" w:firstLineChars="200"/>
        <w:jc w:val="both"/>
        <w:rPr>
          <w:rStyle w:val="39"/>
          <w:rFonts w:ascii="宋体" w:hAnsi="宋体" w:cs="宋体"/>
          <w:spacing w:val="8"/>
        </w:rPr>
      </w:pPr>
      <w:r>
        <w:rPr>
          <w:rStyle w:val="39"/>
          <w:rFonts w:hint="eastAsia" w:ascii="宋体" w:hAnsi="宋体" w:cs="宋体"/>
          <w:spacing w:val="8"/>
        </w:rPr>
        <w:t>1.采购项目执行政府采购政策</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（1）对小微企业的产品给予价格扣除（监狱企业、残疾人福利性单位视同小微企业；残疾人福利性单位属于小型、微型企业的，不重复享受政策）。</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（2）优先采购节能环保产品（注：所采购的货物在政府采购节能产品、环境标志产品实施品目清单范围内，且具有国家确定的认证机构出具的、处于有效期之内的节能产品、环境标志产品认证证书）。</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2.本项目投标截止期前被“信用中国”网站（www.creditchina.gov.cn）中列入失信被执行人和/或重大税收违法失信主体的投标人、被中国政府采购网（www.ccgp.gov.cn）列入政府采购严重违法失信行为记录名单中被财政部门禁止参加政府采购活动的投标人（处罚决定规定的时间和地域范围内），无资格参加本项目的采购活动。</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3.单位负责人为同一人或者存在控股、管理关系的不同单位，不得同时参加本项目的投标。为本项目提供整体设计、规范编制或者项目管理、监理、检测等服务的投标人，不得再参加本项目投标。</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4.本项目采用电子化交易系统,需投标人办理CA证书，办理的途径为：西藏自治区公共资源交易网--办事流程--资料下载--企业数字证书及电子签章办事资料。</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5.逾期上传或不按要求上传的电子投标文件，西藏自治区公共资源交易网将予以拒收。若因上传错误在评审时候造成电子投标文件无法读取，由投标人自行承担相应责任。</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6、因无法主动联系潜在投标人，请后续留意西藏自治区政府采购网、西藏自治区公共资源交易网是否有本项目更正公告。请各潜在投标人关注本项目公告发布媒体，如未及时获取到相关公告信息造成的后果由各潜在投标人自行承担。</w:t>
      </w:r>
    </w:p>
    <w:p>
      <w:pPr>
        <w:pStyle w:val="201"/>
        <w:spacing w:line="383" w:lineRule="atLeast"/>
        <w:ind w:firstLine="540"/>
        <w:jc w:val="both"/>
        <w:rPr>
          <w:rStyle w:val="39"/>
          <w:rFonts w:ascii="宋体" w:hAnsi="宋体" w:cs="宋体"/>
          <w:spacing w:val="8"/>
        </w:rPr>
      </w:pPr>
      <w:r>
        <w:rPr>
          <w:rStyle w:val="39"/>
          <w:rFonts w:hint="eastAsia" w:ascii="宋体" w:hAnsi="宋体" w:cs="宋体"/>
          <w:spacing w:val="8"/>
        </w:rPr>
        <w:t>7、请投标人在汇款时务必注明所投标项目的招标编号及款项用途，否则，因款项用途不明导致投标无效等后果由投标人自行承担。</w:t>
      </w:r>
    </w:p>
    <w:p>
      <w:pPr>
        <w:pStyle w:val="31"/>
        <w:spacing w:before="0" w:after="0" w:line="360" w:lineRule="atLeast"/>
        <w:rPr>
          <w:rStyle w:val="39"/>
          <w:rFonts w:ascii="宋体" w:hAnsi="宋体" w:eastAsia="宋体" w:cs="宋体"/>
          <w:sz w:val="24"/>
          <w:szCs w:val="24"/>
        </w:rPr>
      </w:pPr>
      <w:r>
        <w:rPr>
          <w:rStyle w:val="39"/>
          <w:rFonts w:hint="eastAsia" w:ascii="宋体" w:hAnsi="宋体" w:eastAsia="宋体" w:cs="宋体"/>
          <w:b w:val="0"/>
          <w:color w:val="333333"/>
          <w:spacing w:val="8"/>
          <w:sz w:val="24"/>
          <w:szCs w:val="24"/>
        </w:rPr>
        <w:t>七、对本次招标提出询问，请按以下方式联系。</w:t>
      </w:r>
    </w:p>
    <w:p>
      <w:pPr>
        <w:pStyle w:val="13"/>
        <w:spacing w:beforeAutospacing="0" w:afterAutospacing="0"/>
        <w:rPr>
          <w:rFonts w:ascii="宋体" w:hAnsi="宋体" w:cs="宋体"/>
        </w:rPr>
      </w:pPr>
      <w:r>
        <w:rPr>
          <w:rFonts w:hint="eastAsia" w:ascii="宋体" w:hAnsi="宋体" w:cs="宋体"/>
          <w:color w:val="333333"/>
          <w:spacing w:val="8"/>
          <w:shd w:val="clear" w:color="auto" w:fill="FFFFFF"/>
        </w:rPr>
        <w:t>　　　1.采购人信息</w:t>
      </w:r>
    </w:p>
    <w:p>
      <w:pPr>
        <w:pStyle w:val="13"/>
        <w:spacing w:beforeAutospacing="0" w:afterAutospacing="0" w:line="383" w:lineRule="atLeast"/>
        <w:ind w:firstLine="1024" w:firstLineChars="400"/>
        <w:rPr>
          <w:rFonts w:ascii="宋体" w:hAnsi="宋体" w:cs="宋体"/>
        </w:rPr>
      </w:pPr>
      <w:r>
        <w:rPr>
          <w:rFonts w:hint="eastAsia" w:ascii="宋体" w:hAnsi="宋体" w:cs="宋体"/>
          <w:color w:val="333333"/>
          <w:spacing w:val="8"/>
          <w:shd w:val="clear" w:color="auto" w:fill="FFFFFF"/>
        </w:rPr>
        <w:t>名 称：</w:t>
      </w:r>
      <w:r>
        <w:rPr>
          <w:rFonts w:hint="eastAsia" w:ascii="宋体" w:hAnsi="宋体" w:cs="宋体"/>
          <w:color w:val="333333"/>
          <w:spacing w:val="8"/>
          <w:u w:val="single"/>
          <w:shd w:val="clear" w:color="auto" w:fill="FFFFFF"/>
        </w:rPr>
        <w:t>西藏自治区农牧科学院农业质量标准与检测研究所</w:t>
      </w:r>
    </w:p>
    <w:p>
      <w:pPr>
        <w:pStyle w:val="13"/>
        <w:spacing w:beforeAutospacing="0" w:afterAutospacing="0" w:line="383" w:lineRule="atLeast"/>
        <w:ind w:firstLine="1024" w:firstLineChars="400"/>
        <w:rPr>
          <w:rFonts w:ascii="宋体" w:hAnsi="宋体" w:cs="宋体"/>
          <w:color w:val="333333"/>
          <w:spacing w:val="8"/>
          <w:u w:val="single"/>
          <w:shd w:val="clear" w:color="auto" w:fill="FFFFFF"/>
        </w:rPr>
      </w:pPr>
      <w:r>
        <w:rPr>
          <w:rFonts w:hint="eastAsia" w:ascii="宋体" w:hAnsi="宋体" w:cs="宋体"/>
          <w:color w:val="333333"/>
          <w:spacing w:val="8"/>
          <w:shd w:val="clear" w:color="auto" w:fill="FFFFFF"/>
        </w:rPr>
        <w:t>地址：</w:t>
      </w:r>
      <w:r>
        <w:rPr>
          <w:rFonts w:hint="eastAsia" w:ascii="宋体" w:hAnsi="宋体" w:cs="宋体"/>
          <w:color w:val="333333"/>
          <w:spacing w:val="8"/>
          <w:u w:val="single"/>
          <w:shd w:val="clear" w:color="auto" w:fill="FFFFFF"/>
        </w:rPr>
        <w:t>西藏自治区拉萨市城关区金珠西路</w:t>
      </w:r>
      <w:r>
        <w:rPr>
          <w:rFonts w:ascii="宋体" w:hAnsi="宋体" w:cs="宋体"/>
          <w:color w:val="333333"/>
          <w:spacing w:val="8"/>
          <w:u w:val="single"/>
          <w:shd w:val="clear" w:color="auto" w:fill="FFFFFF"/>
        </w:rPr>
        <w:t>149</w:t>
      </w:r>
      <w:r>
        <w:rPr>
          <w:rFonts w:hint="eastAsia" w:ascii="宋体" w:hAnsi="宋体" w:cs="宋体"/>
          <w:color w:val="333333"/>
          <w:spacing w:val="8"/>
          <w:u w:val="single"/>
          <w:shd w:val="clear" w:color="auto" w:fill="FFFFFF"/>
        </w:rPr>
        <w:t>号</w:t>
      </w:r>
    </w:p>
    <w:p>
      <w:pPr>
        <w:pStyle w:val="13"/>
        <w:spacing w:beforeAutospacing="0" w:afterAutospacing="0" w:line="383" w:lineRule="atLeast"/>
        <w:ind w:firstLine="1024" w:firstLineChars="400"/>
        <w:rPr>
          <w:rFonts w:ascii="宋体" w:hAnsi="宋体" w:cs="宋体"/>
          <w:highlight w:val="none"/>
        </w:rPr>
      </w:pPr>
      <w:r>
        <w:rPr>
          <w:rFonts w:hint="eastAsia" w:ascii="宋体" w:hAnsi="宋体" w:cs="宋体"/>
          <w:color w:val="333333"/>
          <w:spacing w:val="8"/>
          <w:highlight w:val="none"/>
          <w:shd w:val="clear" w:color="auto" w:fill="FFFFFF"/>
        </w:rPr>
        <w:t>联系方式：</w:t>
      </w:r>
      <w:r>
        <w:rPr>
          <w:rFonts w:hint="eastAsia" w:ascii="宋体" w:hAnsi="宋体" w:cs="宋体"/>
          <w:color w:val="333333"/>
          <w:spacing w:val="8"/>
          <w:highlight w:val="none"/>
          <w:u w:val="single"/>
          <w:shd w:val="clear" w:color="auto" w:fill="FFFFFF"/>
        </w:rPr>
        <w:t xml:space="preserve">17792782955 </w:t>
      </w:r>
    </w:p>
    <w:p>
      <w:pPr>
        <w:pStyle w:val="13"/>
        <w:spacing w:beforeAutospacing="0" w:afterAutospacing="0" w:line="383" w:lineRule="atLeast"/>
        <w:ind w:firstLine="768" w:firstLineChars="300"/>
        <w:rPr>
          <w:rFonts w:ascii="宋体" w:hAnsi="宋体" w:cs="宋体"/>
        </w:rPr>
      </w:pPr>
      <w:r>
        <w:rPr>
          <w:rFonts w:hint="eastAsia" w:ascii="宋体" w:hAnsi="宋体" w:cs="宋体"/>
          <w:color w:val="333333"/>
          <w:spacing w:val="8"/>
          <w:shd w:val="clear" w:color="auto" w:fill="FFFFFF"/>
        </w:rPr>
        <w:t>2.采购代理机构信息</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名 称：</w:t>
      </w:r>
      <w:r>
        <w:rPr>
          <w:rFonts w:hint="eastAsia" w:ascii="宋体" w:hAnsi="宋体" w:cs="宋体"/>
          <w:color w:val="333333"/>
          <w:spacing w:val="8"/>
          <w:u w:val="single"/>
          <w:shd w:val="clear" w:color="auto" w:fill="FFFFFF"/>
        </w:rPr>
        <w:t xml:space="preserve"> 国信（西藏）招标咨询有限责任公司 </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地　址：</w:t>
      </w:r>
      <w:r>
        <w:rPr>
          <w:rFonts w:hint="eastAsia" w:ascii="宋体" w:hAnsi="宋体" w:cs="宋体"/>
          <w:color w:val="333333"/>
          <w:spacing w:val="8"/>
          <w:u w:val="single"/>
          <w:shd w:val="clear" w:color="auto" w:fill="FFFFFF"/>
        </w:rPr>
        <w:t>拉萨市金珠西路107号</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联系方式：</w:t>
      </w:r>
      <w:r>
        <w:rPr>
          <w:rFonts w:hint="eastAsia" w:ascii="宋体" w:hAnsi="宋体" w:cs="宋体"/>
          <w:color w:val="333333"/>
          <w:spacing w:val="8"/>
          <w:u w:val="single"/>
          <w:shd w:val="clear" w:color="auto" w:fill="FFFFFF"/>
        </w:rPr>
        <w:t>0891-6866496</w:t>
      </w:r>
    </w:p>
    <w:p>
      <w:pPr>
        <w:pStyle w:val="13"/>
        <w:spacing w:beforeAutospacing="0" w:afterAutospacing="0" w:line="383" w:lineRule="atLeast"/>
        <w:ind w:firstLine="840"/>
        <w:jc w:val="both"/>
        <w:rPr>
          <w:rFonts w:ascii="宋体" w:hAnsi="宋体" w:cs="宋体"/>
        </w:rPr>
      </w:pPr>
      <w:r>
        <w:rPr>
          <w:rFonts w:hint="eastAsia" w:ascii="宋体" w:hAnsi="宋体" w:cs="宋体"/>
          <w:color w:val="333333"/>
          <w:spacing w:val="8"/>
          <w:shd w:val="clear" w:color="auto" w:fill="FFFFFF"/>
        </w:rPr>
        <w:t>3.项目联系方式</w:t>
      </w:r>
    </w:p>
    <w:p>
      <w:pPr>
        <w:pStyle w:val="13"/>
        <w:spacing w:beforeAutospacing="0" w:afterAutospacing="0" w:line="383" w:lineRule="atLeast"/>
        <w:ind w:firstLine="1024" w:firstLineChars="400"/>
        <w:jc w:val="both"/>
        <w:rPr>
          <w:rFonts w:ascii="宋体" w:hAnsi="宋体" w:cs="宋体"/>
        </w:rPr>
      </w:pPr>
      <w:r>
        <w:rPr>
          <w:rFonts w:hint="eastAsia" w:ascii="宋体" w:hAnsi="宋体" w:cs="宋体"/>
          <w:color w:val="333333"/>
          <w:spacing w:val="8"/>
          <w:shd w:val="clear" w:color="auto" w:fill="FFFFFF"/>
        </w:rPr>
        <w:t>项目联系人：</w:t>
      </w:r>
      <w:r>
        <w:rPr>
          <w:rFonts w:hint="eastAsia" w:ascii="宋体" w:hAnsi="宋体" w:cs="宋体"/>
          <w:color w:val="333333"/>
          <w:spacing w:val="8"/>
          <w:u w:val="single"/>
          <w:shd w:val="clear" w:color="auto" w:fill="FFFFFF"/>
        </w:rPr>
        <w:t>李先生</w:t>
      </w:r>
    </w:p>
    <w:p>
      <w:pPr>
        <w:pStyle w:val="13"/>
        <w:spacing w:beforeAutospacing="0" w:afterAutospacing="0" w:line="383" w:lineRule="atLeast"/>
        <w:ind w:firstLine="1024" w:firstLineChars="400"/>
        <w:jc w:val="both"/>
        <w:rPr>
          <w:rFonts w:ascii="宋体" w:hAnsi="宋体" w:cs="宋体"/>
          <w:color w:val="333333"/>
          <w:spacing w:val="8"/>
          <w:u w:val="single"/>
          <w:shd w:val="clear" w:color="auto" w:fill="FFFFFF"/>
        </w:rPr>
      </w:pPr>
      <w:r>
        <w:rPr>
          <w:rFonts w:hint="eastAsia" w:ascii="宋体" w:hAnsi="宋体" w:cs="宋体"/>
          <w:color w:val="333333"/>
          <w:spacing w:val="8"/>
          <w:shd w:val="clear" w:color="auto" w:fill="FFFFFF"/>
        </w:rPr>
        <w:t>电　话：</w:t>
      </w:r>
      <w:r>
        <w:rPr>
          <w:rFonts w:hint="eastAsia" w:ascii="宋体" w:hAnsi="宋体" w:cs="宋体"/>
          <w:color w:val="333333"/>
          <w:spacing w:val="8"/>
          <w:u w:val="single"/>
          <w:shd w:val="clear" w:color="auto" w:fill="FFFFFF"/>
        </w:rPr>
        <w:t>17775581697</w:t>
      </w:r>
    </w:p>
    <w:p>
      <w:pPr>
        <w:pStyle w:val="13"/>
        <w:spacing w:beforeAutospacing="0" w:afterAutospacing="0" w:line="383" w:lineRule="atLeast"/>
        <w:ind w:firstLine="960" w:firstLineChars="400"/>
        <w:jc w:val="both"/>
        <w:rPr>
          <w:rFonts w:ascii="宋体" w:hAnsi="宋体" w:cs="宋体"/>
        </w:rPr>
      </w:pPr>
    </w:p>
    <w:p>
      <w:pPr>
        <w:jc w:val="right"/>
        <w:rPr>
          <w:rStyle w:val="39"/>
          <w:rFonts w:ascii="宋体" w:hAnsi="宋体" w:cs="宋体"/>
          <w:color w:val="333333"/>
          <w:spacing w:val="8"/>
          <w:kern w:val="0"/>
          <w:sz w:val="24"/>
        </w:rPr>
      </w:pPr>
      <w:r>
        <w:rPr>
          <w:rStyle w:val="39"/>
          <w:rFonts w:hint="eastAsia" w:ascii="宋体" w:hAnsi="宋体" w:cs="宋体"/>
          <w:color w:val="333333"/>
          <w:spacing w:val="8"/>
          <w:kern w:val="0"/>
          <w:sz w:val="24"/>
        </w:rPr>
        <w:t>国信（西藏）招标咨询有限责任公司</w:t>
      </w:r>
    </w:p>
    <w:p>
      <w:pPr>
        <w:jc w:val="right"/>
        <w:rPr>
          <w:rStyle w:val="39"/>
          <w:rFonts w:ascii="宋体" w:hAnsi="宋体" w:cs="宋体"/>
          <w:color w:val="333333"/>
          <w:spacing w:val="8"/>
          <w:kern w:val="0"/>
          <w:sz w:val="24"/>
        </w:rPr>
      </w:pPr>
      <w:r>
        <w:rPr>
          <w:rStyle w:val="39"/>
          <w:rFonts w:hint="eastAsia" w:ascii="宋体" w:hAnsi="宋体" w:cs="宋体"/>
          <w:color w:val="333333"/>
          <w:spacing w:val="8"/>
          <w:kern w:val="0"/>
          <w:sz w:val="24"/>
        </w:rPr>
        <w:t>2023年</w:t>
      </w:r>
      <w:r>
        <w:rPr>
          <w:rStyle w:val="39"/>
          <w:rFonts w:hint="eastAsia" w:ascii="宋体" w:hAnsi="宋体" w:cs="宋体"/>
          <w:color w:val="333333"/>
          <w:spacing w:val="8"/>
          <w:kern w:val="0"/>
          <w:sz w:val="24"/>
          <w:lang w:val="en-US" w:eastAsia="zh-CN"/>
        </w:rPr>
        <w:t>6</w:t>
      </w:r>
      <w:r>
        <w:rPr>
          <w:rStyle w:val="39"/>
          <w:rFonts w:hint="eastAsia" w:ascii="宋体" w:hAnsi="宋体" w:cs="宋体"/>
          <w:color w:val="333333"/>
          <w:spacing w:val="8"/>
          <w:kern w:val="0"/>
          <w:sz w:val="24"/>
        </w:rPr>
        <w:t>月</w:t>
      </w:r>
      <w:r>
        <w:rPr>
          <w:rStyle w:val="39"/>
          <w:rFonts w:hint="eastAsia" w:ascii="宋体" w:hAnsi="宋体" w:cs="宋体"/>
          <w:color w:val="333333"/>
          <w:spacing w:val="8"/>
          <w:kern w:val="0"/>
          <w:sz w:val="24"/>
          <w:lang w:val="en-US" w:eastAsia="zh-CN"/>
        </w:rPr>
        <w:t>16</w:t>
      </w:r>
      <w:r>
        <w:rPr>
          <w:rStyle w:val="39"/>
          <w:rFonts w:hint="eastAsia" w:ascii="宋体" w:hAnsi="宋体" w:cs="宋体"/>
          <w:color w:val="333333"/>
          <w:spacing w:val="8"/>
          <w:kern w:val="0"/>
          <w:sz w:val="24"/>
        </w:rPr>
        <w:t>日</w:t>
      </w:r>
    </w:p>
    <w:p>
      <w:pPr>
        <w:pStyle w:val="201"/>
        <w:spacing w:line="383" w:lineRule="atLeast"/>
        <w:ind w:firstLine="960" w:firstLineChars="400"/>
        <w:jc w:val="both"/>
        <w:rPr>
          <w:rStyle w:val="39"/>
          <w:rFonts w:ascii="宋体" w:hAnsi="宋体"/>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jc w:val="center"/>
        <w:rPr>
          <w:rStyle w:val="39"/>
          <w:sz w:val="24"/>
        </w:rPr>
      </w:pPr>
    </w:p>
    <w:p>
      <w:pPr>
        <w:snapToGrid w:val="0"/>
        <w:spacing w:after="156"/>
        <w:jc w:val="center"/>
        <w:outlineLvl w:val="0"/>
        <w:rPr>
          <w:rStyle w:val="39"/>
          <w:rFonts w:ascii="宋体" w:hAnsi="宋体"/>
          <w:kern w:val="0"/>
          <w:sz w:val="32"/>
          <w:szCs w:val="32"/>
        </w:rPr>
      </w:pPr>
      <w:r>
        <w:rPr>
          <w:rStyle w:val="39"/>
          <w:rFonts w:ascii="宋体" w:hAnsi="宋体"/>
          <w:kern w:val="0"/>
          <w:sz w:val="32"/>
          <w:szCs w:val="32"/>
        </w:rPr>
        <w:br w:type="page"/>
      </w:r>
      <w:bookmarkStart w:id="2" w:name="_Toc11780"/>
      <w:r>
        <w:rPr>
          <w:rStyle w:val="39"/>
          <w:rFonts w:ascii="宋体" w:hAnsi="宋体"/>
          <w:kern w:val="0"/>
          <w:sz w:val="32"/>
          <w:szCs w:val="32"/>
        </w:rPr>
        <w:t>第二章投标人须知</w:t>
      </w:r>
      <w:bookmarkEnd w:id="2"/>
    </w:p>
    <w:p>
      <w:pPr>
        <w:snapToGrid w:val="0"/>
        <w:spacing w:after="156"/>
        <w:jc w:val="center"/>
        <w:rPr>
          <w:rStyle w:val="39"/>
          <w:rFonts w:ascii="宋体" w:hAnsi="宋体"/>
          <w:kern w:val="0"/>
          <w:sz w:val="28"/>
          <w:szCs w:val="28"/>
        </w:rPr>
      </w:pPr>
      <w:r>
        <w:rPr>
          <w:rStyle w:val="39"/>
          <w:rFonts w:ascii="宋体" w:hAnsi="宋体"/>
          <w:kern w:val="0"/>
          <w:sz w:val="28"/>
          <w:szCs w:val="28"/>
        </w:rPr>
        <w:t>（一）投标人须知前附表</w:t>
      </w:r>
    </w:p>
    <w:p>
      <w:pPr>
        <w:snapToGrid w:val="0"/>
        <w:spacing w:after="156"/>
        <w:jc w:val="left"/>
        <w:rPr>
          <w:rStyle w:val="39"/>
          <w:rFonts w:ascii="宋体" w:hAnsi="宋体"/>
          <w:kern w:val="0"/>
          <w:sz w:val="24"/>
        </w:rPr>
      </w:pPr>
      <w:r>
        <w:rPr>
          <w:rStyle w:val="39"/>
          <w:rFonts w:ascii="宋体" w:hAnsi="宋体"/>
          <w:kern w:val="0"/>
          <w:sz w:val="24"/>
        </w:rPr>
        <w:t>注：投标人须知正文与本表不一致的以本表为准</w:t>
      </w:r>
    </w:p>
    <w:tbl>
      <w:tblPr>
        <w:tblStyle w:val="15"/>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515"/>
        <w:gridCol w:w="8"/>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88" w:type="dxa"/>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条款号</w:t>
            </w:r>
          </w:p>
        </w:tc>
        <w:tc>
          <w:tcPr>
            <w:tcW w:w="2515" w:type="dxa"/>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条款名称</w:t>
            </w:r>
          </w:p>
        </w:tc>
        <w:tc>
          <w:tcPr>
            <w:tcW w:w="5675" w:type="dxa"/>
            <w:gridSpan w:val="2"/>
            <w:vAlign w:val="center"/>
          </w:tcPr>
          <w:p>
            <w:pPr>
              <w:autoSpaceDE w:val="0"/>
              <w:autoSpaceDN w:val="0"/>
              <w:adjustRightInd w:val="0"/>
              <w:snapToGrid w:val="0"/>
              <w:jc w:val="center"/>
              <w:rPr>
                <w:rFonts w:ascii="宋体" w:hAnsi="宋体" w:cs="黑体"/>
                <w:color w:val="000000"/>
                <w:kern w:val="0"/>
                <w:sz w:val="24"/>
              </w:rPr>
            </w:pPr>
            <w:r>
              <w:rPr>
                <w:rFonts w:hint="eastAsia" w:ascii="宋体" w:hAnsi="宋体" w:cs="仿宋_GB2312"/>
                <w:color w:val="000000"/>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0"/>
              </w:rPr>
            </w:pPr>
            <w:r>
              <w:rPr>
                <w:rFonts w:hint="eastAsia" w:ascii="宋体" w:hAnsi="宋体" w:cs="仿宋_GB2312"/>
                <w:color w:val="000000"/>
                <w:kern w:val="0"/>
                <w:sz w:val="24"/>
              </w:rPr>
              <w:t>1.5.2</w:t>
            </w:r>
          </w:p>
        </w:tc>
        <w:tc>
          <w:tcPr>
            <w:tcW w:w="2515" w:type="dxa"/>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是否专门面向中小企业采购</w:t>
            </w:r>
          </w:p>
        </w:tc>
        <w:tc>
          <w:tcPr>
            <w:tcW w:w="5675" w:type="dxa"/>
            <w:gridSpan w:val="2"/>
            <w:vAlign w:val="center"/>
          </w:tcPr>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ascii="宋体" w:hAnsi="宋体" w:cs="仿宋_GB2312"/>
                <w:color w:val="000000"/>
                <w:kern w:val="0"/>
                <w:sz w:val="24"/>
              </w:rPr>
              <w:fldChar w:fldCharType="end"/>
            </w:r>
            <w:r>
              <w:rPr>
                <w:rFonts w:hint="eastAsia" w:ascii="宋体" w:hAnsi="宋体" w:cs="仿宋_GB2312"/>
                <w:color w:val="000000"/>
                <w:kern w:val="0"/>
                <w:sz w:val="24"/>
              </w:rPr>
              <w:t>是</w:t>
            </w:r>
          </w:p>
          <w:p>
            <w:pPr>
              <w:autoSpaceDE w:val="0"/>
              <w:autoSpaceDN w:val="0"/>
              <w:adjustRightInd w:val="0"/>
              <w:snapToGrid w:val="0"/>
              <w:jc w:val="left"/>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sz w:val="24"/>
                <w:lang w:eastAsia="zh-CN"/>
              </w:rPr>
              <w:instrText xml:space="preserve">,</w:instrText>
            </w:r>
            <w:r>
              <w:rPr>
                <w:rFonts w:hint="eastAsia" w:ascii="宋体" w:hAnsi="宋体" w:cs="仿宋_GB2312"/>
                <w:color w:val="000000"/>
                <w:kern w:val="0"/>
                <w:position w:val="2"/>
                <w:sz w:val="16"/>
                <w:lang w:eastAsia="zh-CN"/>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8" w:type="dxa"/>
            <w:vAlign w:val="center"/>
          </w:tcPr>
          <w:p>
            <w:pPr>
              <w:autoSpaceDE w:val="0"/>
              <w:autoSpaceDN w:val="0"/>
              <w:adjustRightInd w:val="0"/>
              <w:snapToGrid w:val="0"/>
              <w:jc w:val="center"/>
              <w:rPr>
                <w:rFonts w:ascii="宋体" w:hAnsi="宋体" w:cs="仿宋_GB2312"/>
                <w:color w:val="000000"/>
                <w:kern w:val="0"/>
                <w:sz w:val="20"/>
                <w:szCs w:val="20"/>
                <w:highlight w:val="none"/>
              </w:rPr>
            </w:pPr>
            <w:r>
              <w:rPr>
                <w:rFonts w:ascii="宋体" w:hAnsi="宋体" w:cs="仿宋_GB2312"/>
                <w:color w:val="000000"/>
                <w:kern w:val="0"/>
                <w:sz w:val="20"/>
                <w:szCs w:val="20"/>
                <w:highlight w:val="none"/>
              </w:rPr>
              <w:t>2.2</w:t>
            </w:r>
          </w:p>
        </w:tc>
        <w:tc>
          <w:tcPr>
            <w:tcW w:w="2515" w:type="dxa"/>
            <w:vAlign w:val="center"/>
          </w:tcPr>
          <w:p>
            <w:pPr>
              <w:autoSpaceDE w:val="0"/>
              <w:autoSpaceDN w:val="0"/>
              <w:adjustRightInd w:val="0"/>
              <w:snapToGrid w:val="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核心产品</w:t>
            </w:r>
          </w:p>
        </w:tc>
        <w:tc>
          <w:tcPr>
            <w:tcW w:w="5675" w:type="dxa"/>
            <w:gridSpan w:val="2"/>
            <w:vAlign w:val="center"/>
          </w:tcPr>
          <w:p>
            <w:pPr>
              <w:autoSpaceDE w:val="0"/>
              <w:autoSpaceDN w:val="0"/>
              <w:adjustRightInd w:val="0"/>
              <w:snapToGrid w:val="0"/>
              <w:jc w:val="left"/>
              <w:rPr>
                <w:rFonts w:ascii="宋体" w:hAnsi="宋体" w:cs="仿宋_GB2312"/>
                <w:color w:val="000000"/>
                <w:kern w:val="0"/>
                <w:sz w:val="24"/>
                <w:highlight w:val="none"/>
              </w:rPr>
            </w:pPr>
            <w:r>
              <w:rPr>
                <w:rFonts w:hint="eastAsia" w:ascii="宋体" w:hAnsi="宋体" w:cs="仿宋_GB2312"/>
                <w:color w:val="000000"/>
                <w:kern w:val="0"/>
                <w:sz w:val="24"/>
                <w:highlight w:val="none"/>
              </w:rPr>
              <w:t>□单一产品采购（不适用）</w:t>
            </w:r>
          </w:p>
          <w:p>
            <w:pPr>
              <w:rPr>
                <w:rFonts w:ascii="宋体" w:hAnsi="宋体" w:cs="仿宋_GB2312"/>
                <w:b/>
                <w:bCs/>
                <w:color w:val="000000"/>
                <w:kern w:val="0"/>
                <w:sz w:val="24"/>
                <w:highlight w:val="none"/>
              </w:rPr>
            </w:pPr>
            <w:r>
              <w:rPr>
                <w:rFonts w:ascii="宋体" w:hAnsi="宋体" w:cs="仿宋_GB2312"/>
                <w:color w:val="000000"/>
                <w:kern w:val="0"/>
                <w:sz w:val="24"/>
                <w:highlight w:val="none"/>
              </w:rPr>
              <w:fldChar w:fldCharType="begin"/>
            </w:r>
            <w:r>
              <w:rPr>
                <w:rFonts w:ascii="宋体" w:hAnsi="宋体" w:cs="仿宋_GB2312"/>
                <w:color w:val="000000"/>
                <w:kern w:val="0"/>
                <w:sz w:val="24"/>
                <w:highlight w:val="none"/>
              </w:rPr>
              <w:instrText xml:space="preserve"> </w:instrText>
            </w:r>
            <w:r>
              <w:rPr>
                <w:rFonts w:hint="eastAsia" w:ascii="宋体" w:hAnsi="宋体" w:cs="仿宋_GB2312"/>
                <w:color w:val="000000"/>
                <w:kern w:val="0"/>
                <w:sz w:val="24"/>
                <w:highlight w:val="none"/>
              </w:rPr>
              <w:instrText xml:space="preserve">eq \o\ac(□,</w:instrText>
            </w:r>
            <w:r>
              <w:rPr>
                <w:rFonts w:hint="eastAsia" w:ascii="宋体" w:hAnsi="宋体" w:cs="仿宋_GB2312"/>
                <w:color w:val="000000"/>
                <w:kern w:val="0"/>
                <w:position w:val="2"/>
                <w:sz w:val="16"/>
                <w:highlight w:val="none"/>
              </w:rPr>
              <w:instrText xml:space="preserve">√</w:instrText>
            </w:r>
            <w:r>
              <w:rPr>
                <w:rFonts w:hint="eastAsia" w:ascii="宋体" w:hAnsi="宋体" w:cs="仿宋_GB2312"/>
                <w:color w:val="000000"/>
                <w:kern w:val="0"/>
                <w:sz w:val="24"/>
                <w:highlight w:val="none"/>
              </w:rPr>
              <w:instrText xml:space="preserve">)</w:instrText>
            </w:r>
            <w:r>
              <w:rPr>
                <w:rFonts w:ascii="宋体" w:hAnsi="宋体" w:cs="仿宋_GB2312"/>
                <w:color w:val="000000"/>
                <w:kern w:val="0"/>
                <w:sz w:val="24"/>
                <w:highlight w:val="none"/>
              </w:rPr>
              <w:fldChar w:fldCharType="end"/>
            </w:r>
            <w:r>
              <w:rPr>
                <w:rFonts w:hint="eastAsia" w:ascii="宋体" w:hAnsi="宋体" w:cs="仿宋_GB2312"/>
                <w:color w:val="000000"/>
                <w:kern w:val="0"/>
                <w:sz w:val="24"/>
                <w:highlight w:val="none"/>
              </w:rPr>
              <w:t>非单一产品采购，核心产品为：全自动凯式定氮仪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仿宋_GB2312"/>
                <w:color w:val="000000"/>
                <w:kern w:val="0"/>
                <w:sz w:val="20"/>
                <w:szCs w:val="20"/>
              </w:rPr>
            </w:pPr>
            <w:r>
              <w:rPr>
                <w:rFonts w:hint="eastAsia" w:ascii="宋体" w:hAnsi="宋体" w:cs="仿宋_GB2312"/>
                <w:color w:val="000000"/>
                <w:kern w:val="0"/>
                <w:sz w:val="20"/>
                <w:szCs w:val="20"/>
              </w:rPr>
              <w:t>2.3.3</w:t>
            </w:r>
          </w:p>
        </w:tc>
        <w:tc>
          <w:tcPr>
            <w:tcW w:w="2515" w:type="dxa"/>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采购人发出澄清文件时间</w:t>
            </w:r>
          </w:p>
        </w:tc>
        <w:tc>
          <w:tcPr>
            <w:tcW w:w="5675" w:type="dxa"/>
            <w:gridSpan w:val="2"/>
            <w:vAlign w:val="center"/>
          </w:tcPr>
          <w:p>
            <w:pPr>
              <w:autoSpaceDE w:val="0"/>
              <w:autoSpaceDN w:val="0"/>
              <w:adjustRightInd w:val="0"/>
              <w:snapToGrid w:val="0"/>
              <w:jc w:val="left"/>
              <w:rPr>
                <w:rFonts w:ascii="宋体" w:hAnsi="宋体" w:cs="仿宋_GB2312"/>
                <w:color w:val="000000"/>
                <w:kern w:val="0"/>
                <w:sz w:val="24"/>
              </w:rPr>
            </w:pPr>
            <w:r>
              <w:rPr>
                <w:rFonts w:hint="eastAsia" w:ascii="宋体" w:hAnsi="宋体" w:cs="仿宋_GB2312"/>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2.4.1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3" w:name="_Toc20949"/>
            <w:bookmarkStart w:id="4" w:name="_Toc26077"/>
            <w:bookmarkStart w:id="5" w:name="_Toc4518"/>
            <w:bookmarkStart w:id="6" w:name="_Toc4365"/>
            <w:r>
              <w:rPr>
                <w:rFonts w:hint="eastAsia" w:ascii="宋体" w:hAnsi="宋体" w:cs="仿宋_GB2312"/>
                <w:color w:val="000000"/>
                <w:kern w:val="0"/>
                <w:sz w:val="24"/>
              </w:rPr>
              <w:t>采购人发出修改文件时间</w:t>
            </w:r>
            <w:bookmarkEnd w:id="3"/>
            <w:bookmarkEnd w:id="4"/>
            <w:bookmarkEnd w:id="5"/>
            <w:bookmarkEnd w:id="6"/>
          </w:p>
        </w:tc>
        <w:tc>
          <w:tcPr>
            <w:tcW w:w="5675" w:type="dxa"/>
            <w:gridSpan w:val="2"/>
            <w:vAlign w:val="center"/>
          </w:tcPr>
          <w:p>
            <w:pPr>
              <w:autoSpaceDE w:val="0"/>
              <w:autoSpaceDN w:val="0"/>
              <w:adjustRightInd w:val="0"/>
              <w:snapToGrid w:val="0"/>
              <w:spacing w:after="156" w:afterLines="50"/>
              <w:ind w:left="281" w:hanging="280" w:hangingChars="117"/>
              <w:rPr>
                <w:rFonts w:ascii="宋体" w:hAnsi="宋体" w:cs="TimesNewRomanPSMT"/>
                <w:color w:val="000000"/>
                <w:kern w:val="0"/>
                <w:sz w:val="24"/>
              </w:rPr>
            </w:pPr>
            <w:r>
              <w:rPr>
                <w:rFonts w:hint="eastAsia" w:ascii="宋体" w:hAnsi="宋体" w:cs="TimesNewRomanPSMT"/>
                <w:color w:val="000000"/>
                <w:kern w:val="0"/>
                <w:sz w:val="24"/>
              </w:rPr>
              <w:t>投标截止日15日前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2.5</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7" w:name="_Toc5691"/>
            <w:bookmarkStart w:id="8" w:name="_Toc31338"/>
            <w:bookmarkStart w:id="9" w:name="_Toc24908"/>
            <w:bookmarkStart w:id="10" w:name="_Toc20336"/>
            <w:r>
              <w:rPr>
                <w:rFonts w:hint="eastAsia" w:ascii="宋体" w:hAnsi="宋体" w:cs="仿宋_GB2312"/>
                <w:color w:val="000000"/>
                <w:kern w:val="0"/>
                <w:sz w:val="24"/>
              </w:rPr>
              <w:t>接收质疑函的方式和联系方式</w:t>
            </w:r>
            <w:bookmarkEnd w:id="7"/>
            <w:bookmarkEnd w:id="8"/>
            <w:bookmarkEnd w:id="9"/>
            <w:bookmarkEnd w:id="10"/>
          </w:p>
        </w:tc>
        <w:tc>
          <w:tcPr>
            <w:tcW w:w="5675" w:type="dxa"/>
            <w:gridSpan w:val="2"/>
            <w:vAlign w:val="center"/>
          </w:tcPr>
          <w:p>
            <w:pPr>
              <w:snapToGrid w:val="0"/>
              <w:spacing w:after="156"/>
              <w:rPr>
                <w:rStyle w:val="39"/>
                <w:rFonts w:ascii="宋体" w:hAnsi="宋体"/>
                <w:color w:val="000000"/>
                <w:kern w:val="0"/>
                <w:sz w:val="24"/>
              </w:rPr>
            </w:pPr>
            <w:r>
              <w:rPr>
                <w:rStyle w:val="39"/>
                <w:rFonts w:hint="eastAsia" w:ascii="宋体" w:hAnsi="宋体"/>
                <w:color w:val="000000"/>
                <w:kern w:val="0"/>
                <w:sz w:val="24"/>
              </w:rPr>
              <w:t>质疑和投诉的提出时限、程序、所需函件及相关材料按照《中华人民共和国政府采购法》《中华人民共和国政府采购法实施条例》《政府采购质疑和投诉办法》等相关法律法规要求执行。不在法定质疑期内提出的质疑不予接收，不符合要求的质疑函在法定的时限内补充完整，否则按质疑不成立处理。</w:t>
            </w:r>
          </w:p>
          <w:p>
            <w:pPr>
              <w:snapToGrid w:val="0"/>
              <w:spacing w:after="156"/>
              <w:rPr>
                <w:rStyle w:val="39"/>
                <w:rFonts w:ascii="宋体" w:hAnsi="宋体"/>
                <w:color w:val="000000"/>
                <w:kern w:val="0"/>
                <w:sz w:val="24"/>
              </w:rPr>
            </w:pPr>
            <w:r>
              <w:rPr>
                <w:rStyle w:val="39"/>
                <w:rFonts w:hint="eastAsia" w:ascii="宋体" w:hAnsi="宋体"/>
                <w:color w:val="000000"/>
                <w:kern w:val="0"/>
                <w:sz w:val="24"/>
              </w:rPr>
              <w:t>1、 提出质疑者应同时提交相关证据材料和注明事实的确切来源，并对质疑内容的真实性承担法律责任。</w:t>
            </w:r>
          </w:p>
          <w:p>
            <w:pPr>
              <w:snapToGrid w:val="0"/>
              <w:spacing w:after="156"/>
              <w:rPr>
                <w:rStyle w:val="39"/>
                <w:rFonts w:ascii="宋体" w:hAnsi="宋体"/>
                <w:color w:val="000000"/>
                <w:kern w:val="0"/>
                <w:sz w:val="24"/>
              </w:rPr>
            </w:pPr>
            <w:r>
              <w:rPr>
                <w:rStyle w:val="39"/>
                <w:rFonts w:hint="eastAsia" w:ascii="宋体" w:hAnsi="宋体"/>
                <w:color w:val="000000"/>
                <w:kern w:val="0"/>
                <w:sz w:val="24"/>
              </w:rPr>
              <w:t>2、投标人应在法定质疑期内一次性提出针对同一采购程序环节的质疑，对同一采购环节的重复质疑概不接收与回应。</w:t>
            </w:r>
          </w:p>
          <w:p>
            <w:pPr>
              <w:snapToGrid w:val="0"/>
              <w:spacing w:after="156"/>
              <w:rPr>
                <w:rStyle w:val="39"/>
                <w:rFonts w:ascii="宋体"/>
                <w:color w:val="000000"/>
                <w:kern w:val="0"/>
                <w:sz w:val="24"/>
              </w:rPr>
            </w:pPr>
            <w:r>
              <w:rPr>
                <w:rStyle w:val="39"/>
                <w:rFonts w:ascii="宋体" w:hAnsi="宋体"/>
                <w:color w:val="000000"/>
                <w:kern w:val="0"/>
                <w:sz w:val="24"/>
              </w:rPr>
              <w:t>联系部门：国信（西藏）招标咨询有限责任公司</w:t>
            </w:r>
          </w:p>
          <w:p>
            <w:pPr>
              <w:snapToGrid w:val="0"/>
              <w:spacing w:after="156"/>
              <w:rPr>
                <w:rStyle w:val="39"/>
                <w:rFonts w:ascii="宋体"/>
                <w:color w:val="000000"/>
                <w:kern w:val="0"/>
                <w:sz w:val="24"/>
              </w:rPr>
            </w:pPr>
            <w:r>
              <w:rPr>
                <w:rStyle w:val="39"/>
                <w:rFonts w:ascii="宋体" w:hAnsi="宋体"/>
                <w:color w:val="000000"/>
                <w:kern w:val="0"/>
                <w:sz w:val="24"/>
              </w:rPr>
              <w:t>联系人：</w:t>
            </w:r>
            <w:r>
              <w:rPr>
                <w:rStyle w:val="39"/>
                <w:rFonts w:hint="eastAsia" w:ascii="宋体" w:hAnsi="宋体"/>
                <w:color w:val="000000"/>
                <w:kern w:val="0"/>
                <w:sz w:val="24"/>
              </w:rPr>
              <w:t xml:space="preserve"> 李先生</w:t>
            </w:r>
          </w:p>
          <w:p>
            <w:pPr>
              <w:snapToGrid w:val="0"/>
              <w:spacing w:after="156"/>
              <w:rPr>
                <w:rStyle w:val="39"/>
                <w:rFonts w:ascii="宋体"/>
                <w:color w:val="000000"/>
                <w:kern w:val="0"/>
                <w:sz w:val="24"/>
              </w:rPr>
            </w:pPr>
            <w:r>
              <w:rPr>
                <w:rStyle w:val="39"/>
                <w:rFonts w:ascii="宋体" w:hAnsi="宋体"/>
                <w:color w:val="000000"/>
                <w:kern w:val="0"/>
                <w:sz w:val="24"/>
              </w:rPr>
              <w:t>联系电话：0891-6866496</w:t>
            </w:r>
          </w:p>
          <w:p>
            <w:pPr>
              <w:autoSpaceDE w:val="0"/>
              <w:autoSpaceDN w:val="0"/>
              <w:adjustRightInd w:val="0"/>
              <w:snapToGrid w:val="0"/>
              <w:spacing w:after="156" w:afterLines="50"/>
              <w:rPr>
                <w:rFonts w:ascii="宋体" w:hAnsi="宋体" w:cs="TimesNewRomanPSMT"/>
                <w:color w:val="000000"/>
                <w:kern w:val="0"/>
                <w:sz w:val="24"/>
              </w:rPr>
            </w:pPr>
            <w:r>
              <w:rPr>
                <w:rStyle w:val="39"/>
                <w:rFonts w:ascii="宋体" w:hAnsi="宋体"/>
                <w:color w:val="000000"/>
                <w:kern w:val="0"/>
                <w:sz w:val="24"/>
              </w:rPr>
              <w:t>通信地址：拉萨市金珠西路107号城投房产大厦7楼（中国人民保险楼上）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.6.2</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11" w:name="_Toc10933"/>
            <w:bookmarkStart w:id="12" w:name="_Toc195921788"/>
            <w:bookmarkStart w:id="13" w:name="_Toc5055"/>
            <w:bookmarkStart w:id="14" w:name="_Toc1731"/>
            <w:bookmarkStart w:id="15" w:name="_Toc936"/>
            <w:r>
              <w:rPr>
                <w:rFonts w:hint="eastAsia" w:ascii="宋体" w:hAnsi="宋体" w:cs="仿宋_GB2312"/>
                <w:color w:val="000000"/>
                <w:kern w:val="0"/>
                <w:sz w:val="24"/>
              </w:rPr>
              <w:t>投标有效期</w:t>
            </w:r>
            <w:bookmarkEnd w:id="11"/>
            <w:bookmarkEnd w:id="12"/>
            <w:bookmarkEnd w:id="13"/>
            <w:bookmarkEnd w:id="14"/>
            <w:bookmarkEnd w:id="15"/>
          </w:p>
        </w:tc>
        <w:tc>
          <w:tcPr>
            <w:tcW w:w="5675" w:type="dxa"/>
            <w:gridSpan w:val="2"/>
            <w:vAlign w:val="center"/>
          </w:tcPr>
          <w:p>
            <w:pPr>
              <w:autoSpaceDE w:val="0"/>
              <w:autoSpaceDN w:val="0"/>
              <w:adjustRightInd w:val="0"/>
              <w:snapToGrid w:val="0"/>
              <w:spacing w:after="156" w:afterLines="50"/>
              <w:rPr>
                <w:rFonts w:ascii="宋体" w:hAnsi="宋体" w:cs="TimesNewRomanPSMT"/>
                <w:color w:val="000000"/>
                <w:kern w:val="0"/>
                <w:sz w:val="24"/>
              </w:rPr>
            </w:pPr>
            <w:r>
              <w:rPr>
                <w:rFonts w:hint="eastAsia" w:ascii="宋体" w:hAnsi="宋体" w:cs="TimesNewRomanPSMT"/>
                <w:color w:val="000000"/>
                <w:kern w:val="0"/>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7</w:t>
            </w:r>
            <w:r>
              <w:rPr>
                <w:rFonts w:ascii="宋体" w:hAnsi="宋体" w:cs="TimesNewRomanPSMT"/>
                <w:color w:val="000000"/>
                <w:kern w:val="0"/>
                <w:sz w:val="20"/>
                <w:szCs w:val="21"/>
              </w:rPr>
              <w:t>.1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16" w:name="_Toc12209"/>
            <w:bookmarkStart w:id="17" w:name="_Toc12380"/>
            <w:bookmarkStart w:id="18" w:name="_Toc195921789"/>
            <w:bookmarkStart w:id="19" w:name="_Toc5482"/>
            <w:bookmarkStart w:id="20" w:name="_Toc9692"/>
            <w:r>
              <w:rPr>
                <w:rFonts w:hint="eastAsia" w:ascii="宋体" w:hAnsi="宋体" w:cs="仿宋_GB2312"/>
                <w:color w:val="000000"/>
                <w:kern w:val="0"/>
                <w:sz w:val="24"/>
              </w:rPr>
              <w:t>投标保证金</w:t>
            </w:r>
            <w:bookmarkEnd w:id="16"/>
            <w:bookmarkEnd w:id="17"/>
            <w:bookmarkEnd w:id="18"/>
            <w:bookmarkEnd w:id="19"/>
            <w:bookmarkEnd w:id="20"/>
          </w:p>
        </w:tc>
        <w:tc>
          <w:tcPr>
            <w:tcW w:w="5675" w:type="dxa"/>
            <w:gridSpan w:val="2"/>
            <w:vAlign w:val="center"/>
          </w:tcPr>
          <w:p>
            <w:pPr>
              <w:autoSpaceDE w:val="0"/>
              <w:autoSpaceDN w:val="0"/>
              <w:adjustRightInd w:val="0"/>
              <w:snapToGrid w:val="0"/>
              <w:spacing w:after="156" w:afterLines="50"/>
              <w:rPr>
                <w:sz w:val="24"/>
              </w:rPr>
            </w:pPr>
            <w:r>
              <w:rPr>
                <w:rFonts w:hint="eastAsia"/>
                <w:sz w:val="24"/>
              </w:rPr>
              <w:t>投标人可以自主选择以支票、汇票、本票或者金融机构、担保机构出具的保函等非现金形式缴纳或提交投标保证金。</w:t>
            </w:r>
          </w:p>
          <w:p>
            <w:pPr>
              <w:autoSpaceDE w:val="0"/>
              <w:autoSpaceDN w:val="0"/>
              <w:adjustRightInd w:val="0"/>
              <w:snapToGrid w:val="0"/>
              <w:spacing w:after="156" w:afterLines="50"/>
              <w:rPr>
                <w:sz w:val="24"/>
              </w:rPr>
            </w:pPr>
            <w:r>
              <w:rPr>
                <w:rFonts w:hint="eastAsia"/>
                <w:sz w:val="24"/>
              </w:rPr>
              <w:t>投标保证金的金额：一包：1.1万元；二包：0.7万元</w:t>
            </w:r>
          </w:p>
          <w:p>
            <w:pPr>
              <w:autoSpaceDE w:val="0"/>
              <w:autoSpaceDN w:val="0"/>
              <w:adjustRightInd w:val="0"/>
              <w:snapToGrid w:val="0"/>
              <w:spacing w:after="156" w:afterLines="50"/>
              <w:rPr>
                <w:sz w:val="24"/>
              </w:rPr>
            </w:pPr>
            <w:r>
              <w:rPr>
                <w:rFonts w:hint="eastAsia"/>
                <w:sz w:val="24"/>
              </w:rPr>
              <w:t>一、在提交投标保证金时，请按以下内容办理：</w:t>
            </w:r>
          </w:p>
          <w:p>
            <w:pPr>
              <w:autoSpaceDE w:val="0"/>
              <w:autoSpaceDN w:val="0"/>
              <w:adjustRightInd w:val="0"/>
              <w:snapToGrid w:val="0"/>
              <w:spacing w:after="156" w:afterLines="50"/>
              <w:rPr>
                <w:sz w:val="24"/>
              </w:rPr>
            </w:pPr>
            <w:r>
              <w:rPr>
                <w:rFonts w:hint="eastAsia"/>
                <w:sz w:val="24"/>
              </w:rPr>
              <w:t>1）、各项操作及规范以西藏自治区公共资源交易网及其交易平台（系统）要求为准，如遇网站、系统平台、CA等相关问题请按照西藏自治区公共资源交易平台联系方式进行咨询。</w:t>
            </w:r>
          </w:p>
          <w:p>
            <w:pPr>
              <w:autoSpaceDE w:val="0"/>
              <w:autoSpaceDN w:val="0"/>
              <w:adjustRightInd w:val="0"/>
              <w:snapToGrid w:val="0"/>
              <w:spacing w:after="156" w:afterLines="50"/>
              <w:rPr>
                <w:sz w:val="24"/>
              </w:rPr>
            </w:pPr>
            <w:r>
              <w:rPr>
                <w:rFonts w:hint="eastAsia"/>
                <w:sz w:val="24"/>
              </w:rPr>
              <w:t>2）、投标人应在规定的时间内办理保证金退还手续，如未在法定时限内办理投标保证金退还手续的，相关法律责任由投标人自行承担。</w:t>
            </w:r>
          </w:p>
          <w:p>
            <w:pPr>
              <w:autoSpaceDE w:val="0"/>
              <w:autoSpaceDN w:val="0"/>
              <w:adjustRightInd w:val="0"/>
              <w:snapToGrid w:val="0"/>
              <w:spacing w:after="156" w:afterLines="50"/>
              <w:rPr>
                <w:color w:val="000000"/>
              </w:rPr>
            </w:pPr>
            <w:r>
              <w:rPr>
                <w:rFonts w:hint="eastAsia"/>
                <w:color w:val="000000"/>
                <w:sz w:val="24"/>
              </w:rPr>
              <w:t>3）、</w:t>
            </w:r>
            <w:r>
              <w:rPr>
                <w:rStyle w:val="39"/>
                <w:rFonts w:hint="eastAsia" w:ascii="宋体" w:hAnsi="宋体"/>
                <w:color w:val="000000"/>
                <w:kern w:val="0"/>
                <w:sz w:val="24"/>
              </w:rPr>
              <w:t>投标人须从基本账户中转出保证金。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2</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电子投标文件递交及签字、盖章要求签字和（或）盖章要求</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t>投标文件中要求加盖单位章处均应为单位公章。联合体投标时，投标书、联合体协议需加盖联合体各方公章。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cs="TimesNewRomanPSMT"/>
                <w:color w:val="000000"/>
                <w:kern w:val="0"/>
                <w:sz w:val="20"/>
                <w:szCs w:val="21"/>
              </w:rPr>
              <w:t>3.</w:t>
            </w: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3</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投标文件副本份数及投标文件电子版份数</w:t>
            </w:r>
          </w:p>
        </w:tc>
        <w:tc>
          <w:tcPr>
            <w:tcW w:w="5675" w:type="dxa"/>
            <w:gridSpan w:val="2"/>
            <w:vAlign w:val="center"/>
          </w:tcPr>
          <w:p>
            <w:pPr>
              <w:pStyle w:val="507"/>
              <w:autoSpaceDE w:val="0"/>
              <w:autoSpaceDN w:val="0"/>
              <w:adjustRightInd w:val="0"/>
              <w:snapToGrid w:val="0"/>
              <w:spacing w:after="156" w:afterLines="50" w:line="38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lang w:val="en-US"/>
              </w:rPr>
              <w:t>投标文件</w:t>
            </w:r>
            <w:r>
              <w:rPr>
                <w:rFonts w:hint="eastAsia" w:ascii="宋体" w:hAnsi="宋体" w:eastAsia="宋体" w:cs="宋体"/>
                <w:color w:val="000000"/>
                <w:sz w:val="24"/>
                <w:szCs w:val="24"/>
              </w:rPr>
              <w:t>电子文档1份。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资格审查主体</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sym w:font="Wingdings 2" w:char="00A3"/>
            </w: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□采购人委托的采购代理机构</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6.1.1</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评标委员会的组建</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评标委员会构成：5人；评审专家4人，采购人代表参加1人。专家比例：80%</w:t>
            </w:r>
          </w:p>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评标专家确定方式：专家从西藏自治区财政厅专家库抽取。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7.3</w:t>
            </w:r>
          </w:p>
        </w:tc>
        <w:tc>
          <w:tcPr>
            <w:tcW w:w="2515" w:type="dxa"/>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评审得分相同时随机抽取中标候选人的主体</w:t>
            </w:r>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□采购人</w:t>
            </w:r>
          </w:p>
          <w:p>
            <w:pPr>
              <w:autoSpaceDE w:val="0"/>
              <w:autoSpaceDN w:val="0"/>
              <w:adjustRightInd w:val="0"/>
              <w:snapToGrid w:val="0"/>
              <w:spacing w:after="156" w:afterLines="50"/>
              <w:rPr>
                <w:rFonts w:ascii="宋体" w:hAnsi="宋体" w:cs="仿宋_GB2312"/>
                <w:color w:val="000000"/>
                <w:kern w:val="0"/>
                <w:sz w:val="24"/>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rPr>
              <w:t>采购人委托评标委员会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21" w:name="_Toc28567"/>
            <w:bookmarkStart w:id="22" w:name="_Toc27209"/>
            <w:bookmarkStart w:id="23" w:name="_Toc11224"/>
            <w:bookmarkStart w:id="24" w:name="_Toc2244"/>
            <w:r>
              <w:rPr>
                <w:rFonts w:hint="eastAsia" w:ascii="宋体" w:hAnsi="宋体" w:cs="仿宋_GB2312"/>
                <w:color w:val="000000"/>
                <w:kern w:val="0"/>
                <w:sz w:val="24"/>
              </w:rPr>
              <w:t>推荐的中标候选人数量</w:t>
            </w:r>
            <w:bookmarkEnd w:id="21"/>
            <w:bookmarkEnd w:id="22"/>
            <w:bookmarkEnd w:id="23"/>
            <w:bookmarkEnd w:id="24"/>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25" w:name="_Toc31431"/>
            <w:bookmarkStart w:id="26" w:name="_Toc31909"/>
            <w:r>
              <w:rPr>
                <w:rFonts w:hint="eastAsia" w:ascii="宋体" w:hAnsi="宋体" w:cs="仿宋_GB2312"/>
                <w:color w:val="000000"/>
                <w:kern w:val="0"/>
                <w:sz w:val="24"/>
              </w:rPr>
              <w:t>确定中标人的方式</w:t>
            </w:r>
            <w:bookmarkEnd w:id="25"/>
            <w:bookmarkEnd w:id="26"/>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u w:val="single"/>
              </w:rPr>
            </w:pPr>
            <w:r>
              <w:rPr>
                <w:rFonts w:hint="eastAsia" w:ascii="宋体" w:hAnsi="宋体" w:cs="仿宋_GB2312"/>
                <w:color w:val="000000"/>
                <w:kern w:val="0"/>
                <w:sz w:val="24"/>
                <w:u w:val="single"/>
              </w:rPr>
              <w:t>□采购人委托评标委员会直接确认中标人</w:t>
            </w:r>
          </w:p>
          <w:p>
            <w:pPr>
              <w:autoSpaceDE w:val="0"/>
              <w:autoSpaceDN w:val="0"/>
              <w:adjustRightInd w:val="0"/>
              <w:snapToGrid w:val="0"/>
              <w:spacing w:after="156" w:afterLines="50"/>
              <w:rPr>
                <w:rFonts w:ascii="宋体" w:hAnsi="宋体" w:cs="仿宋_GB2312"/>
                <w:color w:val="000000"/>
                <w:kern w:val="0"/>
                <w:sz w:val="24"/>
                <w:u w:val="single"/>
              </w:rPr>
            </w:pPr>
            <w:r>
              <w:rPr>
                <w:rFonts w:ascii="宋体" w:hAnsi="宋体" w:cs="仿宋_GB2312"/>
                <w:color w:val="000000"/>
                <w:kern w:val="0"/>
                <w:sz w:val="24"/>
              </w:rPr>
              <w:fldChar w:fldCharType="begin"/>
            </w:r>
            <w:r>
              <w:rPr>
                <w:rFonts w:ascii="宋体" w:hAnsi="宋体" w:cs="仿宋_GB2312"/>
                <w:color w:val="000000"/>
                <w:kern w:val="0"/>
                <w:sz w:val="24"/>
              </w:rPr>
              <w:instrText xml:space="preserve"> </w:instrText>
            </w:r>
            <w:r>
              <w:rPr>
                <w:rFonts w:hint="eastAsia" w:ascii="宋体" w:hAnsi="宋体" w:cs="仿宋_GB2312"/>
                <w:color w:val="000000"/>
                <w:kern w:val="0"/>
                <w:sz w:val="24"/>
              </w:rPr>
              <w:instrText xml:space="preserve">eq \o\ac(□,</w:instrText>
            </w:r>
            <w:r>
              <w:rPr>
                <w:rFonts w:hint="eastAsia" w:ascii="宋体" w:hAnsi="宋体" w:cs="仿宋_GB2312"/>
                <w:color w:val="000000"/>
                <w:kern w:val="0"/>
                <w:position w:val="2"/>
                <w:sz w:val="16"/>
              </w:rPr>
              <w:instrText xml:space="preserve">√</w:instrText>
            </w:r>
            <w:r>
              <w:rPr>
                <w:rFonts w:hint="eastAsia" w:ascii="宋体" w:hAnsi="宋体" w:cs="仿宋_GB2312"/>
                <w:color w:val="000000"/>
                <w:kern w:val="0"/>
                <w:sz w:val="24"/>
              </w:rPr>
              <w:instrText xml:space="preserve">)</w:instrText>
            </w:r>
            <w:r>
              <w:rPr>
                <w:rFonts w:ascii="宋体" w:hAnsi="宋体" w:cs="仿宋_GB2312"/>
                <w:color w:val="000000"/>
                <w:kern w:val="0"/>
                <w:sz w:val="24"/>
              </w:rPr>
              <w:fldChar w:fldCharType="end"/>
            </w:r>
            <w:r>
              <w:rPr>
                <w:rFonts w:hint="eastAsia" w:ascii="宋体" w:hAnsi="宋体" w:cs="仿宋_GB2312"/>
                <w:color w:val="000000"/>
                <w:kern w:val="0"/>
                <w:sz w:val="24"/>
                <w:u w:val="single"/>
              </w:rPr>
              <w:t>采购人确认中标人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hint="eastAsia" w:ascii="宋体" w:hAnsi="宋体" w:cs="TimesNewRomanPSMT"/>
                <w:color w:val="000000"/>
                <w:kern w:val="0"/>
                <w:sz w:val="20"/>
                <w:szCs w:val="21"/>
              </w:rPr>
              <w:t>8</w:t>
            </w:r>
            <w:r>
              <w:rPr>
                <w:rFonts w:ascii="宋体" w:hAnsi="宋体" w:cs="TimesNewRomanPSMT"/>
                <w:color w:val="000000"/>
                <w:kern w:val="0"/>
                <w:sz w:val="20"/>
                <w:szCs w:val="21"/>
              </w:rPr>
              <w:t>.</w:t>
            </w:r>
            <w:r>
              <w:rPr>
                <w:rFonts w:hint="eastAsia" w:ascii="宋体" w:hAnsi="宋体" w:cs="TimesNewRomanPSMT"/>
                <w:color w:val="000000"/>
                <w:kern w:val="0"/>
                <w:sz w:val="20"/>
                <w:szCs w:val="21"/>
              </w:rPr>
              <w:t>4</w:t>
            </w:r>
            <w:r>
              <w:rPr>
                <w:rFonts w:ascii="宋体" w:hAnsi="宋体" w:cs="TimesNewRomanPSMT"/>
                <w:color w:val="000000"/>
                <w:kern w:val="0"/>
                <w:sz w:val="20"/>
                <w:szCs w:val="21"/>
              </w:rPr>
              <w:t>.1</w:t>
            </w:r>
          </w:p>
        </w:tc>
        <w:tc>
          <w:tcPr>
            <w:tcW w:w="2515" w:type="dxa"/>
            <w:vAlign w:val="center"/>
          </w:tcPr>
          <w:p>
            <w:pPr>
              <w:autoSpaceDE w:val="0"/>
              <w:autoSpaceDN w:val="0"/>
              <w:adjustRightInd w:val="0"/>
              <w:snapToGrid w:val="0"/>
              <w:outlineLvl w:val="0"/>
              <w:rPr>
                <w:rFonts w:ascii="宋体" w:hAnsi="宋体" w:cs="仿宋_GB2312"/>
                <w:color w:val="000000"/>
                <w:kern w:val="0"/>
                <w:sz w:val="24"/>
              </w:rPr>
            </w:pPr>
            <w:bookmarkStart w:id="27" w:name="_Toc14149"/>
            <w:r>
              <w:rPr>
                <w:rFonts w:hint="eastAsia" w:ascii="宋体" w:hAnsi="宋体" w:cs="仿宋_GB2312"/>
                <w:color w:val="000000"/>
                <w:kern w:val="0"/>
                <w:sz w:val="24"/>
              </w:rPr>
              <w:t>履约保证金</w:t>
            </w:r>
            <w:bookmarkEnd w:id="27"/>
          </w:p>
        </w:tc>
        <w:tc>
          <w:tcPr>
            <w:tcW w:w="5675" w:type="dxa"/>
            <w:gridSpan w:val="2"/>
            <w:vAlign w:val="center"/>
          </w:tcPr>
          <w:p>
            <w:pPr>
              <w:autoSpaceDE w:val="0"/>
              <w:autoSpaceDN w:val="0"/>
              <w:adjustRightInd w:val="0"/>
              <w:snapToGrid w:val="0"/>
              <w:spacing w:after="156" w:afterLines="50"/>
              <w:rPr>
                <w:rFonts w:ascii="宋体" w:hAnsi="宋体" w:cs="仿宋_GB2312"/>
                <w:color w:val="000000"/>
                <w:kern w:val="0"/>
                <w:sz w:val="24"/>
              </w:rPr>
            </w:pPr>
            <w:r>
              <w:rPr>
                <w:rFonts w:hint="eastAsia" w:ascii="宋体" w:hAnsi="宋体" w:cs="仿宋_GB2312"/>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hAnsi="宋体" w:cs="TimesNewRomanPSMT"/>
                <w:color w:val="000000"/>
                <w:kern w:val="0"/>
                <w:sz w:val="20"/>
                <w:szCs w:val="21"/>
              </w:rPr>
            </w:pPr>
            <w:r>
              <w:rPr>
                <w:rFonts w:ascii="宋体" w:hAnsi="宋体"/>
                <w:b/>
                <w:bCs/>
                <w:color w:val="000000"/>
                <w:kern w:val="0"/>
                <w:sz w:val="20"/>
                <w:szCs w:val="21"/>
              </w:rPr>
              <w:t>10</w:t>
            </w:r>
          </w:p>
        </w:tc>
        <w:tc>
          <w:tcPr>
            <w:tcW w:w="8190" w:type="dxa"/>
            <w:gridSpan w:val="3"/>
            <w:vAlign w:val="center"/>
          </w:tcPr>
          <w:p>
            <w:pPr>
              <w:autoSpaceDE w:val="0"/>
              <w:autoSpaceDN w:val="0"/>
              <w:adjustRightInd w:val="0"/>
              <w:snapToGrid w:val="0"/>
              <w:rPr>
                <w:rFonts w:ascii="宋体" w:hAnsi="宋体" w:cs="仿宋_GB2312"/>
                <w:color w:val="000000"/>
                <w:kern w:val="0"/>
                <w:sz w:val="24"/>
              </w:rPr>
            </w:pPr>
            <w:r>
              <w:rPr>
                <w:rFonts w:hint="eastAsia" w:ascii="宋体" w:hAnsi="宋体" w:cs="仿宋_GB2312"/>
                <w:color w:val="000000"/>
                <w:kern w:val="0"/>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1</w:t>
            </w:r>
          </w:p>
        </w:tc>
        <w:tc>
          <w:tcPr>
            <w:tcW w:w="2523"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近年财务状况的年份要求</w:t>
            </w:r>
          </w:p>
        </w:tc>
        <w:tc>
          <w:tcPr>
            <w:tcW w:w="5667" w:type="dxa"/>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cs="仿宋_GB2312"/>
                <w:color w:val="000000"/>
                <w:kern w:val="0"/>
                <w:sz w:val="24"/>
              </w:rPr>
              <w:t>上一年度经第三方审计后的报告/或本年度银行出具的资信证明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2</w:t>
            </w:r>
          </w:p>
        </w:tc>
        <w:tc>
          <w:tcPr>
            <w:tcW w:w="2523"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近年完成的类似项目的年份要求</w:t>
            </w:r>
          </w:p>
        </w:tc>
        <w:tc>
          <w:tcPr>
            <w:tcW w:w="5667" w:type="dxa"/>
            <w:vAlign w:val="center"/>
          </w:tcPr>
          <w:p>
            <w:pPr>
              <w:autoSpaceDE w:val="0"/>
              <w:autoSpaceDN w:val="0"/>
              <w:adjustRightInd w:val="0"/>
              <w:snapToGrid w:val="0"/>
              <w:spacing w:after="156" w:afterLines="50"/>
              <w:rPr>
                <w:rFonts w:ascii="宋体" w:cs="仿宋_GB2312"/>
                <w:color w:val="000000"/>
                <w:kern w:val="0"/>
                <w:sz w:val="24"/>
              </w:rPr>
            </w:pPr>
            <w:r>
              <w:rPr>
                <w:rFonts w:ascii="宋体" w:hAnsi="宋体" w:cs="仿宋_GB2312"/>
                <w:color w:val="000000"/>
                <w:kern w:val="0"/>
                <w:sz w:val="24"/>
              </w:rPr>
              <w:t>20</w:t>
            </w:r>
            <w:r>
              <w:rPr>
                <w:rFonts w:hint="eastAsia" w:ascii="宋体" w:hAnsi="宋体" w:cs="仿宋_GB2312"/>
                <w:color w:val="000000"/>
                <w:kern w:val="0"/>
                <w:sz w:val="24"/>
              </w:rPr>
              <w:t>19年～至今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ascii="宋体" w:hAnsi="宋体" w:cs="TimesNewRomanPSMT"/>
                <w:color w:val="000000"/>
                <w:kern w:val="0"/>
                <w:sz w:val="20"/>
                <w:szCs w:val="21"/>
              </w:rPr>
              <w:t>3</w:t>
            </w:r>
          </w:p>
        </w:tc>
        <w:tc>
          <w:tcPr>
            <w:tcW w:w="2523"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缴纳税收和社保记录年份要求</w:t>
            </w:r>
          </w:p>
        </w:tc>
        <w:tc>
          <w:tcPr>
            <w:tcW w:w="5667" w:type="dxa"/>
            <w:vAlign w:val="center"/>
          </w:tcPr>
          <w:p>
            <w:pPr>
              <w:autoSpaceDE w:val="0"/>
              <w:autoSpaceDN w:val="0"/>
              <w:adjustRightInd w:val="0"/>
              <w:snapToGrid w:val="0"/>
              <w:spacing w:after="156" w:afterLines="50"/>
              <w:rPr>
                <w:rFonts w:ascii="宋体" w:cs="仿宋_GB2312"/>
                <w:color w:val="000000"/>
                <w:kern w:val="0"/>
                <w:sz w:val="24"/>
              </w:rPr>
            </w:pPr>
            <w:r>
              <w:rPr>
                <w:rFonts w:hint="eastAsia" w:ascii="宋体" w:hAnsi="宋体" w:cs="仿宋_GB2312"/>
                <w:color w:val="000000"/>
                <w:kern w:val="0"/>
                <w:sz w:val="24"/>
              </w:rPr>
              <w:t>投标截止日前近6个月其中一个月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4</w:t>
            </w:r>
          </w:p>
        </w:tc>
        <w:tc>
          <w:tcPr>
            <w:tcW w:w="2523" w:type="dxa"/>
            <w:gridSpan w:val="2"/>
            <w:vAlign w:val="center"/>
          </w:tcPr>
          <w:p>
            <w:pPr>
              <w:autoSpaceDE w:val="0"/>
              <w:autoSpaceDN w:val="0"/>
              <w:adjustRightInd w:val="0"/>
              <w:snapToGrid w:val="0"/>
              <w:rPr>
                <w:rFonts w:ascii="宋体" w:cs="仿宋_GB2312"/>
                <w:i/>
                <w:color w:val="000000"/>
                <w:kern w:val="0"/>
                <w:sz w:val="24"/>
              </w:rPr>
            </w:pPr>
            <w:r>
              <w:rPr>
                <w:rFonts w:hint="eastAsia" w:ascii="宋体" w:hAnsi="宋体" w:cs="仿宋_GB2312"/>
                <w:color w:val="000000"/>
                <w:kern w:val="0"/>
                <w:sz w:val="24"/>
              </w:rPr>
              <w:t>招标代理费</w:t>
            </w:r>
          </w:p>
        </w:tc>
        <w:tc>
          <w:tcPr>
            <w:tcW w:w="5667" w:type="dxa"/>
            <w:vAlign w:val="center"/>
          </w:tcPr>
          <w:p>
            <w:pPr>
              <w:autoSpaceDE w:val="0"/>
              <w:autoSpaceDN w:val="0"/>
              <w:adjustRightInd w:val="0"/>
              <w:snapToGrid w:val="0"/>
              <w:rPr>
                <w:rFonts w:ascii="宋体" w:cs="仿宋_GB2312"/>
                <w:color w:val="000000"/>
                <w:kern w:val="0"/>
                <w:sz w:val="24"/>
              </w:rPr>
            </w:pPr>
            <w:r>
              <w:rPr>
                <w:rFonts w:hint="eastAsia" w:ascii="宋体" w:cs="仿宋_GB2312"/>
                <w:color w:val="000000"/>
                <w:kern w:val="0"/>
                <w:sz w:val="24"/>
              </w:rPr>
              <w:t>按计价格（2002）1980号文件（货物类）向中标人收取。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5</w:t>
            </w:r>
          </w:p>
        </w:tc>
        <w:tc>
          <w:tcPr>
            <w:tcW w:w="2523" w:type="dxa"/>
            <w:gridSpan w:val="2"/>
            <w:vAlign w:val="center"/>
          </w:tcPr>
          <w:p>
            <w:pPr>
              <w:autoSpaceDE w:val="0"/>
              <w:autoSpaceDN w:val="0"/>
              <w:adjustRightInd w:val="0"/>
              <w:snapToGrid w:val="0"/>
              <w:rPr>
                <w:rFonts w:ascii="宋体" w:cs="TimesNewRomanPSMT"/>
                <w:color w:val="000000"/>
                <w:kern w:val="0"/>
                <w:sz w:val="24"/>
              </w:rPr>
            </w:pPr>
            <w:r>
              <w:rPr>
                <w:rFonts w:hint="eastAsia" w:ascii="宋体" w:hAnsi="宋体" w:cs="TimesNewRomanPSMT"/>
                <w:color w:val="000000"/>
                <w:kern w:val="0"/>
                <w:sz w:val="24"/>
              </w:rPr>
              <w:t>最高限价</w:t>
            </w:r>
          </w:p>
        </w:tc>
        <w:tc>
          <w:tcPr>
            <w:tcW w:w="5667" w:type="dxa"/>
            <w:vAlign w:val="center"/>
          </w:tcPr>
          <w:p>
            <w:pPr>
              <w:autoSpaceDE w:val="0"/>
              <w:autoSpaceDN w:val="0"/>
              <w:adjustRightInd w:val="0"/>
              <w:snapToGrid w:val="0"/>
              <w:rPr>
                <w:rFonts w:ascii="宋体" w:cs="TimesNewRomanPSMT"/>
                <w:color w:val="000000"/>
                <w:kern w:val="0"/>
                <w:sz w:val="24"/>
              </w:rPr>
            </w:pPr>
            <w:r>
              <w:rPr>
                <w:rFonts w:hint="eastAsia" w:ascii="宋体" w:hAnsi="宋体" w:cs="宋体"/>
                <w:color w:val="000000"/>
                <w:sz w:val="24"/>
              </w:rPr>
              <w:t>最高限价：一包：72万元；二包：41万元。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6</w:t>
            </w:r>
          </w:p>
        </w:tc>
        <w:tc>
          <w:tcPr>
            <w:tcW w:w="2523"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仿宋_GB2312"/>
                <w:color w:val="000000"/>
                <w:kern w:val="0"/>
                <w:sz w:val="24"/>
              </w:rPr>
              <w:t>投标文件电子文档</w:t>
            </w:r>
          </w:p>
        </w:tc>
        <w:tc>
          <w:tcPr>
            <w:tcW w:w="5667" w:type="dxa"/>
            <w:vAlign w:val="center"/>
          </w:tcPr>
          <w:p>
            <w:pPr>
              <w:autoSpaceDE w:val="0"/>
              <w:autoSpaceDN w:val="0"/>
              <w:adjustRightInd w:val="0"/>
              <w:snapToGrid w:val="0"/>
              <w:rPr>
                <w:rFonts w:ascii="宋体" w:cs="仿宋_GB2312"/>
                <w:color w:val="000000"/>
                <w:kern w:val="0"/>
                <w:sz w:val="24"/>
              </w:rPr>
            </w:pPr>
            <w:r>
              <w:rPr>
                <w:rStyle w:val="39"/>
                <w:rFonts w:ascii="宋体" w:hAnsi="宋体"/>
                <w:color w:val="000000"/>
                <w:kern w:val="0"/>
                <w:sz w:val="24"/>
              </w:rPr>
              <w:t>投标文件电子文档必须包含投标文件正本的所有内容，用正本按要求签字盖章后彩色扫描成PDF格式拷贝进U盘中（WODR版本也需包含在U盘内）。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7</w:t>
            </w:r>
          </w:p>
        </w:tc>
        <w:tc>
          <w:tcPr>
            <w:tcW w:w="2523" w:type="dxa"/>
            <w:gridSpan w:val="2"/>
            <w:vAlign w:val="center"/>
          </w:tcPr>
          <w:p>
            <w:pPr>
              <w:autoSpaceDE w:val="0"/>
              <w:autoSpaceDN w:val="0"/>
              <w:adjustRightInd w:val="0"/>
              <w:snapToGrid w:val="0"/>
              <w:rPr>
                <w:rFonts w:ascii="宋体" w:cs="仿宋_GB2312"/>
                <w:color w:val="000000"/>
                <w:kern w:val="0"/>
                <w:sz w:val="24"/>
              </w:rPr>
            </w:pPr>
            <w:r>
              <w:rPr>
                <w:rFonts w:hint="eastAsia" w:ascii="宋体" w:hAnsi="宋体" w:cs="TimesNewRomanPSMT"/>
                <w:color w:val="000000"/>
                <w:kern w:val="0"/>
                <w:sz w:val="24"/>
              </w:rPr>
              <w:t>其他说明</w:t>
            </w:r>
          </w:p>
        </w:tc>
        <w:tc>
          <w:tcPr>
            <w:tcW w:w="5667" w:type="dxa"/>
            <w:vAlign w:val="center"/>
          </w:tcPr>
          <w:p>
            <w:pPr>
              <w:autoSpaceDE w:val="0"/>
              <w:autoSpaceDN w:val="0"/>
              <w:adjustRightInd w:val="0"/>
              <w:snapToGrid w:val="0"/>
              <w:rPr>
                <w:rFonts w:ascii="宋体" w:cs="仿宋_GB2312"/>
                <w:b/>
                <w:color w:val="000000"/>
                <w:kern w:val="0"/>
                <w:sz w:val="24"/>
              </w:rPr>
            </w:pPr>
            <w:r>
              <w:rPr>
                <w:rFonts w:ascii="宋体" w:hAnsi="宋体" w:cs="仿宋_GB2312"/>
                <w:b/>
                <w:color w:val="000000"/>
                <w:kern w:val="0"/>
                <w:sz w:val="24"/>
              </w:rPr>
              <w:t>1</w:t>
            </w:r>
            <w:r>
              <w:rPr>
                <w:rFonts w:hint="eastAsia" w:ascii="宋体" w:hAnsi="宋体" w:cs="仿宋_GB2312"/>
                <w:b/>
                <w:color w:val="000000"/>
                <w:kern w:val="0"/>
                <w:sz w:val="24"/>
              </w:rPr>
              <w:t>、根据《政府采购货物和服务招标投标管理办法》（财政部第</w:t>
            </w:r>
            <w:r>
              <w:rPr>
                <w:rFonts w:ascii="宋体" w:hAnsi="宋体" w:cs="仿宋_GB2312"/>
                <w:b/>
                <w:color w:val="000000"/>
                <w:kern w:val="0"/>
                <w:sz w:val="24"/>
              </w:rPr>
              <w:t>87</w:t>
            </w:r>
            <w:r>
              <w:rPr>
                <w:rFonts w:hint="eastAsia" w:ascii="宋体" w:hAnsi="宋体" w:cs="仿宋_GB2312"/>
                <w:b/>
                <w:color w:val="000000"/>
                <w:kern w:val="0"/>
                <w:sz w:val="24"/>
              </w:rPr>
              <w:t>号令）第六十条之规定，评标委员会认为投标人的报价明显低于其他通过符合性审查投标人的报价，有可能影响产品质量或者不能诚信履约的，应当要求其在评标现场合理的时间内提供书面说明，必要时提交相关证明材料</w:t>
            </w:r>
            <w:r>
              <w:rPr>
                <w:rFonts w:ascii="宋体" w:hAnsi="宋体" w:cs="仿宋_GB2312"/>
                <w:b/>
                <w:color w:val="000000"/>
                <w:kern w:val="0"/>
                <w:sz w:val="24"/>
              </w:rPr>
              <w:t>;</w:t>
            </w:r>
            <w:r>
              <w:rPr>
                <w:rFonts w:hint="eastAsia" w:ascii="宋体" w:hAnsi="宋体" w:cs="仿宋_GB2312"/>
                <w:b/>
                <w:color w:val="000000"/>
                <w:kern w:val="0"/>
                <w:sz w:val="24"/>
              </w:rPr>
              <w:t>投标人不能证明其报价合理性的，评标委员会应当将其作为无效投标处理。</w:t>
            </w:r>
          </w:p>
          <w:p>
            <w:pPr>
              <w:autoSpaceDE w:val="0"/>
              <w:autoSpaceDN w:val="0"/>
              <w:adjustRightInd w:val="0"/>
              <w:snapToGrid w:val="0"/>
              <w:rPr>
                <w:rFonts w:ascii="宋体" w:cs="仿宋_GB2312"/>
                <w:color w:val="000000"/>
                <w:kern w:val="0"/>
                <w:sz w:val="24"/>
              </w:rPr>
            </w:pPr>
            <w:r>
              <w:rPr>
                <w:rFonts w:ascii="宋体" w:hAnsi="宋体" w:cs="仿宋_GB2312"/>
                <w:b/>
                <w:color w:val="000000"/>
                <w:kern w:val="0"/>
                <w:sz w:val="24"/>
              </w:rPr>
              <w:t>2</w:t>
            </w:r>
            <w:r>
              <w:rPr>
                <w:rFonts w:hint="eastAsia" w:ascii="宋体" w:hAnsi="宋体" w:cs="仿宋_GB2312"/>
                <w:b/>
                <w:color w:val="000000"/>
                <w:kern w:val="0"/>
                <w:sz w:val="24"/>
              </w:rPr>
              <w:t>、未按要求将招标文件和投标文件所投设备进行对比，而只是笼统地说明无偏离或完全复制招标文件参数的作无效投标处理。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8</w:t>
            </w:r>
          </w:p>
        </w:tc>
        <w:tc>
          <w:tcPr>
            <w:tcW w:w="2523" w:type="dxa"/>
            <w:gridSpan w:val="2"/>
            <w:vAlign w:val="center"/>
          </w:tcPr>
          <w:p>
            <w:pPr>
              <w:autoSpaceDE w:val="0"/>
              <w:autoSpaceDN w:val="0"/>
              <w:adjustRightInd w:val="0"/>
              <w:snapToGrid w:val="0"/>
              <w:rPr>
                <w:rFonts w:ascii="宋体" w:hAnsi="宋体" w:cs="TimesNewRomanPSMT"/>
                <w:color w:val="000000"/>
                <w:kern w:val="0"/>
                <w:sz w:val="24"/>
              </w:rPr>
            </w:pPr>
            <w:r>
              <w:rPr>
                <w:rStyle w:val="39"/>
                <w:rFonts w:ascii="宋体" w:hAnsi="宋体"/>
                <w:color w:val="000000"/>
                <w:kern w:val="0"/>
                <w:sz w:val="24"/>
              </w:rPr>
              <w:t>招标公告和中标公告发布期限和发布媒介</w:t>
            </w:r>
          </w:p>
        </w:tc>
        <w:tc>
          <w:tcPr>
            <w:tcW w:w="5667" w:type="dxa"/>
            <w:vAlign w:val="center"/>
          </w:tcPr>
          <w:p>
            <w:pPr>
              <w:snapToGrid w:val="0"/>
              <w:rPr>
                <w:rStyle w:val="39"/>
                <w:rFonts w:ascii="宋体" w:hAnsi="宋体"/>
                <w:color w:val="000000"/>
                <w:kern w:val="0"/>
                <w:sz w:val="24"/>
              </w:rPr>
            </w:pPr>
            <w:r>
              <w:rPr>
                <w:rStyle w:val="39"/>
                <w:rFonts w:ascii="宋体" w:hAnsi="宋体"/>
                <w:color w:val="000000"/>
                <w:kern w:val="0"/>
                <w:sz w:val="24"/>
              </w:rPr>
              <w:t>招标公告发布期限：自招标公告发布之日起5个工作日</w:t>
            </w:r>
          </w:p>
          <w:p>
            <w:pPr>
              <w:snapToGrid w:val="0"/>
              <w:rPr>
                <w:rStyle w:val="39"/>
                <w:rFonts w:ascii="宋体" w:hAnsi="宋体"/>
                <w:color w:val="000000"/>
                <w:kern w:val="0"/>
                <w:sz w:val="24"/>
              </w:rPr>
            </w:pPr>
            <w:r>
              <w:rPr>
                <w:rStyle w:val="39"/>
                <w:rFonts w:ascii="宋体" w:hAnsi="宋体"/>
                <w:color w:val="000000"/>
                <w:kern w:val="0"/>
                <w:sz w:val="24"/>
              </w:rPr>
              <w:t>中标公告发布期限：自中标公告发布之日起1个工作日；</w:t>
            </w:r>
          </w:p>
          <w:p>
            <w:pPr>
              <w:autoSpaceDE w:val="0"/>
              <w:autoSpaceDN w:val="0"/>
              <w:adjustRightInd w:val="0"/>
              <w:snapToGrid w:val="0"/>
              <w:rPr>
                <w:rFonts w:ascii="宋体" w:hAnsi="宋体" w:cs="仿宋_GB2312"/>
                <w:b/>
                <w:color w:val="000000"/>
                <w:kern w:val="0"/>
                <w:sz w:val="24"/>
              </w:rPr>
            </w:pPr>
            <w:r>
              <w:rPr>
                <w:rStyle w:val="39"/>
                <w:rFonts w:ascii="宋体" w:hAnsi="宋体" w:cs="黑体"/>
                <w:bCs/>
                <w:color w:val="000000"/>
                <w:spacing w:val="8"/>
                <w:sz w:val="24"/>
              </w:rPr>
              <w:t>发布媒介：</w:t>
            </w:r>
            <w:r>
              <w:rPr>
                <w:rStyle w:val="39"/>
                <w:rFonts w:hint="eastAsia" w:ascii="宋体" w:hAnsi="宋体" w:cs="黑体"/>
                <w:bCs/>
                <w:color w:val="000000"/>
                <w:spacing w:val="8"/>
                <w:sz w:val="24"/>
              </w:rPr>
              <w:t>西藏政府采购网、西藏自治区公共资源交易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rPr>
            </w:pPr>
            <w:r>
              <w:rPr>
                <w:rFonts w:hint="eastAsia" w:ascii="宋体" w:cs="TimesNewRomanPSMT"/>
                <w:color w:val="000000"/>
                <w:kern w:val="0"/>
                <w:sz w:val="20"/>
                <w:szCs w:val="21"/>
              </w:rPr>
              <w:t>9</w:t>
            </w:r>
          </w:p>
        </w:tc>
        <w:tc>
          <w:tcPr>
            <w:tcW w:w="2523" w:type="dxa"/>
            <w:gridSpan w:val="2"/>
            <w:vAlign w:val="center"/>
          </w:tcPr>
          <w:p>
            <w:pPr>
              <w:autoSpaceDE w:val="0"/>
              <w:autoSpaceDN w:val="0"/>
              <w:adjustRightInd w:val="0"/>
              <w:snapToGrid w:val="0"/>
              <w:rPr>
                <w:rStyle w:val="39"/>
                <w:rFonts w:ascii="宋体" w:hAnsi="宋体"/>
                <w:color w:val="000000"/>
                <w:kern w:val="0"/>
                <w:sz w:val="24"/>
              </w:rPr>
            </w:pPr>
            <w:r>
              <w:rPr>
                <w:rStyle w:val="39"/>
                <w:rFonts w:hint="eastAsia" w:ascii="宋体" w:hAnsi="宋体"/>
                <w:color w:val="000000"/>
                <w:kern w:val="0"/>
                <w:sz w:val="24"/>
              </w:rPr>
              <w:t>电子招投标</w:t>
            </w:r>
          </w:p>
        </w:tc>
        <w:tc>
          <w:tcPr>
            <w:tcW w:w="5667" w:type="dxa"/>
            <w:vAlign w:val="center"/>
          </w:tcPr>
          <w:p>
            <w:pPr>
              <w:pStyle w:val="12"/>
              <w:rPr>
                <w:rStyle w:val="39"/>
                <w:rFonts w:ascii="宋体" w:eastAsia="宋体"/>
                <w:color w:val="000000"/>
                <w:kern w:val="0"/>
                <w:sz w:val="24"/>
              </w:rPr>
            </w:pPr>
            <w:r>
              <w:rPr>
                <w:rStyle w:val="39"/>
                <w:rFonts w:hint="eastAsia" w:ascii="宋体" w:eastAsia="宋体"/>
                <w:color w:val="000000"/>
                <w:kern w:val="0"/>
                <w:sz w:val="24"/>
              </w:rPr>
              <w:t>电子投标文件要求（西藏自治区公共资源交易网（http://ggzy.xizang.gov.cn/））</w:t>
            </w:r>
          </w:p>
          <w:p>
            <w:pPr>
              <w:pStyle w:val="12"/>
              <w:rPr>
                <w:rStyle w:val="39"/>
                <w:rFonts w:ascii="宋体" w:eastAsia="宋体"/>
                <w:color w:val="000000"/>
                <w:kern w:val="0"/>
                <w:sz w:val="24"/>
              </w:rPr>
            </w:pPr>
            <w:r>
              <w:rPr>
                <w:rStyle w:val="39"/>
                <w:rFonts w:hint="eastAsia" w:ascii="宋体" w:eastAsia="宋体"/>
                <w:color w:val="000000"/>
                <w:kern w:val="0"/>
                <w:sz w:val="24"/>
              </w:rPr>
              <w:t>1.投标人须按照西藏自治区公共资源交易网要求制作投标文件并登录西藏自治区公共资源交易网（http://ggzy.xizang.gov.cn/）提交电子投标文件：</w:t>
            </w:r>
          </w:p>
          <w:p>
            <w:pPr>
              <w:pStyle w:val="12"/>
              <w:rPr>
                <w:rStyle w:val="39"/>
                <w:rFonts w:ascii="宋体" w:eastAsia="宋体"/>
                <w:color w:val="000000"/>
                <w:kern w:val="0"/>
                <w:sz w:val="24"/>
              </w:rPr>
            </w:pPr>
            <w:r>
              <w:rPr>
                <w:rStyle w:val="39"/>
                <w:rFonts w:hint="eastAsia" w:ascii="宋体" w:eastAsia="宋体"/>
                <w:color w:val="000000"/>
                <w:kern w:val="0"/>
                <w:sz w:val="24"/>
              </w:rPr>
              <w:t>2. 具 体 请 登 录 西藏自治区公共资源交易网（http://ggzy.xizang.gov.cn/），认真了解流程和要求并严格按照操作手册制作投标文件，在投标截止时间前上传至西藏自治区公共资源交易网（http://ggzy.xizang.gov.cn/）。</w:t>
            </w:r>
          </w:p>
          <w:p>
            <w:pPr>
              <w:autoSpaceDE w:val="0"/>
              <w:autoSpaceDN w:val="0"/>
              <w:adjustRightInd w:val="0"/>
              <w:snapToGrid w:val="0"/>
              <w:rPr>
                <w:rStyle w:val="39"/>
                <w:rFonts w:ascii="宋体" w:hAnsi="宋体" w:cs="黑体"/>
                <w:bCs/>
                <w:color w:val="000000"/>
                <w:spacing w:val="8"/>
                <w:sz w:val="24"/>
              </w:rPr>
            </w:pPr>
            <w:r>
              <w:rPr>
                <w:rStyle w:val="39"/>
                <w:rFonts w:hint="eastAsia" w:ascii="宋体" w:hAnsi="宋体"/>
                <w:color w:val="000000"/>
                <w:kern w:val="0"/>
                <w:sz w:val="24"/>
              </w:rPr>
              <w:t>3.投标单位开标时应由投标代表携带 CA 锁参加会议，在开标现场对投标文件进行解密，方能进入评标流程。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8" w:type="dxa"/>
            <w:vAlign w:val="center"/>
          </w:tcPr>
          <w:p>
            <w:pPr>
              <w:autoSpaceDE w:val="0"/>
              <w:autoSpaceDN w:val="0"/>
              <w:adjustRightInd w:val="0"/>
              <w:snapToGrid w:val="0"/>
              <w:jc w:val="center"/>
              <w:rPr>
                <w:rFonts w:ascii="宋体" w:cs="TimesNewRomanPSMT"/>
                <w:color w:val="000000"/>
                <w:kern w:val="0"/>
                <w:sz w:val="20"/>
                <w:szCs w:val="21"/>
                <w:highlight w:val="none"/>
              </w:rPr>
            </w:pPr>
            <w:r>
              <w:rPr>
                <w:rFonts w:hint="eastAsia" w:ascii="宋体" w:cs="TimesNewRomanPSMT"/>
                <w:color w:val="000000"/>
                <w:kern w:val="0"/>
                <w:sz w:val="20"/>
                <w:szCs w:val="21"/>
                <w:highlight w:val="none"/>
              </w:rPr>
              <w:t>10</w:t>
            </w:r>
          </w:p>
        </w:tc>
        <w:tc>
          <w:tcPr>
            <w:tcW w:w="2523" w:type="dxa"/>
            <w:gridSpan w:val="2"/>
            <w:vAlign w:val="center"/>
          </w:tcPr>
          <w:p>
            <w:pPr>
              <w:autoSpaceDE w:val="0"/>
              <w:autoSpaceDN w:val="0"/>
              <w:adjustRightInd w:val="0"/>
              <w:snapToGrid w:val="0"/>
              <w:rPr>
                <w:rStyle w:val="39"/>
                <w:rFonts w:ascii="宋体" w:hAnsi="宋体"/>
                <w:color w:val="000000"/>
                <w:kern w:val="0"/>
                <w:sz w:val="24"/>
                <w:highlight w:val="none"/>
              </w:rPr>
            </w:pPr>
            <w:r>
              <w:rPr>
                <w:rStyle w:val="39"/>
                <w:rFonts w:hint="eastAsia" w:ascii="宋体" w:hAnsi="宋体"/>
                <w:color w:val="000000"/>
                <w:kern w:val="0"/>
                <w:sz w:val="24"/>
                <w:highlight w:val="none"/>
              </w:rPr>
              <w:t>付款方式</w:t>
            </w:r>
          </w:p>
        </w:tc>
        <w:tc>
          <w:tcPr>
            <w:tcW w:w="5667" w:type="dxa"/>
            <w:vAlign w:val="center"/>
          </w:tcPr>
          <w:p>
            <w:pPr>
              <w:autoSpaceDE w:val="0"/>
              <w:autoSpaceDN w:val="0"/>
              <w:adjustRightInd w:val="0"/>
              <w:snapToGrid w:val="0"/>
              <w:rPr>
                <w:rStyle w:val="39"/>
                <w:rFonts w:ascii="宋体" w:hAnsi="宋体"/>
                <w:color w:val="000000"/>
                <w:kern w:val="0"/>
                <w:sz w:val="24"/>
                <w:highlight w:val="none"/>
              </w:rPr>
            </w:pPr>
            <w:r>
              <w:rPr>
                <w:rStyle w:val="39"/>
                <w:rFonts w:hint="eastAsia" w:ascii="宋体" w:hAnsi="宋体"/>
                <w:color w:val="000000"/>
                <w:kern w:val="0"/>
                <w:sz w:val="24"/>
                <w:highlight w:val="none"/>
              </w:rPr>
              <w:t>按项目进度付款</w:t>
            </w:r>
          </w:p>
        </w:tc>
      </w:tr>
    </w:tbl>
    <w:p>
      <w:pPr>
        <w:snapToGrid w:val="0"/>
        <w:spacing w:after="156"/>
        <w:jc w:val="center"/>
        <w:rPr>
          <w:rStyle w:val="39"/>
          <w:rFonts w:ascii="宋体" w:hAnsi="宋体"/>
          <w:kern w:val="0"/>
          <w:sz w:val="28"/>
          <w:szCs w:val="28"/>
        </w:rPr>
      </w:pPr>
    </w:p>
    <w:p>
      <w:pPr>
        <w:autoSpaceDE w:val="0"/>
        <w:autoSpaceDN w:val="0"/>
        <w:adjustRightInd w:val="0"/>
        <w:snapToGrid w:val="0"/>
        <w:spacing w:after="156" w:afterLines="50"/>
        <w:jc w:val="center"/>
        <w:rPr>
          <w:rFonts w:ascii="宋体" w:hAnsi="宋体" w:cs="黑体"/>
          <w:color w:val="000000"/>
          <w:kern w:val="0"/>
          <w:sz w:val="28"/>
          <w:szCs w:val="28"/>
        </w:rPr>
      </w:pPr>
      <w:bookmarkStart w:id="28" w:name="_Toc9463"/>
      <w:bookmarkStart w:id="29" w:name="_Toc26328"/>
    </w:p>
    <w:p>
      <w:pPr>
        <w:autoSpaceDE w:val="0"/>
        <w:autoSpaceDN w:val="0"/>
        <w:adjustRightInd w:val="0"/>
        <w:snapToGrid w:val="0"/>
        <w:spacing w:after="156" w:afterLines="50"/>
        <w:jc w:val="center"/>
        <w:outlineLvl w:val="1"/>
        <w:rPr>
          <w:rFonts w:ascii="宋体" w:hAnsi="宋体" w:cs="黑体"/>
          <w:color w:val="000000"/>
          <w:kern w:val="0"/>
          <w:sz w:val="28"/>
          <w:szCs w:val="28"/>
        </w:rPr>
      </w:pPr>
      <w:r>
        <w:rPr>
          <w:rFonts w:hint="eastAsia" w:ascii="宋体" w:hAnsi="宋体" w:cs="黑体"/>
          <w:color w:val="000000"/>
          <w:kern w:val="0"/>
          <w:sz w:val="28"/>
          <w:szCs w:val="28"/>
        </w:rPr>
        <w:t>（二）投标人须知</w:t>
      </w:r>
      <w:bookmarkEnd w:id="28"/>
      <w:bookmarkEnd w:id="29"/>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30" w:name="_Toc23205"/>
      <w:bookmarkStart w:id="31" w:name="_Toc195921793"/>
      <w:bookmarkStart w:id="32" w:name="_Toc9858"/>
      <w:r>
        <w:rPr>
          <w:rFonts w:hint="eastAsia" w:ascii="黑体" w:hAnsi="宋体" w:eastAsia="黑体" w:cs="黑体"/>
          <w:color w:val="000000"/>
          <w:kern w:val="0"/>
          <w:sz w:val="24"/>
        </w:rPr>
        <w:t>总则</w:t>
      </w:r>
      <w:bookmarkEnd w:id="30"/>
      <w:bookmarkEnd w:id="31"/>
      <w:bookmarkEnd w:id="32"/>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33" w:name="_Toc195921794"/>
      <w:r>
        <w:rPr>
          <w:rFonts w:hint="eastAsia" w:ascii="宋体" w:hAnsi="宋体" w:cs="黑体"/>
          <w:color w:val="000000"/>
          <w:kern w:val="0"/>
          <w:sz w:val="24"/>
        </w:rPr>
        <w:t>项目概况</w:t>
      </w:r>
      <w:bookmarkEnd w:id="33"/>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根据《中华人民共和国政府采购法》和《中华人民共和国政府采购法实施条例》等有关法律、法规和规章的规定，对本招标项目进行招标。</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采购人：</w:t>
      </w:r>
      <w:r>
        <w:rPr>
          <w:rFonts w:hint="eastAsia"/>
          <w:color w:val="000000"/>
          <w:sz w:val="24"/>
        </w:rPr>
        <w:t>指依法进行政府采购的国家机关、事业单位、团体组织。本项目采购人见投标邀请</w:t>
      </w:r>
      <w:r>
        <w:rPr>
          <w:rFonts w:hint="eastAsia" w:ascii="宋体" w:hAnsi="宋体" w:cs="黑体"/>
          <w:color w:val="000000"/>
          <w:kern w:val="0"/>
          <w:sz w:val="24"/>
        </w:rPr>
        <w:t>。</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采购代理机构：</w:t>
      </w:r>
      <w:r>
        <w:rPr>
          <w:rFonts w:hint="eastAsia"/>
          <w:color w:val="000000"/>
          <w:sz w:val="24"/>
        </w:rPr>
        <w:t>指采购人委托的采购代理机构。本项目采购代理机构见投标邀请</w:t>
      </w:r>
      <w:r>
        <w:rPr>
          <w:rFonts w:hint="eastAsia" w:ascii="宋体" w:hAnsi="宋体" w:cs="黑体"/>
          <w:color w:val="000000"/>
          <w:kern w:val="0"/>
          <w:sz w:val="24"/>
        </w:rPr>
        <w:t>。</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采购货物名称</w:t>
      </w:r>
    </w:p>
    <w:p>
      <w:pPr>
        <w:autoSpaceDE w:val="0"/>
        <w:autoSpaceDN w:val="0"/>
        <w:adjustRightInd w:val="0"/>
        <w:snapToGrid w:val="0"/>
        <w:spacing w:after="156" w:afterLines="50"/>
        <w:ind w:left="1079"/>
        <w:rPr>
          <w:rFonts w:ascii="宋体" w:hAnsi="宋体"/>
          <w:color w:val="000000"/>
          <w:sz w:val="24"/>
        </w:rPr>
      </w:pPr>
      <w:r>
        <w:rPr>
          <w:rFonts w:hint="eastAsia" w:ascii="宋体" w:hAnsi="宋体"/>
          <w:color w:val="000000"/>
          <w:sz w:val="24"/>
        </w:rPr>
        <w:t>见投标邀请。</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34" w:name="_Toc195921795"/>
      <w:r>
        <w:rPr>
          <w:rFonts w:hint="eastAsia" w:ascii="宋体" w:hAnsi="宋体" w:cs="黑体"/>
          <w:color w:val="000000"/>
          <w:kern w:val="0"/>
          <w:sz w:val="24"/>
        </w:rPr>
        <w:t>采购预算</w:t>
      </w:r>
      <w:bookmarkEnd w:id="34"/>
    </w:p>
    <w:p>
      <w:pPr>
        <w:autoSpaceDE w:val="0"/>
        <w:autoSpaceDN w:val="0"/>
        <w:adjustRightInd w:val="0"/>
        <w:snapToGrid w:val="0"/>
        <w:spacing w:after="156" w:afterLines="50"/>
        <w:ind w:left="1079"/>
        <w:rPr>
          <w:rFonts w:ascii="宋体" w:hAnsi="宋体"/>
          <w:color w:val="000000"/>
          <w:sz w:val="24"/>
        </w:rPr>
      </w:pPr>
      <w:r>
        <w:rPr>
          <w:rFonts w:hint="eastAsia" w:ascii="宋体" w:hAnsi="宋体"/>
          <w:color w:val="000000"/>
          <w:sz w:val="24"/>
        </w:rPr>
        <w:t>见投标邀请。</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35" w:name="_Toc195921796"/>
      <w:r>
        <w:rPr>
          <w:rFonts w:hint="eastAsia" w:ascii="宋体" w:hAnsi="宋体" w:cs="黑体"/>
          <w:color w:val="000000"/>
          <w:kern w:val="0"/>
          <w:sz w:val="24"/>
        </w:rPr>
        <w:t>最高限价（如有）</w:t>
      </w:r>
    </w:p>
    <w:p>
      <w:pPr>
        <w:autoSpaceDE w:val="0"/>
        <w:autoSpaceDN w:val="0"/>
        <w:adjustRightInd w:val="0"/>
        <w:snapToGrid w:val="0"/>
        <w:spacing w:after="156" w:afterLines="50"/>
        <w:ind w:left="1079"/>
        <w:rPr>
          <w:rFonts w:ascii="宋体" w:hAnsi="宋体"/>
          <w:color w:val="000000"/>
          <w:sz w:val="24"/>
        </w:rPr>
      </w:pPr>
      <w:r>
        <w:rPr>
          <w:rFonts w:hint="eastAsia" w:ascii="宋体" w:hAnsi="宋体"/>
          <w:color w:val="000000"/>
          <w:sz w:val="24"/>
        </w:rPr>
        <w:t>见投标邀请。</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招标范围、服务期和质量要求</w:t>
      </w:r>
      <w:bookmarkEnd w:id="35"/>
    </w:p>
    <w:p>
      <w:pPr>
        <w:autoSpaceDE w:val="0"/>
        <w:autoSpaceDN w:val="0"/>
        <w:adjustRightInd w:val="0"/>
        <w:snapToGrid w:val="0"/>
        <w:spacing w:after="156" w:afterLines="50"/>
        <w:ind w:left="1079"/>
        <w:rPr>
          <w:rFonts w:ascii="宋体" w:hAnsi="宋体"/>
          <w:color w:val="000000"/>
          <w:sz w:val="24"/>
        </w:rPr>
      </w:pPr>
      <w:r>
        <w:rPr>
          <w:rFonts w:hint="eastAsia" w:ascii="宋体" w:hAnsi="宋体"/>
          <w:color w:val="000000"/>
          <w:sz w:val="24"/>
        </w:rPr>
        <w:t>见采购需求。</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申请人/投标人：</w:t>
      </w:r>
      <w:r>
        <w:rPr>
          <w:rFonts w:hint="eastAsia" w:ascii="宋体" w:hAnsi="宋体"/>
          <w:color w:val="000000"/>
          <w:sz w:val="24"/>
        </w:rPr>
        <w:t>指响应招标、参加投标竞争的法人、其他组织或者自然人</w:t>
      </w:r>
      <w:r>
        <w:rPr>
          <w:rFonts w:hint="eastAsia" w:ascii="宋体" w:hAnsi="宋体" w:cs="黑体"/>
          <w:color w:val="000000"/>
          <w:kern w:val="0"/>
          <w:sz w:val="24"/>
        </w:rPr>
        <w:t>。</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bookmarkStart w:id="36" w:name="_Ref426956497"/>
      <w:r>
        <w:rPr>
          <w:rFonts w:hint="eastAsia" w:ascii="宋体" w:hAnsi="宋体" w:cs="黑体"/>
          <w:color w:val="000000"/>
          <w:kern w:val="0"/>
          <w:sz w:val="24"/>
        </w:rPr>
        <w:t>合格的申请人/投标人应具备以下条件：</w:t>
      </w:r>
      <w:bookmarkEnd w:id="36"/>
    </w:p>
    <w:p>
      <w:pPr>
        <w:autoSpaceDE w:val="0"/>
        <w:autoSpaceDN w:val="0"/>
        <w:adjustRightInd w:val="0"/>
        <w:snapToGrid w:val="0"/>
        <w:spacing w:after="156" w:afterLines="50"/>
        <w:ind w:left="1079"/>
        <w:rPr>
          <w:rFonts w:ascii="宋体" w:hAnsi="宋体"/>
          <w:color w:val="000000"/>
          <w:sz w:val="24"/>
        </w:rPr>
      </w:pPr>
      <w:r>
        <w:rPr>
          <w:rFonts w:hint="eastAsia" w:ascii="宋体" w:hAnsi="宋体"/>
          <w:color w:val="000000"/>
          <w:sz w:val="24"/>
        </w:rPr>
        <w:t>见投标邀请。</w:t>
      </w:r>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s="黑体"/>
          <w:color w:val="000000"/>
          <w:kern w:val="0"/>
          <w:sz w:val="24"/>
        </w:rPr>
        <w:t xml:space="preserve">         1.5.2    是否专门面向中小企业或小型、微型企业采购：见投标人须知前附表</w:t>
      </w:r>
    </w:p>
    <w:p>
      <w:p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1.5.3    投标人应当遵循公平竞争的原则，不得恶意串通，不得妨碍其他投标人的竞争行</w:t>
      </w:r>
    </w:p>
    <w:p>
      <w:pPr>
        <w:autoSpaceDE w:val="0"/>
        <w:autoSpaceDN w:val="0"/>
        <w:adjustRightInd w:val="0"/>
        <w:snapToGrid w:val="0"/>
        <w:spacing w:after="156" w:afterLines="50"/>
        <w:ind w:firstLine="1200" w:firstLineChars="500"/>
        <w:rPr>
          <w:rFonts w:ascii="宋体" w:hAnsi="宋体" w:cs="黑体"/>
          <w:color w:val="000000"/>
          <w:kern w:val="0"/>
          <w:sz w:val="24"/>
        </w:rPr>
      </w:pPr>
      <w:r>
        <w:rPr>
          <w:rFonts w:hint="eastAsia" w:ascii="宋体" w:hAnsi="宋体" w:cs="黑体"/>
          <w:color w:val="000000"/>
          <w:kern w:val="0"/>
          <w:sz w:val="24"/>
        </w:rPr>
        <w:t>为，不得损害采购人或者其他投标人的合法权益。</w:t>
      </w:r>
    </w:p>
    <w:p>
      <w:pPr>
        <w:tabs>
          <w:tab w:val="left" w:pos="1260"/>
        </w:tabs>
        <w:autoSpaceDE w:val="0"/>
        <w:autoSpaceDN w:val="0"/>
        <w:adjustRightInd w:val="0"/>
        <w:snapToGrid w:val="0"/>
        <w:spacing w:after="156" w:afterLines="50"/>
        <w:ind w:left="1200" w:hanging="1200" w:hangingChars="500"/>
        <w:rPr>
          <w:rFonts w:ascii="宋体" w:hAnsi="宋体" w:cs="黑体"/>
          <w:color w:val="000000"/>
          <w:kern w:val="0"/>
          <w:sz w:val="24"/>
        </w:rPr>
      </w:pPr>
      <w:r>
        <w:rPr>
          <w:rFonts w:hint="eastAsia" w:ascii="宋体" w:hAnsi="宋体" w:cs="黑体"/>
          <w:color w:val="000000"/>
          <w:kern w:val="0"/>
          <w:sz w:val="24"/>
        </w:rPr>
        <w:t>1.5.4    投标人不得以向采购人、评标委员会成员行贿或者采取其他不正当手段谋取中标。</w:t>
      </w:r>
    </w:p>
    <w:p>
      <w:p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1.5.5    本项目将执行在政府采购活动中查询及使用信用记录的规定，具体要求为：</w:t>
      </w:r>
    </w:p>
    <w:p>
      <w:pPr>
        <w:numPr>
          <w:ilvl w:val="0"/>
          <w:numId w:val="5"/>
        </w:numPr>
        <w:tabs>
          <w:tab w:val="left" w:pos="1701"/>
        </w:tabs>
        <w:autoSpaceDE w:val="0"/>
        <w:autoSpaceDN w:val="0"/>
        <w:adjustRightInd w:val="0"/>
        <w:snapToGrid w:val="0"/>
        <w:spacing w:after="156" w:afterLines="50"/>
        <w:ind w:left="1701" w:hanging="622"/>
        <w:rPr>
          <w:rFonts w:ascii="宋体" w:hAnsi="宋体"/>
          <w:color w:val="000000"/>
          <w:sz w:val="24"/>
        </w:rPr>
      </w:pPr>
      <w:r>
        <w:rPr>
          <w:rFonts w:hint="eastAsia" w:ascii="宋体" w:hAnsi="宋体"/>
          <w:color w:val="000000"/>
          <w:sz w:val="24"/>
        </w:rPr>
        <w:t>信用信息查询的截止时点：投标截止时间。</w:t>
      </w:r>
    </w:p>
    <w:p>
      <w:pPr>
        <w:numPr>
          <w:ilvl w:val="0"/>
          <w:numId w:val="5"/>
        </w:numPr>
        <w:tabs>
          <w:tab w:val="left" w:pos="1701"/>
        </w:tabs>
        <w:autoSpaceDE w:val="0"/>
        <w:autoSpaceDN w:val="0"/>
        <w:adjustRightInd w:val="0"/>
        <w:snapToGrid w:val="0"/>
        <w:spacing w:after="156" w:afterLines="50"/>
        <w:ind w:left="1701" w:hanging="622"/>
        <w:rPr>
          <w:rFonts w:ascii="宋体" w:hAnsi="宋体"/>
          <w:color w:val="000000"/>
          <w:sz w:val="24"/>
        </w:rPr>
      </w:pPr>
      <w:r>
        <w:rPr>
          <w:rFonts w:hint="eastAsia" w:ascii="宋体" w:hAnsi="宋体"/>
          <w:color w:val="000000"/>
          <w:sz w:val="24"/>
        </w:rPr>
        <w:t>查询渠道：详见投标邀请</w:t>
      </w:r>
      <w:r>
        <w:rPr>
          <w:rFonts w:ascii="宋体" w:hAnsi="宋体"/>
          <w:color w:val="000000"/>
          <w:sz w:val="24"/>
        </w:rPr>
        <w:t xml:space="preserve">； </w:t>
      </w:r>
    </w:p>
    <w:p>
      <w:pPr>
        <w:numPr>
          <w:ilvl w:val="0"/>
          <w:numId w:val="5"/>
        </w:numPr>
        <w:tabs>
          <w:tab w:val="left" w:pos="1701"/>
        </w:tabs>
        <w:autoSpaceDE w:val="0"/>
        <w:autoSpaceDN w:val="0"/>
        <w:adjustRightInd w:val="0"/>
        <w:snapToGrid w:val="0"/>
        <w:spacing w:after="156" w:afterLines="50"/>
        <w:ind w:left="1701" w:hanging="622"/>
        <w:rPr>
          <w:rFonts w:ascii="宋体" w:hAnsi="宋体"/>
          <w:color w:val="000000"/>
          <w:sz w:val="24"/>
        </w:rPr>
      </w:pPr>
      <w:r>
        <w:rPr>
          <w:rFonts w:hint="eastAsia" w:ascii="宋体" w:hAnsi="宋体"/>
          <w:color w:val="000000"/>
          <w:sz w:val="24"/>
        </w:rPr>
        <w:t>信用信息查询记录和证据留存具体方式：将经查询存在不良信用记录的潜在投标人的查询结果网页截图作为查询记录和证据，与其他采购文件一并保存；</w:t>
      </w:r>
    </w:p>
    <w:p>
      <w:pPr>
        <w:numPr>
          <w:ilvl w:val="0"/>
          <w:numId w:val="5"/>
        </w:numPr>
        <w:tabs>
          <w:tab w:val="left" w:pos="1701"/>
        </w:tabs>
        <w:autoSpaceDE w:val="0"/>
        <w:autoSpaceDN w:val="0"/>
        <w:adjustRightInd w:val="0"/>
        <w:snapToGrid w:val="0"/>
        <w:spacing w:after="156" w:afterLines="50"/>
        <w:ind w:left="1701" w:hanging="622"/>
        <w:rPr>
          <w:rFonts w:ascii="宋体" w:hAnsi="宋体"/>
          <w:color w:val="000000"/>
          <w:sz w:val="24"/>
        </w:rPr>
      </w:pPr>
      <w:r>
        <w:rPr>
          <w:rFonts w:hint="eastAsia" w:ascii="宋体" w:hAnsi="宋体"/>
          <w:color w:val="000000"/>
          <w:sz w:val="24"/>
        </w:rPr>
        <w:t>信用信息的使用规则：</w:t>
      </w:r>
      <w:r>
        <w:rPr>
          <w:rFonts w:ascii="宋体" w:hAnsi="宋体"/>
          <w:color w:val="000000"/>
          <w:sz w:val="24"/>
        </w:rPr>
        <w:t>本政府采购项目的投标人在</w:t>
      </w:r>
      <w:r>
        <w:rPr>
          <w:rFonts w:hint="eastAsia" w:ascii="宋体" w:hAnsi="宋体"/>
          <w:color w:val="000000"/>
          <w:sz w:val="24"/>
        </w:rPr>
        <w:t>信用信息查询</w:t>
      </w:r>
      <w:r>
        <w:rPr>
          <w:rFonts w:ascii="宋体" w:hAnsi="宋体"/>
          <w:color w:val="000000"/>
          <w:sz w:val="24"/>
        </w:rPr>
        <w:t>截止时点（含）之前存在</w:t>
      </w:r>
      <w:r>
        <w:rPr>
          <w:rFonts w:hint="eastAsia" w:ascii="宋体" w:hAnsi="宋体"/>
          <w:color w:val="000000"/>
          <w:sz w:val="24"/>
        </w:rPr>
        <w:t>第一章投标邀请第六条第2款所述</w:t>
      </w:r>
      <w:r>
        <w:rPr>
          <w:rFonts w:ascii="宋体" w:hAnsi="宋体"/>
          <w:color w:val="000000"/>
          <w:sz w:val="24"/>
        </w:rPr>
        <w:t>不良信用记录的，投标无效。</w:t>
      </w:r>
    </w:p>
    <w:p>
      <w:p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1.5.6   投标邀请规定接受联合体投标的，除应符合本章第</w:t>
      </w:r>
      <w:r>
        <w:rPr>
          <w:rFonts w:ascii="宋体" w:hAnsi="宋体" w:cs="黑体"/>
          <w:color w:val="000000"/>
          <w:kern w:val="0"/>
          <w:sz w:val="24"/>
        </w:rPr>
        <w:fldChar w:fldCharType="begin"/>
      </w:r>
      <w:r>
        <w:rPr>
          <w:rFonts w:hint="eastAsia" w:ascii="宋体" w:hAnsi="宋体" w:cs="黑体"/>
          <w:color w:val="000000"/>
          <w:kern w:val="0"/>
          <w:sz w:val="24"/>
        </w:rPr>
        <w:instrText xml:space="preserve">REF _Ref426956497 \r \h</w:instrText>
      </w:r>
      <w:r>
        <w:rPr>
          <w:rFonts w:ascii="宋体" w:hAnsi="宋体" w:cs="黑体"/>
          <w:color w:val="000000"/>
          <w:kern w:val="0"/>
          <w:sz w:val="24"/>
        </w:rPr>
        <w:fldChar w:fldCharType="separate"/>
      </w:r>
      <w:r>
        <w:rPr>
          <w:rFonts w:ascii="宋体" w:hAnsi="宋体" w:cs="黑体"/>
          <w:color w:val="000000"/>
          <w:kern w:val="0"/>
          <w:sz w:val="24"/>
        </w:rPr>
        <w:t>1.5.1</w:t>
      </w:r>
      <w:r>
        <w:rPr>
          <w:rFonts w:ascii="宋体" w:hAnsi="宋体" w:cs="黑体"/>
          <w:color w:val="000000"/>
          <w:kern w:val="0"/>
          <w:sz w:val="24"/>
        </w:rPr>
        <w:fldChar w:fldCharType="end"/>
      </w:r>
      <w:r>
        <w:rPr>
          <w:rFonts w:hint="eastAsia" w:ascii="宋体" w:hAnsi="宋体" w:cs="黑体"/>
          <w:color w:val="000000"/>
          <w:kern w:val="0"/>
          <w:sz w:val="24"/>
        </w:rPr>
        <w:t>项和第1.5.5项的要求外，</w:t>
      </w:r>
    </w:p>
    <w:p>
      <w:pPr>
        <w:tabs>
          <w:tab w:val="left" w:pos="1260"/>
        </w:tabs>
        <w:autoSpaceDE w:val="0"/>
        <w:autoSpaceDN w:val="0"/>
        <w:adjustRightInd w:val="0"/>
        <w:snapToGrid w:val="0"/>
        <w:spacing w:after="156" w:afterLines="50"/>
        <w:ind w:firstLine="960" w:firstLineChars="400"/>
        <w:rPr>
          <w:rFonts w:ascii="宋体" w:hAnsi="宋体" w:cs="黑体"/>
          <w:color w:val="000000"/>
          <w:kern w:val="0"/>
          <w:sz w:val="24"/>
        </w:rPr>
      </w:pPr>
      <w:r>
        <w:rPr>
          <w:rFonts w:hint="eastAsia" w:ascii="宋体" w:hAnsi="宋体" w:cs="黑体"/>
          <w:color w:val="000000"/>
          <w:kern w:val="0"/>
          <w:sz w:val="24"/>
        </w:rPr>
        <w:t>还应遵守以下规定：</w:t>
      </w:r>
    </w:p>
    <w:p>
      <w:pPr>
        <w:numPr>
          <w:ilvl w:val="0"/>
          <w:numId w:val="6"/>
        </w:numPr>
        <w:tabs>
          <w:tab w:val="left" w:pos="1701"/>
        </w:tabs>
        <w:autoSpaceDE w:val="0"/>
        <w:autoSpaceDN w:val="0"/>
        <w:adjustRightInd w:val="0"/>
        <w:snapToGrid w:val="0"/>
        <w:spacing w:after="156" w:afterLines="50"/>
        <w:ind w:left="1701" w:hanging="622"/>
        <w:rPr>
          <w:rFonts w:ascii="宋体" w:hAnsi="宋体"/>
          <w:color w:val="000000"/>
          <w:sz w:val="24"/>
        </w:rPr>
      </w:pPr>
      <w:r>
        <w:rPr>
          <w:rFonts w:hint="eastAsia" w:ascii="宋体" w:hAnsi="宋体"/>
          <w:color w:val="000000"/>
          <w:sz w:val="24"/>
        </w:rPr>
        <w:t>联合体各方应按招标文件提供的格式签订联合体协议书，明确联合体牵头人和各方工作内容和义务；</w:t>
      </w:r>
    </w:p>
    <w:p>
      <w:pPr>
        <w:numPr>
          <w:ilvl w:val="0"/>
          <w:numId w:val="6"/>
        </w:numPr>
        <w:tabs>
          <w:tab w:val="left" w:pos="1701"/>
        </w:tabs>
        <w:autoSpaceDE w:val="0"/>
        <w:autoSpaceDN w:val="0"/>
        <w:adjustRightInd w:val="0"/>
        <w:snapToGrid w:val="0"/>
        <w:spacing w:after="156" w:afterLines="50"/>
        <w:ind w:left="1701" w:hanging="622"/>
        <w:rPr>
          <w:rFonts w:ascii="宋体" w:hAnsi="宋体"/>
          <w:color w:val="000000"/>
          <w:sz w:val="24"/>
        </w:rPr>
      </w:pPr>
      <w:r>
        <w:rPr>
          <w:rFonts w:ascii="宋体" w:hAnsi="宋体"/>
          <w:color w:val="000000"/>
          <w:sz w:val="24"/>
        </w:rPr>
        <w:t>联合体中有同类资质的投标人按照联合体分工承担相同工作的，应当按照资质等级较低的投标人确定联合体的资质等级。</w:t>
      </w:r>
    </w:p>
    <w:p>
      <w:pPr>
        <w:numPr>
          <w:ilvl w:val="0"/>
          <w:numId w:val="6"/>
        </w:numPr>
        <w:tabs>
          <w:tab w:val="left" w:pos="1701"/>
        </w:tabs>
        <w:autoSpaceDE w:val="0"/>
        <w:autoSpaceDN w:val="0"/>
        <w:adjustRightInd w:val="0"/>
        <w:snapToGrid w:val="0"/>
        <w:spacing w:after="156" w:afterLines="50"/>
        <w:ind w:left="1701" w:hanging="622"/>
        <w:rPr>
          <w:rFonts w:ascii="宋体" w:hAnsi="宋体"/>
          <w:color w:val="000000"/>
          <w:sz w:val="24"/>
        </w:rPr>
      </w:pPr>
      <w:r>
        <w:rPr>
          <w:rFonts w:ascii="宋体" w:hAnsi="宋体"/>
          <w:color w:val="000000"/>
          <w:sz w:val="24"/>
        </w:rPr>
        <w:t>联合体各方不得再单独参加或者与其他投标人另外组成联合体参加同一合同项下的</w:t>
      </w:r>
      <w:r>
        <w:rPr>
          <w:rFonts w:hint="eastAsia" w:ascii="宋体" w:hAnsi="宋体"/>
          <w:color w:val="000000"/>
          <w:sz w:val="24"/>
        </w:rPr>
        <w:t>投标。</w:t>
      </w:r>
    </w:p>
    <w:p>
      <w:pPr>
        <w:numPr>
          <w:ilvl w:val="0"/>
          <w:numId w:val="6"/>
        </w:numPr>
        <w:tabs>
          <w:tab w:val="left" w:pos="1701"/>
        </w:tabs>
        <w:autoSpaceDE w:val="0"/>
        <w:autoSpaceDN w:val="0"/>
        <w:adjustRightInd w:val="0"/>
        <w:snapToGrid w:val="0"/>
        <w:spacing w:after="156" w:afterLines="50"/>
        <w:ind w:left="1701" w:hanging="622"/>
        <w:rPr>
          <w:rFonts w:ascii="宋体" w:hAnsi="宋体"/>
          <w:color w:val="000000"/>
          <w:sz w:val="24"/>
        </w:rPr>
      </w:pPr>
      <w:r>
        <w:rPr>
          <w:rFonts w:hint="eastAsia" w:ascii="宋体" w:hAnsi="宋体"/>
          <w:color w:val="000000"/>
          <w:sz w:val="24"/>
        </w:rPr>
        <w:t>联合体各方应当共同与采购人签订采购合同，就采购合同约定的事项对采购人承担连带责任。</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分包</w:t>
      </w:r>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政府采购合同分包履行的，中标、成交投标人就采购项目和分包项目向采购人负责，分包人就分包项目承担责任。</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37" w:name="_Toc195921799"/>
      <w:r>
        <w:rPr>
          <w:rFonts w:hint="eastAsia" w:ascii="宋体" w:hAnsi="宋体" w:cs="黑体"/>
          <w:color w:val="000000"/>
          <w:kern w:val="0"/>
          <w:sz w:val="24"/>
        </w:rPr>
        <w:t>合格的货物</w:t>
      </w:r>
    </w:p>
    <w:p>
      <w:pPr>
        <w:numPr>
          <w:ilvl w:val="2"/>
          <w:numId w:val="4"/>
        </w:numPr>
        <w:snapToGrid w:val="0"/>
        <w:spacing w:after="156" w:afterLines="50"/>
        <w:rPr>
          <w:rFonts w:ascii="宋体" w:hAnsi="宋体"/>
          <w:color w:val="000000"/>
          <w:sz w:val="24"/>
        </w:rPr>
      </w:pPr>
      <w:r>
        <w:rPr>
          <w:rFonts w:hint="eastAsia" w:ascii="宋体" w:hAnsi="宋体"/>
          <w:color w:val="000000"/>
          <w:sz w:val="24"/>
        </w:rPr>
        <w:t>合同中提供的所有货物，均应来自上述</w:t>
      </w:r>
      <w:r>
        <w:rPr>
          <w:rFonts w:ascii="宋体" w:hAnsi="宋体"/>
          <w:color w:val="000000"/>
          <w:sz w:val="24"/>
        </w:rPr>
        <w:fldChar w:fldCharType="begin"/>
      </w:r>
      <w:r>
        <w:rPr>
          <w:rFonts w:hint="eastAsia" w:ascii="宋体" w:hAnsi="宋体"/>
          <w:color w:val="000000"/>
          <w:sz w:val="24"/>
        </w:rPr>
        <w:instrText xml:space="preserve">REF _Ref426956497 \r \h</w:instrText>
      </w:r>
      <w:r>
        <w:rPr>
          <w:rFonts w:ascii="宋体" w:hAnsi="宋体"/>
          <w:color w:val="000000"/>
          <w:sz w:val="24"/>
        </w:rPr>
        <w:fldChar w:fldCharType="separate"/>
      </w:r>
      <w:r>
        <w:rPr>
          <w:rFonts w:ascii="宋体" w:hAnsi="宋体"/>
          <w:color w:val="000000"/>
          <w:sz w:val="24"/>
        </w:rPr>
        <w:t>1.5.1</w:t>
      </w:r>
      <w:r>
        <w:rPr>
          <w:rFonts w:ascii="宋体" w:hAnsi="宋体"/>
          <w:color w:val="000000"/>
          <w:sz w:val="24"/>
        </w:rPr>
        <w:fldChar w:fldCharType="end"/>
      </w:r>
      <w:r>
        <w:rPr>
          <w:rFonts w:hint="eastAsia" w:ascii="宋体" w:hAnsi="宋体"/>
          <w:color w:val="000000"/>
          <w:sz w:val="24"/>
        </w:rPr>
        <w:t>项所规定的合格投标人。</w:t>
      </w:r>
    </w:p>
    <w:p>
      <w:pPr>
        <w:snapToGrid w:val="0"/>
        <w:spacing w:after="156" w:afterLines="50"/>
        <w:ind w:left="1134" w:leftChars="540"/>
        <w:rPr>
          <w:rFonts w:ascii="宋体" w:hAnsi="宋体" w:cs="宋体"/>
          <w:i/>
          <w:color w:val="000000"/>
          <w:sz w:val="24"/>
        </w:rPr>
      </w:pPr>
      <w:bookmarkStart w:id="38" w:name="_Ref495391292"/>
      <w:r>
        <w:rPr>
          <w:rFonts w:hint="eastAsia" w:ascii="宋体" w:hAnsi="宋体" w:cs="黑体"/>
          <w:color w:val="000000"/>
          <w:kern w:val="0"/>
          <w:sz w:val="24"/>
        </w:rPr>
        <w:t>货物系指投标人按招标文件规定，向采购人提供的符合招标文件要求的投标货物和以及招标文件要求的运输、保险、安装督导或安装、调试、技术培训、售后服务以及其他类似的义务。</w:t>
      </w:r>
      <w:bookmarkEnd w:id="38"/>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费用承担</w:t>
      </w:r>
      <w:bookmarkEnd w:id="37"/>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投标人准备和参加投标活动发生的费用自理。</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39" w:name="_Toc195921800"/>
      <w:r>
        <w:rPr>
          <w:rFonts w:hint="eastAsia" w:ascii="宋体" w:hAnsi="宋体" w:cs="黑体"/>
          <w:color w:val="000000"/>
          <w:kern w:val="0"/>
          <w:sz w:val="24"/>
        </w:rPr>
        <w:t>保密</w:t>
      </w:r>
      <w:bookmarkEnd w:id="39"/>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参与招标投标活动的各方应对招标文件和投标文件中的商业和技术等秘密保密，违者应对由此造成的后果承担法律责任。</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40" w:name="_Toc195921801"/>
      <w:r>
        <w:rPr>
          <w:rFonts w:hint="eastAsia" w:ascii="宋体" w:hAnsi="宋体" w:cs="黑体"/>
          <w:color w:val="000000"/>
          <w:kern w:val="0"/>
          <w:sz w:val="24"/>
        </w:rPr>
        <w:t>语言文字</w:t>
      </w:r>
      <w:bookmarkEnd w:id="40"/>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除专用术语外，与招标投标有关的语言均使用中文。必要时专用术语应附有中文注释。</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41" w:name="_Toc195921802"/>
      <w:r>
        <w:rPr>
          <w:rFonts w:hint="eastAsia" w:ascii="宋体" w:hAnsi="宋体" w:cs="黑体"/>
          <w:color w:val="000000"/>
          <w:kern w:val="0"/>
          <w:sz w:val="24"/>
        </w:rPr>
        <w:t>计量单位</w:t>
      </w:r>
      <w:bookmarkEnd w:id="41"/>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所有计量均采用中华人民共和国法定计量单位。</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42" w:name="_Toc195921807"/>
      <w:bookmarkStart w:id="43" w:name="_Toc29841"/>
      <w:bookmarkStart w:id="44" w:name="_Toc6136"/>
      <w:r>
        <w:rPr>
          <w:rFonts w:hint="eastAsia" w:ascii="黑体" w:hAnsi="宋体" w:eastAsia="黑体" w:cs="黑体"/>
          <w:color w:val="000000"/>
          <w:kern w:val="0"/>
          <w:sz w:val="24"/>
        </w:rPr>
        <w:t>招标文件</w:t>
      </w:r>
      <w:bookmarkEnd w:id="42"/>
      <w:bookmarkEnd w:id="43"/>
      <w:bookmarkEnd w:id="44"/>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45" w:name="_Toc195921808"/>
      <w:r>
        <w:rPr>
          <w:rFonts w:hint="eastAsia" w:ascii="宋体" w:hAnsi="宋体" w:cs="黑体"/>
          <w:color w:val="000000"/>
          <w:kern w:val="0"/>
          <w:sz w:val="24"/>
        </w:rPr>
        <w:t>招标文件的组成</w:t>
      </w:r>
      <w:bookmarkEnd w:id="45"/>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本招标文件包括：</w:t>
      </w:r>
    </w:p>
    <w:p>
      <w:pPr>
        <w:autoSpaceDE w:val="0"/>
        <w:autoSpaceDN w:val="0"/>
        <w:adjustRightInd w:val="0"/>
        <w:snapToGrid w:val="0"/>
        <w:spacing w:after="156" w:afterLines="50"/>
        <w:ind w:left="1617" w:leftChars="513" w:hanging="540" w:hangingChars="225"/>
        <w:rPr>
          <w:rFonts w:ascii="宋体" w:hAnsi="宋体" w:cs="黑体"/>
          <w:color w:val="000000"/>
          <w:kern w:val="0"/>
          <w:sz w:val="24"/>
        </w:rPr>
      </w:pPr>
      <w:r>
        <w:rPr>
          <w:rFonts w:hint="eastAsia" w:ascii="宋体" w:hAnsi="宋体" w:cs="黑体"/>
          <w:color w:val="000000"/>
          <w:kern w:val="0"/>
          <w:sz w:val="24"/>
        </w:rPr>
        <w:t>（</w:t>
      </w:r>
      <w:r>
        <w:rPr>
          <w:rFonts w:ascii="宋体" w:hAnsi="宋体" w:cs="黑体"/>
          <w:color w:val="000000"/>
          <w:kern w:val="0"/>
          <w:sz w:val="24"/>
        </w:rPr>
        <w:t>1</w:t>
      </w:r>
      <w:r>
        <w:rPr>
          <w:rFonts w:hint="eastAsia" w:ascii="宋体" w:hAnsi="宋体" w:cs="黑体"/>
          <w:color w:val="000000"/>
          <w:kern w:val="0"/>
          <w:sz w:val="24"/>
        </w:rPr>
        <w:t>）招标公告（或投标邀请）；</w:t>
      </w:r>
    </w:p>
    <w:p>
      <w:pPr>
        <w:autoSpaceDE w:val="0"/>
        <w:autoSpaceDN w:val="0"/>
        <w:adjustRightInd w:val="0"/>
        <w:snapToGrid w:val="0"/>
        <w:spacing w:after="156" w:afterLines="50"/>
        <w:ind w:left="1617" w:leftChars="513" w:hanging="540" w:hangingChars="225"/>
        <w:rPr>
          <w:rFonts w:ascii="宋体" w:hAnsi="宋体" w:cs="黑体"/>
          <w:color w:val="000000"/>
          <w:kern w:val="0"/>
          <w:sz w:val="24"/>
        </w:rPr>
      </w:pPr>
      <w:r>
        <w:rPr>
          <w:rFonts w:hint="eastAsia" w:ascii="宋体" w:hAnsi="宋体" w:cs="黑体"/>
          <w:color w:val="000000"/>
          <w:kern w:val="0"/>
          <w:sz w:val="24"/>
        </w:rPr>
        <w:t>（</w:t>
      </w:r>
      <w:r>
        <w:rPr>
          <w:rFonts w:ascii="宋体" w:hAnsi="宋体" w:cs="黑体"/>
          <w:color w:val="000000"/>
          <w:kern w:val="0"/>
          <w:sz w:val="24"/>
        </w:rPr>
        <w:t>2</w:t>
      </w:r>
      <w:r>
        <w:rPr>
          <w:rFonts w:hint="eastAsia" w:ascii="宋体" w:hAnsi="宋体" w:cs="黑体"/>
          <w:color w:val="000000"/>
          <w:kern w:val="0"/>
          <w:sz w:val="24"/>
        </w:rPr>
        <w:t>）投标人须知；</w:t>
      </w:r>
    </w:p>
    <w:p>
      <w:pPr>
        <w:autoSpaceDE w:val="0"/>
        <w:autoSpaceDN w:val="0"/>
        <w:adjustRightInd w:val="0"/>
        <w:snapToGrid w:val="0"/>
        <w:spacing w:after="156" w:afterLines="50"/>
        <w:ind w:left="1617" w:leftChars="513" w:hanging="540" w:hangingChars="225"/>
        <w:rPr>
          <w:rFonts w:ascii="宋体" w:hAnsi="宋体" w:cs="黑体"/>
          <w:color w:val="000000"/>
          <w:kern w:val="0"/>
          <w:sz w:val="24"/>
        </w:rPr>
      </w:pPr>
      <w:r>
        <w:rPr>
          <w:rFonts w:hint="eastAsia" w:ascii="宋体" w:hAnsi="宋体" w:cs="黑体"/>
          <w:color w:val="000000"/>
          <w:kern w:val="0"/>
          <w:sz w:val="24"/>
        </w:rPr>
        <w:t>（</w:t>
      </w:r>
      <w:r>
        <w:rPr>
          <w:rFonts w:ascii="宋体" w:hAnsi="宋体" w:cs="黑体"/>
          <w:color w:val="000000"/>
          <w:kern w:val="0"/>
          <w:sz w:val="24"/>
        </w:rPr>
        <w:t>3</w:t>
      </w:r>
      <w:r>
        <w:rPr>
          <w:rFonts w:hint="eastAsia" w:ascii="宋体" w:hAnsi="宋体" w:cs="黑体"/>
          <w:color w:val="000000"/>
          <w:kern w:val="0"/>
          <w:sz w:val="24"/>
        </w:rPr>
        <w:t>）资格审查、评标办法和标准；</w:t>
      </w:r>
    </w:p>
    <w:p>
      <w:pPr>
        <w:autoSpaceDE w:val="0"/>
        <w:autoSpaceDN w:val="0"/>
        <w:adjustRightInd w:val="0"/>
        <w:snapToGrid w:val="0"/>
        <w:spacing w:after="156" w:afterLines="50"/>
        <w:ind w:left="1617" w:leftChars="513" w:hanging="540" w:hangingChars="225"/>
        <w:rPr>
          <w:rFonts w:ascii="宋体" w:hAnsi="宋体" w:cs="黑体"/>
          <w:color w:val="000000"/>
          <w:kern w:val="0"/>
          <w:sz w:val="24"/>
        </w:rPr>
      </w:pPr>
      <w:r>
        <w:rPr>
          <w:rFonts w:hint="eastAsia" w:ascii="宋体" w:hAnsi="宋体" w:cs="黑体"/>
          <w:color w:val="000000"/>
          <w:kern w:val="0"/>
          <w:sz w:val="24"/>
        </w:rPr>
        <w:t>（</w:t>
      </w:r>
      <w:r>
        <w:rPr>
          <w:rFonts w:ascii="宋体" w:hAnsi="宋体" w:cs="黑体"/>
          <w:color w:val="000000"/>
          <w:kern w:val="0"/>
          <w:sz w:val="24"/>
        </w:rPr>
        <w:t>4</w:t>
      </w:r>
      <w:r>
        <w:rPr>
          <w:rFonts w:hint="eastAsia" w:ascii="宋体" w:hAnsi="宋体" w:cs="黑体"/>
          <w:color w:val="000000"/>
          <w:kern w:val="0"/>
          <w:sz w:val="24"/>
        </w:rPr>
        <w:t>）合同条款；</w:t>
      </w:r>
    </w:p>
    <w:p>
      <w:pPr>
        <w:autoSpaceDE w:val="0"/>
        <w:autoSpaceDN w:val="0"/>
        <w:adjustRightInd w:val="0"/>
        <w:snapToGrid w:val="0"/>
        <w:spacing w:after="156" w:afterLines="50"/>
        <w:ind w:left="1617" w:leftChars="513" w:hanging="540" w:hangingChars="225"/>
        <w:rPr>
          <w:rFonts w:ascii="宋体" w:hAnsi="宋体" w:cs="黑体"/>
          <w:color w:val="000000"/>
          <w:kern w:val="0"/>
          <w:sz w:val="24"/>
        </w:rPr>
      </w:pPr>
      <w:r>
        <w:rPr>
          <w:rFonts w:hint="eastAsia" w:ascii="宋体" w:hAnsi="宋体" w:cs="黑体"/>
          <w:color w:val="000000"/>
          <w:kern w:val="0"/>
          <w:sz w:val="24"/>
        </w:rPr>
        <w:t>（5）</w:t>
      </w:r>
      <w:r>
        <w:rPr>
          <w:rFonts w:hint="eastAsia" w:ascii="宋体" w:hAnsi="宋体"/>
          <w:color w:val="000000"/>
          <w:sz w:val="24"/>
        </w:rPr>
        <w:t>采购需求</w:t>
      </w:r>
      <w:r>
        <w:rPr>
          <w:rFonts w:hint="eastAsia" w:ascii="宋体" w:hAnsi="宋体" w:cs="黑体"/>
          <w:color w:val="000000"/>
          <w:kern w:val="0"/>
          <w:sz w:val="24"/>
        </w:rPr>
        <w:t>；</w:t>
      </w:r>
    </w:p>
    <w:p>
      <w:pPr>
        <w:autoSpaceDE w:val="0"/>
        <w:autoSpaceDN w:val="0"/>
        <w:adjustRightInd w:val="0"/>
        <w:snapToGrid w:val="0"/>
        <w:spacing w:after="156" w:afterLines="50"/>
        <w:ind w:left="1617" w:leftChars="513" w:hanging="540" w:hangingChars="225"/>
        <w:rPr>
          <w:rFonts w:ascii="宋体" w:hAnsi="宋体" w:cs="黑体"/>
          <w:color w:val="000000"/>
          <w:kern w:val="0"/>
          <w:sz w:val="24"/>
        </w:rPr>
      </w:pPr>
      <w:r>
        <w:rPr>
          <w:rFonts w:hint="eastAsia" w:ascii="宋体" w:hAnsi="宋体" w:cs="黑体"/>
          <w:color w:val="000000"/>
          <w:kern w:val="0"/>
          <w:sz w:val="24"/>
        </w:rPr>
        <w:t>（6）投标文件格式。</w:t>
      </w:r>
    </w:p>
    <w:p>
      <w:pPr>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根据本章第</w:t>
      </w:r>
      <w:r>
        <w:rPr>
          <w:rFonts w:ascii="宋体" w:hAnsi="宋体" w:cs="黑体"/>
          <w:color w:val="000000"/>
          <w:kern w:val="0"/>
          <w:sz w:val="24"/>
        </w:rPr>
        <w:fldChar w:fldCharType="begin"/>
      </w:r>
      <w:r>
        <w:rPr>
          <w:rFonts w:hint="eastAsia" w:ascii="宋体" w:hAnsi="宋体" w:cs="黑体"/>
          <w:color w:val="000000"/>
          <w:kern w:val="0"/>
          <w:sz w:val="24"/>
        </w:rPr>
        <w:instrText xml:space="preserve">REF _Ref426441946 \r \h</w:instrText>
      </w:r>
      <w:r>
        <w:rPr>
          <w:rFonts w:ascii="宋体" w:hAnsi="宋体" w:cs="黑体"/>
          <w:color w:val="000000"/>
          <w:kern w:val="0"/>
          <w:sz w:val="24"/>
        </w:rPr>
        <w:fldChar w:fldCharType="separate"/>
      </w:r>
      <w:r>
        <w:rPr>
          <w:rFonts w:ascii="宋体" w:hAnsi="宋体" w:cs="黑体"/>
          <w:color w:val="000000"/>
          <w:kern w:val="0"/>
          <w:sz w:val="24"/>
        </w:rPr>
        <w:t>2.</w:t>
      </w:r>
      <w:r>
        <w:rPr>
          <w:rFonts w:ascii="宋体" w:hAnsi="宋体" w:cs="黑体"/>
          <w:color w:val="000000"/>
          <w:kern w:val="0"/>
          <w:sz w:val="24"/>
        </w:rPr>
        <w:fldChar w:fldCharType="end"/>
      </w:r>
      <w:r>
        <w:rPr>
          <w:rFonts w:hint="eastAsia" w:ascii="宋体" w:hAnsi="宋体" w:cs="黑体"/>
          <w:color w:val="000000"/>
          <w:kern w:val="0"/>
          <w:sz w:val="24"/>
        </w:rPr>
        <w:t>3款和第</w:t>
      </w:r>
      <w:r>
        <w:rPr>
          <w:rFonts w:ascii="宋体" w:hAnsi="宋体" w:cs="黑体"/>
          <w:color w:val="000000"/>
          <w:kern w:val="0"/>
          <w:sz w:val="24"/>
        </w:rPr>
        <w:fldChar w:fldCharType="begin"/>
      </w:r>
      <w:r>
        <w:rPr>
          <w:rFonts w:hint="eastAsia" w:ascii="宋体" w:hAnsi="宋体" w:cs="黑体"/>
          <w:color w:val="000000"/>
          <w:kern w:val="0"/>
          <w:sz w:val="24"/>
        </w:rPr>
        <w:instrText xml:space="preserve">REF _Ref426441954 \r \h</w:instrText>
      </w:r>
      <w:r>
        <w:rPr>
          <w:rFonts w:ascii="宋体" w:hAnsi="宋体" w:cs="黑体"/>
          <w:color w:val="000000"/>
          <w:kern w:val="0"/>
          <w:sz w:val="24"/>
        </w:rPr>
        <w:fldChar w:fldCharType="separate"/>
      </w:r>
      <w:r>
        <w:rPr>
          <w:rFonts w:ascii="宋体" w:hAnsi="宋体" w:cs="黑体"/>
          <w:color w:val="000000"/>
          <w:kern w:val="0"/>
          <w:sz w:val="24"/>
        </w:rPr>
        <w:t>2.</w:t>
      </w:r>
      <w:r>
        <w:rPr>
          <w:rFonts w:ascii="宋体" w:hAnsi="宋体" w:cs="黑体"/>
          <w:color w:val="000000"/>
          <w:kern w:val="0"/>
          <w:sz w:val="24"/>
        </w:rPr>
        <w:fldChar w:fldCharType="end"/>
      </w:r>
      <w:r>
        <w:rPr>
          <w:rFonts w:hint="eastAsia" w:ascii="宋体" w:hAnsi="宋体" w:cs="黑体"/>
          <w:color w:val="000000"/>
          <w:kern w:val="0"/>
          <w:sz w:val="24"/>
        </w:rPr>
        <w:t>4款对招标文件所作的澄清、修改，构成招标文件的组成部分。</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46" w:name="_Toc195921809"/>
      <w:bookmarkStart w:id="47" w:name="_Ref426441946"/>
      <w:r>
        <w:rPr>
          <w:rFonts w:hint="eastAsia" w:ascii="宋体" w:hAnsi="宋体" w:cs="黑体"/>
          <w:color w:val="000000"/>
          <w:kern w:val="0"/>
          <w:sz w:val="24"/>
        </w:rPr>
        <w:t>根据采购项目技术构成、产品价格比重等确定核心产品，核心产品见投标人须知前附表。</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招标文件的澄清</w:t>
      </w:r>
      <w:bookmarkEnd w:id="46"/>
      <w:bookmarkEnd w:id="47"/>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投标人应仔细阅读和检查招标文件的全部内容。如发现缺页或附件不全，应及时向采购人提出，以便补齐。</w:t>
      </w:r>
    </w:p>
    <w:p>
      <w:pPr>
        <w:numPr>
          <w:ilvl w:val="2"/>
          <w:numId w:val="4"/>
        </w:numPr>
        <w:tabs>
          <w:tab w:val="left" w:pos="1260"/>
        </w:tabs>
        <w:autoSpaceDE w:val="0"/>
        <w:autoSpaceDN w:val="0"/>
        <w:adjustRightInd w:val="0"/>
        <w:snapToGrid w:val="0"/>
        <w:spacing w:after="156" w:afterLines="50"/>
        <w:rPr>
          <w:rFonts w:ascii="宋体" w:hAnsi="宋体"/>
          <w:color w:val="000000"/>
          <w:sz w:val="24"/>
        </w:rPr>
      </w:pPr>
      <w:r>
        <w:rPr>
          <w:rFonts w:hint="eastAsia" w:ascii="宋体" w:hAnsi="宋体"/>
          <w:color w:val="000000"/>
          <w:sz w:val="24"/>
        </w:rPr>
        <w:t>投标人</w:t>
      </w:r>
      <w:r>
        <w:rPr>
          <w:rFonts w:hint="eastAsia" w:ascii="宋体" w:hAnsi="宋体" w:cs="黑体"/>
          <w:color w:val="000000"/>
          <w:kern w:val="0"/>
          <w:sz w:val="24"/>
        </w:rPr>
        <w:t>如有疑问</w:t>
      </w:r>
      <w:r>
        <w:rPr>
          <w:rFonts w:ascii="宋体" w:hAnsi="宋体" w:cs="宋体"/>
          <w:color w:val="000000"/>
          <w:sz w:val="24"/>
        </w:rPr>
        <w:t>可以向采购人提出询问</w:t>
      </w:r>
      <w:r>
        <w:rPr>
          <w:rFonts w:hint="eastAsia" w:ascii="宋体" w:hAnsi="宋体" w:cs="黑体"/>
          <w:color w:val="000000"/>
          <w:kern w:val="0"/>
          <w:sz w:val="24"/>
        </w:rPr>
        <w:t>，要求采购人对招标文件予以澄清。</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Ansi="宋体" w:cs="宋体"/>
          <w:color w:val="000000"/>
          <w:sz w:val="24"/>
        </w:rPr>
        <w:t>采购人或者采购代理机构可以对已发出的招标文件进行必要的澄清。该</w:t>
      </w:r>
      <w:r>
        <w:rPr>
          <w:rFonts w:hint="eastAsia" w:ascii="宋体" w:hAnsi="宋体"/>
          <w:color w:val="000000"/>
          <w:sz w:val="24"/>
        </w:rPr>
        <w:t>澄清在原公告发布媒体上发布澄清（更正）公告，同时以书面形式通知所有投标人。澄清的内容为招标文件的组成部分。</w:t>
      </w:r>
      <w:r>
        <w:rPr>
          <w:rFonts w:hint="eastAsia" w:ascii="宋体" w:hAnsi="宋体" w:cs="黑体"/>
          <w:color w:val="000000"/>
          <w:kern w:val="0"/>
          <w:sz w:val="24"/>
        </w:rPr>
        <w:t>投标人须</w:t>
      </w:r>
      <w:r>
        <w:rPr>
          <w:rFonts w:hint="eastAsia" w:ascii="宋体" w:hAnsi="宋体"/>
          <w:color w:val="000000"/>
          <w:sz w:val="24"/>
        </w:rPr>
        <w:t>在投标邀请中规定的投标截止日前，随时查询招标公告发布媒体的信息，获取对招标文件澄清的信息。采购人的澄清</w:t>
      </w:r>
      <w:r>
        <w:rPr>
          <w:rFonts w:hint="eastAsia" w:ascii="宋体" w:hAnsi="宋体" w:cs="宋体"/>
          <w:color w:val="000000"/>
          <w:sz w:val="24"/>
        </w:rPr>
        <w:t>以书面形式通知投标人的，投标人应在收到该澄清的24小时内或根据澄清通知中要求的时间内予以确认。</w:t>
      </w:r>
    </w:p>
    <w:p>
      <w:pPr>
        <w:tabs>
          <w:tab w:val="left" w:pos="1260"/>
        </w:tabs>
        <w:autoSpaceDE w:val="0"/>
        <w:autoSpaceDN w:val="0"/>
        <w:adjustRightInd w:val="0"/>
        <w:snapToGrid w:val="0"/>
        <w:spacing w:after="156" w:afterLines="50"/>
        <w:ind w:left="1134" w:leftChars="540"/>
        <w:rPr>
          <w:rFonts w:ascii="宋体" w:hAnsi="宋体" w:cs="黑体"/>
          <w:color w:val="000000"/>
          <w:kern w:val="0"/>
          <w:sz w:val="24"/>
        </w:rPr>
      </w:pPr>
      <w:r>
        <w:rPr>
          <w:rFonts w:hAnsi="宋体" w:cs="宋体"/>
          <w:color w:val="000000"/>
          <w:sz w:val="24"/>
        </w:rPr>
        <w:t>澄清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投标人在收到澄清文件后，应将加盖公章的回执以书面方式通知采购人，确认已收到该澄清。</w:t>
      </w:r>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48" w:name="_Toc195921810"/>
      <w:bookmarkStart w:id="49" w:name="_Ref426441954"/>
      <w:r>
        <w:rPr>
          <w:rFonts w:hint="eastAsia" w:ascii="宋体" w:hAnsi="宋体" w:cs="黑体"/>
          <w:color w:val="000000"/>
          <w:kern w:val="0"/>
          <w:sz w:val="24"/>
        </w:rPr>
        <w:t>招标文件的修改</w:t>
      </w:r>
      <w:bookmarkEnd w:id="48"/>
      <w:bookmarkEnd w:id="49"/>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Ansi="宋体" w:cs="宋体"/>
          <w:color w:val="000000"/>
          <w:sz w:val="24"/>
        </w:rPr>
        <w:t>采购人或者采购代理机构可以对已发出的招标文件进行必要的修改。</w:t>
      </w:r>
      <w:r>
        <w:rPr>
          <w:rFonts w:hint="eastAsia" w:ascii="宋体" w:hAnsi="宋体"/>
          <w:color w:val="000000"/>
          <w:sz w:val="24"/>
        </w:rPr>
        <w:t>该修改在原公告发布媒体上发布澄清（更正）公告，同时以书面形式通知所有投标人。修改的内容为招标文件的组成部分。</w:t>
      </w:r>
      <w:r>
        <w:rPr>
          <w:rFonts w:hint="eastAsia" w:ascii="宋体" w:hAnsi="宋体" w:cs="黑体"/>
          <w:color w:val="000000"/>
          <w:kern w:val="0"/>
          <w:sz w:val="24"/>
        </w:rPr>
        <w:t>投标人须</w:t>
      </w:r>
      <w:r>
        <w:rPr>
          <w:rFonts w:hint="eastAsia" w:ascii="宋体" w:hAnsi="宋体"/>
          <w:color w:val="000000"/>
          <w:sz w:val="24"/>
        </w:rPr>
        <w:t>在投标截止日前，随时查询招标公告发布媒体的信息，获取对招标文件修改的信息。采购人的修改</w:t>
      </w:r>
      <w:r>
        <w:rPr>
          <w:rFonts w:hint="eastAsia" w:ascii="宋体" w:hAnsi="宋体" w:cs="宋体"/>
          <w:color w:val="000000"/>
          <w:sz w:val="24"/>
        </w:rPr>
        <w:t>以书面形式通知投标人的，投标人应在收到该修改通知的24小时内或根据修改通知中要求的时间内予以确认。</w:t>
      </w:r>
    </w:p>
    <w:p>
      <w:pPr>
        <w:tabs>
          <w:tab w:val="left" w:pos="1260"/>
        </w:tabs>
        <w:autoSpaceDE w:val="0"/>
        <w:autoSpaceDN w:val="0"/>
        <w:adjustRightInd w:val="0"/>
        <w:snapToGrid w:val="0"/>
        <w:spacing w:after="156" w:afterLines="50"/>
        <w:ind w:left="1134" w:leftChars="540"/>
        <w:rPr>
          <w:rFonts w:ascii="宋体" w:hAnsi="宋体" w:cs="黑体"/>
          <w:color w:val="000000"/>
          <w:kern w:val="0"/>
          <w:sz w:val="24"/>
        </w:rPr>
      </w:pPr>
      <w:r>
        <w:rPr>
          <w:rFonts w:hAnsi="宋体" w:cs="宋体"/>
          <w:color w:val="000000"/>
          <w:sz w:val="24"/>
        </w:rPr>
        <w:t>修改的内容可能影响投标文件编制的，采购人或者采购代理机构在投标截止时间至少15日前，以书面形式通知所有获取招标文件的潜在投标人；不足15日的，采购人或者采购代理机构将顺延提交投标文件的截止时间。</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投标人收到修改文件后，应将加盖公章的回执以书面方式通知采购人，确认已收到该修改。</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ascii="宋体" w:hAnsi="宋体" w:cs="宋体"/>
          <w:color w:val="000000"/>
          <w:sz w:val="24"/>
        </w:rPr>
        <w:t>投标人认为采购文件使其权益受到损害的，</w:t>
      </w:r>
      <w:r>
        <w:rPr>
          <w:rFonts w:hint="eastAsia" w:ascii="宋体" w:hAnsi="宋体"/>
          <w:color w:val="000000"/>
          <w:sz w:val="24"/>
        </w:rPr>
        <w:t>在收到采购文件之日或</w:t>
      </w:r>
      <w:r>
        <w:rPr>
          <w:rFonts w:ascii="宋体" w:hAnsi="宋体"/>
          <w:color w:val="000000"/>
          <w:sz w:val="24"/>
        </w:rPr>
        <w:t>采购文件公告期限届满之日</w:t>
      </w:r>
      <w:r>
        <w:rPr>
          <w:rFonts w:hint="eastAsia" w:ascii="宋体" w:hAnsi="宋体"/>
          <w:color w:val="000000"/>
          <w:sz w:val="24"/>
        </w:rPr>
        <w:t>起七个工作日内，按投标人须知前附表中接收质疑函的方式以书面形式一次性提出质疑</w:t>
      </w:r>
      <w:r>
        <w:rPr>
          <w:rFonts w:ascii="宋体" w:hAnsi="宋体" w:cs="宋体"/>
          <w:color w:val="000000"/>
          <w:sz w:val="24"/>
        </w:rPr>
        <w:t>。</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50" w:name="_Toc25864"/>
      <w:bookmarkStart w:id="51" w:name="_Toc22721"/>
      <w:bookmarkStart w:id="52" w:name="_Toc195921811"/>
      <w:r>
        <w:rPr>
          <w:rFonts w:hint="eastAsia" w:ascii="黑体" w:hAnsi="宋体" w:eastAsia="黑体" w:cs="黑体"/>
          <w:color w:val="000000"/>
          <w:kern w:val="0"/>
          <w:sz w:val="24"/>
        </w:rPr>
        <w:t>投标文件</w:t>
      </w:r>
      <w:bookmarkEnd w:id="50"/>
      <w:bookmarkEnd w:id="51"/>
      <w:bookmarkEnd w:id="52"/>
    </w:p>
    <w:p>
      <w:pPr>
        <w:numPr>
          <w:ilvl w:val="1"/>
          <w:numId w:val="4"/>
        </w:numPr>
        <w:autoSpaceDE w:val="0"/>
        <w:autoSpaceDN w:val="0"/>
        <w:adjustRightInd w:val="0"/>
        <w:snapToGrid w:val="0"/>
        <w:spacing w:after="156" w:afterLines="50"/>
        <w:rPr>
          <w:rFonts w:ascii="宋体" w:hAnsi="宋体" w:cs="黑体"/>
          <w:color w:val="000000"/>
          <w:kern w:val="0"/>
          <w:sz w:val="24"/>
        </w:rPr>
      </w:pPr>
      <w:bookmarkStart w:id="53" w:name="_Toc195921812"/>
      <w:r>
        <w:rPr>
          <w:rFonts w:hint="eastAsia" w:ascii="宋体" w:hAnsi="宋体" w:cs="黑体"/>
          <w:color w:val="000000"/>
          <w:kern w:val="0"/>
          <w:sz w:val="24"/>
        </w:rPr>
        <w:t>投标文件的组成</w:t>
      </w:r>
      <w:bookmarkEnd w:id="53"/>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投标文件应包括下列内容：</w:t>
      </w:r>
    </w:p>
    <w:p>
      <w:pPr>
        <w:numPr>
          <w:ilvl w:val="0"/>
          <w:numId w:val="7"/>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商务部分</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投标书；</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报价表；</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法定代表人身份证明；</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授权委托书；</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投标保证金；</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投标分项报价表；</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商务、合同条款偏差表；</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投标人基本情况表；</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资格证明文件（详见投标文件格式要求）；</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ascii="宋体" w:hAnsi="宋体" w:cs="黑体"/>
          <w:color w:val="000000"/>
          <w:kern w:val="0"/>
          <w:sz w:val="24"/>
        </w:rPr>
        <w:t>投标人</w:t>
      </w:r>
      <w:r>
        <w:rPr>
          <w:rFonts w:hint="eastAsia" w:ascii="宋体" w:hAnsi="宋体" w:cs="黑体"/>
          <w:color w:val="000000"/>
          <w:kern w:val="0"/>
          <w:sz w:val="24"/>
        </w:rPr>
        <w:t>供货</w:t>
      </w:r>
      <w:r>
        <w:rPr>
          <w:rFonts w:ascii="宋体" w:hAnsi="宋体" w:cs="黑体"/>
          <w:color w:val="000000"/>
          <w:kern w:val="0"/>
          <w:sz w:val="24"/>
        </w:rPr>
        <w:t>业绩</w:t>
      </w:r>
      <w:r>
        <w:rPr>
          <w:rFonts w:hint="eastAsia" w:ascii="宋体" w:hAnsi="宋体" w:cs="黑体"/>
          <w:color w:val="000000"/>
          <w:kern w:val="0"/>
          <w:sz w:val="24"/>
        </w:rPr>
        <w:t>一览</w:t>
      </w:r>
      <w:r>
        <w:rPr>
          <w:rFonts w:ascii="宋体" w:hAnsi="宋体" w:cs="黑体"/>
          <w:color w:val="000000"/>
          <w:kern w:val="0"/>
          <w:sz w:val="24"/>
        </w:rPr>
        <w:t>表；</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小微企业、监狱企业、残疾人福利单位的声明函或证明材料（如有）</w:t>
      </w:r>
      <w:r>
        <w:rPr>
          <w:rFonts w:ascii="宋体" w:hAnsi="宋体" w:cs="黑体"/>
          <w:color w:val="000000"/>
          <w:kern w:val="0"/>
          <w:sz w:val="24"/>
        </w:rPr>
        <w:t>；</w:t>
      </w:r>
    </w:p>
    <w:p>
      <w:pPr>
        <w:numPr>
          <w:ilvl w:val="0"/>
          <w:numId w:val="8"/>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投标承诺书</w:t>
      </w:r>
      <w:r>
        <w:rPr>
          <w:rFonts w:hint="eastAsia"/>
          <w:color w:val="000000"/>
        </w:rPr>
        <w:t>；</w:t>
      </w:r>
    </w:p>
    <w:p>
      <w:pPr>
        <w:numPr>
          <w:ilvl w:val="0"/>
          <w:numId w:val="7"/>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技术部分：</w:t>
      </w:r>
    </w:p>
    <w:p>
      <w:pPr>
        <w:numPr>
          <w:ilvl w:val="0"/>
          <w:numId w:val="9"/>
        </w:numPr>
        <w:tabs>
          <w:tab w:val="left" w:pos="2694"/>
        </w:tabs>
        <w:autoSpaceDE w:val="0"/>
        <w:autoSpaceDN w:val="0"/>
        <w:adjustRightInd w:val="0"/>
        <w:snapToGrid w:val="0"/>
        <w:spacing w:after="156" w:afterLines="50"/>
        <w:ind w:left="2694" w:hanging="567"/>
        <w:rPr>
          <w:rFonts w:ascii="宋体" w:hAnsi="宋体" w:cs="黑体"/>
          <w:color w:val="000000"/>
          <w:kern w:val="0"/>
          <w:sz w:val="24"/>
        </w:rPr>
      </w:pPr>
      <w:r>
        <w:rPr>
          <w:rFonts w:hint="eastAsia" w:ascii="宋体" w:hAnsi="宋体" w:cs="黑体"/>
          <w:color w:val="000000"/>
          <w:kern w:val="0"/>
          <w:sz w:val="24"/>
        </w:rPr>
        <w:t>技术偏离表；</w:t>
      </w:r>
    </w:p>
    <w:p>
      <w:pPr>
        <w:numPr>
          <w:ilvl w:val="0"/>
          <w:numId w:val="9"/>
        </w:numPr>
        <w:tabs>
          <w:tab w:val="left" w:pos="2694"/>
        </w:tabs>
        <w:autoSpaceDE w:val="0"/>
        <w:autoSpaceDN w:val="0"/>
        <w:adjustRightInd w:val="0"/>
        <w:snapToGrid w:val="0"/>
        <w:spacing w:after="156" w:afterLines="50"/>
        <w:ind w:left="2694" w:hanging="562"/>
        <w:rPr>
          <w:rFonts w:ascii="宋体" w:hAnsi="宋体" w:cs="黑体"/>
          <w:color w:val="000000"/>
          <w:kern w:val="0"/>
          <w:sz w:val="24"/>
        </w:rPr>
      </w:pPr>
      <w:r>
        <w:rPr>
          <w:rFonts w:hint="eastAsia" w:ascii="宋体" w:hAnsi="宋体" w:cs="黑体"/>
          <w:color w:val="000000"/>
          <w:kern w:val="0"/>
          <w:sz w:val="24"/>
        </w:rPr>
        <w:t>对</w:t>
      </w:r>
      <w:r>
        <w:rPr>
          <w:rFonts w:hint="eastAsia" w:ascii="宋体" w:hAnsi="宋体"/>
          <w:color w:val="000000"/>
          <w:sz w:val="24"/>
        </w:rPr>
        <w:t>采购项目的技术规格、数量、服务标准、验收等要求</w:t>
      </w:r>
      <w:r>
        <w:rPr>
          <w:rFonts w:hint="eastAsia" w:ascii="宋体" w:hAnsi="宋体" w:cs="黑体"/>
          <w:color w:val="000000"/>
          <w:kern w:val="0"/>
          <w:sz w:val="24"/>
        </w:rPr>
        <w:t>的响应；</w:t>
      </w:r>
    </w:p>
    <w:p>
      <w:pPr>
        <w:tabs>
          <w:tab w:val="left" w:pos="2694"/>
        </w:tabs>
        <w:autoSpaceDE w:val="0"/>
        <w:autoSpaceDN w:val="0"/>
        <w:adjustRightInd w:val="0"/>
        <w:snapToGrid w:val="0"/>
        <w:spacing w:after="156" w:afterLines="50"/>
        <w:ind w:left="2132"/>
        <w:rPr>
          <w:rFonts w:ascii="宋体" w:hAnsi="宋体" w:cs="黑体"/>
          <w:color w:val="000000"/>
          <w:kern w:val="0"/>
          <w:sz w:val="24"/>
        </w:rPr>
      </w:pPr>
      <w:r>
        <w:rPr>
          <w:rFonts w:hint="eastAsia" w:ascii="宋体" w:hAnsi="宋体" w:cs="黑体"/>
          <w:color w:val="000000"/>
          <w:kern w:val="0"/>
          <w:sz w:val="24"/>
        </w:rPr>
        <w:t xml:space="preserve">3）  </w:t>
      </w:r>
      <w:r>
        <w:rPr>
          <w:rFonts w:ascii="宋体" w:hAnsi="宋体" w:cs="黑体"/>
          <w:color w:val="000000"/>
          <w:kern w:val="0"/>
          <w:sz w:val="24"/>
        </w:rPr>
        <w:t>售后服务支持能力</w:t>
      </w:r>
      <w:r>
        <w:rPr>
          <w:rFonts w:hint="eastAsia" w:ascii="宋体" w:hAnsi="宋体" w:cs="黑体"/>
          <w:color w:val="000000"/>
          <w:kern w:val="0"/>
          <w:sz w:val="24"/>
        </w:rPr>
        <w:t>；</w:t>
      </w:r>
    </w:p>
    <w:p>
      <w:pPr>
        <w:tabs>
          <w:tab w:val="left" w:pos="2694"/>
        </w:tabs>
        <w:autoSpaceDE w:val="0"/>
        <w:autoSpaceDN w:val="0"/>
        <w:adjustRightInd w:val="0"/>
        <w:snapToGrid w:val="0"/>
        <w:spacing w:after="156" w:afterLines="50"/>
        <w:ind w:left="2132"/>
        <w:rPr>
          <w:rFonts w:ascii="宋体" w:hAnsi="宋体" w:cs="黑体"/>
          <w:color w:val="000000"/>
          <w:kern w:val="0"/>
          <w:sz w:val="24"/>
        </w:rPr>
      </w:pPr>
      <w:r>
        <w:rPr>
          <w:rFonts w:hint="eastAsia" w:ascii="宋体" w:hAnsi="宋体" w:cs="黑体"/>
          <w:color w:val="000000"/>
          <w:kern w:val="0"/>
          <w:sz w:val="24"/>
        </w:rPr>
        <w:t>4）  投标人服务承诺（如有）；</w:t>
      </w:r>
    </w:p>
    <w:p>
      <w:pPr>
        <w:numPr>
          <w:ilvl w:val="0"/>
          <w:numId w:val="7"/>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投标文件要求的其他内容以及投标人认为必要的其他内容。</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54" w:name="_Toc195921813"/>
      <w:r>
        <w:rPr>
          <w:rFonts w:hint="eastAsia" w:ascii="宋体" w:hAnsi="宋体" w:cs="黑体"/>
          <w:color w:val="000000"/>
          <w:kern w:val="0"/>
          <w:sz w:val="24"/>
        </w:rPr>
        <w:t>投标报价</w:t>
      </w:r>
      <w:bookmarkEnd w:id="54"/>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bookmarkStart w:id="55" w:name="_Toc195921814"/>
      <w:r>
        <w:rPr>
          <w:rFonts w:hint="eastAsia" w:ascii="宋体" w:hAnsi="宋体" w:cs="黑体"/>
          <w:color w:val="000000"/>
          <w:kern w:val="0"/>
          <w:sz w:val="24"/>
        </w:rPr>
        <w:t>投标人应按招标文件第六章提供的格式进行投标报价。</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所有根据合同或其它原因应由投标人支付的税款和其它应交纳的费用都应包括在投标人提交的投标价格中。</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ascii="宋体" w:hAnsi="宋体" w:cs="黑体"/>
          <w:color w:val="000000"/>
          <w:kern w:val="0"/>
          <w:sz w:val="24"/>
        </w:rPr>
        <w:t>报价应包含本项目所有税项。</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ascii="宋体" w:hAnsi="宋体" w:cs="黑体"/>
          <w:color w:val="000000"/>
          <w:kern w:val="0"/>
          <w:sz w:val="24"/>
        </w:rPr>
        <w:t>投标人应仔细阅读所有招标文件，填报自己认为正确的报价。</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投标人对采购内容只允许有一个报价，采购人不接受任何有选择的报价。</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投标人根据本招标文件的规定将投标价分成几部分，只是为了方便采购人对投标文件进行比较，并不限制采购人以上述任何条件订立合同的权力。</w:t>
      </w:r>
    </w:p>
    <w:p>
      <w:pPr>
        <w:numPr>
          <w:ilvl w:val="1"/>
          <w:numId w:val="4"/>
        </w:numPr>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除非合同另有约定，投标人所报的投标价在合同执行过程中是固定不变的，不得以任何理由予以变更。任何包含价格调整要求的投标，将被认为是非响应性投标而予以拒绝。</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56" w:name="_Ref421009326"/>
      <w:r>
        <w:rPr>
          <w:rFonts w:hint="eastAsia" w:ascii="宋体" w:hAnsi="宋体" w:cs="黑体"/>
          <w:color w:val="000000"/>
          <w:kern w:val="0"/>
          <w:sz w:val="24"/>
        </w:rPr>
        <w:t>投标有效期</w:t>
      </w:r>
      <w:bookmarkEnd w:id="55"/>
      <w:bookmarkEnd w:id="56"/>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olor w:val="000000"/>
          <w:sz w:val="24"/>
        </w:rPr>
        <w:t>本项目投标有效期见投标人须知前附表。投标有效期从提交投标文件的截止之日起算。投标文件中承诺的投标有效期应当不少于招标文件中载明的投标有效期。</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在投标人须知前附表规定的投标有效期内，投标人</w:t>
      </w:r>
      <w:r>
        <w:rPr>
          <w:rFonts w:hint="eastAsia"/>
          <w:color w:val="000000"/>
        </w:rPr>
        <w:t>不得要求</w:t>
      </w:r>
      <w:r>
        <w:rPr>
          <w:rFonts w:hint="eastAsia" w:ascii="宋体" w:hAnsi="宋体" w:cs="黑体"/>
          <w:color w:val="000000"/>
          <w:kern w:val="0"/>
          <w:sz w:val="24"/>
        </w:rPr>
        <w:t>修改其投标文件。</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57" w:name="_Toc195921815"/>
      <w:r>
        <w:rPr>
          <w:rFonts w:hint="eastAsia" w:ascii="宋体" w:hAnsi="宋体" w:cs="黑体"/>
          <w:color w:val="000000"/>
          <w:kern w:val="0"/>
          <w:sz w:val="24"/>
        </w:rPr>
        <w:t>投标保证金</w:t>
      </w:r>
      <w:bookmarkEnd w:id="57"/>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bookmarkStart w:id="58" w:name="_Ref419361076"/>
      <w:r>
        <w:rPr>
          <w:rFonts w:hint="eastAsia" w:ascii="宋体" w:hAnsi="宋体" w:cs="黑体"/>
          <w:color w:val="000000"/>
          <w:kern w:val="0"/>
          <w:sz w:val="24"/>
        </w:rPr>
        <w:t>投标人应按投标人须知前附表规定的金额、形式递交投标保证金，并作为其投标文件的组成部分。联合体投标的，可以由联合体中的一方或者共同提交投标保证金，以一方名义提交投标保证金的，对联合体各方均具有约束力。</w:t>
      </w:r>
      <w:bookmarkEnd w:id="58"/>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投标人不按本章第</w:t>
      </w:r>
      <w:r>
        <w:rPr>
          <w:rFonts w:ascii="宋体" w:hAnsi="宋体" w:cs="黑体"/>
          <w:color w:val="000000"/>
          <w:kern w:val="0"/>
          <w:sz w:val="24"/>
        </w:rPr>
        <w:fldChar w:fldCharType="begin"/>
      </w:r>
      <w:r>
        <w:rPr>
          <w:rFonts w:hint="eastAsia" w:ascii="宋体" w:hAnsi="宋体" w:cs="黑体"/>
          <w:color w:val="000000"/>
          <w:kern w:val="0"/>
          <w:sz w:val="24"/>
        </w:rPr>
        <w:instrText xml:space="preserve">REF _Ref419361076 \r \h</w:instrText>
      </w:r>
      <w:r>
        <w:rPr>
          <w:rFonts w:ascii="宋体" w:hAnsi="宋体" w:cs="黑体"/>
          <w:color w:val="000000"/>
          <w:kern w:val="0"/>
          <w:sz w:val="24"/>
        </w:rPr>
        <w:fldChar w:fldCharType="separate"/>
      </w:r>
      <w:r>
        <w:rPr>
          <w:rFonts w:ascii="宋体" w:hAnsi="宋体" w:cs="黑体"/>
          <w:color w:val="000000"/>
          <w:kern w:val="0"/>
          <w:sz w:val="24"/>
        </w:rPr>
        <w:t>3.</w:t>
      </w:r>
      <w:r>
        <w:rPr>
          <w:rFonts w:hint="eastAsia" w:ascii="宋体" w:hAnsi="宋体" w:cs="黑体"/>
          <w:color w:val="000000"/>
          <w:kern w:val="0"/>
          <w:sz w:val="24"/>
        </w:rPr>
        <w:t>7</w:t>
      </w:r>
      <w:r>
        <w:rPr>
          <w:rFonts w:ascii="宋体" w:hAnsi="宋体" w:cs="黑体"/>
          <w:color w:val="000000"/>
          <w:kern w:val="0"/>
          <w:sz w:val="24"/>
        </w:rPr>
        <w:t>.1</w:t>
      </w:r>
      <w:r>
        <w:rPr>
          <w:rFonts w:ascii="宋体" w:hAnsi="宋体" w:cs="黑体"/>
          <w:color w:val="000000"/>
          <w:kern w:val="0"/>
          <w:sz w:val="24"/>
        </w:rPr>
        <w:fldChar w:fldCharType="end"/>
      </w:r>
      <w:r>
        <w:rPr>
          <w:rFonts w:hint="eastAsia" w:ascii="宋体" w:hAnsi="宋体" w:cs="黑体"/>
          <w:color w:val="000000"/>
          <w:kern w:val="0"/>
          <w:sz w:val="24"/>
        </w:rPr>
        <w:t>项要求提交投标保证金的，其投标文件无效。</w:t>
      </w:r>
    </w:p>
    <w:p>
      <w:pPr>
        <w:numPr>
          <w:ilvl w:val="2"/>
          <w:numId w:val="4"/>
        </w:numPr>
        <w:tabs>
          <w:tab w:val="left" w:pos="1260"/>
        </w:tabs>
        <w:autoSpaceDE w:val="0"/>
        <w:autoSpaceDN w:val="0"/>
        <w:adjustRightInd w:val="0"/>
        <w:snapToGrid w:val="0"/>
        <w:spacing w:after="156" w:afterLines="50"/>
        <w:rPr>
          <w:rFonts w:ascii="宋体" w:hAnsi="宋体"/>
          <w:color w:val="000000"/>
          <w:sz w:val="24"/>
        </w:rPr>
      </w:pPr>
      <w:bookmarkStart w:id="59" w:name="_Ref419361088"/>
      <w:r>
        <w:rPr>
          <w:rFonts w:hint="eastAsia" w:ascii="宋体" w:hAnsi="宋体"/>
          <w:color w:val="000000"/>
          <w:sz w:val="24"/>
        </w:rPr>
        <w:t>投标人在投标截止时间3日前，按招标文件的要求向招标代理机构递交投标保证金，投标截止时间之后递交的投标保证金投标将被拒绝。</w:t>
      </w:r>
      <w:bookmarkEnd w:id="59"/>
    </w:p>
    <w:p>
      <w:pPr>
        <w:numPr>
          <w:ilvl w:val="2"/>
          <w:numId w:val="4"/>
        </w:numPr>
        <w:tabs>
          <w:tab w:val="left" w:pos="1260"/>
        </w:tabs>
        <w:autoSpaceDE w:val="0"/>
        <w:autoSpaceDN w:val="0"/>
        <w:adjustRightInd w:val="0"/>
        <w:snapToGrid w:val="0"/>
        <w:spacing w:after="156" w:afterLines="50"/>
        <w:rPr>
          <w:rFonts w:ascii="宋体" w:hAnsi="宋体"/>
          <w:color w:val="000000"/>
          <w:sz w:val="24"/>
        </w:rPr>
      </w:pPr>
      <w:r>
        <w:rPr>
          <w:rFonts w:hint="eastAsia" w:ascii="宋体" w:hAnsi="宋体"/>
          <w:color w:val="000000"/>
          <w:sz w:val="24"/>
        </w:rPr>
        <w:t>投标人在汇款时务必注明所投标项目的招标编号及用途，否则，因款项用途不明导致投标无效等后果由投标人自行承担。</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采购人或者采购代理机构应当自中标通知书发出之日起5个工作日内退还未中标人的投标保证金，自政府采购合同签订之日起5个工作日内退还中标人的投标保证金</w:t>
      </w:r>
      <w:r>
        <w:rPr>
          <w:rFonts w:hint="eastAsia" w:ascii="宋体" w:hAnsi="宋体"/>
          <w:color w:val="000000"/>
          <w:sz w:val="24"/>
        </w:rPr>
        <w:t>或者转为中标人的</w:t>
      </w:r>
      <w:r>
        <w:rPr>
          <w:rFonts w:hint="eastAsia" w:ascii="宋体" w:hAnsi="宋体" w:cs="黑体"/>
          <w:color w:val="000000"/>
          <w:kern w:val="0"/>
          <w:sz w:val="24"/>
        </w:rPr>
        <w:t>投标</w:t>
      </w:r>
      <w:r>
        <w:rPr>
          <w:rFonts w:hint="eastAsia" w:ascii="宋体" w:hAnsi="宋体"/>
          <w:color w:val="000000"/>
          <w:sz w:val="24"/>
        </w:rPr>
        <w:t>保证金</w:t>
      </w:r>
      <w:r>
        <w:rPr>
          <w:rFonts w:hint="eastAsia" w:ascii="宋体" w:hAnsi="宋体" w:cs="黑体"/>
          <w:color w:val="000000"/>
          <w:kern w:val="0"/>
          <w:sz w:val="24"/>
        </w:rPr>
        <w:t>。</w:t>
      </w:r>
    </w:p>
    <w:p>
      <w:pPr>
        <w:tabs>
          <w:tab w:val="left" w:pos="1260"/>
        </w:tabs>
        <w:autoSpaceDE w:val="0"/>
        <w:autoSpaceDN w:val="0"/>
        <w:adjustRightInd w:val="0"/>
        <w:snapToGrid w:val="0"/>
        <w:spacing w:after="156" w:afterLines="50"/>
        <w:ind w:left="1058" w:hanging="1058" w:hangingChars="441"/>
        <w:rPr>
          <w:rFonts w:ascii="宋体" w:hAnsi="宋体" w:cs="黑体"/>
          <w:color w:val="000000"/>
          <w:kern w:val="0"/>
          <w:sz w:val="24"/>
        </w:rPr>
      </w:pPr>
      <w:r>
        <w:rPr>
          <w:rFonts w:hint="eastAsia" w:ascii="宋体" w:hAnsi="宋体" w:cs="黑体"/>
          <w:color w:val="000000"/>
          <w:kern w:val="0"/>
          <w:sz w:val="24"/>
        </w:rPr>
        <w:t xml:space="preserve">         采购人或者采购代理机构逾期退还投标保证金的，除退还投标保证金本金外，还应当按中国人民银行同期贷款基准利率上浮20％后的利率支付超期资金占用费，但因投标人自身原因导致无法及时退还的除外。</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hAnsi="宋体" w:cs="宋体"/>
          <w:color w:val="000000"/>
          <w:sz w:val="24"/>
        </w:rPr>
        <w:t>投标人有下列行为之一者，其投标保证金可不予退还：</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（1）投标人在投标有效期内撤销投标文件的；</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（2）投标人在投标文件中提供虚假材料的；</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（3）除因不可抗力或招标文件认可的情形以外，中标人不与采购人签订合同的；</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（4）投标人与采购人、其他投标人或者采购代理机构恶意串通的；</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（5）招标文件规定应由中标人缴纳招标服务费而中标人未缴纳的，扣除相同金额以用于缴纳服务费；</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（6）招标文件规定的其他情形；</w:t>
      </w:r>
    </w:p>
    <w:p>
      <w:pPr>
        <w:tabs>
          <w:tab w:val="left" w:pos="1843"/>
        </w:tabs>
        <w:autoSpaceDE w:val="0"/>
        <w:autoSpaceDN w:val="0"/>
        <w:adjustRightInd w:val="0"/>
        <w:snapToGrid w:val="0"/>
        <w:spacing w:after="156" w:afterLines="50"/>
        <w:ind w:left="1734" w:leftChars="540" w:hanging="600" w:hangingChars="250"/>
        <w:rPr>
          <w:rFonts w:ascii="宋体" w:hAnsi="宋体" w:cs="黑体"/>
          <w:color w:val="000000"/>
          <w:kern w:val="0"/>
          <w:sz w:val="24"/>
        </w:rPr>
      </w:pPr>
      <w:r>
        <w:rPr>
          <w:rFonts w:hint="eastAsia" w:ascii="宋体" w:hAnsi="宋体" w:cs="黑体"/>
          <w:color w:val="000000"/>
          <w:kern w:val="0"/>
          <w:sz w:val="24"/>
        </w:rPr>
        <w:t>（7）存在其他违法违规行为的。</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60" w:name="_Toc195921818"/>
      <w:r>
        <w:rPr>
          <w:rFonts w:hint="eastAsia" w:ascii="宋体" w:hAnsi="宋体" w:cs="黑体"/>
          <w:color w:val="000000"/>
          <w:kern w:val="0"/>
          <w:sz w:val="24"/>
        </w:rPr>
        <w:t>投标文件的编制</w:t>
      </w:r>
      <w:bookmarkEnd w:id="60"/>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投标文件应按第六章“投标文件格式”进行编写，如有必要，可以增加附页，作为投标文件的组成部分。投标人可以提出比招标文件要求更有利于采购人的承诺。</w:t>
      </w:r>
    </w:p>
    <w:p>
      <w:pPr>
        <w:tabs>
          <w:tab w:val="left" w:pos="1260"/>
        </w:tabs>
        <w:autoSpaceDE w:val="0"/>
        <w:autoSpaceDN w:val="0"/>
        <w:adjustRightInd w:val="0"/>
        <w:snapToGrid w:val="0"/>
        <w:spacing w:after="156" w:afterLines="50"/>
        <w:ind w:left="1134"/>
        <w:rPr>
          <w:rFonts w:ascii="宋体" w:hAnsi="宋体" w:cs="黑体"/>
          <w:b/>
          <w:i/>
          <w:iCs/>
          <w:color w:val="000000"/>
          <w:kern w:val="0"/>
          <w:sz w:val="24"/>
        </w:rPr>
      </w:pPr>
      <w:r>
        <w:rPr>
          <w:rFonts w:hint="eastAsia" w:ascii="宋体" w:hAnsi="宋体" w:cs="黑体"/>
          <w:b/>
          <w:i/>
          <w:iCs/>
          <w:color w:val="000000"/>
          <w:kern w:val="0"/>
          <w:sz w:val="24"/>
        </w:rPr>
        <w:t>投标文件应当对招标文件有关服务期、投标有效期、对招标范围以及</w:t>
      </w:r>
      <w:r>
        <w:rPr>
          <w:rFonts w:hint="eastAsia" w:ascii="宋体" w:hAnsi="宋体"/>
          <w:b/>
          <w:i/>
          <w:iCs/>
          <w:color w:val="000000"/>
          <w:sz w:val="24"/>
        </w:rPr>
        <w:t>采购项目的技术规格、数量、服务标准、验收</w:t>
      </w:r>
      <w:r>
        <w:rPr>
          <w:rFonts w:hint="eastAsia" w:ascii="宋体" w:hAnsi="宋体" w:cs="黑体"/>
          <w:b/>
          <w:i/>
          <w:iCs/>
          <w:color w:val="000000"/>
          <w:kern w:val="0"/>
          <w:sz w:val="24"/>
        </w:rPr>
        <w:t>等实质性内容作出响应。</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的法定代表人或经授权的代表须根据招标文件第六章的规定在投标文件中需要签字或盖章的位置签字（加盖人名章）或加盖单位公章。授权代表须持有书面的“法定代表人授权书”（标准格式附后），并将其附在投标文件中。签字或加盖人名章的其他要求见投标人须知前附表。</w:t>
      </w:r>
    </w:p>
    <w:p>
      <w:pPr>
        <w:tabs>
          <w:tab w:val="left" w:pos="1260"/>
        </w:tabs>
        <w:autoSpaceDE w:val="0"/>
        <w:autoSpaceDN w:val="0"/>
        <w:adjustRightInd w:val="0"/>
        <w:snapToGrid w:val="0"/>
        <w:spacing w:after="156" w:afterLines="50"/>
        <w:ind w:left="1134" w:leftChars="540"/>
        <w:rPr>
          <w:rFonts w:ascii="宋体" w:hAnsi="宋体" w:cs="黑体"/>
          <w:color w:val="000000"/>
          <w:kern w:val="0"/>
          <w:sz w:val="24"/>
        </w:rPr>
      </w:pPr>
      <w:r>
        <w:rPr>
          <w:rFonts w:hint="eastAsia" w:ascii="宋体" w:hAnsi="宋体" w:cs="黑体"/>
          <w:color w:val="000000"/>
          <w:kern w:val="0"/>
          <w:sz w:val="24"/>
        </w:rPr>
        <w:t>投标截止时间前，如对投标文件进行了修改，包括对投标文件行间插字、涂改和增删，均应由投标人的法定代表人或经正式授权的代表在修改的每一页上签字。</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加密的电子投标文件1份（需在投标截止时间前上传至“西藏自治区公共资源交易网”）纸质投标文件正本0份、副本0份，电子文档1份。</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61" w:name="_Toc195921819"/>
      <w:bookmarkStart w:id="62" w:name="_Toc12439"/>
      <w:bookmarkStart w:id="63" w:name="_Toc15970"/>
      <w:r>
        <w:rPr>
          <w:rFonts w:hint="eastAsia" w:ascii="黑体" w:hAnsi="宋体" w:eastAsia="黑体" w:cs="黑体"/>
          <w:color w:val="000000"/>
          <w:kern w:val="0"/>
          <w:sz w:val="24"/>
        </w:rPr>
        <w:t>投标</w:t>
      </w:r>
      <w:bookmarkEnd w:id="61"/>
      <w:bookmarkEnd w:id="62"/>
      <w:bookmarkEnd w:id="63"/>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64" w:name="_Toc195921821"/>
      <w:r>
        <w:rPr>
          <w:rFonts w:hint="eastAsia" w:ascii="宋体" w:hAnsi="宋体" w:cs="黑体"/>
          <w:color w:val="000000"/>
          <w:kern w:val="0"/>
          <w:sz w:val="24"/>
        </w:rPr>
        <w:t>投标文件的递交</w:t>
      </w:r>
      <w:bookmarkEnd w:id="64"/>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投标人应</w:t>
      </w:r>
      <w:r>
        <w:rPr>
          <w:rFonts w:hint="eastAsia"/>
          <w:color w:val="000000"/>
          <w:sz w:val="24"/>
        </w:rPr>
        <w:t>在招标文件要求提交投标文件的截止时间前，将投标文件上传到西藏政府采购网电子化交易系统</w:t>
      </w:r>
      <w:r>
        <w:rPr>
          <w:rFonts w:hint="eastAsia" w:ascii="宋体" w:hAnsi="宋体" w:cs="黑体"/>
          <w:color w:val="000000"/>
          <w:kern w:val="0"/>
          <w:sz w:val="24"/>
        </w:rPr>
        <w:t>。</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投标人递交投标文件的地点：见招标公告。</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除投标人不足3家未开标情形外，投标人所递交的投标文件不予退还。</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color w:val="000000"/>
          <w:sz w:val="24"/>
        </w:rPr>
        <w:t>逾期送达或者未按照招标文件要求递交的投标文件，采购人、采购代理机构应当拒收</w:t>
      </w:r>
      <w:r>
        <w:rPr>
          <w:rFonts w:hint="eastAsia" w:ascii="宋体" w:hAnsi="宋体" w:cs="黑体"/>
          <w:color w:val="000000"/>
          <w:kern w:val="0"/>
          <w:sz w:val="24"/>
        </w:rPr>
        <w:t>。</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65" w:name="_Toc195921822"/>
      <w:r>
        <w:rPr>
          <w:rFonts w:hint="eastAsia" w:ascii="宋体" w:hAnsi="宋体" w:cs="黑体"/>
          <w:color w:val="000000"/>
          <w:kern w:val="0"/>
          <w:sz w:val="24"/>
        </w:rPr>
        <w:t>投标文件的修改与撤回</w:t>
      </w:r>
      <w:bookmarkEnd w:id="65"/>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在投标邀请规定的投标截止时间前，投标人可以修改或撤回已递交的投标文件，但应以书面形式通知采购人。</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修改的内容为投标文件的组成部分。修改的投标文件应按照本章第</w:t>
      </w:r>
      <w:r>
        <w:rPr>
          <w:rFonts w:ascii="宋体" w:hAnsi="宋体" w:cs="黑体"/>
          <w:color w:val="000000"/>
          <w:kern w:val="0"/>
          <w:sz w:val="24"/>
        </w:rPr>
        <w:t>3</w:t>
      </w:r>
      <w:r>
        <w:rPr>
          <w:rFonts w:hint="eastAsia" w:ascii="宋体" w:hAnsi="宋体" w:cs="黑体"/>
          <w:color w:val="000000"/>
          <w:kern w:val="0"/>
          <w:sz w:val="24"/>
        </w:rPr>
        <w:t>条、第</w:t>
      </w:r>
      <w:r>
        <w:rPr>
          <w:rFonts w:ascii="宋体" w:hAnsi="宋体" w:cs="黑体"/>
          <w:color w:val="000000"/>
          <w:kern w:val="0"/>
          <w:sz w:val="24"/>
        </w:rPr>
        <w:t>4</w:t>
      </w:r>
      <w:r>
        <w:rPr>
          <w:rFonts w:hint="eastAsia" w:ascii="宋体" w:hAnsi="宋体" w:cs="黑体"/>
          <w:color w:val="000000"/>
          <w:kern w:val="0"/>
          <w:sz w:val="24"/>
        </w:rPr>
        <w:t>条规定进行编制、标记和递交，并标明“修改”字样。</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66" w:name="_Toc3444"/>
      <w:bookmarkStart w:id="67" w:name="_Toc195921823"/>
      <w:bookmarkStart w:id="68" w:name="_Toc16836"/>
      <w:r>
        <w:rPr>
          <w:rFonts w:hint="eastAsia" w:ascii="黑体" w:hAnsi="宋体" w:eastAsia="黑体" w:cs="黑体"/>
          <w:color w:val="000000"/>
          <w:kern w:val="0"/>
          <w:sz w:val="24"/>
        </w:rPr>
        <w:t>开标</w:t>
      </w:r>
      <w:bookmarkEnd w:id="66"/>
      <w:bookmarkEnd w:id="67"/>
      <w:bookmarkEnd w:id="68"/>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69" w:name="_Toc195921824"/>
      <w:r>
        <w:rPr>
          <w:rFonts w:hint="eastAsia" w:ascii="宋体" w:hAnsi="宋体" w:cs="黑体"/>
          <w:color w:val="000000"/>
          <w:kern w:val="0"/>
          <w:sz w:val="24"/>
        </w:rPr>
        <w:t>开标时间和地点</w:t>
      </w:r>
      <w:bookmarkEnd w:id="69"/>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s="黑体"/>
          <w:color w:val="000000"/>
          <w:kern w:val="0"/>
          <w:sz w:val="24"/>
        </w:rPr>
        <w:t>采购人在投标邀请规定的投标截止时间（开标时间）和地点公开开标，并邀请所有投标人的法定代表人或其委托代理人准时参加。投标人未参加开标的，视同认可开标结果。</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开标时，应当依法解密投标单位上传的加密投标文件；经确认无误后，由</w:t>
      </w:r>
      <w:r>
        <w:rPr>
          <w:rFonts w:hint="eastAsia" w:ascii="宋体" w:hAnsi="宋体"/>
          <w:color w:val="000000"/>
          <w:sz w:val="24"/>
        </w:rPr>
        <w:t>采购代理机构工作人员当众拆封，宣布投标人名称、投标价格和招标文件规定的需要宣布的其他内容</w:t>
      </w:r>
      <w:r>
        <w:rPr>
          <w:rFonts w:hint="eastAsia" w:ascii="宋体" w:hAnsi="宋体" w:cs="黑体"/>
          <w:color w:val="000000"/>
          <w:kern w:val="0"/>
          <w:sz w:val="24"/>
        </w:rPr>
        <w:t>。</w:t>
      </w:r>
    </w:p>
    <w:p>
      <w:pPr>
        <w:pStyle w:val="472"/>
        <w:snapToGrid w:val="0"/>
        <w:spacing w:after="156" w:afterLines="50"/>
        <w:ind w:left="1734" w:leftChars="540" w:hanging="600" w:hangingChars="250"/>
        <w:rPr>
          <w:rFonts w:hAnsi="宋体" w:cs="宋体"/>
          <w:color w:val="000000"/>
          <w:sz w:val="24"/>
          <w:szCs w:val="24"/>
        </w:rPr>
      </w:pPr>
      <w:r>
        <w:rPr>
          <w:rFonts w:hint="eastAsia" w:hAnsi="宋体" w:cs="宋体"/>
          <w:color w:val="000000"/>
          <w:sz w:val="24"/>
          <w:szCs w:val="24"/>
        </w:rPr>
        <w:t>投标人不足3家的，不进行开标。</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开标过程由采购人或者采购代理机构负责记录，由参加开标的各投标人代表和相关工作人员签字确认后随采购文件一并存档。</w:t>
      </w:r>
    </w:p>
    <w:p>
      <w:pPr>
        <w:pStyle w:val="472"/>
        <w:snapToGrid w:val="0"/>
        <w:spacing w:after="156" w:afterLines="50"/>
        <w:ind w:left="1132" w:leftChars="539"/>
        <w:rPr>
          <w:rFonts w:hAnsi="宋体" w:cs="宋体"/>
          <w:color w:val="000000"/>
          <w:sz w:val="24"/>
          <w:szCs w:val="24"/>
        </w:rPr>
      </w:pPr>
      <w:r>
        <w:rPr>
          <w:rFonts w:hint="eastAsia" w:hAnsi="宋体" w:cs="宋体"/>
          <w:color w:val="000000"/>
          <w:sz w:val="24"/>
          <w:szCs w:val="24"/>
        </w:rPr>
        <w:t>投标人代表对开标过程和开标记录有疑义，以及认为采购人、采购代理机构相关工作人员有需要回避的情形的，应当场提出询问或者回避申请。</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投标人对开标过程有疑义的，在开标结束后七个工作日内，按本须知2.5款接收质疑函的方式以书面形式一次性提出质疑。</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70" w:name="_Toc28911"/>
      <w:bookmarkStart w:id="71" w:name="_Toc6719"/>
      <w:bookmarkStart w:id="72" w:name="_Toc195921826"/>
      <w:r>
        <w:rPr>
          <w:rFonts w:hint="eastAsia" w:ascii="黑体" w:hAnsi="宋体" w:eastAsia="黑体" w:cs="黑体"/>
          <w:color w:val="000000"/>
          <w:kern w:val="0"/>
          <w:sz w:val="24"/>
        </w:rPr>
        <w:t>资格审查</w:t>
      </w:r>
      <w:bookmarkEnd w:id="70"/>
      <w:bookmarkEnd w:id="71"/>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开标结束后，采购人或者采购代理机构依法对投标人的资格进行审查。</w:t>
      </w:r>
    </w:p>
    <w:p>
      <w:pPr>
        <w:pStyle w:val="472"/>
        <w:snapToGrid w:val="0"/>
        <w:spacing w:after="156" w:afterLines="50"/>
        <w:ind w:left="1132" w:leftChars="539"/>
        <w:rPr>
          <w:rFonts w:hAnsi="宋体" w:cs="宋体"/>
          <w:color w:val="000000"/>
          <w:sz w:val="24"/>
          <w:szCs w:val="24"/>
        </w:rPr>
      </w:pPr>
      <w:r>
        <w:rPr>
          <w:rFonts w:hint="eastAsia" w:hAnsi="宋体" w:cs="宋体"/>
          <w:color w:val="000000"/>
          <w:sz w:val="24"/>
          <w:szCs w:val="24"/>
        </w:rPr>
        <w:t>通过资格审查的投标人不足3家的，不得评标。</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73" w:name="_Toc8893"/>
      <w:bookmarkStart w:id="74" w:name="_Toc30234"/>
      <w:r>
        <w:rPr>
          <w:rFonts w:hint="eastAsia" w:ascii="黑体" w:hAnsi="宋体" w:eastAsia="黑体" w:cs="黑体"/>
          <w:color w:val="000000"/>
          <w:kern w:val="0"/>
          <w:sz w:val="24"/>
        </w:rPr>
        <w:t>评标</w:t>
      </w:r>
      <w:bookmarkEnd w:id="72"/>
      <w:bookmarkEnd w:id="73"/>
      <w:bookmarkEnd w:id="74"/>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75" w:name="_Toc195921827"/>
      <w:r>
        <w:rPr>
          <w:rFonts w:hint="eastAsia" w:ascii="宋体" w:hAnsi="宋体" w:cs="黑体"/>
          <w:color w:val="000000"/>
          <w:kern w:val="0"/>
          <w:sz w:val="24"/>
        </w:rPr>
        <w:t>评标委员会</w:t>
      </w:r>
      <w:bookmarkEnd w:id="75"/>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评标由采购人依法组建的评标委员会负责。评标委员会由有关技术、经济等方面的专家组成。</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评标委员会成员有下列情形之一的，应当回避：</w:t>
      </w:r>
    </w:p>
    <w:p>
      <w:pPr>
        <w:pStyle w:val="472"/>
        <w:snapToGrid w:val="0"/>
        <w:spacing w:after="156" w:afterLines="50"/>
        <w:ind w:left="1734" w:leftChars="540" w:hanging="600" w:hangingChars="250"/>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1</w:t>
      </w:r>
      <w:r>
        <w:rPr>
          <w:rFonts w:hAnsi="宋体" w:cs="宋体"/>
          <w:color w:val="000000"/>
          <w:sz w:val="24"/>
          <w:szCs w:val="24"/>
        </w:rPr>
        <w:t>）参加采购活动前3年内与投标人存在劳动关系；</w:t>
      </w:r>
    </w:p>
    <w:p>
      <w:pPr>
        <w:pStyle w:val="472"/>
        <w:snapToGrid w:val="0"/>
        <w:spacing w:after="156" w:afterLines="50"/>
        <w:ind w:left="1734" w:leftChars="540" w:hanging="600" w:hangingChars="250"/>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2</w:t>
      </w:r>
      <w:r>
        <w:rPr>
          <w:rFonts w:hAnsi="宋体" w:cs="宋体"/>
          <w:color w:val="000000"/>
          <w:sz w:val="24"/>
          <w:szCs w:val="24"/>
        </w:rPr>
        <w:t>）参加采购活动前3年内担任投标人的董事、监事；</w:t>
      </w:r>
    </w:p>
    <w:p>
      <w:pPr>
        <w:pStyle w:val="472"/>
        <w:snapToGrid w:val="0"/>
        <w:spacing w:after="156" w:afterLines="50"/>
        <w:ind w:left="1734" w:leftChars="540" w:hanging="600" w:hangingChars="250"/>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3</w:t>
      </w:r>
      <w:r>
        <w:rPr>
          <w:rFonts w:hAnsi="宋体" w:cs="宋体"/>
          <w:color w:val="000000"/>
          <w:sz w:val="24"/>
          <w:szCs w:val="24"/>
        </w:rPr>
        <w:t>）参加采购活动前3年内是投标人的控股股东或者实际控制人；</w:t>
      </w:r>
    </w:p>
    <w:p>
      <w:pPr>
        <w:pStyle w:val="472"/>
        <w:snapToGrid w:val="0"/>
        <w:spacing w:after="156" w:afterLines="50"/>
        <w:ind w:left="1734" w:leftChars="540" w:hanging="600" w:hangingChars="250"/>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4</w:t>
      </w:r>
      <w:r>
        <w:rPr>
          <w:rFonts w:hAnsi="宋体" w:cs="宋体"/>
          <w:color w:val="000000"/>
          <w:sz w:val="24"/>
          <w:szCs w:val="24"/>
        </w:rPr>
        <w:t>）与投标人的法定代表人或者负责人有夫妻、直系血亲、三代以内旁系血亲或者近姻亲关系；</w:t>
      </w:r>
    </w:p>
    <w:p>
      <w:pPr>
        <w:pStyle w:val="472"/>
        <w:snapToGrid w:val="0"/>
        <w:spacing w:after="156" w:afterLines="50"/>
        <w:ind w:left="1734" w:leftChars="540" w:hanging="600" w:hangingChars="250"/>
        <w:rPr>
          <w:rFonts w:hAnsi="宋体" w:cs="宋体"/>
          <w:color w:val="000000"/>
          <w:sz w:val="24"/>
          <w:szCs w:val="24"/>
        </w:rPr>
      </w:pPr>
      <w:r>
        <w:rPr>
          <w:rFonts w:hAnsi="宋体" w:cs="宋体"/>
          <w:color w:val="000000"/>
          <w:sz w:val="24"/>
          <w:szCs w:val="24"/>
        </w:rPr>
        <w:t>（</w:t>
      </w:r>
      <w:r>
        <w:rPr>
          <w:rFonts w:hint="eastAsia" w:hAnsi="宋体" w:cs="宋体"/>
          <w:color w:val="000000"/>
          <w:sz w:val="24"/>
          <w:szCs w:val="24"/>
        </w:rPr>
        <w:t>5</w:t>
      </w:r>
      <w:r>
        <w:rPr>
          <w:rFonts w:hAnsi="宋体" w:cs="宋体"/>
          <w:color w:val="000000"/>
          <w:sz w:val="24"/>
          <w:szCs w:val="24"/>
        </w:rPr>
        <w:t>）与投标人有其他可能影响政府采购活动公平、公正进行的关系。</w:t>
      </w:r>
    </w:p>
    <w:p>
      <w:pPr>
        <w:numPr>
          <w:ilvl w:val="2"/>
          <w:numId w:val="4"/>
        </w:numPr>
        <w:tabs>
          <w:tab w:val="left" w:pos="1260"/>
          <w:tab w:val="left" w:pos="1418"/>
          <w:tab w:val="left" w:pos="1800"/>
        </w:tabs>
        <w:autoSpaceDE w:val="0"/>
        <w:autoSpaceDN w:val="0"/>
        <w:adjustRightInd w:val="0"/>
        <w:snapToGrid w:val="0"/>
        <w:spacing w:before="120" w:after="156" w:afterLines="50"/>
        <w:rPr>
          <w:rFonts w:ascii="宋体" w:hAnsi="宋体" w:cs="黑体"/>
          <w:color w:val="000000"/>
          <w:kern w:val="0"/>
          <w:sz w:val="24"/>
        </w:rPr>
      </w:pPr>
      <w:r>
        <w:rPr>
          <w:rFonts w:hint="eastAsia" w:ascii="宋体" w:hAnsi="宋体" w:cs="黑体"/>
          <w:color w:val="000000"/>
          <w:kern w:val="0"/>
          <w:sz w:val="24"/>
        </w:rPr>
        <w:t>评标委员会</w:t>
      </w:r>
      <w:r>
        <w:rPr>
          <w:rFonts w:hint="eastAsia" w:ascii="宋体" w:hAnsi="宋体"/>
          <w:color w:val="000000"/>
          <w:sz w:val="24"/>
        </w:rPr>
        <w:t>负责具体评标事务，并独立履行下列职责</w:t>
      </w:r>
      <w:r>
        <w:rPr>
          <w:rFonts w:hint="eastAsia" w:ascii="宋体" w:hAnsi="宋体" w:cs="黑体"/>
          <w:color w:val="000000"/>
          <w:kern w:val="0"/>
          <w:sz w:val="24"/>
        </w:rPr>
        <w:t>：</w:t>
      </w:r>
    </w:p>
    <w:p>
      <w:pPr>
        <w:pStyle w:val="472"/>
        <w:snapToGrid w:val="0"/>
        <w:spacing w:after="156" w:afterLines="50"/>
        <w:ind w:left="1840" w:leftChars="539" w:hanging="708" w:hangingChars="295"/>
        <w:rPr>
          <w:rFonts w:hAnsi="宋体" w:cs="宋体"/>
          <w:color w:val="000000"/>
          <w:sz w:val="24"/>
          <w:szCs w:val="24"/>
        </w:rPr>
      </w:pPr>
      <w:bookmarkStart w:id="76" w:name="_Toc195921828"/>
      <w:r>
        <w:rPr>
          <w:rFonts w:hint="eastAsia" w:hAnsi="宋体" w:cs="宋体"/>
          <w:color w:val="000000"/>
          <w:sz w:val="24"/>
          <w:szCs w:val="24"/>
        </w:rPr>
        <w:t>（1）</w:t>
      </w:r>
      <w:r>
        <w:rPr>
          <w:rFonts w:hint="eastAsia" w:hAnsi="宋体" w:cs="宋体"/>
          <w:color w:val="000000"/>
          <w:sz w:val="24"/>
          <w:szCs w:val="24"/>
        </w:rPr>
        <w:tab/>
      </w:r>
      <w:r>
        <w:rPr>
          <w:rFonts w:hint="eastAsia" w:hAnsi="宋体" w:cs="宋体"/>
          <w:color w:val="000000"/>
          <w:sz w:val="24"/>
          <w:szCs w:val="24"/>
        </w:rPr>
        <w:t>审查、评价投标文件是否符合招标文件的商务、技术等实质性要求；</w:t>
      </w:r>
    </w:p>
    <w:p>
      <w:pPr>
        <w:pStyle w:val="472"/>
        <w:snapToGrid w:val="0"/>
        <w:spacing w:after="156" w:afterLines="50"/>
        <w:ind w:left="1840" w:leftChars="539" w:hanging="708" w:hangingChars="295"/>
        <w:rPr>
          <w:rFonts w:hAnsi="宋体" w:cs="宋体"/>
          <w:color w:val="000000"/>
          <w:sz w:val="24"/>
          <w:szCs w:val="24"/>
        </w:rPr>
      </w:pPr>
      <w:r>
        <w:rPr>
          <w:rFonts w:hint="eastAsia" w:hAnsi="宋体" w:cs="宋体"/>
          <w:color w:val="000000"/>
          <w:sz w:val="24"/>
          <w:szCs w:val="24"/>
        </w:rPr>
        <w:t>（2）</w:t>
      </w:r>
      <w:r>
        <w:rPr>
          <w:rFonts w:hint="eastAsia" w:hAnsi="宋体" w:cs="宋体"/>
          <w:color w:val="000000"/>
          <w:sz w:val="24"/>
          <w:szCs w:val="24"/>
        </w:rPr>
        <w:tab/>
      </w:r>
      <w:r>
        <w:rPr>
          <w:rFonts w:hint="eastAsia" w:hAnsi="宋体" w:cs="宋体"/>
          <w:color w:val="000000"/>
          <w:sz w:val="24"/>
          <w:szCs w:val="24"/>
        </w:rPr>
        <w:t>要求投标人对投标文件有关事项作出澄清或者说明；</w:t>
      </w:r>
    </w:p>
    <w:p>
      <w:pPr>
        <w:pStyle w:val="472"/>
        <w:snapToGrid w:val="0"/>
        <w:spacing w:after="156" w:afterLines="50"/>
        <w:ind w:left="1840" w:leftChars="539" w:hanging="708" w:hangingChars="295"/>
        <w:rPr>
          <w:rFonts w:hAnsi="宋体" w:cs="宋体"/>
          <w:color w:val="000000"/>
          <w:sz w:val="24"/>
          <w:szCs w:val="24"/>
        </w:rPr>
      </w:pPr>
      <w:r>
        <w:rPr>
          <w:rFonts w:hint="eastAsia" w:hAnsi="宋体" w:cs="宋体"/>
          <w:color w:val="000000"/>
          <w:sz w:val="24"/>
          <w:szCs w:val="24"/>
        </w:rPr>
        <w:t>（3）</w:t>
      </w:r>
      <w:r>
        <w:rPr>
          <w:rFonts w:hint="eastAsia" w:hAnsi="宋体" w:cs="宋体"/>
          <w:color w:val="000000"/>
          <w:sz w:val="24"/>
          <w:szCs w:val="24"/>
        </w:rPr>
        <w:tab/>
      </w:r>
      <w:r>
        <w:rPr>
          <w:rFonts w:hint="eastAsia" w:hAnsi="宋体" w:cs="宋体"/>
          <w:color w:val="000000"/>
          <w:sz w:val="24"/>
          <w:szCs w:val="24"/>
        </w:rPr>
        <w:t>对投标文件进行比较和评价；</w:t>
      </w:r>
    </w:p>
    <w:p>
      <w:pPr>
        <w:pStyle w:val="472"/>
        <w:snapToGrid w:val="0"/>
        <w:spacing w:after="156" w:afterLines="50"/>
        <w:ind w:left="1840" w:leftChars="539" w:hanging="708" w:hangingChars="295"/>
        <w:rPr>
          <w:rFonts w:hAnsi="宋体" w:cs="宋体"/>
          <w:color w:val="000000"/>
          <w:sz w:val="24"/>
          <w:szCs w:val="24"/>
        </w:rPr>
      </w:pPr>
      <w:r>
        <w:rPr>
          <w:rFonts w:hint="eastAsia" w:hAnsi="宋体" w:cs="宋体"/>
          <w:color w:val="000000"/>
          <w:sz w:val="24"/>
          <w:szCs w:val="24"/>
        </w:rPr>
        <w:t>（4）</w:t>
      </w:r>
      <w:r>
        <w:rPr>
          <w:rFonts w:hint="eastAsia" w:hAnsi="宋体" w:cs="宋体"/>
          <w:color w:val="000000"/>
          <w:sz w:val="24"/>
          <w:szCs w:val="24"/>
        </w:rPr>
        <w:tab/>
      </w:r>
      <w:r>
        <w:rPr>
          <w:rFonts w:hint="eastAsia" w:hAnsi="宋体" w:cs="宋体"/>
          <w:color w:val="000000"/>
          <w:sz w:val="24"/>
          <w:szCs w:val="24"/>
        </w:rPr>
        <w:t>确定中标候选人名单，以及根据采购人委托直接确定中标人；</w:t>
      </w:r>
    </w:p>
    <w:p>
      <w:pPr>
        <w:pStyle w:val="472"/>
        <w:snapToGrid w:val="0"/>
        <w:spacing w:after="156" w:afterLines="50"/>
        <w:ind w:left="1840" w:leftChars="539" w:hanging="708" w:hangingChars="295"/>
        <w:rPr>
          <w:rFonts w:hAnsi="宋体" w:cs="宋体"/>
          <w:color w:val="000000"/>
          <w:sz w:val="24"/>
          <w:szCs w:val="24"/>
        </w:rPr>
      </w:pPr>
      <w:r>
        <w:rPr>
          <w:rFonts w:hint="eastAsia" w:hAnsi="宋体" w:cs="宋体"/>
          <w:color w:val="000000"/>
          <w:sz w:val="24"/>
          <w:szCs w:val="24"/>
        </w:rPr>
        <w:t>（5）</w:t>
      </w:r>
      <w:r>
        <w:rPr>
          <w:rFonts w:hint="eastAsia" w:hAnsi="宋体" w:cs="宋体"/>
          <w:color w:val="000000"/>
          <w:sz w:val="24"/>
          <w:szCs w:val="24"/>
        </w:rPr>
        <w:tab/>
      </w:r>
      <w:r>
        <w:rPr>
          <w:rFonts w:hint="eastAsia" w:hAnsi="宋体" w:cs="宋体"/>
          <w:color w:val="000000"/>
          <w:sz w:val="24"/>
          <w:szCs w:val="24"/>
        </w:rPr>
        <w:t>向采购人、采购代理机构或者有关部门报告评标中发现的违法行为。</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olor w:val="000000"/>
          <w:sz w:val="24"/>
        </w:rPr>
        <w:t>评标委员会应当对符合资格的投标人的投标文件进行符合性审查，以确定其是否满足招标文件的实质性要求。</w:t>
      </w:r>
      <w:bookmarkEnd w:id="76"/>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不同投标人以相同品牌产品参加同一合同项下投标，且通过资格审查、符合性审查的，按一家投标人计算，评审后得分最高的同品牌投标人获得中标人推荐资格；评审得分相同的，由采购人或者采购人委托评标委员会采取随机抽取方式确定，其他同品牌投标人不作为中标候选人。</w:t>
      </w:r>
    </w:p>
    <w:p>
      <w:pPr>
        <w:tabs>
          <w:tab w:val="left" w:pos="1260"/>
        </w:tabs>
        <w:autoSpaceDE w:val="0"/>
        <w:autoSpaceDN w:val="0"/>
        <w:adjustRightInd w:val="0"/>
        <w:snapToGrid w:val="0"/>
        <w:spacing w:after="156" w:afterLines="50"/>
        <w:ind w:left="1132" w:leftChars="539"/>
        <w:rPr>
          <w:rFonts w:ascii="宋体" w:hAnsi="宋体" w:cs="黑体"/>
          <w:color w:val="000000"/>
          <w:kern w:val="0"/>
          <w:sz w:val="24"/>
        </w:rPr>
      </w:pPr>
      <w:r>
        <w:rPr>
          <w:rFonts w:hint="eastAsia" w:ascii="宋体" w:hAnsi="宋体" w:cs="黑体"/>
          <w:color w:val="000000"/>
          <w:kern w:val="0"/>
          <w:sz w:val="24"/>
        </w:rPr>
        <w:t>非单一产品采购项目，多家投标人提供的核心产品品牌相同的，按前款规定处理。</w:t>
      </w:r>
    </w:p>
    <w:p>
      <w:pPr>
        <w:numPr>
          <w:ilvl w:val="1"/>
          <w:numId w:val="4"/>
        </w:numPr>
        <w:autoSpaceDE w:val="0"/>
        <w:autoSpaceDN w:val="0"/>
        <w:adjustRightInd w:val="0"/>
        <w:snapToGrid w:val="0"/>
        <w:spacing w:after="156" w:afterLines="50"/>
        <w:ind w:left="1133" w:hanging="1132" w:hangingChars="472"/>
        <w:rPr>
          <w:rFonts w:ascii="宋体" w:hAnsi="宋体"/>
          <w:color w:val="000000"/>
          <w:sz w:val="24"/>
        </w:rPr>
      </w:pPr>
      <w:r>
        <w:rPr>
          <w:rFonts w:hint="eastAsia" w:ascii="宋体" w:hAnsi="宋体"/>
          <w:color w:val="000000"/>
          <w:sz w:val="24"/>
        </w:rPr>
        <w:t>评标委员会按照第三章“资格审查、评标办法和标准”规定的评标方法和标准，对符合性审查合格的投标文件进行商务和技术评估，综合比较与评价。“评标办法”没有规定的方法、评审因素和标准，不作为评标依据。</w:t>
      </w:r>
    </w:p>
    <w:p>
      <w:pPr>
        <w:numPr>
          <w:ilvl w:val="1"/>
          <w:numId w:val="4"/>
        </w:numPr>
        <w:autoSpaceDE w:val="0"/>
        <w:autoSpaceDN w:val="0"/>
        <w:adjustRightInd w:val="0"/>
        <w:snapToGrid w:val="0"/>
        <w:spacing w:after="156" w:afterLines="50"/>
        <w:ind w:left="1133" w:hanging="1132" w:hangingChars="472"/>
        <w:rPr>
          <w:rFonts w:ascii="宋体" w:hAnsi="宋体"/>
          <w:color w:val="000000"/>
          <w:sz w:val="24"/>
        </w:rPr>
      </w:pPr>
      <w:r>
        <w:rPr>
          <w:rFonts w:hint="eastAsia" w:ascii="宋体" w:hAnsi="宋体"/>
          <w:color w:val="000000"/>
          <w:sz w:val="24"/>
        </w:rPr>
        <w:t>在评标过程中发现投标人有不遵循公平竞争的原则，恶意串通，妨碍其他投标人的竞争行为，损害采购人或者其他投标人的合法权益的，评标委员会应当认定其投标无效，并书面报告本级财政部门。</w:t>
      </w:r>
    </w:p>
    <w:p>
      <w:pPr>
        <w:numPr>
          <w:ilvl w:val="1"/>
          <w:numId w:val="4"/>
        </w:numPr>
        <w:autoSpaceDE w:val="0"/>
        <w:autoSpaceDN w:val="0"/>
        <w:adjustRightInd w:val="0"/>
        <w:snapToGrid w:val="0"/>
        <w:spacing w:after="156" w:afterLines="50"/>
        <w:ind w:left="1133" w:hanging="1132" w:hangingChars="472"/>
        <w:rPr>
          <w:rFonts w:ascii="宋体" w:hAnsi="宋体"/>
          <w:color w:val="000000"/>
          <w:sz w:val="24"/>
        </w:rPr>
      </w:pPr>
      <w:r>
        <w:rPr>
          <w:rFonts w:hint="eastAsia" w:ascii="宋体" w:hAnsi="宋体"/>
          <w:color w:val="000000"/>
          <w:sz w:val="24"/>
        </w:rPr>
        <w:t>公开招标数额标准以上的采购项目，投标截止后投标人不足3家或者通过资格审查或符合性审查的投标人不足3家的，除采购任务取消情形外，将重新招标或采用其他采购方式采购。</w:t>
      </w:r>
    </w:p>
    <w:p>
      <w:pPr>
        <w:autoSpaceDE w:val="0"/>
        <w:autoSpaceDN w:val="0"/>
        <w:adjustRightInd w:val="0"/>
        <w:snapToGrid w:val="0"/>
        <w:spacing w:after="156" w:afterLines="50"/>
        <w:rPr>
          <w:rFonts w:ascii="宋体" w:hAnsi="宋体"/>
          <w:color w:val="000000"/>
          <w:sz w:val="24"/>
        </w:rPr>
      </w:pP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77" w:name="_Toc19223"/>
      <w:bookmarkStart w:id="78" w:name="_Toc195921830"/>
      <w:bookmarkStart w:id="79" w:name="_Toc22849"/>
      <w:r>
        <w:rPr>
          <w:rFonts w:hint="eastAsia" w:ascii="黑体" w:hAnsi="宋体" w:eastAsia="黑体" w:cs="黑体"/>
          <w:color w:val="000000"/>
          <w:kern w:val="0"/>
          <w:sz w:val="24"/>
        </w:rPr>
        <w:t>合同授予</w:t>
      </w:r>
      <w:bookmarkEnd w:id="77"/>
      <w:bookmarkEnd w:id="78"/>
      <w:bookmarkEnd w:id="79"/>
    </w:p>
    <w:p>
      <w:pPr>
        <w:numPr>
          <w:ilvl w:val="1"/>
          <w:numId w:val="4"/>
        </w:numPr>
        <w:autoSpaceDE w:val="0"/>
        <w:autoSpaceDN w:val="0"/>
        <w:adjustRightInd w:val="0"/>
        <w:snapToGrid w:val="0"/>
        <w:spacing w:after="156" w:afterLines="50"/>
        <w:ind w:left="1680" w:hanging="1680" w:hangingChars="700"/>
        <w:rPr>
          <w:rFonts w:ascii="宋体" w:hAnsi="宋体" w:cs="黑体"/>
          <w:color w:val="000000"/>
          <w:kern w:val="0"/>
          <w:sz w:val="24"/>
        </w:rPr>
      </w:pPr>
      <w:bookmarkStart w:id="80" w:name="_Toc195921831"/>
      <w:r>
        <w:rPr>
          <w:rFonts w:hint="eastAsia" w:ascii="宋体" w:hAnsi="宋体" w:cs="黑体"/>
          <w:color w:val="000000"/>
          <w:kern w:val="0"/>
          <w:sz w:val="24"/>
        </w:rPr>
        <w:t>定标方式</w:t>
      </w:r>
      <w:bookmarkEnd w:id="80"/>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olor w:val="000000"/>
          <w:sz w:val="24"/>
        </w:rPr>
        <w:t>采购人按评标报告确定的中标候选人名单中按顺序确定中标人。评标委员会确定的中标候选人的人数见投标人须知前附表。</w:t>
      </w:r>
    </w:p>
    <w:p>
      <w:pPr>
        <w:numPr>
          <w:ilvl w:val="1"/>
          <w:numId w:val="4"/>
        </w:numPr>
        <w:autoSpaceDE w:val="0"/>
        <w:autoSpaceDN w:val="0"/>
        <w:adjustRightInd w:val="0"/>
        <w:snapToGrid w:val="0"/>
        <w:spacing w:after="156" w:afterLines="50"/>
        <w:ind w:left="1680" w:hanging="1680" w:hangingChars="700"/>
        <w:rPr>
          <w:rFonts w:ascii="宋体" w:hAnsi="宋体" w:cs="黑体"/>
          <w:color w:val="000000"/>
          <w:kern w:val="0"/>
          <w:sz w:val="24"/>
        </w:rPr>
      </w:pPr>
      <w:r>
        <w:rPr>
          <w:rFonts w:hint="eastAsia" w:ascii="宋体" w:hAnsi="宋体" w:cs="黑体"/>
          <w:color w:val="000000"/>
          <w:kern w:val="0"/>
          <w:sz w:val="24"/>
        </w:rPr>
        <w:t>中标公告</w:t>
      </w:r>
    </w:p>
    <w:p>
      <w:pPr>
        <w:numPr>
          <w:ilvl w:val="2"/>
          <w:numId w:val="4"/>
        </w:numPr>
        <w:tabs>
          <w:tab w:val="left" w:pos="1260"/>
        </w:tabs>
        <w:autoSpaceDE w:val="0"/>
        <w:autoSpaceDN w:val="0"/>
        <w:adjustRightInd w:val="0"/>
        <w:snapToGrid w:val="0"/>
        <w:spacing w:after="156" w:afterLines="50"/>
        <w:rPr>
          <w:rFonts w:ascii="宋体" w:hAnsi="宋体"/>
          <w:color w:val="000000"/>
          <w:sz w:val="24"/>
        </w:rPr>
      </w:pPr>
      <w:r>
        <w:rPr>
          <w:rFonts w:hint="eastAsia" w:ascii="宋体" w:hAnsi="宋体"/>
          <w:color w:val="000000"/>
          <w:sz w:val="24"/>
        </w:rPr>
        <w:t>采购人或者采购代理机构应当自中标人确定之日起2个工作日内，在省级以上财政部门指定的媒体上公告中标结果。</w:t>
      </w:r>
    </w:p>
    <w:p>
      <w:pPr>
        <w:tabs>
          <w:tab w:val="left" w:pos="1260"/>
        </w:tabs>
        <w:autoSpaceDE w:val="0"/>
        <w:autoSpaceDN w:val="0"/>
        <w:adjustRightInd w:val="0"/>
        <w:snapToGrid w:val="0"/>
        <w:spacing w:after="156" w:afterLines="50"/>
        <w:ind w:left="1134"/>
        <w:rPr>
          <w:rFonts w:ascii="宋体" w:hAnsi="宋体"/>
          <w:color w:val="000000"/>
          <w:sz w:val="24"/>
        </w:rPr>
      </w:pPr>
      <w:r>
        <w:rPr>
          <w:rFonts w:hint="eastAsia" w:ascii="宋体" w:hAnsi="宋体"/>
          <w:color w:val="000000"/>
          <w:sz w:val="24"/>
        </w:rPr>
        <w:t>中标公告期限为1个工作日。</w:t>
      </w:r>
    </w:p>
    <w:p>
      <w:pPr>
        <w:numPr>
          <w:ilvl w:val="2"/>
          <w:numId w:val="4"/>
        </w:numPr>
        <w:tabs>
          <w:tab w:val="left" w:pos="1260"/>
        </w:tabs>
        <w:autoSpaceDE w:val="0"/>
        <w:autoSpaceDN w:val="0"/>
        <w:adjustRightInd w:val="0"/>
        <w:snapToGrid w:val="0"/>
        <w:spacing w:after="156" w:afterLines="50"/>
        <w:rPr>
          <w:rFonts w:ascii="宋体" w:hAnsi="宋体"/>
          <w:color w:val="000000"/>
          <w:sz w:val="24"/>
        </w:rPr>
      </w:pPr>
      <w:r>
        <w:rPr>
          <w:rFonts w:ascii="宋体" w:hAnsi="宋体" w:cs="黑体"/>
          <w:color w:val="000000"/>
          <w:kern w:val="0"/>
          <w:sz w:val="24"/>
        </w:rPr>
        <w:t>投标人</w:t>
      </w:r>
      <w:r>
        <w:rPr>
          <w:rFonts w:hint="eastAsia" w:ascii="宋体" w:hAnsi="宋体" w:cs="黑体"/>
          <w:color w:val="000000"/>
          <w:kern w:val="0"/>
          <w:sz w:val="24"/>
        </w:rPr>
        <w:t>认为中标结果使自己的权益受到损害的，在中标公告期限届满之日</w:t>
      </w:r>
      <w:r>
        <w:rPr>
          <w:rFonts w:hint="eastAsia" w:ascii="宋体" w:hAnsi="宋体"/>
          <w:color w:val="000000"/>
          <w:sz w:val="24"/>
        </w:rPr>
        <w:t>起七个工作日内，按本须知2.5款接收质疑函的方式以书面形式一次性提出对中标结果的质疑。</w:t>
      </w:r>
    </w:p>
    <w:p>
      <w:pPr>
        <w:numPr>
          <w:ilvl w:val="1"/>
          <w:numId w:val="4"/>
        </w:numPr>
        <w:autoSpaceDE w:val="0"/>
        <w:autoSpaceDN w:val="0"/>
        <w:adjustRightInd w:val="0"/>
        <w:snapToGrid w:val="0"/>
        <w:spacing w:after="156" w:afterLines="50"/>
        <w:ind w:left="1680" w:hanging="1680" w:hangingChars="700"/>
        <w:rPr>
          <w:rFonts w:ascii="宋体" w:hAnsi="宋体" w:cs="黑体"/>
          <w:color w:val="000000"/>
          <w:kern w:val="0"/>
          <w:sz w:val="24"/>
        </w:rPr>
      </w:pPr>
      <w:bookmarkStart w:id="81" w:name="_Toc195921832"/>
      <w:r>
        <w:rPr>
          <w:rFonts w:hint="eastAsia" w:ascii="宋体" w:hAnsi="宋体" w:cs="黑体"/>
          <w:color w:val="000000"/>
          <w:kern w:val="0"/>
          <w:sz w:val="24"/>
        </w:rPr>
        <w:t>中标通知</w:t>
      </w:r>
      <w:bookmarkEnd w:id="81"/>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s="宋体"/>
          <w:color w:val="000000"/>
          <w:kern w:val="0"/>
          <w:sz w:val="24"/>
        </w:rPr>
        <w:t>在公告中标结果的同时</w:t>
      </w:r>
      <w:r>
        <w:rPr>
          <w:rFonts w:hint="eastAsia" w:ascii="宋体" w:hAnsi="宋体" w:cs="黑体"/>
          <w:color w:val="000000"/>
          <w:kern w:val="0"/>
          <w:sz w:val="24"/>
        </w:rPr>
        <w:t>，采购人以书面形式向中标人发出中标通知书，同时将中标结果通知未中标的投标人。</w:t>
      </w:r>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olor w:val="000000"/>
          <w:sz w:val="24"/>
        </w:rPr>
        <w:t>中标通知书发出后，采购人不得违法改变中标结果，中标人无正当理由不得放弃中标。</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履约保证金</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无。</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82" w:name="_Toc195921834"/>
      <w:r>
        <w:rPr>
          <w:rFonts w:hint="eastAsia" w:ascii="宋体" w:hAnsi="宋体" w:cs="黑体"/>
          <w:color w:val="000000"/>
          <w:kern w:val="0"/>
          <w:sz w:val="24"/>
        </w:rPr>
        <w:t>签订合同</w:t>
      </w:r>
      <w:bookmarkEnd w:id="82"/>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olor w:val="000000"/>
          <w:sz w:val="24"/>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napToGrid w:val="0"/>
        <w:spacing w:after="156" w:afterLines="50"/>
        <w:ind w:left="1134"/>
        <w:rPr>
          <w:rFonts w:ascii="宋体" w:hAnsi="宋体"/>
          <w:color w:val="000000"/>
          <w:sz w:val="24"/>
        </w:rPr>
      </w:pPr>
      <w:r>
        <w:rPr>
          <w:rFonts w:hint="eastAsia" w:ascii="宋体" w:hAnsi="宋体"/>
          <w:color w:val="000000"/>
          <w:sz w:val="24"/>
        </w:rPr>
        <w:t>采购人不得向中标人提出任何不合理的要求作为签订合同的条件。</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中标或者成交投标人拒绝与采购人签订合同的，采购人可以按照评审报告推荐的中标或者成交候选人名单排序，确定下一候选人为中标或者成交投标人，也可以重新开展政府采购活动。中标人无正当理由拒签合同的，采购人取消其中标资格，其投标保证金不予退还；给采购人造成的损失超过投标保证金数额的，中标人还应当对超过部分予以赔偿。</w:t>
      </w:r>
    </w:p>
    <w:p>
      <w:pPr>
        <w:numPr>
          <w:ilvl w:val="2"/>
          <w:numId w:val="4"/>
        </w:numPr>
        <w:tabs>
          <w:tab w:val="left" w:pos="1260"/>
        </w:tabs>
        <w:autoSpaceDE w:val="0"/>
        <w:autoSpaceDN w:val="0"/>
        <w:adjustRightInd w:val="0"/>
        <w:snapToGrid w:val="0"/>
        <w:spacing w:after="156" w:afterLines="50"/>
        <w:rPr>
          <w:rFonts w:ascii="宋体" w:hAnsi="宋体" w:cs="黑体"/>
          <w:color w:val="000000"/>
          <w:kern w:val="0"/>
          <w:sz w:val="24"/>
        </w:rPr>
      </w:pPr>
      <w:r>
        <w:rPr>
          <w:rFonts w:hint="eastAsia" w:ascii="宋体" w:hAnsi="宋体" w:cs="黑体"/>
          <w:color w:val="000000"/>
          <w:kern w:val="0"/>
          <w:sz w:val="24"/>
        </w:rPr>
        <w:t>发出中标通知书后，采购人无正当理由拒签合同的，采购人向中标人退还投标保证金；给中标人造成损失的，还应当赔偿损失。</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83" w:name="_Toc195921838"/>
      <w:bookmarkStart w:id="84" w:name="_Toc28634"/>
      <w:bookmarkStart w:id="85" w:name="_Toc2343"/>
      <w:r>
        <w:rPr>
          <w:rFonts w:hint="eastAsia" w:ascii="黑体" w:hAnsi="宋体" w:eastAsia="黑体" w:cs="黑体"/>
          <w:color w:val="000000"/>
          <w:kern w:val="0"/>
          <w:sz w:val="24"/>
        </w:rPr>
        <w:t>纪律和监督</w:t>
      </w:r>
      <w:bookmarkEnd w:id="83"/>
      <w:bookmarkEnd w:id="84"/>
      <w:bookmarkEnd w:id="85"/>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86" w:name="_Toc195921839"/>
      <w:r>
        <w:rPr>
          <w:rFonts w:hint="eastAsia" w:ascii="宋体" w:hAnsi="宋体" w:cs="黑体"/>
          <w:color w:val="000000"/>
          <w:kern w:val="0"/>
          <w:sz w:val="24"/>
        </w:rPr>
        <w:t>对采购人的要求</w:t>
      </w:r>
      <w:bookmarkEnd w:id="86"/>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Ansi="宋体" w:cs="宋体"/>
          <w:color w:val="000000"/>
          <w:sz w:val="24"/>
        </w:rPr>
        <w:t>采购人在政府采购活动中应当维护国家利益和社会公共利益，公正廉洁，诚实守信，执行政府采购政策</w:t>
      </w:r>
      <w:r>
        <w:rPr>
          <w:rFonts w:hint="eastAsia" w:hAnsi="宋体" w:cs="宋体"/>
          <w:color w:val="000000"/>
          <w:sz w:val="24"/>
        </w:rPr>
        <w:t>。</w:t>
      </w:r>
      <w:r>
        <w:rPr>
          <w:rFonts w:hAnsi="宋体" w:cs="宋体"/>
          <w:color w:val="000000"/>
          <w:sz w:val="24"/>
        </w:rPr>
        <w:t>采购人不得向投标人索要或者接受其给予的赠品、回扣或者与采购无关的其他商品、服务</w:t>
      </w:r>
      <w:r>
        <w:rPr>
          <w:rFonts w:hint="eastAsia" w:ascii="宋体" w:hAnsi="宋体" w:cs="黑体"/>
          <w:color w:val="000000"/>
          <w:kern w:val="0"/>
          <w:sz w:val="24"/>
        </w:rPr>
        <w:t>。</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87" w:name="_Toc195921840"/>
      <w:r>
        <w:rPr>
          <w:rFonts w:hint="eastAsia" w:ascii="宋体" w:hAnsi="宋体" w:cs="黑体"/>
          <w:color w:val="000000"/>
          <w:kern w:val="0"/>
          <w:sz w:val="24"/>
        </w:rPr>
        <w:t>对采购代理机构的要求</w:t>
      </w:r>
    </w:p>
    <w:p>
      <w:pPr>
        <w:tabs>
          <w:tab w:val="left" w:pos="1260"/>
        </w:tabs>
        <w:autoSpaceDE w:val="0"/>
        <w:autoSpaceDN w:val="0"/>
        <w:adjustRightInd w:val="0"/>
        <w:snapToGrid w:val="0"/>
        <w:spacing w:after="156" w:afterLines="50"/>
        <w:ind w:left="1134"/>
        <w:rPr>
          <w:rFonts w:hAnsi="宋体" w:cs="宋体"/>
          <w:color w:val="000000"/>
          <w:sz w:val="24"/>
        </w:rPr>
      </w:pPr>
      <w:r>
        <w:rPr>
          <w:rFonts w:hAnsi="宋体" w:cs="宋体"/>
          <w:color w:val="000000"/>
          <w:sz w:val="24"/>
        </w:rPr>
        <w:t>采购代理机构不得与采购人、投标人恶意串通操纵政府采购活动。</w:t>
      </w:r>
    </w:p>
    <w:p>
      <w:pPr>
        <w:tabs>
          <w:tab w:val="left" w:pos="1260"/>
        </w:tabs>
        <w:autoSpaceDE w:val="0"/>
        <w:autoSpaceDN w:val="0"/>
        <w:adjustRightInd w:val="0"/>
        <w:snapToGrid w:val="0"/>
        <w:spacing w:after="156" w:afterLines="50"/>
        <w:ind w:left="1134"/>
        <w:rPr>
          <w:rFonts w:hAnsi="宋体" w:cs="宋体"/>
          <w:color w:val="000000"/>
          <w:sz w:val="24"/>
        </w:rPr>
      </w:pPr>
      <w:r>
        <w:rPr>
          <w:rFonts w:hAnsi="宋体" w:cs="宋体"/>
          <w:color w:val="000000"/>
          <w:sz w:val="24"/>
        </w:rPr>
        <w:t>采购代理机构工作人员不得接受采购人或者投标人组织的宴请、旅游、娱乐，不得收受礼品、现金、有价证券等，不得向采购人或者投标人报销应当由个人承担的费用。</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r>
        <w:rPr>
          <w:rFonts w:hint="eastAsia" w:ascii="宋体" w:hAnsi="宋体" w:cs="黑体"/>
          <w:color w:val="000000"/>
          <w:kern w:val="0"/>
          <w:sz w:val="24"/>
        </w:rPr>
        <w:t>对投标人的纪律要求</w:t>
      </w:r>
      <w:bookmarkEnd w:id="87"/>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s="黑体"/>
          <w:color w:val="000000"/>
          <w:kern w:val="0"/>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88" w:name="_Toc195921841"/>
      <w:r>
        <w:rPr>
          <w:rFonts w:hint="eastAsia" w:ascii="宋体" w:hAnsi="宋体" w:cs="黑体"/>
          <w:color w:val="000000"/>
          <w:kern w:val="0"/>
          <w:sz w:val="24"/>
        </w:rPr>
        <w:t>评标委员会及其成员不得有下列行为</w:t>
      </w:r>
      <w:bookmarkEnd w:id="88"/>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（1）</w:t>
      </w:r>
      <w:r>
        <w:rPr>
          <w:rFonts w:hint="eastAsia" w:ascii="宋体" w:hAnsi="宋体"/>
          <w:color w:val="000000"/>
          <w:sz w:val="24"/>
        </w:rPr>
        <w:tab/>
      </w:r>
      <w:r>
        <w:rPr>
          <w:rFonts w:hint="eastAsia" w:ascii="宋体" w:hAnsi="宋体"/>
          <w:color w:val="000000"/>
          <w:sz w:val="24"/>
        </w:rPr>
        <w:t>确定参与评标至评标结束前私自接触投标人；</w:t>
      </w:r>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（2）</w:t>
      </w:r>
      <w:r>
        <w:rPr>
          <w:rFonts w:hint="eastAsia" w:ascii="宋体" w:hAnsi="宋体"/>
          <w:color w:val="000000"/>
          <w:sz w:val="24"/>
        </w:rPr>
        <w:tab/>
      </w:r>
      <w:r>
        <w:rPr>
          <w:rFonts w:hint="eastAsia" w:ascii="宋体" w:hAnsi="宋体"/>
          <w:color w:val="000000"/>
          <w:sz w:val="24"/>
        </w:rPr>
        <w:t>接受投标人提出的与投标文件不一致的澄清或者说明，评标委员会要求投标人作出必要的澄清、说明或者补正的情形除外；</w:t>
      </w:r>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（3）</w:t>
      </w:r>
      <w:r>
        <w:rPr>
          <w:rFonts w:hint="eastAsia" w:ascii="宋体" w:hAnsi="宋体"/>
          <w:color w:val="000000"/>
          <w:sz w:val="24"/>
        </w:rPr>
        <w:tab/>
      </w:r>
      <w:r>
        <w:rPr>
          <w:rFonts w:hint="eastAsia" w:ascii="宋体" w:hAnsi="宋体"/>
          <w:color w:val="000000"/>
          <w:sz w:val="24"/>
        </w:rPr>
        <w:t>违反评标纪律发表倾向性意见或者征询采购人的倾向性意见；</w:t>
      </w:r>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（4）</w:t>
      </w:r>
      <w:r>
        <w:rPr>
          <w:rFonts w:hint="eastAsia" w:ascii="宋体" w:hAnsi="宋体"/>
          <w:color w:val="000000"/>
          <w:sz w:val="24"/>
        </w:rPr>
        <w:tab/>
      </w:r>
      <w:r>
        <w:rPr>
          <w:rFonts w:hint="eastAsia" w:ascii="宋体" w:hAnsi="宋体"/>
          <w:color w:val="000000"/>
          <w:sz w:val="24"/>
        </w:rPr>
        <w:t>对需要专业判断的主观评审因素协商评分；</w:t>
      </w:r>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（5）</w:t>
      </w:r>
      <w:r>
        <w:rPr>
          <w:rFonts w:hint="eastAsia" w:ascii="宋体" w:hAnsi="宋体"/>
          <w:color w:val="000000"/>
          <w:sz w:val="24"/>
        </w:rPr>
        <w:tab/>
      </w:r>
      <w:r>
        <w:rPr>
          <w:rFonts w:hint="eastAsia" w:ascii="宋体" w:hAnsi="宋体"/>
          <w:color w:val="000000"/>
          <w:sz w:val="24"/>
        </w:rPr>
        <w:t>在评标过程中擅离职守，影响评标程序正常进行的；</w:t>
      </w:r>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（6）</w:t>
      </w:r>
      <w:r>
        <w:rPr>
          <w:rFonts w:hint="eastAsia" w:ascii="宋体" w:hAnsi="宋体"/>
          <w:color w:val="000000"/>
          <w:sz w:val="24"/>
        </w:rPr>
        <w:tab/>
      </w:r>
      <w:r>
        <w:rPr>
          <w:rFonts w:hint="eastAsia" w:ascii="宋体" w:hAnsi="宋体"/>
          <w:color w:val="000000"/>
          <w:sz w:val="24"/>
        </w:rPr>
        <w:t>记录、复制或者带走任何评标资料；</w:t>
      </w:r>
    </w:p>
    <w:p>
      <w:pPr>
        <w:snapToGrid w:val="0"/>
        <w:spacing w:after="156" w:afterLines="50"/>
        <w:ind w:left="1840" w:leftChars="539" w:hanging="708" w:hangingChars="295"/>
        <w:rPr>
          <w:rFonts w:ascii="宋体" w:hAnsi="宋体"/>
          <w:color w:val="000000"/>
          <w:sz w:val="24"/>
        </w:rPr>
      </w:pPr>
      <w:r>
        <w:rPr>
          <w:rFonts w:hint="eastAsia" w:ascii="宋体" w:hAnsi="宋体"/>
          <w:color w:val="000000"/>
          <w:sz w:val="24"/>
        </w:rPr>
        <w:t>（7）</w:t>
      </w:r>
      <w:r>
        <w:rPr>
          <w:rFonts w:hint="eastAsia" w:ascii="宋体" w:hAnsi="宋体"/>
          <w:color w:val="000000"/>
          <w:sz w:val="24"/>
        </w:rPr>
        <w:tab/>
      </w:r>
      <w:r>
        <w:rPr>
          <w:rFonts w:hint="eastAsia" w:ascii="宋体" w:hAnsi="宋体"/>
          <w:color w:val="000000"/>
          <w:sz w:val="24"/>
        </w:rPr>
        <w:t>其他不遵守评标纪律的行为。</w:t>
      </w:r>
    </w:p>
    <w:p>
      <w:pPr>
        <w:numPr>
          <w:ilvl w:val="1"/>
          <w:numId w:val="4"/>
        </w:numPr>
        <w:autoSpaceDE w:val="0"/>
        <w:autoSpaceDN w:val="0"/>
        <w:adjustRightInd w:val="0"/>
        <w:snapToGrid w:val="0"/>
        <w:spacing w:after="156" w:afterLines="50"/>
        <w:ind w:left="1133" w:hanging="1132" w:hangingChars="472"/>
        <w:rPr>
          <w:rFonts w:ascii="宋体" w:hAnsi="宋体" w:cs="黑体"/>
          <w:color w:val="000000"/>
          <w:kern w:val="0"/>
          <w:sz w:val="24"/>
        </w:rPr>
      </w:pPr>
      <w:bookmarkStart w:id="89" w:name="_Toc195921842"/>
      <w:r>
        <w:rPr>
          <w:rFonts w:hint="eastAsia" w:ascii="宋体" w:hAnsi="宋体" w:cs="黑体"/>
          <w:color w:val="000000"/>
          <w:kern w:val="0"/>
          <w:sz w:val="24"/>
        </w:rPr>
        <w:t>对与评标活动有关的工作人员的纪律要求</w:t>
      </w:r>
      <w:bookmarkEnd w:id="89"/>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s="黑体"/>
          <w:color w:val="000000"/>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4"/>
        </w:numPr>
        <w:autoSpaceDE w:val="0"/>
        <w:autoSpaceDN w:val="0"/>
        <w:adjustRightInd w:val="0"/>
        <w:snapToGrid w:val="0"/>
        <w:spacing w:after="156" w:afterLines="50"/>
        <w:ind w:left="1920" w:hanging="1920" w:hangingChars="800"/>
        <w:rPr>
          <w:rFonts w:ascii="宋体" w:hAnsi="宋体" w:cs="黑体"/>
          <w:color w:val="000000"/>
          <w:kern w:val="0"/>
          <w:sz w:val="24"/>
        </w:rPr>
      </w:pPr>
      <w:bookmarkStart w:id="90" w:name="_Toc195921843"/>
      <w:r>
        <w:rPr>
          <w:rFonts w:hint="eastAsia" w:ascii="宋体" w:hAnsi="宋体" w:cs="黑体"/>
          <w:color w:val="000000"/>
          <w:kern w:val="0"/>
          <w:sz w:val="24"/>
        </w:rPr>
        <w:t>投诉</w:t>
      </w:r>
      <w:bookmarkEnd w:id="90"/>
    </w:p>
    <w:p>
      <w:pPr>
        <w:tabs>
          <w:tab w:val="left" w:pos="1260"/>
        </w:tabs>
        <w:autoSpaceDE w:val="0"/>
        <w:autoSpaceDN w:val="0"/>
        <w:adjustRightInd w:val="0"/>
        <w:snapToGrid w:val="0"/>
        <w:spacing w:after="156" w:afterLines="50"/>
        <w:ind w:left="1134"/>
        <w:rPr>
          <w:rFonts w:ascii="宋体" w:hAnsi="宋体" w:cs="黑体"/>
          <w:color w:val="000000"/>
          <w:kern w:val="0"/>
          <w:sz w:val="24"/>
        </w:rPr>
      </w:pPr>
      <w:r>
        <w:rPr>
          <w:rFonts w:hint="eastAsia" w:ascii="宋体" w:hAnsi="宋体" w:cs="黑体"/>
          <w:color w:val="000000"/>
          <w:kern w:val="0"/>
          <w:sz w:val="24"/>
        </w:rPr>
        <w:t>投标人和其他利害关系人认为本次招标活动违反法律、法规和规章规定的，有权向有关行政监督部门投诉。</w:t>
      </w:r>
    </w:p>
    <w:p>
      <w:pPr>
        <w:numPr>
          <w:ilvl w:val="0"/>
          <w:numId w:val="4"/>
        </w:numPr>
        <w:autoSpaceDE w:val="0"/>
        <w:autoSpaceDN w:val="0"/>
        <w:adjustRightInd w:val="0"/>
        <w:spacing w:after="156" w:afterLines="50"/>
        <w:outlineLvl w:val="2"/>
        <w:rPr>
          <w:rFonts w:ascii="黑体" w:hAnsi="宋体" w:eastAsia="黑体" w:cs="黑体"/>
          <w:color w:val="000000"/>
          <w:kern w:val="0"/>
          <w:sz w:val="24"/>
        </w:rPr>
      </w:pPr>
      <w:bookmarkStart w:id="91" w:name="_Toc195921844"/>
      <w:bookmarkStart w:id="92" w:name="_Toc29652"/>
      <w:bookmarkStart w:id="93" w:name="_Toc25557"/>
      <w:r>
        <w:rPr>
          <w:rFonts w:hint="eastAsia" w:ascii="黑体" w:hAnsi="宋体" w:eastAsia="黑体" w:cs="黑体"/>
          <w:color w:val="000000"/>
          <w:kern w:val="0"/>
          <w:sz w:val="24"/>
        </w:rPr>
        <w:t>需要补充的其他内容</w:t>
      </w:r>
      <w:bookmarkEnd w:id="91"/>
      <w:bookmarkEnd w:id="92"/>
      <w:bookmarkEnd w:id="93"/>
    </w:p>
    <w:p>
      <w:pPr>
        <w:numPr>
          <w:ilvl w:val="0"/>
          <w:numId w:val="10"/>
        </w:numPr>
        <w:tabs>
          <w:tab w:val="left" w:pos="1843"/>
        </w:tabs>
        <w:autoSpaceDE w:val="0"/>
        <w:autoSpaceDN w:val="0"/>
        <w:adjustRightInd w:val="0"/>
        <w:snapToGrid w:val="0"/>
        <w:spacing w:after="156" w:afterLines="50"/>
        <w:ind w:left="1843" w:hanging="822"/>
        <w:rPr>
          <w:rFonts w:ascii="宋体" w:hAnsi="宋体" w:cs="黑体"/>
          <w:color w:val="000000"/>
          <w:kern w:val="0"/>
          <w:sz w:val="24"/>
        </w:rPr>
      </w:pPr>
      <w:r>
        <w:rPr>
          <w:rFonts w:hint="eastAsia" w:ascii="宋体" w:hAnsi="宋体" w:cs="黑体"/>
          <w:color w:val="000000"/>
          <w:kern w:val="0"/>
          <w:sz w:val="24"/>
        </w:rPr>
        <w:t>采购人中标后须向招标代理机构交纳招标服务费。</w:t>
      </w:r>
    </w:p>
    <w:p>
      <w:pPr>
        <w:tabs>
          <w:tab w:val="left" w:pos="1843"/>
        </w:tabs>
        <w:autoSpaceDE w:val="0"/>
        <w:autoSpaceDN w:val="0"/>
        <w:adjustRightInd w:val="0"/>
        <w:snapToGrid w:val="0"/>
        <w:spacing w:after="156" w:afterLines="50"/>
        <w:ind w:left="1843"/>
        <w:rPr>
          <w:rFonts w:ascii="宋体" w:hAnsi="宋体" w:cs="黑体"/>
          <w:color w:val="000000"/>
          <w:kern w:val="0"/>
          <w:sz w:val="24"/>
        </w:rPr>
      </w:pPr>
      <w:r>
        <w:rPr>
          <w:rFonts w:hint="eastAsia" w:ascii="宋体" w:hAnsi="宋体" w:cs="黑体"/>
          <w:color w:val="000000"/>
          <w:kern w:val="0"/>
          <w:sz w:val="24"/>
        </w:rPr>
        <w:t>按计价格（2002）1980号文件（货物类）向中标单位收取。</w:t>
      </w:r>
    </w:p>
    <w:p>
      <w:pPr>
        <w:numPr>
          <w:ilvl w:val="0"/>
          <w:numId w:val="10"/>
        </w:numPr>
        <w:tabs>
          <w:tab w:val="left" w:pos="1843"/>
        </w:tabs>
        <w:autoSpaceDE w:val="0"/>
        <w:autoSpaceDN w:val="0"/>
        <w:adjustRightInd w:val="0"/>
        <w:snapToGrid w:val="0"/>
        <w:spacing w:after="156" w:afterLines="50"/>
        <w:ind w:left="1843" w:hanging="822"/>
        <w:rPr>
          <w:rFonts w:ascii="宋体" w:hAnsi="宋体" w:cs="黑体"/>
          <w:color w:val="000000"/>
          <w:kern w:val="0"/>
          <w:sz w:val="24"/>
        </w:rPr>
      </w:pPr>
      <w:r>
        <w:rPr>
          <w:rFonts w:hint="eastAsia" w:ascii="宋体" w:hAnsi="宋体" w:cs="黑体"/>
          <w:color w:val="000000"/>
          <w:kern w:val="0"/>
          <w:sz w:val="24"/>
        </w:rPr>
        <w:t>需要补充的其他内容：见投标人须知前附表。</w:t>
      </w:r>
    </w:p>
    <w:p>
      <w:pPr>
        <w:snapToGrid w:val="0"/>
        <w:spacing w:after="156"/>
        <w:jc w:val="center"/>
        <w:rPr>
          <w:rStyle w:val="39"/>
        </w:rPr>
      </w:pPr>
      <w:r>
        <w:rPr>
          <w:rStyle w:val="39"/>
        </w:rPr>
        <w:br w:type="page"/>
      </w:r>
    </w:p>
    <w:p>
      <w:pPr>
        <w:snapToGrid w:val="0"/>
        <w:spacing w:after="156"/>
        <w:jc w:val="center"/>
        <w:outlineLvl w:val="0"/>
        <w:rPr>
          <w:rStyle w:val="39"/>
          <w:rFonts w:ascii="宋体" w:hAnsi="宋体"/>
          <w:kern w:val="0"/>
          <w:sz w:val="32"/>
          <w:szCs w:val="32"/>
        </w:rPr>
      </w:pPr>
      <w:bookmarkStart w:id="94" w:name="_Toc25118"/>
      <w:r>
        <w:rPr>
          <w:rStyle w:val="39"/>
          <w:rFonts w:ascii="宋体" w:hAnsi="宋体"/>
          <w:kern w:val="0"/>
          <w:sz w:val="32"/>
          <w:szCs w:val="32"/>
        </w:rPr>
        <w:t>第三章 资格审查、评标办法和标准</w:t>
      </w:r>
      <w:bookmarkEnd w:id="94"/>
    </w:p>
    <w:p>
      <w:pPr>
        <w:snapToGrid w:val="0"/>
        <w:spacing w:after="156"/>
        <w:jc w:val="left"/>
        <w:rPr>
          <w:rStyle w:val="39"/>
          <w:rFonts w:ascii="宋体"/>
          <w:kern w:val="0"/>
          <w:szCs w:val="21"/>
        </w:rPr>
      </w:pP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资格审查及标准</w:t>
      </w:r>
    </w:p>
    <w:p>
      <w:pPr>
        <w:snapToGrid w:val="0"/>
        <w:spacing w:after="156"/>
        <w:ind w:left="991" w:leftChars="472"/>
        <w:rPr>
          <w:rStyle w:val="39"/>
          <w:rFonts w:ascii="宋体" w:hAnsi="宋体" w:cs="宋体"/>
          <w:kern w:val="0"/>
          <w:sz w:val="24"/>
        </w:rPr>
      </w:pPr>
      <w:r>
        <w:rPr>
          <w:rStyle w:val="39"/>
          <w:rFonts w:hint="eastAsia" w:ascii="宋体" w:hAnsi="宋体" w:cs="宋体"/>
          <w:kern w:val="0"/>
          <w:sz w:val="24"/>
        </w:rPr>
        <w:t>详见投标人须知前附表6.1，由采购人或采购代理机构按附表一所列审查标准，对投标人资格进行审查，以确定投标人是否具备投标资格，投标人未通过资格审查的，其投标无效。</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评标方法</w:t>
      </w:r>
    </w:p>
    <w:p>
      <w:pPr>
        <w:tabs>
          <w:tab w:val="left" w:pos="993"/>
        </w:tabs>
        <w:snapToGrid w:val="0"/>
        <w:spacing w:after="156"/>
        <w:ind w:left="1058" w:leftChars="503" w:hanging="2"/>
        <w:jc w:val="left"/>
        <w:rPr>
          <w:rStyle w:val="39"/>
          <w:rFonts w:ascii="宋体" w:hAnsi="宋体" w:cs="宋体"/>
          <w:kern w:val="0"/>
          <w:sz w:val="24"/>
        </w:rPr>
      </w:pPr>
      <w:r>
        <w:rPr>
          <w:rStyle w:val="39"/>
          <w:rFonts w:hint="eastAsia" w:ascii="宋体" w:hAnsi="宋体" w:cs="宋体"/>
          <w:kern w:val="0"/>
          <w:sz w:val="24"/>
        </w:rPr>
        <w:t>本次评标采用综合评分法。评标委员会对满足招标文件实质性要求的投标文件，按照本章第3条规定的评审标准进行打分，并按得分由高到低顺序推荐中标候选人，或根据采购人授权直接确定中标人。得分相同的，按投标报价由低到高顺序排列。得分且投标报价相同的并列。中标候选人并列的，由采购人或者采购人委托评标委员会按照招标文件规定的方式确定中标人；招标文件未规定的，采取随机抽取的方式确定。</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评审标准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符合性评审标准：见附表二。投标人须满足附表二符合性审查表的全部内容，否则其投标无效。</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分值构成</w:t>
      </w:r>
    </w:p>
    <w:p>
      <w:pPr>
        <w:tabs>
          <w:tab w:val="left" w:pos="993"/>
        </w:tabs>
        <w:snapToGrid w:val="0"/>
        <w:spacing w:after="156"/>
        <w:ind w:left="2264" w:leftChars="514" w:hanging="1185" w:hangingChars="494"/>
        <w:jc w:val="left"/>
        <w:rPr>
          <w:rStyle w:val="39"/>
          <w:rFonts w:ascii="宋体" w:hAnsi="宋体" w:cs="宋体"/>
          <w:kern w:val="0"/>
          <w:sz w:val="24"/>
        </w:rPr>
      </w:pPr>
      <w:r>
        <w:rPr>
          <w:rStyle w:val="39"/>
          <w:rFonts w:hint="eastAsia" w:ascii="宋体" w:hAnsi="宋体" w:cs="宋体"/>
          <w:kern w:val="0"/>
          <w:sz w:val="24"/>
        </w:rPr>
        <w:t>分值构成：总分100分。</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商务和技术评审标准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商务部分评分标准：见附表三</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投标报价评分标准：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1）根据《政府采购促进中小企业发展管理办法》（财库〔2020〕46号）及《关于进一步加大政府采购支持中小企业力度的通知》（财库〔2022〕19号）调整投标人参与评标的价格，用扣除后的价格参与评审。（非专门面向中小企业的项目）</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对小型和微型企业产品的价格给予10%的扣除。或大中型企业与小型、微型企业组成联合体，联合体协议约定小型、微型企业的合同份额占到合同总金额30%以上的，可给予联合体4%的价格扣除。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分包意向协议约定小型、微型企业的合同份额占到合同总金额30%以上的，大中型企业的报价给予4%的价格扣除</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注：联合体各方均为小型、微型企业的，联合体视同为小型、微型企业；监狱企业、残疾人福利性单位视同小微企业；监狱企业、残疾人福利性单位属于小型、微型企业的，不重复享受政策。</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（2）评标基准价</w:t>
      </w:r>
    </w:p>
    <w:p>
      <w:pPr>
        <w:tabs>
          <w:tab w:val="left" w:pos="993"/>
        </w:tabs>
        <w:snapToGrid w:val="0"/>
        <w:spacing w:after="156"/>
        <w:ind w:left="1699" w:leftChars="809"/>
        <w:jc w:val="left"/>
        <w:rPr>
          <w:rStyle w:val="39"/>
          <w:rFonts w:ascii="宋体" w:hAnsi="宋体" w:cs="宋体"/>
          <w:kern w:val="0"/>
          <w:sz w:val="24"/>
        </w:rPr>
      </w:pPr>
      <w:r>
        <w:rPr>
          <w:rStyle w:val="39"/>
          <w:rFonts w:hint="eastAsia" w:ascii="宋体" w:hAnsi="宋体" w:cs="宋体"/>
          <w:kern w:val="0"/>
          <w:sz w:val="24"/>
        </w:rPr>
        <w:t>有效投标文件中的并按3.3.3项（1）进行调整的最低报价为评标基准价。</w:t>
      </w:r>
    </w:p>
    <w:p>
      <w:pPr>
        <w:tabs>
          <w:tab w:val="left" w:pos="993"/>
        </w:tabs>
        <w:snapToGrid w:val="0"/>
        <w:spacing w:after="156"/>
        <w:ind w:left="2041" w:leftChars="515" w:hanging="960" w:hangingChars="400"/>
        <w:jc w:val="left"/>
        <w:rPr>
          <w:rStyle w:val="39"/>
          <w:rFonts w:ascii="宋体" w:hAnsi="宋体" w:cs="宋体"/>
          <w:kern w:val="0"/>
          <w:sz w:val="24"/>
        </w:rPr>
      </w:pPr>
      <w:r>
        <w:rPr>
          <w:rStyle w:val="39"/>
          <w:rFonts w:hint="eastAsia" w:ascii="宋体" w:hAnsi="宋体" w:cs="宋体"/>
          <w:kern w:val="0"/>
          <w:sz w:val="24"/>
        </w:rPr>
        <w:t>（3）投标人报价（按3.3.3项（1）进行调整后价格）得分：</w:t>
      </w:r>
    </w:p>
    <w:p>
      <w:pPr>
        <w:tabs>
          <w:tab w:val="left" w:pos="993"/>
        </w:tabs>
        <w:snapToGrid w:val="0"/>
        <w:spacing w:after="156"/>
        <w:ind w:left="2039" w:leftChars="810" w:hanging="338" w:hangingChars="141"/>
        <w:jc w:val="left"/>
        <w:rPr>
          <w:rStyle w:val="39"/>
          <w:rFonts w:ascii="宋体" w:hAnsi="宋体" w:cs="宋体"/>
          <w:kern w:val="0"/>
          <w:sz w:val="24"/>
        </w:rPr>
      </w:pPr>
      <w:r>
        <w:rPr>
          <w:rStyle w:val="39"/>
          <w:rFonts w:hint="eastAsia" w:ascii="宋体" w:hAnsi="宋体" w:cs="宋体"/>
          <w:kern w:val="0"/>
          <w:sz w:val="24"/>
        </w:rPr>
        <w:t>投标报价得分=(评标基准价／投标报价)×100×价格权重</w:t>
      </w:r>
    </w:p>
    <w:p>
      <w:pPr>
        <w:numPr>
          <w:ilvl w:val="0"/>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评审程序</w:t>
      </w:r>
    </w:p>
    <w:p>
      <w:pPr>
        <w:numPr>
          <w:ilvl w:val="1"/>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符合性检查。</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评标委员会按附表二所列标准，对投标文件的有效性、完整性和对招标文件的响应程度进行审查，以确定是否对招标文件的实质性要求作出响应。</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澄清有关问题。</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评标委员会不接受投标人主动提出的澄清、说明或补正。</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投标人的书面澄清、说明和补正属于投标文件的组成部分。</w:t>
      </w:r>
    </w:p>
    <w:p>
      <w:pPr>
        <w:tabs>
          <w:tab w:val="left" w:pos="993"/>
          <w:tab w:val="left" w:pos="1418"/>
        </w:tabs>
        <w:snapToGrid w:val="0"/>
        <w:spacing w:before="120" w:after="156"/>
        <w:ind w:left="1699" w:leftChars="472" w:hanging="708" w:hangingChars="295"/>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评标委员会对投标人提交的澄清、说明或补正有疑问的，可以要求投标人进一步澄清、说明或补正，直至满足评标委员会的要求。</w:t>
      </w:r>
    </w:p>
    <w:p>
      <w:pPr>
        <w:numPr>
          <w:ilvl w:val="2"/>
          <w:numId w:val="11"/>
        </w:numPr>
        <w:tabs>
          <w:tab w:val="left" w:pos="993"/>
          <w:tab w:val="left" w:pos="1077"/>
        </w:tabs>
        <w:snapToGrid w:val="0"/>
        <w:spacing w:before="120" w:after="156"/>
        <w:ind w:left="993" w:hanging="993"/>
        <w:jc w:val="left"/>
        <w:rPr>
          <w:rStyle w:val="39"/>
          <w:rFonts w:ascii="宋体" w:hAnsi="宋体" w:cs="宋体"/>
          <w:kern w:val="0"/>
          <w:sz w:val="24"/>
        </w:rPr>
      </w:pPr>
      <w:r>
        <w:rPr>
          <w:rStyle w:val="39"/>
          <w:rFonts w:hint="eastAsia" w:ascii="宋体" w:hAnsi="宋体" w:cs="宋体"/>
          <w:kern w:val="0"/>
          <w:sz w:val="24"/>
        </w:rPr>
        <w:t>投标文件报价出现前后不一致的，除招标文件另有规定外，按照下列规定修正：</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（1）</w:t>
      </w:r>
      <w:r>
        <w:rPr>
          <w:rStyle w:val="39"/>
          <w:rFonts w:hint="eastAsia" w:ascii="宋体" w:hAnsi="宋体" w:cs="宋体"/>
          <w:kern w:val="0"/>
          <w:sz w:val="24"/>
        </w:rPr>
        <w:tab/>
      </w:r>
      <w:r>
        <w:rPr>
          <w:rStyle w:val="39"/>
          <w:rFonts w:hint="eastAsia" w:ascii="宋体" w:hAnsi="宋体" w:cs="宋体"/>
          <w:kern w:val="0"/>
          <w:sz w:val="24"/>
        </w:rPr>
        <w:t>投标文件中开标一览表（报价表）内容与投标文件中相应内容不一致的，以开标一览表（报价表）为准；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（2）</w:t>
      </w:r>
      <w:r>
        <w:rPr>
          <w:rStyle w:val="39"/>
          <w:rFonts w:hint="eastAsia" w:ascii="宋体" w:hAnsi="宋体" w:cs="宋体"/>
          <w:kern w:val="0"/>
          <w:sz w:val="24"/>
        </w:rPr>
        <w:tab/>
      </w:r>
      <w:r>
        <w:rPr>
          <w:rStyle w:val="39"/>
          <w:rFonts w:hint="eastAsia" w:ascii="宋体" w:hAnsi="宋体" w:cs="宋体"/>
          <w:kern w:val="0"/>
          <w:sz w:val="24"/>
        </w:rPr>
        <w:t>大写金额和小写金额不一致的，以大写金额为准；</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（3）</w:t>
      </w:r>
      <w:r>
        <w:rPr>
          <w:rStyle w:val="39"/>
          <w:rFonts w:hint="eastAsia" w:ascii="宋体" w:hAnsi="宋体" w:cs="宋体"/>
          <w:kern w:val="0"/>
          <w:sz w:val="24"/>
        </w:rPr>
        <w:tab/>
      </w:r>
      <w:r>
        <w:rPr>
          <w:rStyle w:val="39"/>
          <w:rFonts w:hint="eastAsia" w:ascii="宋体" w:hAnsi="宋体" w:cs="宋体"/>
          <w:kern w:val="0"/>
          <w:sz w:val="24"/>
        </w:rPr>
        <w:t>单价金额小数点或者百分比有明显错位的，以开标一览表（报价表）的总价为准，并修改单价；</w:t>
      </w:r>
    </w:p>
    <w:p>
      <w:pPr>
        <w:tabs>
          <w:tab w:val="left" w:pos="993"/>
        </w:tabs>
        <w:snapToGrid w:val="0"/>
        <w:spacing w:after="156"/>
        <w:ind w:left="1696" w:leftChars="513" w:hanging="619" w:hangingChars="258"/>
        <w:jc w:val="left"/>
        <w:rPr>
          <w:rStyle w:val="39"/>
          <w:rFonts w:ascii="宋体" w:hAnsi="宋体" w:cs="宋体"/>
          <w:kern w:val="0"/>
          <w:sz w:val="24"/>
        </w:rPr>
      </w:pPr>
      <w:r>
        <w:rPr>
          <w:rStyle w:val="39"/>
          <w:rFonts w:hint="eastAsia" w:ascii="宋体" w:hAnsi="宋体" w:cs="宋体"/>
          <w:kern w:val="0"/>
          <w:sz w:val="24"/>
        </w:rPr>
        <w:t>（4）</w:t>
      </w:r>
      <w:r>
        <w:rPr>
          <w:rStyle w:val="39"/>
          <w:rFonts w:hint="eastAsia" w:ascii="宋体" w:hAnsi="宋体" w:cs="宋体"/>
          <w:kern w:val="0"/>
          <w:sz w:val="24"/>
        </w:rPr>
        <w:tab/>
      </w:r>
      <w:r>
        <w:rPr>
          <w:rStyle w:val="39"/>
          <w:rFonts w:hint="eastAsia" w:ascii="宋体" w:hAnsi="宋体" w:cs="宋体"/>
          <w:kern w:val="0"/>
          <w:sz w:val="24"/>
        </w:rPr>
        <w:t>总价金额与按单价汇总金额不一致的，以单价金额计算结果为准。</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同时出现两种以上不一致的，按照前款规定的顺序修正。修正后的报价经投标人确认后产生约束力，投标人不确认的，其投标无效。</w:t>
      </w:r>
    </w:p>
    <w:p>
      <w:pPr>
        <w:tabs>
          <w:tab w:val="left" w:pos="993"/>
        </w:tabs>
        <w:snapToGrid w:val="0"/>
        <w:spacing w:after="156"/>
        <w:ind w:left="991" w:leftChars="472" w:firstLine="2"/>
        <w:rPr>
          <w:rStyle w:val="39"/>
          <w:rFonts w:ascii="宋体" w:hAnsi="宋体" w:cs="宋体"/>
          <w:sz w:val="24"/>
        </w:rPr>
      </w:pPr>
      <w:r>
        <w:rPr>
          <w:rStyle w:val="39"/>
          <w:rFonts w:hint="eastAsia" w:ascii="宋体" w:hAnsi="宋体" w:cs="宋体"/>
          <w:sz w:val="24"/>
        </w:rPr>
        <w:t>投标人的确认应当采用书面形式，并加盖公章，或者由法定代表人或其授权的代表签字。</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商务和技术评审</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kern w:val="0"/>
          <w:sz w:val="24"/>
        </w:rPr>
        <w:t>评标委员会按本章第3.3款[详细评审标准]</w:t>
      </w:r>
      <w:r>
        <w:rPr>
          <w:rStyle w:val="39"/>
          <w:rFonts w:hint="eastAsia" w:ascii="宋体" w:hAnsi="宋体" w:cs="宋体"/>
          <w:sz w:val="24"/>
        </w:rPr>
        <w:t>对资格审查合格且符合性审查合格的投标文件进行商务和技术评估，综合比较与评价。</w:t>
      </w:r>
    </w:p>
    <w:p>
      <w:pPr>
        <w:tabs>
          <w:tab w:val="left" w:pos="993"/>
        </w:tabs>
        <w:snapToGrid w:val="0"/>
        <w:spacing w:before="120" w:after="156"/>
        <w:ind w:left="991" w:leftChars="472"/>
        <w:jc w:val="left"/>
        <w:rPr>
          <w:rStyle w:val="39"/>
          <w:rFonts w:ascii="宋体" w:hAnsi="宋体" w:cs="宋体"/>
          <w:sz w:val="24"/>
        </w:rPr>
      </w:pPr>
      <w:r>
        <w:rPr>
          <w:rStyle w:val="39"/>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评标委员会按本章第3.3款规定的量化因素和分值进行打分，并计算出综合评估得分。</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（1）按本章第3.3.1项规定的评审因素和分值对商务部分计算出得分A；</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（2）按本章第3.3.2项规定的评审因素和分值对技术部分计算出得分B；</w:t>
      </w:r>
    </w:p>
    <w:p>
      <w:pPr>
        <w:tabs>
          <w:tab w:val="left" w:pos="993"/>
        </w:tabs>
        <w:snapToGrid w:val="0"/>
        <w:spacing w:after="156"/>
        <w:ind w:left="1679" w:leftChars="514" w:hanging="600" w:hangingChars="250"/>
        <w:jc w:val="left"/>
        <w:rPr>
          <w:rStyle w:val="39"/>
          <w:rFonts w:ascii="宋体" w:hAnsi="宋体" w:cs="宋体"/>
          <w:kern w:val="0"/>
          <w:sz w:val="24"/>
        </w:rPr>
      </w:pPr>
      <w:r>
        <w:rPr>
          <w:rStyle w:val="39"/>
          <w:rFonts w:hint="eastAsia" w:ascii="宋体" w:hAnsi="宋体" w:cs="宋体"/>
          <w:kern w:val="0"/>
          <w:sz w:val="24"/>
        </w:rPr>
        <w:t>（3）按本章第3.3.3项规定的评审因素和分值对报价部分计算出得分C。</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评分分值计算保留小数点后两位，小数点后第三位“四舍五入”。</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投标人得分=A×A</w:t>
      </w:r>
      <w:r>
        <w:rPr>
          <w:rStyle w:val="39"/>
          <w:rFonts w:hint="eastAsia" w:ascii="宋体" w:hAnsi="宋体" w:cs="宋体"/>
          <w:kern w:val="0"/>
          <w:sz w:val="24"/>
          <w:vertAlign w:val="subscript"/>
        </w:rPr>
        <w:t>1</w:t>
      </w:r>
      <w:r>
        <w:rPr>
          <w:rStyle w:val="39"/>
          <w:rFonts w:hint="eastAsia" w:ascii="宋体" w:hAnsi="宋体" w:cs="宋体"/>
          <w:kern w:val="0"/>
          <w:sz w:val="24"/>
        </w:rPr>
        <w:t>＋B×A</w:t>
      </w:r>
      <w:r>
        <w:rPr>
          <w:rStyle w:val="39"/>
          <w:rFonts w:hint="eastAsia" w:ascii="宋体" w:hAnsi="宋体" w:cs="宋体"/>
          <w:kern w:val="0"/>
          <w:sz w:val="24"/>
          <w:vertAlign w:val="subscript"/>
        </w:rPr>
        <w:t>2</w:t>
      </w:r>
      <w:r>
        <w:rPr>
          <w:rStyle w:val="39"/>
          <w:rFonts w:hint="eastAsia" w:ascii="宋体" w:hAnsi="宋体" w:cs="宋体"/>
          <w:kern w:val="0"/>
          <w:sz w:val="24"/>
        </w:rPr>
        <w:t>＋C×A</w:t>
      </w:r>
      <w:r>
        <w:rPr>
          <w:rStyle w:val="39"/>
          <w:rFonts w:hint="eastAsia" w:ascii="宋体" w:hAnsi="宋体" w:cs="宋体"/>
          <w:kern w:val="0"/>
          <w:sz w:val="24"/>
          <w:vertAlign w:val="subscript"/>
        </w:rPr>
        <w:t>3</w:t>
      </w:r>
    </w:p>
    <w:p>
      <w:pPr>
        <w:numPr>
          <w:ilvl w:val="1"/>
          <w:numId w:val="11"/>
        </w:numPr>
        <w:tabs>
          <w:tab w:val="left" w:pos="993"/>
        </w:tabs>
        <w:snapToGrid w:val="0"/>
        <w:spacing w:after="156"/>
        <w:jc w:val="left"/>
        <w:rPr>
          <w:rStyle w:val="39"/>
          <w:rFonts w:ascii="宋体" w:hAnsi="宋体" w:cs="宋体"/>
          <w:kern w:val="0"/>
          <w:sz w:val="24"/>
        </w:rPr>
      </w:pPr>
      <w:r>
        <w:rPr>
          <w:rStyle w:val="39"/>
          <w:rFonts w:hint="eastAsia" w:ascii="宋体" w:hAnsi="宋体" w:cs="宋体"/>
          <w:kern w:val="0"/>
          <w:sz w:val="24"/>
        </w:rPr>
        <w:t>评标结果</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除第二章“投标人须知”前附表授权直接确定中标人外，评标委员会按照得分由高到低的顺序推荐中标候选人。</w:t>
      </w:r>
    </w:p>
    <w:p>
      <w:pPr>
        <w:numPr>
          <w:ilvl w:val="2"/>
          <w:numId w:val="11"/>
        </w:numPr>
        <w:tabs>
          <w:tab w:val="left" w:pos="993"/>
        </w:tabs>
        <w:snapToGrid w:val="0"/>
        <w:spacing w:after="156"/>
        <w:ind w:left="993" w:hanging="993"/>
        <w:jc w:val="left"/>
        <w:rPr>
          <w:rStyle w:val="39"/>
          <w:rFonts w:ascii="宋体" w:hAnsi="宋体" w:cs="宋体"/>
          <w:kern w:val="0"/>
          <w:sz w:val="24"/>
        </w:rPr>
      </w:pPr>
      <w:r>
        <w:rPr>
          <w:rStyle w:val="39"/>
          <w:rFonts w:hint="eastAsia" w:ascii="宋体" w:hAnsi="宋体" w:cs="宋体"/>
          <w:kern w:val="0"/>
          <w:sz w:val="24"/>
        </w:rPr>
        <w:t>评标委员会完成评标后，应当向采购人提交书面评标报告。</w:t>
      </w:r>
    </w:p>
    <w:p>
      <w:pPr>
        <w:snapToGrid w:val="0"/>
        <w:spacing w:after="156"/>
        <w:ind w:left="1591" w:leftChars="472" w:hanging="600" w:hangingChars="250"/>
        <w:rPr>
          <w:rStyle w:val="39"/>
          <w:rFonts w:ascii="宋体" w:hAnsi="宋体"/>
          <w:color w:val="FF0000"/>
          <w:sz w:val="24"/>
        </w:rPr>
      </w:pPr>
    </w:p>
    <w:p>
      <w:pPr>
        <w:snapToGrid w:val="0"/>
        <w:spacing w:after="156"/>
        <w:ind w:left="420" w:leftChars="20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snapToGrid w:val="0"/>
        <w:spacing w:after="156"/>
        <w:ind w:left="1591" w:leftChars="472" w:hanging="600" w:hangingChars="250"/>
        <w:rPr>
          <w:rStyle w:val="39"/>
          <w:rFonts w:ascii="宋体" w:hAnsi="宋体"/>
          <w:color w:val="FF0000"/>
          <w:sz w:val="24"/>
        </w:rPr>
      </w:pPr>
    </w:p>
    <w:p>
      <w:pPr>
        <w:tabs>
          <w:tab w:val="left" w:pos="-94"/>
          <w:tab w:val="left" w:pos="428"/>
        </w:tabs>
        <w:spacing w:line="360" w:lineRule="auto"/>
        <w:rPr>
          <w:rStyle w:val="39"/>
        </w:rPr>
      </w:pPr>
      <w:r>
        <w:rPr>
          <w:rStyle w:val="39"/>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附表一</w:t>
      </w:r>
      <w:r>
        <w:rPr>
          <w:rStyle w:val="39"/>
          <w:rFonts w:hint="eastAsia"/>
          <w:b/>
          <w:sz w:val="28"/>
          <w:szCs w:val="28"/>
        </w:rPr>
        <w:t xml:space="preserve"> </w:t>
      </w:r>
      <w:r>
        <w:rPr>
          <w:rStyle w:val="39"/>
          <w:b/>
          <w:sz w:val="28"/>
          <w:szCs w:val="28"/>
        </w:rPr>
        <w:t>资格审查表</w:t>
      </w:r>
    </w:p>
    <w:tbl>
      <w:tblPr>
        <w:tblStyle w:val="15"/>
        <w:tblW w:w="91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2"/>
        <w:gridCol w:w="2991"/>
        <w:gridCol w:w="4020"/>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序号</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评审内容</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评审合格标准</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r>
              <w:rPr>
                <w:rStyle w:val="39"/>
                <w:rFonts w:ascii="宋体" w:hAnsi="宋体"/>
                <w:szCs w:val="21"/>
              </w:rPr>
              <w:t>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投标人名称</w:t>
            </w:r>
          </w:p>
        </w:tc>
        <w:tc>
          <w:tcPr>
            <w:tcW w:w="4020"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b/>
                <w:szCs w:val="21"/>
              </w:rPr>
            </w:pPr>
            <w:r>
              <w:rPr>
                <w:rStyle w:val="39"/>
                <w:rFonts w:ascii="宋体" w:hAnsi="宋体"/>
                <w:szCs w:val="21"/>
              </w:rPr>
              <w:t>与投标报名、营业执照一致（符合法定工商变更程序除外）</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具有独立承担民事责任的能力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提供了有效的法人或者其他组织的营业执照等证明文件，自然人的身份证明。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3</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具有健全的财务会计制度</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提供了满足招标文件要求的经审计的财务报告</w:t>
            </w:r>
            <w:r>
              <w:rPr>
                <w:rStyle w:val="39"/>
                <w:rFonts w:ascii="宋体" w:hAnsi="宋体"/>
                <w:i/>
                <w:szCs w:val="21"/>
              </w:rPr>
              <w:t>/</w:t>
            </w:r>
            <w:r>
              <w:rPr>
                <w:rStyle w:val="39"/>
                <w:rFonts w:ascii="宋体" w:hAnsi="宋体"/>
                <w:iCs/>
                <w:szCs w:val="21"/>
              </w:rPr>
              <w:t>或本年度基本开户银行出具的资信证明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4</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具有履行合同所必需的设备和专业技术能力</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提供了可充分满足履行合同所需设备和专业技术能力的证明材料或承诺</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5</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有依法缴纳税收和社会保障资金的良好记录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1.提供了招标文件要求时间内的缴纳税收的凭证（银行出具的缴税凭证或税务机关出具的证明的复印件，并加盖本单位公章）或免税证明（复印件加盖公章）。</w:t>
            </w:r>
          </w:p>
          <w:p>
            <w:pPr>
              <w:snapToGrid w:val="0"/>
              <w:jc w:val="left"/>
              <w:rPr>
                <w:rStyle w:val="39"/>
                <w:rFonts w:ascii="宋体" w:hAnsi="宋体"/>
                <w:szCs w:val="21"/>
              </w:rPr>
            </w:pPr>
            <w:r>
              <w:rPr>
                <w:rStyle w:val="39"/>
                <w:rFonts w:ascii="宋体" w:hAnsi="宋体"/>
                <w:szCs w:val="21"/>
              </w:rPr>
              <w:t>2. 提供了招标文件要求时间内的社会保障资金缴纳记录（专用收据或社会保险缴纳清单）或免缴纳证明（复印件加盖公章）。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6</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参加政府采购活动前三年内，在经营活动中没有重大违法记录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提供了有效的参加政府采购活动前3年内在经营活动中没有重大违法记录的书面声明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7</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法律、行政法规规定的其他条件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hint="eastAsia" w:ascii="宋体" w:hAnsi="宋体"/>
                <w:szCs w:val="21"/>
              </w:rPr>
              <w:t>无</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8</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“信用中国”网站和中国政府采购网（www.ccgp.gov.cn）查询记录</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未被“信用中国”网站（www.creditchina.gov.cn）中列入失信被执行人和/或</w:t>
            </w:r>
            <w:r>
              <w:rPr>
                <w:rStyle w:val="39"/>
                <w:rFonts w:hint="eastAsia" w:ascii="宋体" w:hAnsi="宋体"/>
                <w:szCs w:val="21"/>
              </w:rPr>
              <w:t>重大税收违法失信主体</w:t>
            </w:r>
            <w:r>
              <w:rPr>
                <w:rStyle w:val="39"/>
                <w:rFonts w:ascii="宋体" w:hAnsi="宋体"/>
                <w:szCs w:val="21"/>
              </w:rPr>
              <w:t>的</w:t>
            </w:r>
            <w:r>
              <w:rPr>
                <w:rStyle w:val="39"/>
                <w:rFonts w:hint="eastAsia" w:ascii="宋体" w:hAnsi="宋体"/>
                <w:szCs w:val="21"/>
              </w:rPr>
              <w:t>投标人</w:t>
            </w:r>
            <w:r>
              <w:rPr>
                <w:rStyle w:val="39"/>
                <w:rFonts w:ascii="宋体" w:hAnsi="宋体"/>
                <w:szCs w:val="21"/>
              </w:rPr>
              <w:t>、未被中国政府采购网（www.ccgp.gov.cn）列入政府采购严重违法失信行为记录名单中被财政部门禁止参加政府采购活动的</w:t>
            </w:r>
            <w:r>
              <w:rPr>
                <w:rStyle w:val="39"/>
                <w:rFonts w:hint="eastAsia" w:ascii="宋体" w:hAnsi="宋体"/>
                <w:szCs w:val="21"/>
              </w:rPr>
              <w:t>投标人</w:t>
            </w:r>
            <w:r>
              <w:rPr>
                <w:rStyle w:val="39"/>
                <w:rFonts w:ascii="宋体" w:hAnsi="宋体"/>
                <w:szCs w:val="21"/>
              </w:rPr>
              <w:t>（处罚决定规定的时间和地域范围内）</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9</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单位负责人为同一人或者存在控股、管理关系的不同单位，不得同时参加本项目的投标。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提供了“投标人关联企业情况声明”。各投标人之间不存在单位负责人为同一人或者存在控股、管理关系情形。</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10</w:t>
            </w:r>
          </w:p>
        </w:tc>
        <w:tc>
          <w:tcPr>
            <w:tcW w:w="2991" w:type="dxa"/>
            <w:tcBorders>
              <w:top w:val="single" w:color="000000" w:sz="4" w:space="0"/>
              <w:left w:val="single" w:color="000000" w:sz="4" w:space="0"/>
              <w:bottom w:val="single" w:color="000000" w:sz="4" w:space="0"/>
              <w:right w:val="single" w:color="000000" w:sz="4" w:space="0"/>
            </w:tcBorders>
            <w:vAlign w:val="center"/>
          </w:tcPr>
          <w:p>
            <w:pPr>
              <w:jc w:val="left"/>
              <w:rPr>
                <w:rStyle w:val="39"/>
                <w:rFonts w:ascii="宋体" w:hAnsi="宋体"/>
                <w:szCs w:val="21"/>
              </w:rPr>
            </w:pPr>
            <w:r>
              <w:rPr>
                <w:rStyle w:val="39"/>
                <w:rFonts w:ascii="宋体" w:hAnsi="宋体"/>
                <w:szCs w:val="21"/>
              </w:rPr>
              <w:t>为本项目提供整体设计、规范编制或者项目管理、监理、检测等服务的投标人，不得再参加本项目投标。</w:t>
            </w:r>
          </w:p>
          <w:p>
            <w:pPr>
              <w:snapToGrid w:val="0"/>
              <w:jc w:val="left"/>
              <w:rPr>
                <w:rStyle w:val="39"/>
                <w:rFonts w:ascii="宋体" w:hAnsi="宋体"/>
                <w:szCs w:val="21"/>
              </w:rPr>
            </w:pP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提供了投标人未为本项目提供整体设计、规范编制或者项目管理、监理、检测等服务的声明。</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11</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联合体投标</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招标文件允许联合体投标时，提供了满足招标文件要求的联合体协议书。</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r>
              <w:rPr>
                <w:rStyle w:val="39"/>
                <w:rFonts w:ascii="宋体" w:hAnsi="宋体"/>
                <w:szCs w:val="21"/>
              </w:rPr>
              <w:t>12</w:t>
            </w:r>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jc w:val="left"/>
              <w:rPr>
                <w:rStyle w:val="39"/>
                <w:rFonts w:ascii="宋体" w:hAnsi="宋体"/>
                <w:szCs w:val="21"/>
              </w:rPr>
            </w:pPr>
            <w:r>
              <w:rPr>
                <w:rStyle w:val="39"/>
                <w:rFonts w:ascii="宋体" w:hAnsi="宋体"/>
                <w:szCs w:val="21"/>
              </w:rPr>
              <w:t>投标人特定资格条件</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left"/>
              <w:rPr>
                <w:rStyle w:val="39"/>
                <w:rFonts w:ascii="宋体" w:hAnsi="宋体"/>
                <w:szCs w:val="21"/>
              </w:rPr>
            </w:pPr>
            <w:r>
              <w:rPr>
                <w:rStyle w:val="39"/>
                <w:rFonts w:ascii="宋体" w:hAnsi="宋体"/>
                <w:szCs w:val="21"/>
              </w:rPr>
              <w:t>提供了证明投标人符合特定资格条件的证明材料</w:t>
            </w: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5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hAnsi="宋体"/>
                <w:szCs w:val="21"/>
              </w:rPr>
            </w:pPr>
            <w:bookmarkStart w:id="209" w:name="_GoBack"/>
            <w:bookmarkEnd w:id="209"/>
          </w:p>
        </w:tc>
        <w:tc>
          <w:tcPr>
            <w:tcW w:w="2991"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r>
              <w:rPr>
                <w:rStyle w:val="39"/>
                <w:rFonts w:ascii="宋体" w:hAnsi="宋体"/>
                <w:szCs w:val="21"/>
              </w:rPr>
              <w:t>结论</w:t>
            </w:r>
          </w:p>
        </w:tc>
        <w:tc>
          <w:tcPr>
            <w:tcW w:w="4020" w:type="dxa"/>
            <w:tcBorders>
              <w:top w:val="single" w:color="000000" w:sz="4" w:space="0"/>
              <w:left w:val="single" w:color="000000" w:sz="4" w:space="0"/>
              <w:bottom w:val="single" w:color="000000" w:sz="4" w:space="0"/>
              <w:right w:val="single" w:color="000000" w:sz="4" w:space="0"/>
            </w:tcBorders>
          </w:tcPr>
          <w:p>
            <w:pPr>
              <w:snapToGrid w:val="0"/>
              <w:jc w:val="center"/>
              <w:rPr>
                <w:rStyle w:val="39"/>
                <w:rFonts w:ascii="宋体" w:hAnsi="宋体"/>
                <w:szCs w:val="21"/>
              </w:rPr>
            </w:pPr>
          </w:p>
        </w:tc>
        <w:tc>
          <w:tcPr>
            <w:tcW w:w="1499" w:type="dxa"/>
            <w:tcBorders>
              <w:top w:val="single" w:color="000000" w:sz="4" w:space="0"/>
              <w:left w:val="single" w:color="000000" w:sz="4" w:space="0"/>
              <w:bottom w:val="single" w:color="000000" w:sz="4" w:space="0"/>
              <w:right w:val="single" w:color="000000" w:sz="4" w:space="0"/>
            </w:tcBorders>
            <w:vAlign w:val="center"/>
          </w:tcPr>
          <w:p>
            <w:pPr>
              <w:snapToGrid w:val="0"/>
              <w:ind w:left="425"/>
              <w:jc w:val="center"/>
              <w:rPr>
                <w:rStyle w:val="39"/>
                <w:rFonts w:ascii="宋体" w:hAnsi="宋体"/>
                <w:szCs w:val="21"/>
              </w:rPr>
            </w:pPr>
          </w:p>
        </w:tc>
      </w:tr>
    </w:tbl>
    <w:p>
      <w:pPr>
        <w:spacing w:line="240" w:lineRule="atLeast"/>
        <w:ind w:left="425"/>
        <w:rPr>
          <w:rStyle w:val="39"/>
          <w:szCs w:val="21"/>
        </w:rPr>
      </w:pPr>
      <w:r>
        <w:rPr>
          <w:rStyle w:val="39"/>
          <w:rFonts w:ascii="宋体" w:hAnsi="宋体"/>
          <w:szCs w:val="21"/>
        </w:rPr>
        <w:t>注</w:t>
      </w:r>
      <w:r>
        <w:rPr>
          <w:rStyle w:val="39"/>
          <w:szCs w:val="21"/>
        </w:rPr>
        <w:t>：符合要求用“</w:t>
      </w:r>
      <w:r>
        <w:rPr>
          <w:rStyle w:val="39"/>
          <w:rFonts w:ascii="Arial" w:hAnsi="Arial"/>
          <w:b/>
          <w:szCs w:val="21"/>
        </w:rPr>
        <w:t>√</w:t>
      </w:r>
      <w:r>
        <w:rPr>
          <w:rStyle w:val="39"/>
          <w:szCs w:val="21"/>
        </w:rPr>
        <w:t>”表示，不符合用“×”表示。有一项不符合要求，结论为不合格。</w:t>
      </w:r>
    </w:p>
    <w:p>
      <w:pPr>
        <w:tabs>
          <w:tab w:val="left" w:pos="-94"/>
          <w:tab w:val="left" w:pos="428"/>
        </w:tabs>
        <w:spacing w:line="360" w:lineRule="auto"/>
        <w:ind w:left="23" w:leftChars="11"/>
        <w:jc w:val="center"/>
        <w:rPr>
          <w:rStyle w:val="39"/>
          <w:szCs w:val="21"/>
        </w:rPr>
      </w:pPr>
      <w:r>
        <w:rPr>
          <w:rStyle w:val="39"/>
          <w:szCs w:val="21"/>
        </w:rPr>
        <w:br w:type="page"/>
      </w:r>
    </w:p>
    <w:p>
      <w:pPr>
        <w:tabs>
          <w:tab w:val="left" w:pos="-94"/>
          <w:tab w:val="left" w:pos="428"/>
        </w:tabs>
        <w:spacing w:line="360" w:lineRule="auto"/>
        <w:ind w:left="23" w:leftChars="11"/>
        <w:jc w:val="center"/>
        <w:rPr>
          <w:rStyle w:val="39"/>
          <w:b/>
          <w:sz w:val="28"/>
          <w:szCs w:val="28"/>
        </w:rPr>
      </w:pPr>
      <w:r>
        <w:rPr>
          <w:rStyle w:val="39"/>
          <w:b/>
          <w:sz w:val="28"/>
          <w:szCs w:val="28"/>
        </w:rPr>
        <w:t>附表二 符合性审查表</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7"/>
        <w:gridCol w:w="1674"/>
        <w:gridCol w:w="5245"/>
        <w:gridCol w:w="1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tabs>
                <w:tab w:val="left" w:pos="1260"/>
                <w:tab w:val="left" w:pos="1620"/>
              </w:tabs>
              <w:adjustRightInd w:val="0"/>
              <w:snapToGrid w:val="0"/>
              <w:jc w:val="center"/>
              <w:rPr>
                <w:rFonts w:ascii="宋体" w:hAnsi="宋体"/>
                <w:b/>
                <w:caps/>
                <w:sz w:val="24"/>
              </w:rPr>
            </w:pPr>
            <w:r>
              <w:rPr>
                <w:rFonts w:ascii="宋体" w:hAnsi="宋体"/>
                <w:b/>
                <w:caps/>
                <w:sz w:val="24"/>
              </w:rPr>
              <w:t>序号</w:t>
            </w:r>
          </w:p>
        </w:tc>
        <w:tc>
          <w:tcPr>
            <w:tcW w:w="1674" w:type="dxa"/>
            <w:vAlign w:val="center"/>
          </w:tcPr>
          <w:p>
            <w:pPr>
              <w:tabs>
                <w:tab w:val="left" w:pos="1260"/>
                <w:tab w:val="left" w:pos="1620"/>
              </w:tabs>
              <w:adjustRightInd w:val="0"/>
              <w:snapToGrid w:val="0"/>
              <w:jc w:val="center"/>
              <w:rPr>
                <w:rFonts w:ascii="宋体" w:hAnsi="宋体"/>
                <w:b/>
                <w:caps/>
                <w:sz w:val="24"/>
              </w:rPr>
            </w:pPr>
            <w:r>
              <w:rPr>
                <w:rFonts w:hint="eastAsia" w:ascii="宋体" w:hAnsi="宋体"/>
                <w:b/>
                <w:caps/>
                <w:sz w:val="24"/>
              </w:rPr>
              <w:t>评审项目</w:t>
            </w:r>
          </w:p>
        </w:tc>
        <w:tc>
          <w:tcPr>
            <w:tcW w:w="5245" w:type="dxa"/>
            <w:vAlign w:val="center"/>
          </w:tcPr>
          <w:p>
            <w:pPr>
              <w:tabs>
                <w:tab w:val="left" w:pos="1260"/>
                <w:tab w:val="left" w:pos="1620"/>
              </w:tabs>
              <w:adjustRightInd w:val="0"/>
              <w:snapToGrid w:val="0"/>
              <w:jc w:val="center"/>
              <w:rPr>
                <w:rFonts w:ascii="宋体" w:hAnsi="宋体"/>
                <w:b/>
                <w:caps/>
                <w:sz w:val="24"/>
              </w:rPr>
            </w:pPr>
            <w:r>
              <w:rPr>
                <w:rFonts w:hint="eastAsia" w:ascii="宋体" w:hAnsi="宋体"/>
                <w:b/>
                <w:caps/>
                <w:sz w:val="24"/>
              </w:rPr>
              <w:t>评审标准</w:t>
            </w:r>
          </w:p>
        </w:tc>
        <w:tc>
          <w:tcPr>
            <w:tcW w:w="1275" w:type="dxa"/>
            <w:vAlign w:val="center"/>
          </w:tcPr>
          <w:p>
            <w:pPr>
              <w:tabs>
                <w:tab w:val="left" w:pos="1260"/>
                <w:tab w:val="left" w:pos="1620"/>
              </w:tabs>
              <w:adjustRightInd w:val="0"/>
              <w:snapToGrid w:val="0"/>
              <w:jc w:val="center"/>
              <w:rPr>
                <w:rFonts w:ascii="宋体" w:hAnsi="宋体"/>
                <w:b/>
                <w:caps/>
                <w:sz w:val="24"/>
              </w:rPr>
            </w:pPr>
            <w:r>
              <w:rPr>
                <w:rFonts w:ascii="宋体" w:hAnsi="宋体"/>
                <w:b/>
                <w:caps/>
                <w:sz w:val="24"/>
              </w:rPr>
              <w:t>评审结论</w:t>
            </w:r>
          </w:p>
          <w:p>
            <w:pPr>
              <w:tabs>
                <w:tab w:val="left" w:pos="1260"/>
                <w:tab w:val="left" w:pos="1620"/>
              </w:tabs>
              <w:adjustRightInd w:val="0"/>
              <w:snapToGrid w:val="0"/>
              <w:jc w:val="center"/>
              <w:rPr>
                <w:rFonts w:ascii="宋体" w:hAnsi="宋体"/>
                <w:b/>
                <w:caps/>
                <w:sz w:val="24"/>
              </w:rPr>
            </w:pPr>
            <w:r>
              <w:rPr>
                <w:rFonts w:ascii="宋体" w:hAnsi="宋体"/>
                <w:b/>
                <w:caps/>
                <w:sz w:val="24"/>
              </w:rPr>
              <w:t>（</w:t>
            </w:r>
            <w:r>
              <w:rPr>
                <w:rFonts w:ascii="Arial" w:hAnsi="Arial" w:cs="Arial"/>
                <w:b/>
                <w:szCs w:val="21"/>
              </w:rPr>
              <w:t>√</w:t>
            </w:r>
            <w:r>
              <w:rPr>
                <w:rFonts w:ascii="宋体" w:hAnsi="宋体"/>
                <w:b/>
                <w:caps/>
                <w:sz w:val="24"/>
              </w:rPr>
              <w:t>/</w:t>
            </w:r>
            <w:r>
              <w:rPr>
                <w:rFonts w:hint="eastAsia" w:ascii="宋体" w:hAnsi="宋体"/>
                <w:sz w:val="24"/>
              </w:rPr>
              <w:t>×</w:t>
            </w:r>
            <w:r>
              <w:rPr>
                <w:rFonts w:ascii="宋体" w:hAnsi="宋体"/>
                <w:b/>
                <w:caps/>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投标保证金</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按照招标文件的规定提交投标保证金</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投标文件签署盖章</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cs="黑体"/>
                <w:kern w:val="0"/>
                <w:sz w:val="24"/>
              </w:rPr>
              <w:t>投标人的法人公章、法定代表人或经授权的代表须根据招标文件第六章的规定在投标文件中需要签字或盖章的位置签字（加盖人名章）以及加盖单位公章</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投标报价</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投标报价是固定价且未超过预算金额（招标文件有最高限价的，报价未超过最高限价。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附加条件</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投标文件不含有采购人不能接受的附加条件</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公平竞争</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遵循公平竞争的原则，没有弄虚作假、恶意串通或妨碍其他投标人的竞争行为，损害采购人或者其他投标人的合法权益。</w:t>
            </w:r>
          </w:p>
          <w:p>
            <w:pPr>
              <w:tabs>
                <w:tab w:val="left" w:pos="1260"/>
                <w:tab w:val="left" w:pos="1620"/>
              </w:tabs>
              <w:adjustRightInd w:val="0"/>
              <w:snapToGrid w:val="0"/>
              <w:rPr>
                <w:rFonts w:ascii="宋体" w:hAnsi="宋体"/>
                <w:sz w:val="24"/>
              </w:rPr>
            </w:pPr>
            <w:r>
              <w:rPr>
                <w:rFonts w:hint="eastAsia" w:ascii="宋体" w:hAnsi="宋体"/>
                <w:sz w:val="24"/>
              </w:rPr>
              <w:t>弄虚作假、串通投标的情形见附注</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报价修正</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报价出现前后不一致时，投标人按照招标文件评标办法要求确认修正后的报价。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2"/>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其他无效情形</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法律、法规和招标文件规定的其他无效情形</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投标有效期</w:t>
            </w:r>
          </w:p>
        </w:tc>
        <w:tc>
          <w:tcPr>
            <w:tcW w:w="5245" w:type="dxa"/>
            <w:vAlign w:val="center"/>
          </w:tcPr>
          <w:p>
            <w:pPr>
              <w:tabs>
                <w:tab w:val="left" w:pos="1260"/>
                <w:tab w:val="left" w:pos="1620"/>
              </w:tabs>
              <w:adjustRightInd w:val="0"/>
              <w:snapToGrid w:val="0"/>
              <w:rPr>
                <w:rFonts w:ascii="宋体" w:hAnsi="宋体"/>
                <w:sz w:val="24"/>
              </w:rPr>
            </w:pPr>
            <w:r>
              <w:rPr>
                <w:rFonts w:ascii="宋体" w:hAnsi="宋体"/>
                <w:sz w:val="24"/>
              </w:rPr>
              <w:t>投标有效期满足招标文件要求的</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备选方案</w:t>
            </w:r>
          </w:p>
        </w:tc>
        <w:tc>
          <w:tcPr>
            <w:tcW w:w="5245" w:type="dxa"/>
            <w:vAlign w:val="center"/>
          </w:tcPr>
          <w:p>
            <w:pPr>
              <w:tabs>
                <w:tab w:val="left" w:pos="1260"/>
                <w:tab w:val="left" w:pos="1620"/>
              </w:tabs>
              <w:adjustRightInd w:val="0"/>
              <w:snapToGrid w:val="0"/>
              <w:rPr>
                <w:rFonts w:ascii="宋体" w:hAnsi="宋体"/>
                <w:strike/>
                <w:sz w:val="24"/>
              </w:rPr>
            </w:pPr>
            <w:r>
              <w:rPr>
                <w:rFonts w:hint="eastAsia" w:ascii="宋体" w:hAnsi="宋体"/>
                <w:sz w:val="24"/>
              </w:rPr>
              <w:t>投标人不得提交两份或者多份内容不同的投标文件，或者在同一份投标文件中对同一招标项目有两个或者多个报价。</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投标内容</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投标人提供的货物无实质性遗漏</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技术响应（服务标准）</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cs="宋体"/>
                <w:kern w:val="0"/>
                <w:sz w:val="22"/>
                <w:szCs w:val="22"/>
                <w:lang w:val="zh-CN"/>
              </w:rPr>
              <w:t>打“</w:t>
            </w:r>
            <w:r>
              <w:rPr>
                <w:rFonts w:hint="eastAsia" w:ascii="宋体" w:hAnsi="宋体" w:cs="宋体"/>
                <w:kern w:val="0"/>
                <w:sz w:val="22"/>
                <w:szCs w:val="22"/>
              </w:rPr>
              <w:t>*</w:t>
            </w:r>
            <w:r>
              <w:rPr>
                <w:rFonts w:hint="eastAsia" w:ascii="宋体" w:hAnsi="宋体" w:cs="宋体"/>
                <w:kern w:val="0"/>
                <w:sz w:val="22"/>
                <w:szCs w:val="22"/>
                <w:lang w:val="zh-CN"/>
              </w:rPr>
              <w:t>”号</w:t>
            </w:r>
            <w:r>
              <w:rPr>
                <w:rFonts w:hint="eastAsia" w:ascii="宋体" w:hAnsi="宋体" w:cs="宋体"/>
                <w:kern w:val="0"/>
                <w:sz w:val="22"/>
                <w:szCs w:val="22"/>
              </w:rPr>
              <w:t>的</w:t>
            </w:r>
            <w:r>
              <w:rPr>
                <w:rFonts w:hint="eastAsia" w:ascii="宋体" w:hAnsi="宋体" w:cs="宋体"/>
                <w:kern w:val="0"/>
                <w:sz w:val="22"/>
                <w:szCs w:val="22"/>
                <w:lang w:val="zh-CN"/>
              </w:rPr>
              <w:t>参数</w:t>
            </w:r>
            <w:r>
              <w:rPr>
                <w:rFonts w:hint="eastAsia" w:ascii="宋体" w:hAnsi="宋体" w:cs="宋体"/>
                <w:kern w:val="0"/>
                <w:sz w:val="22"/>
                <w:szCs w:val="22"/>
              </w:rPr>
              <w:t>为实质性参数</w:t>
            </w:r>
            <w:r>
              <w:rPr>
                <w:rFonts w:hint="eastAsia" w:ascii="宋体" w:hAnsi="宋体" w:cs="宋体"/>
                <w:kern w:val="0"/>
                <w:sz w:val="22"/>
                <w:szCs w:val="22"/>
                <w:lang w:val="zh-CN"/>
              </w:rPr>
              <w:t>，</w:t>
            </w:r>
            <w:r>
              <w:rPr>
                <w:rFonts w:hint="eastAsia" w:ascii="宋体" w:hAnsi="宋体"/>
                <w:sz w:val="24"/>
              </w:rPr>
              <w:t>符合“采购需求”要求，无偏差。</w:t>
            </w:r>
          </w:p>
        </w:tc>
        <w:tc>
          <w:tcPr>
            <w:tcW w:w="1275" w:type="dxa"/>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交货期和交货地点</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满足招标文件要求</w:t>
            </w:r>
          </w:p>
        </w:tc>
        <w:tc>
          <w:tcPr>
            <w:tcW w:w="1275" w:type="dxa"/>
            <w:vMerge w:val="restart"/>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hint="eastAsia" w:ascii="宋体" w:hAnsi="宋体"/>
                <w:sz w:val="24"/>
              </w:rPr>
              <w:t>质保期</w:t>
            </w:r>
          </w:p>
        </w:tc>
        <w:tc>
          <w:tcPr>
            <w:tcW w:w="5245" w:type="dxa"/>
            <w:vAlign w:val="center"/>
          </w:tcPr>
          <w:p>
            <w:pPr>
              <w:tabs>
                <w:tab w:val="left" w:pos="1260"/>
                <w:tab w:val="left" w:pos="1620"/>
              </w:tabs>
              <w:adjustRightInd w:val="0"/>
              <w:snapToGrid w:val="0"/>
              <w:rPr>
                <w:rFonts w:ascii="宋体" w:hAnsi="宋体"/>
                <w:sz w:val="24"/>
              </w:rPr>
            </w:pPr>
            <w:r>
              <w:rPr>
                <w:rFonts w:hint="eastAsia" w:ascii="宋体" w:hAnsi="宋体"/>
                <w:sz w:val="24"/>
              </w:rPr>
              <w:t>满足招标文件要求</w:t>
            </w:r>
          </w:p>
        </w:tc>
        <w:tc>
          <w:tcPr>
            <w:tcW w:w="1275" w:type="dxa"/>
            <w:vMerge w:val="continue"/>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817" w:type="dxa"/>
            <w:vAlign w:val="center"/>
          </w:tcPr>
          <w:p>
            <w:pPr>
              <w:numPr>
                <w:ilvl w:val="0"/>
                <w:numId w:val="13"/>
              </w:numPr>
              <w:tabs>
                <w:tab w:val="left" w:pos="1260"/>
                <w:tab w:val="left" w:pos="1620"/>
              </w:tabs>
              <w:adjustRightInd w:val="0"/>
              <w:snapToGrid w:val="0"/>
              <w:rPr>
                <w:rFonts w:ascii="宋体" w:hAnsi="宋体"/>
                <w:sz w:val="24"/>
              </w:rPr>
            </w:pPr>
          </w:p>
        </w:tc>
        <w:tc>
          <w:tcPr>
            <w:tcW w:w="1674" w:type="dxa"/>
            <w:vAlign w:val="center"/>
          </w:tcPr>
          <w:p>
            <w:pPr>
              <w:tabs>
                <w:tab w:val="left" w:pos="1260"/>
                <w:tab w:val="left" w:pos="1620"/>
              </w:tabs>
              <w:adjustRightInd w:val="0"/>
              <w:snapToGrid w:val="0"/>
              <w:rPr>
                <w:rFonts w:ascii="宋体" w:hAnsi="宋体"/>
                <w:sz w:val="24"/>
              </w:rPr>
            </w:pPr>
            <w:r>
              <w:rPr>
                <w:rFonts w:ascii="宋体" w:hAnsi="宋体"/>
                <w:sz w:val="24"/>
              </w:rPr>
              <w:t>付款</w:t>
            </w:r>
            <w:r>
              <w:rPr>
                <w:rFonts w:hint="eastAsia" w:ascii="宋体" w:hAnsi="宋体"/>
                <w:sz w:val="24"/>
              </w:rPr>
              <w:t>方式</w:t>
            </w:r>
          </w:p>
        </w:tc>
        <w:tc>
          <w:tcPr>
            <w:tcW w:w="5245" w:type="dxa"/>
            <w:vAlign w:val="center"/>
          </w:tcPr>
          <w:p>
            <w:pPr>
              <w:tabs>
                <w:tab w:val="left" w:pos="1260"/>
                <w:tab w:val="left" w:pos="1620"/>
              </w:tabs>
              <w:adjustRightInd w:val="0"/>
              <w:snapToGrid w:val="0"/>
              <w:rPr>
                <w:rFonts w:ascii="宋体" w:hAnsi="宋体"/>
                <w:sz w:val="24"/>
              </w:rPr>
            </w:pPr>
            <w:r>
              <w:rPr>
                <w:rFonts w:ascii="宋体" w:hAnsi="宋体"/>
                <w:sz w:val="24"/>
              </w:rPr>
              <w:t>招标文件</w:t>
            </w:r>
            <w:r>
              <w:rPr>
                <w:rFonts w:hint="eastAsia" w:ascii="宋体" w:hAnsi="宋体"/>
                <w:sz w:val="24"/>
              </w:rPr>
              <w:t>不允许偏差时，投标文件无负偏差。</w:t>
            </w:r>
          </w:p>
        </w:tc>
        <w:tc>
          <w:tcPr>
            <w:tcW w:w="1275" w:type="dxa"/>
            <w:vMerge w:val="continue"/>
            <w:vAlign w:val="center"/>
          </w:tcPr>
          <w:p>
            <w:pPr>
              <w:tabs>
                <w:tab w:val="left" w:pos="1260"/>
                <w:tab w:val="left" w:pos="1620"/>
              </w:tabs>
              <w:adjustRightInd w:val="0"/>
              <w:snapToGrid w:val="0"/>
              <w:rPr>
                <w:rFonts w:ascii="宋体" w:hAnsi="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91" w:type="dxa"/>
            <w:gridSpan w:val="2"/>
            <w:vAlign w:val="center"/>
          </w:tcPr>
          <w:p>
            <w:pPr>
              <w:tabs>
                <w:tab w:val="left" w:pos="1260"/>
                <w:tab w:val="left" w:pos="1620"/>
              </w:tabs>
              <w:adjustRightInd w:val="0"/>
              <w:snapToGrid w:val="0"/>
              <w:rPr>
                <w:rFonts w:ascii="宋体" w:hAnsi="宋体"/>
                <w:sz w:val="24"/>
              </w:rPr>
            </w:pPr>
            <w:r>
              <w:rPr>
                <w:rFonts w:ascii="宋体" w:hAnsi="宋体"/>
                <w:b/>
                <w:sz w:val="24"/>
              </w:rPr>
              <w:t>结论（通过或未通过）</w:t>
            </w:r>
          </w:p>
        </w:tc>
        <w:tc>
          <w:tcPr>
            <w:tcW w:w="5245" w:type="dxa"/>
            <w:vAlign w:val="center"/>
          </w:tcPr>
          <w:p>
            <w:pPr>
              <w:tabs>
                <w:tab w:val="left" w:pos="1260"/>
                <w:tab w:val="left" w:pos="1620"/>
              </w:tabs>
              <w:adjustRightInd w:val="0"/>
              <w:snapToGrid w:val="0"/>
              <w:rPr>
                <w:rFonts w:ascii="宋体" w:hAnsi="宋体"/>
                <w:sz w:val="24"/>
              </w:rPr>
            </w:pPr>
          </w:p>
        </w:tc>
        <w:tc>
          <w:tcPr>
            <w:tcW w:w="1275" w:type="dxa"/>
            <w:vAlign w:val="center"/>
          </w:tcPr>
          <w:p>
            <w:pPr>
              <w:tabs>
                <w:tab w:val="left" w:pos="1260"/>
                <w:tab w:val="left" w:pos="1620"/>
              </w:tabs>
              <w:adjustRightInd w:val="0"/>
              <w:snapToGrid w:val="0"/>
              <w:rPr>
                <w:rFonts w:ascii="宋体" w:hAnsi="宋体"/>
                <w:sz w:val="24"/>
              </w:rPr>
            </w:pPr>
          </w:p>
        </w:tc>
      </w:tr>
    </w:tbl>
    <w:p>
      <w:pPr>
        <w:tabs>
          <w:tab w:val="left" w:pos="1260"/>
          <w:tab w:val="left" w:pos="1620"/>
        </w:tabs>
        <w:spacing w:line="360" w:lineRule="auto"/>
        <w:jc w:val="left"/>
        <w:rPr>
          <w:rStyle w:val="39"/>
          <w:b/>
          <w:szCs w:val="21"/>
        </w:rPr>
      </w:pPr>
      <w:r>
        <w:rPr>
          <w:rStyle w:val="39"/>
          <w:b/>
          <w:szCs w:val="21"/>
        </w:rPr>
        <w:t>注：1、符合招标文件要求用“</w:t>
      </w:r>
      <w:r>
        <w:rPr>
          <w:rStyle w:val="39"/>
          <w:rFonts w:ascii="Arial" w:hAnsi="Arial"/>
          <w:b/>
          <w:szCs w:val="21"/>
        </w:rPr>
        <w:t>√</w:t>
      </w:r>
      <w:r>
        <w:rPr>
          <w:rStyle w:val="39"/>
          <w:b/>
          <w:szCs w:val="21"/>
        </w:rPr>
        <w:t>”表示，不符合用“×”表示。有一项不符合要求，结论为不合格。</w:t>
      </w:r>
    </w:p>
    <w:p>
      <w:pPr>
        <w:tabs>
          <w:tab w:val="left" w:pos="1260"/>
          <w:tab w:val="left" w:pos="1620"/>
        </w:tabs>
        <w:spacing w:line="360" w:lineRule="auto"/>
        <w:jc w:val="left"/>
        <w:rPr>
          <w:rStyle w:val="39"/>
          <w:b/>
          <w:szCs w:val="21"/>
        </w:rPr>
      </w:pPr>
      <w:r>
        <w:rPr>
          <w:rStyle w:val="39"/>
          <w:b/>
          <w:szCs w:val="21"/>
        </w:rPr>
        <w:t>2、有下列情形之一的，视为投标人相互串通投标：</w:t>
      </w:r>
    </w:p>
    <w:p>
      <w:pPr>
        <w:tabs>
          <w:tab w:val="left" w:pos="1260"/>
          <w:tab w:val="left" w:pos="1620"/>
        </w:tabs>
        <w:spacing w:line="360" w:lineRule="auto"/>
        <w:jc w:val="left"/>
        <w:rPr>
          <w:rStyle w:val="39"/>
          <w:b/>
          <w:szCs w:val="21"/>
        </w:rPr>
      </w:pPr>
      <w:r>
        <w:rPr>
          <w:rStyle w:val="39"/>
          <w:b/>
          <w:szCs w:val="21"/>
        </w:rPr>
        <w:t>（1）不同投标人的投标文件由同一单位或者个人编制；</w:t>
      </w:r>
    </w:p>
    <w:p>
      <w:pPr>
        <w:tabs>
          <w:tab w:val="left" w:pos="1260"/>
          <w:tab w:val="left" w:pos="1620"/>
        </w:tabs>
        <w:spacing w:line="360" w:lineRule="auto"/>
        <w:jc w:val="left"/>
        <w:rPr>
          <w:rStyle w:val="39"/>
          <w:b/>
          <w:szCs w:val="21"/>
        </w:rPr>
      </w:pPr>
      <w:r>
        <w:rPr>
          <w:rStyle w:val="39"/>
          <w:b/>
          <w:szCs w:val="21"/>
        </w:rPr>
        <w:t>（2）不同投标人委托同一单位或者个人办理投标事宜；</w:t>
      </w:r>
    </w:p>
    <w:p>
      <w:pPr>
        <w:tabs>
          <w:tab w:val="left" w:pos="1260"/>
          <w:tab w:val="left" w:pos="1620"/>
        </w:tabs>
        <w:spacing w:line="360" w:lineRule="auto"/>
        <w:jc w:val="left"/>
        <w:rPr>
          <w:rStyle w:val="39"/>
          <w:b/>
          <w:szCs w:val="21"/>
        </w:rPr>
      </w:pPr>
      <w:r>
        <w:rPr>
          <w:rStyle w:val="39"/>
          <w:b/>
          <w:szCs w:val="21"/>
        </w:rPr>
        <w:t>（3）不同投标人的投标文件载明的项目管理成员或者联系人员为同一人；</w:t>
      </w:r>
    </w:p>
    <w:p>
      <w:pPr>
        <w:tabs>
          <w:tab w:val="left" w:pos="1260"/>
          <w:tab w:val="left" w:pos="1620"/>
        </w:tabs>
        <w:spacing w:line="360" w:lineRule="auto"/>
        <w:jc w:val="left"/>
        <w:rPr>
          <w:rStyle w:val="39"/>
          <w:b/>
          <w:szCs w:val="21"/>
        </w:rPr>
      </w:pPr>
      <w:r>
        <w:rPr>
          <w:rStyle w:val="39"/>
          <w:b/>
          <w:szCs w:val="21"/>
        </w:rPr>
        <w:t>（4）不同投标人的投标文件异常一致或者投标报价呈规律性差异；</w:t>
      </w:r>
    </w:p>
    <w:p>
      <w:pPr>
        <w:tabs>
          <w:tab w:val="left" w:pos="1260"/>
          <w:tab w:val="left" w:pos="1620"/>
        </w:tabs>
        <w:spacing w:line="360" w:lineRule="auto"/>
        <w:jc w:val="left"/>
        <w:rPr>
          <w:rStyle w:val="39"/>
          <w:b/>
          <w:szCs w:val="21"/>
        </w:rPr>
      </w:pPr>
      <w:r>
        <w:rPr>
          <w:rStyle w:val="39"/>
          <w:b/>
          <w:szCs w:val="21"/>
        </w:rPr>
        <w:t>（5）不同投标人的投标文件相互混装；</w:t>
      </w:r>
    </w:p>
    <w:p>
      <w:pPr>
        <w:tabs>
          <w:tab w:val="left" w:pos="1260"/>
          <w:tab w:val="left" w:pos="1620"/>
        </w:tabs>
        <w:spacing w:line="360" w:lineRule="auto"/>
        <w:jc w:val="left"/>
        <w:rPr>
          <w:rStyle w:val="39"/>
          <w:b/>
          <w:szCs w:val="21"/>
        </w:rPr>
      </w:pPr>
      <w:r>
        <w:rPr>
          <w:rStyle w:val="39"/>
          <w:b/>
          <w:szCs w:val="21"/>
        </w:rPr>
        <w:t>（6）不同投标人的投标保证金从同一单位或者个人的账户转出。</w:t>
      </w:r>
    </w:p>
    <w:p>
      <w:pPr>
        <w:tabs>
          <w:tab w:val="left" w:pos="1260"/>
          <w:tab w:val="left" w:pos="1620"/>
        </w:tabs>
        <w:spacing w:line="360" w:lineRule="auto"/>
        <w:jc w:val="left"/>
        <w:rPr>
          <w:rStyle w:val="39"/>
          <w:b/>
          <w:szCs w:val="21"/>
        </w:rPr>
      </w:pPr>
      <w:r>
        <w:rPr>
          <w:rStyle w:val="39"/>
          <w:b/>
          <w:szCs w:val="21"/>
        </w:rPr>
        <w:t>3、有下列情形之一的，属于提供虚假材料谋取中标的行为：</w:t>
      </w:r>
    </w:p>
    <w:p>
      <w:pPr>
        <w:tabs>
          <w:tab w:val="left" w:pos="1260"/>
          <w:tab w:val="left" w:pos="1620"/>
        </w:tabs>
        <w:spacing w:line="360" w:lineRule="auto"/>
        <w:jc w:val="left"/>
        <w:rPr>
          <w:rStyle w:val="39"/>
          <w:b/>
          <w:szCs w:val="21"/>
        </w:rPr>
      </w:pPr>
      <w:r>
        <w:rPr>
          <w:rStyle w:val="39"/>
          <w:b/>
          <w:szCs w:val="21"/>
        </w:rPr>
        <w:t>（1）使用伪造、变造的许可证件；</w:t>
      </w:r>
    </w:p>
    <w:p>
      <w:pPr>
        <w:tabs>
          <w:tab w:val="left" w:pos="1260"/>
          <w:tab w:val="left" w:pos="1620"/>
        </w:tabs>
        <w:spacing w:line="360" w:lineRule="auto"/>
        <w:jc w:val="left"/>
        <w:rPr>
          <w:rStyle w:val="39"/>
          <w:b/>
          <w:szCs w:val="21"/>
        </w:rPr>
      </w:pPr>
      <w:r>
        <w:rPr>
          <w:rStyle w:val="39"/>
          <w:b/>
          <w:szCs w:val="21"/>
        </w:rPr>
        <w:t>（2）提供虚假的财务状况或者业绩；</w:t>
      </w:r>
    </w:p>
    <w:p>
      <w:pPr>
        <w:tabs>
          <w:tab w:val="left" w:pos="1260"/>
          <w:tab w:val="left" w:pos="1620"/>
        </w:tabs>
        <w:spacing w:line="360" w:lineRule="auto"/>
        <w:jc w:val="left"/>
        <w:rPr>
          <w:rStyle w:val="39"/>
          <w:b/>
          <w:szCs w:val="21"/>
        </w:rPr>
      </w:pPr>
      <w:r>
        <w:rPr>
          <w:rStyle w:val="39"/>
          <w:b/>
          <w:szCs w:val="21"/>
        </w:rPr>
        <w:t>（3）提供虚假的项目负责人或者主要技术人员简历、劳动关系证明；</w:t>
      </w:r>
    </w:p>
    <w:p>
      <w:pPr>
        <w:tabs>
          <w:tab w:val="left" w:pos="1260"/>
          <w:tab w:val="left" w:pos="1620"/>
        </w:tabs>
        <w:spacing w:line="360" w:lineRule="auto"/>
        <w:jc w:val="left"/>
        <w:rPr>
          <w:rStyle w:val="39"/>
          <w:b/>
          <w:szCs w:val="21"/>
        </w:rPr>
      </w:pPr>
      <w:r>
        <w:rPr>
          <w:rStyle w:val="39"/>
          <w:b/>
          <w:szCs w:val="21"/>
        </w:rPr>
        <w:t>（4）提供虚假的信用状况；</w:t>
      </w:r>
    </w:p>
    <w:p>
      <w:pPr>
        <w:tabs>
          <w:tab w:val="left" w:pos="1260"/>
          <w:tab w:val="left" w:pos="1620"/>
        </w:tabs>
        <w:spacing w:line="360" w:lineRule="auto"/>
        <w:jc w:val="left"/>
        <w:rPr>
          <w:rStyle w:val="39"/>
          <w:b/>
          <w:szCs w:val="21"/>
        </w:rPr>
      </w:pPr>
      <w:r>
        <w:rPr>
          <w:rStyle w:val="39"/>
          <w:b/>
          <w:szCs w:val="21"/>
        </w:rPr>
        <w:t>（5）其他弄虚作假的行为。</w:t>
      </w:r>
    </w:p>
    <w:p>
      <w:pPr>
        <w:tabs>
          <w:tab w:val="left" w:pos="1260"/>
          <w:tab w:val="left" w:pos="1620"/>
        </w:tabs>
        <w:spacing w:line="360" w:lineRule="auto"/>
        <w:jc w:val="left"/>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b/>
          <w:szCs w:val="21"/>
        </w:rPr>
      </w:pPr>
    </w:p>
    <w:p>
      <w:pPr>
        <w:rPr>
          <w:rStyle w:val="39"/>
          <w:b/>
          <w:szCs w:val="21"/>
        </w:rPr>
      </w:pPr>
    </w:p>
    <w:p>
      <w:pPr>
        <w:pStyle w:val="130"/>
        <w:rPr>
          <w:rStyle w:val="39"/>
        </w:rPr>
      </w:pPr>
    </w:p>
    <w:p/>
    <w:p>
      <w:pPr>
        <w:tabs>
          <w:tab w:val="left" w:pos="1260"/>
          <w:tab w:val="left" w:pos="1620"/>
        </w:tabs>
        <w:spacing w:line="360" w:lineRule="auto"/>
        <w:jc w:val="left"/>
        <w:rPr>
          <w:rStyle w:val="39"/>
          <w:b/>
          <w:szCs w:val="21"/>
        </w:rPr>
      </w:pPr>
    </w:p>
    <w:p>
      <w:pPr>
        <w:tabs>
          <w:tab w:val="left" w:pos="-94"/>
          <w:tab w:val="left" w:pos="428"/>
        </w:tabs>
        <w:spacing w:line="360" w:lineRule="auto"/>
        <w:ind w:left="23" w:leftChars="11"/>
        <w:jc w:val="center"/>
        <w:rPr>
          <w:rStyle w:val="39"/>
          <w:b/>
          <w:sz w:val="28"/>
          <w:szCs w:val="28"/>
        </w:rPr>
      </w:pPr>
      <w:r>
        <w:rPr>
          <w:rStyle w:val="39"/>
          <w:b/>
          <w:sz w:val="28"/>
          <w:szCs w:val="28"/>
        </w:rPr>
        <w:t>附表三 评审因素及分值分配表</w:t>
      </w:r>
    </w:p>
    <w:p>
      <w:pPr>
        <w:pStyle w:val="2"/>
        <w:rPr>
          <w:sz w:val="32"/>
          <w:szCs w:val="32"/>
        </w:rPr>
      </w:pPr>
      <w:r>
        <w:rPr>
          <w:rStyle w:val="39"/>
          <w:rFonts w:hint="eastAsia"/>
          <w:b/>
          <w:sz w:val="32"/>
          <w:szCs w:val="32"/>
        </w:rPr>
        <w:t>一包：</w:t>
      </w:r>
    </w:p>
    <w:tbl>
      <w:tblPr>
        <w:tblStyle w:val="15"/>
        <w:tblW w:w="9121" w:type="dxa"/>
        <w:jc w:val="center"/>
        <w:tblLayout w:type="fixed"/>
        <w:tblCellMar>
          <w:top w:w="0" w:type="dxa"/>
          <w:left w:w="108" w:type="dxa"/>
          <w:bottom w:w="0" w:type="dxa"/>
          <w:right w:w="108" w:type="dxa"/>
        </w:tblCellMar>
      </w:tblPr>
      <w:tblGrid>
        <w:gridCol w:w="534"/>
        <w:gridCol w:w="1255"/>
        <w:gridCol w:w="567"/>
        <w:gridCol w:w="142"/>
        <w:gridCol w:w="6623"/>
      </w:tblGrid>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序号</w:t>
            </w:r>
          </w:p>
        </w:tc>
        <w:tc>
          <w:tcPr>
            <w:tcW w:w="1255"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评标项目</w:t>
            </w:r>
          </w:p>
        </w:tc>
        <w:tc>
          <w:tcPr>
            <w:tcW w:w="567"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权重</w:t>
            </w:r>
          </w:p>
        </w:tc>
        <w:tc>
          <w:tcPr>
            <w:tcW w:w="6765" w:type="dxa"/>
            <w:gridSpan w:val="2"/>
            <w:tcBorders>
              <w:top w:val="single" w:color="auto" w:sz="4" w:space="0"/>
              <w:left w:val="nil"/>
              <w:bottom w:val="single" w:color="auto" w:sz="4" w:space="0"/>
              <w:right w:val="single" w:color="auto" w:sz="4" w:space="0"/>
            </w:tcBorders>
            <w:vAlign w:val="center"/>
          </w:tcPr>
          <w:p>
            <w:pPr>
              <w:ind w:firstLine="402"/>
              <w:jc w:val="center"/>
              <w:rPr>
                <w:rFonts w:ascii="宋体" w:hAnsi="宋体" w:cs="宋体"/>
                <w:b/>
                <w:kern w:val="0"/>
                <w:sz w:val="24"/>
              </w:rPr>
            </w:pPr>
            <w:r>
              <w:rPr>
                <w:rFonts w:hint="eastAsia" w:ascii="宋体" w:hAnsi="宋体" w:cs="宋体"/>
                <w:b/>
                <w:kern w:val="0"/>
                <w:sz w:val="24"/>
              </w:rPr>
              <w:t>评标办法</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一</w:t>
            </w:r>
          </w:p>
        </w:tc>
        <w:tc>
          <w:tcPr>
            <w:tcW w:w="1255"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报价30分</w:t>
            </w:r>
          </w:p>
        </w:tc>
        <w:tc>
          <w:tcPr>
            <w:tcW w:w="567"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p>
        </w:tc>
        <w:tc>
          <w:tcPr>
            <w:tcW w:w="6765" w:type="dxa"/>
            <w:gridSpan w:val="2"/>
            <w:tcBorders>
              <w:top w:val="single" w:color="auto" w:sz="4" w:space="0"/>
              <w:left w:val="nil"/>
              <w:bottom w:val="single" w:color="auto" w:sz="4" w:space="0"/>
              <w:right w:val="single" w:color="auto" w:sz="4" w:space="0"/>
            </w:tcBorders>
            <w:vAlign w:val="center"/>
          </w:tcPr>
          <w:p>
            <w:pPr>
              <w:ind w:firstLine="402"/>
              <w:jc w:val="center"/>
              <w:rPr>
                <w:rFonts w:ascii="宋体" w:hAnsi="宋体" w:cs="宋体"/>
                <w:b/>
                <w:kern w:val="0"/>
                <w:sz w:val="24"/>
              </w:rPr>
            </w:pPr>
          </w:p>
        </w:tc>
      </w:tr>
      <w:tr>
        <w:tblPrEx>
          <w:tblCellMar>
            <w:top w:w="0" w:type="dxa"/>
            <w:left w:w="108" w:type="dxa"/>
            <w:bottom w:w="0" w:type="dxa"/>
            <w:right w:w="108" w:type="dxa"/>
          </w:tblCellMar>
        </w:tblPrEx>
        <w:trPr>
          <w:trHeight w:val="1184"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1</w:t>
            </w:r>
          </w:p>
        </w:tc>
        <w:tc>
          <w:tcPr>
            <w:tcW w:w="1255"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分值构成</w:t>
            </w:r>
          </w:p>
          <w:p>
            <w:pPr>
              <w:rPr>
                <w:rFonts w:ascii="宋体" w:hAnsi="宋体" w:cs="宋体"/>
                <w:b/>
                <w:kern w:val="0"/>
                <w:sz w:val="24"/>
              </w:rPr>
            </w:pPr>
            <w:r>
              <w:rPr>
                <w:rFonts w:hint="eastAsia" w:ascii="宋体" w:hAnsi="宋体" w:cs="宋体"/>
                <w:b/>
                <w:kern w:val="0"/>
                <w:sz w:val="24"/>
              </w:rPr>
              <w:t>（总分100）</w:t>
            </w:r>
          </w:p>
        </w:tc>
        <w:tc>
          <w:tcPr>
            <w:tcW w:w="567"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p>
        </w:tc>
        <w:tc>
          <w:tcPr>
            <w:tcW w:w="6765" w:type="dxa"/>
            <w:gridSpan w:val="2"/>
            <w:tcBorders>
              <w:top w:val="single" w:color="auto" w:sz="4" w:space="0"/>
              <w:left w:val="nil"/>
              <w:bottom w:val="single" w:color="auto" w:sz="4" w:space="0"/>
              <w:right w:val="single" w:color="auto" w:sz="4" w:space="0"/>
            </w:tcBorders>
            <w:vAlign w:val="center"/>
          </w:tcPr>
          <w:p>
            <w:pPr>
              <w:spacing w:line="240" w:lineRule="exact"/>
              <w:rPr>
                <w:rFonts w:ascii="宋体" w:hAnsi="宋体" w:cs="宋体"/>
                <w:sz w:val="24"/>
              </w:rPr>
            </w:pPr>
            <w:r>
              <w:rPr>
                <w:rFonts w:hint="eastAsia" w:ascii="宋体" w:hAnsi="宋体" w:cs="宋体"/>
                <w:sz w:val="24"/>
              </w:rPr>
              <w:t>1、投标报价:</w:t>
            </w:r>
            <w:r>
              <w:rPr>
                <w:rFonts w:hint="eastAsia" w:ascii="宋体" w:hAnsi="宋体" w:cs="宋体"/>
                <w:sz w:val="24"/>
                <w:u w:val="single"/>
              </w:rPr>
              <w:t xml:space="preserve"> 30</w:t>
            </w:r>
            <w:r>
              <w:rPr>
                <w:rFonts w:hint="eastAsia" w:ascii="宋体" w:hAnsi="宋体" w:cs="宋体"/>
                <w:sz w:val="24"/>
              </w:rPr>
              <w:t>分</w:t>
            </w:r>
          </w:p>
          <w:p>
            <w:pPr>
              <w:spacing w:line="240" w:lineRule="exact"/>
              <w:rPr>
                <w:rFonts w:ascii="宋体" w:hAnsi="宋体" w:cs="宋体"/>
                <w:sz w:val="24"/>
              </w:rPr>
            </w:pPr>
            <w:r>
              <w:rPr>
                <w:rFonts w:hint="eastAsia" w:ascii="宋体" w:hAnsi="宋体" w:cs="宋体"/>
                <w:sz w:val="24"/>
              </w:rPr>
              <w:t>2、技术部分:</w:t>
            </w:r>
            <w:r>
              <w:rPr>
                <w:rFonts w:hint="eastAsia" w:ascii="宋体" w:hAnsi="宋体" w:cs="宋体"/>
                <w:sz w:val="24"/>
                <w:u w:val="single"/>
              </w:rPr>
              <w:t xml:space="preserve"> 60</w:t>
            </w:r>
            <w:r>
              <w:rPr>
                <w:rFonts w:hint="eastAsia" w:ascii="宋体" w:hAnsi="宋体" w:cs="宋体"/>
                <w:sz w:val="24"/>
              </w:rPr>
              <w:t>分</w:t>
            </w:r>
          </w:p>
          <w:p>
            <w:pPr>
              <w:adjustRightInd w:val="0"/>
              <w:snapToGrid w:val="0"/>
              <w:spacing w:line="240" w:lineRule="exact"/>
              <w:rPr>
                <w:rFonts w:ascii="宋体" w:hAnsi="宋体" w:cs="宋体"/>
                <w:sz w:val="24"/>
              </w:rPr>
            </w:pPr>
            <w:r>
              <w:rPr>
                <w:rFonts w:hint="eastAsia" w:ascii="宋体" w:hAnsi="宋体" w:cs="宋体"/>
                <w:sz w:val="24"/>
              </w:rPr>
              <w:t>3、商务部分:</w:t>
            </w:r>
            <w:r>
              <w:rPr>
                <w:rFonts w:hint="eastAsia" w:ascii="宋体" w:hAnsi="宋体" w:cs="宋体"/>
                <w:sz w:val="24"/>
                <w:u w:val="single"/>
              </w:rPr>
              <w:t>10</w:t>
            </w:r>
            <w:r>
              <w:rPr>
                <w:rFonts w:hint="eastAsia" w:ascii="宋体" w:hAnsi="宋体" w:cs="宋体"/>
                <w:sz w:val="24"/>
              </w:rPr>
              <w:t>分</w:t>
            </w:r>
          </w:p>
        </w:tc>
      </w:tr>
      <w:tr>
        <w:tblPrEx>
          <w:tblCellMar>
            <w:top w:w="0" w:type="dxa"/>
            <w:left w:w="108" w:type="dxa"/>
            <w:bottom w:w="0" w:type="dxa"/>
            <w:right w:w="108" w:type="dxa"/>
          </w:tblCellMar>
        </w:tblPrEx>
        <w:trPr>
          <w:trHeight w:val="1418"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2</w:t>
            </w:r>
          </w:p>
        </w:tc>
        <w:tc>
          <w:tcPr>
            <w:tcW w:w="1255"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bCs/>
                <w:sz w:val="24"/>
              </w:rPr>
              <w:t>投标报价评分标准（30）分</w:t>
            </w:r>
          </w:p>
        </w:tc>
        <w:tc>
          <w:tcPr>
            <w:tcW w:w="567" w:type="dxa"/>
            <w:tcBorders>
              <w:top w:val="single" w:color="auto" w:sz="4" w:space="0"/>
              <w:left w:val="nil"/>
              <w:bottom w:val="single" w:color="auto" w:sz="4" w:space="0"/>
              <w:right w:val="single" w:color="auto" w:sz="4" w:space="0"/>
            </w:tcBorders>
            <w:vAlign w:val="center"/>
          </w:tcPr>
          <w:p>
            <w:pPr>
              <w:rPr>
                <w:rFonts w:ascii="宋体" w:hAnsi="宋体" w:cs="宋体"/>
                <w:b/>
                <w:kern w:val="0"/>
                <w:sz w:val="24"/>
              </w:rPr>
            </w:pPr>
          </w:p>
        </w:tc>
        <w:tc>
          <w:tcPr>
            <w:tcW w:w="6765" w:type="dxa"/>
            <w:gridSpan w:val="2"/>
            <w:tcBorders>
              <w:top w:val="single" w:color="auto" w:sz="4" w:space="0"/>
              <w:left w:val="nil"/>
              <w:bottom w:val="single" w:color="auto" w:sz="4" w:space="0"/>
              <w:right w:val="single" w:color="auto" w:sz="4" w:space="0"/>
            </w:tcBorders>
            <w:vAlign w:val="center"/>
          </w:tcPr>
          <w:p>
            <w:pPr>
              <w:tabs>
                <w:tab w:val="left" w:pos="1894"/>
              </w:tabs>
              <w:ind w:right="51"/>
              <w:jc w:val="left"/>
              <w:rPr>
                <w:rFonts w:ascii="宋体" w:hAnsi="宋体"/>
                <w:sz w:val="24"/>
              </w:rPr>
            </w:pPr>
            <w:r>
              <w:rPr>
                <w:rFonts w:hint="eastAsia" w:ascii="宋体" w:hAnsi="宋体"/>
                <w:sz w:val="24"/>
              </w:rPr>
              <w:t>根据《政府采购货物和服务招标投标管理办法》（财政部令第87号）第五十五条规定：</w:t>
            </w:r>
          </w:p>
          <w:p>
            <w:pPr>
              <w:tabs>
                <w:tab w:val="left" w:pos="1894"/>
              </w:tabs>
              <w:ind w:right="51"/>
              <w:jc w:val="left"/>
              <w:rPr>
                <w:rFonts w:ascii="宋体" w:hAnsi="宋体"/>
                <w:sz w:val="24"/>
              </w:rPr>
            </w:pPr>
            <w:r>
              <w:rPr>
                <w:rFonts w:hint="eastAsia" w:ascii="宋体" w:hAnsi="宋体"/>
                <w:sz w:val="24"/>
              </w:rPr>
              <w:t>货物项目的价格分值占总分值的比重不得低于30%，执行国家统一定价标准和采用固定价格采购的项目，其价格不列为评审因素。</w:t>
            </w:r>
          </w:p>
          <w:p>
            <w:pPr>
              <w:tabs>
                <w:tab w:val="left" w:pos="1894"/>
              </w:tabs>
              <w:ind w:right="51"/>
              <w:jc w:val="left"/>
              <w:rPr>
                <w:rFonts w:ascii="宋体" w:hAnsi="宋体"/>
                <w:sz w:val="24"/>
              </w:rPr>
            </w:pPr>
            <w:r>
              <w:rPr>
                <w:rFonts w:hint="eastAsia" w:ascii="宋体" w:hAnsi="宋体"/>
                <w:b/>
                <w:bCs/>
                <w:sz w:val="24"/>
              </w:rPr>
              <w:t>价格分应当采用低价优先法计算，即满足招标文件要求且投标价格最低的投标报价为评标基准价，其价格分为满分。其他投标人的价格分统一按照下列公式计算：</w:t>
            </w:r>
          </w:p>
          <w:p>
            <w:pPr>
              <w:spacing w:line="260" w:lineRule="exact"/>
              <w:jc w:val="left"/>
              <w:rPr>
                <w:rFonts w:ascii="宋体" w:hAnsi="宋体"/>
                <w:b/>
                <w:bCs/>
                <w:sz w:val="24"/>
              </w:rPr>
            </w:pPr>
            <w:r>
              <w:rPr>
                <w:rFonts w:hint="eastAsia" w:ascii="宋体" w:hAnsi="宋体"/>
                <w:b/>
                <w:bCs/>
                <w:sz w:val="24"/>
              </w:rPr>
              <w:t>投标报价得分=(评标基准价／投标报价)×30%×100</w:t>
            </w:r>
          </w:p>
          <w:p>
            <w:pPr>
              <w:spacing w:line="260" w:lineRule="exact"/>
              <w:jc w:val="left"/>
              <w:rPr>
                <w:rFonts w:ascii="宋体" w:hAnsi="宋体"/>
                <w:sz w:val="24"/>
              </w:rPr>
            </w:pPr>
            <w:r>
              <w:rPr>
                <w:rFonts w:hint="eastAsia" w:ascii="宋体" w:hAnsi="宋体"/>
                <w:sz w:val="24"/>
              </w:rPr>
              <w:t>最低报价不能作为中标的保证。所有投标报价总价以人民币万元为单位，保留两位小数点。投标报价超过招标控制价的为无效报价，报价不得分。</w:t>
            </w:r>
          </w:p>
          <w:p>
            <w:pPr>
              <w:jc w:val="left"/>
              <w:rPr>
                <w:rFonts w:ascii="宋体" w:hAnsi="宋体"/>
                <w:sz w:val="24"/>
              </w:rPr>
            </w:pPr>
            <w:r>
              <w:rPr>
                <w:rFonts w:hint="eastAsia" w:ascii="宋体" w:hAnsi="宋体"/>
                <w:sz w:val="24"/>
              </w:rPr>
              <w:t xml:space="preserve">注：1）根据《关于进一步加大政府采购支持中小企业力度的通知》（财库〔2022〕19号）的规定，对小型和微型企业产品的价格给予10%的价格扣除，用扣除后的价格参与评标。 </w:t>
            </w:r>
          </w:p>
          <w:p>
            <w:pPr>
              <w:jc w:val="left"/>
              <w:rPr>
                <w:rFonts w:ascii="宋体" w:hAnsi="宋体"/>
                <w:sz w:val="24"/>
              </w:rPr>
            </w:pPr>
            <w:r>
              <w:rPr>
                <w:rFonts w:hint="eastAsia" w:ascii="宋体" w:hAnsi="宋体"/>
                <w:sz w:val="24"/>
              </w:rPr>
              <w:t xml:space="preserve">2）参加政府采购活动的中小企业应当提供《中小企业声明函》。 </w:t>
            </w:r>
          </w:p>
          <w:p>
            <w:pPr>
              <w:jc w:val="left"/>
              <w:rPr>
                <w:rFonts w:ascii="宋体" w:hAnsi="宋体"/>
                <w:sz w:val="24"/>
              </w:rPr>
            </w:pPr>
            <w:r>
              <w:rPr>
                <w:rFonts w:hint="eastAsia" w:ascii="宋体" w:hAnsi="宋体"/>
                <w:sz w:val="24"/>
              </w:rPr>
              <w:t xml:space="preserve">3）提供由省级以上监狱管理局、戒毒管理局（含新疆生产建设兵团）出具的属于监狱企业证明文件的，视同为小型和微型企业。 </w:t>
            </w:r>
          </w:p>
          <w:p>
            <w:r>
              <w:rPr>
                <w:rFonts w:hint="eastAsia" w:ascii="宋体" w:hAnsi="宋体"/>
                <w:sz w:val="24"/>
              </w:rPr>
              <w:t xml:space="preserve">4）符合享受政府采购支持政策的残疾人福利性单位条件且提供《残疾人福利性单位声明函》的，视同为小型和微型企业。  </w:t>
            </w:r>
          </w:p>
        </w:tc>
      </w:tr>
      <w:tr>
        <w:tblPrEx>
          <w:tblCellMar>
            <w:top w:w="0" w:type="dxa"/>
            <w:left w:w="108" w:type="dxa"/>
            <w:bottom w:w="0" w:type="dxa"/>
            <w:right w:w="108" w:type="dxa"/>
          </w:tblCellMar>
        </w:tblPrEx>
        <w:trPr>
          <w:trHeight w:val="270" w:hRule="atLeast"/>
          <w:jc w:val="center"/>
        </w:trPr>
        <w:tc>
          <w:tcPr>
            <w:tcW w:w="9121"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宋体"/>
                <w:kern w:val="0"/>
                <w:sz w:val="24"/>
              </w:rPr>
            </w:pPr>
            <w:r>
              <w:rPr>
                <w:rFonts w:hint="eastAsia" w:ascii="宋体" w:hAnsi="宋体" w:cs="宋体"/>
                <w:b/>
                <w:sz w:val="24"/>
              </w:rPr>
              <w:t>备注:综合评分法中的价格分统一采用低价优先法计算，即满足招标文件要求且投标价格最低的投标报价为评标基准价，其价格分为满分。其他投标人的价格分统一按照上列公式计算。</w:t>
            </w:r>
          </w:p>
        </w:tc>
      </w:tr>
      <w:tr>
        <w:tblPrEx>
          <w:tblCellMar>
            <w:top w:w="0" w:type="dxa"/>
            <w:left w:w="108" w:type="dxa"/>
            <w:bottom w:w="0" w:type="dxa"/>
            <w:right w:w="108" w:type="dxa"/>
          </w:tblCellMar>
        </w:tblPrEx>
        <w:trPr>
          <w:trHeight w:val="726" w:hRule="atLeast"/>
          <w:jc w:val="center"/>
        </w:trPr>
        <w:tc>
          <w:tcPr>
            <w:tcW w:w="534" w:type="dxa"/>
            <w:tcBorders>
              <w:top w:val="nil"/>
              <w:left w:val="single" w:color="auto" w:sz="4" w:space="0"/>
              <w:bottom w:val="single" w:color="auto" w:sz="4" w:space="0"/>
              <w:right w:val="single" w:color="auto" w:sz="4" w:space="0"/>
            </w:tcBorders>
            <w:vAlign w:val="center"/>
          </w:tcPr>
          <w:p>
            <w:pPr>
              <w:rPr>
                <w:rFonts w:ascii="宋体" w:hAnsi="宋体" w:cs="宋体"/>
                <w:b/>
                <w:kern w:val="0"/>
                <w:sz w:val="24"/>
              </w:rPr>
            </w:pPr>
            <w:r>
              <w:rPr>
                <w:rFonts w:hint="eastAsia" w:ascii="宋体" w:hAnsi="宋体" w:cs="宋体"/>
                <w:b/>
                <w:kern w:val="0"/>
                <w:sz w:val="24"/>
              </w:rPr>
              <w:t>二</w:t>
            </w:r>
          </w:p>
        </w:tc>
        <w:tc>
          <w:tcPr>
            <w:tcW w:w="1255" w:type="dxa"/>
            <w:tcBorders>
              <w:top w:val="nil"/>
              <w:left w:val="single" w:color="auto" w:sz="4" w:space="0"/>
              <w:bottom w:val="single" w:color="auto" w:sz="4" w:space="0"/>
              <w:right w:val="single" w:color="auto" w:sz="4" w:space="0"/>
            </w:tcBorders>
            <w:vAlign w:val="center"/>
          </w:tcPr>
          <w:p>
            <w:pPr>
              <w:jc w:val="left"/>
              <w:rPr>
                <w:rFonts w:ascii="宋体" w:hAnsi="宋体" w:cs="宋体"/>
                <w:b/>
                <w:sz w:val="24"/>
              </w:rPr>
            </w:pPr>
            <w:r>
              <w:rPr>
                <w:rFonts w:hint="eastAsia" w:ascii="宋体" w:hAnsi="宋体" w:cs="宋体"/>
                <w:b/>
                <w:sz w:val="24"/>
              </w:rPr>
              <w:t>商务部分</w:t>
            </w:r>
            <w:r>
              <w:rPr>
                <w:rFonts w:hint="eastAsia" w:ascii="宋体" w:hAnsi="宋体" w:cs="宋体"/>
                <w:b/>
                <w:sz w:val="24"/>
                <w:lang w:val="en-US" w:eastAsia="zh-CN"/>
              </w:rPr>
              <w:t>10</w:t>
            </w:r>
            <w:r>
              <w:rPr>
                <w:rFonts w:hint="eastAsia" w:ascii="宋体" w:hAnsi="宋体" w:cs="宋体"/>
                <w:b/>
                <w:sz w:val="24"/>
              </w:rPr>
              <w:t>分</w:t>
            </w:r>
          </w:p>
        </w:tc>
        <w:tc>
          <w:tcPr>
            <w:tcW w:w="567" w:type="dxa"/>
            <w:tcBorders>
              <w:top w:val="nil"/>
              <w:left w:val="single" w:color="auto" w:sz="4" w:space="0"/>
              <w:bottom w:val="single" w:color="auto" w:sz="4" w:space="0"/>
              <w:right w:val="single" w:color="auto" w:sz="4" w:space="0"/>
            </w:tcBorders>
            <w:vAlign w:val="center"/>
          </w:tcPr>
          <w:p>
            <w:pPr>
              <w:jc w:val="left"/>
              <w:rPr>
                <w:rFonts w:ascii="宋体" w:hAnsi="宋体" w:cs="宋体"/>
                <w:kern w:val="0"/>
                <w:sz w:val="24"/>
              </w:rPr>
            </w:pPr>
          </w:p>
        </w:tc>
        <w:tc>
          <w:tcPr>
            <w:tcW w:w="6765" w:type="dxa"/>
            <w:gridSpan w:val="2"/>
            <w:tcBorders>
              <w:top w:val="single" w:color="auto" w:sz="4" w:space="0"/>
              <w:left w:val="nil"/>
              <w:bottom w:val="single" w:color="auto" w:sz="6" w:space="0"/>
              <w:right w:val="single" w:color="auto" w:sz="4" w:space="0"/>
            </w:tcBorders>
            <w:vAlign w:val="center"/>
          </w:tcPr>
          <w:p>
            <w:pPr>
              <w:jc w:val="left"/>
              <w:rPr>
                <w:rFonts w:ascii="宋体" w:hAnsi="宋体" w:cs="宋体"/>
                <w:sz w:val="24"/>
              </w:rPr>
            </w:pPr>
          </w:p>
        </w:tc>
      </w:tr>
      <w:tr>
        <w:tblPrEx>
          <w:tblCellMar>
            <w:top w:w="0" w:type="dxa"/>
            <w:left w:w="108" w:type="dxa"/>
            <w:bottom w:w="0" w:type="dxa"/>
            <w:right w:w="108" w:type="dxa"/>
          </w:tblCellMar>
        </w:tblPrEx>
        <w:trPr>
          <w:trHeight w:val="728" w:hRule="atLeast"/>
          <w:jc w:val="center"/>
        </w:trPr>
        <w:tc>
          <w:tcPr>
            <w:tcW w:w="534" w:type="dxa"/>
            <w:vMerge w:val="restart"/>
            <w:tcBorders>
              <w:top w:val="nil"/>
              <w:left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w:t>
            </w:r>
          </w:p>
        </w:tc>
        <w:tc>
          <w:tcPr>
            <w:tcW w:w="1255" w:type="dxa"/>
            <w:tcBorders>
              <w:top w:val="nil"/>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color w:val="000000"/>
                <w:kern w:val="0"/>
                <w:sz w:val="24"/>
              </w:rPr>
              <w:t>类似业绩</w:t>
            </w:r>
          </w:p>
        </w:tc>
        <w:tc>
          <w:tcPr>
            <w:tcW w:w="567"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4"/>
                <w:lang w:eastAsia="zh-CN"/>
              </w:rPr>
            </w:pPr>
            <w:r>
              <w:rPr>
                <w:rFonts w:hint="eastAsia" w:ascii="宋体" w:hAnsi="宋体" w:cs="宋体"/>
                <w:color w:val="000000"/>
                <w:kern w:val="0"/>
                <w:sz w:val="24"/>
                <w:lang w:val="en-US" w:eastAsia="zh-CN"/>
              </w:rPr>
              <w:t>3</w:t>
            </w:r>
          </w:p>
        </w:tc>
        <w:tc>
          <w:tcPr>
            <w:tcW w:w="6765" w:type="dxa"/>
            <w:gridSpan w:val="2"/>
            <w:tcBorders>
              <w:top w:val="single" w:color="auto" w:sz="4" w:space="0"/>
              <w:left w:val="nil"/>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color w:val="000000"/>
                <w:kern w:val="0"/>
                <w:sz w:val="24"/>
                <w:lang w:bidi="ar"/>
              </w:rPr>
              <w:t>投标人2019至今完成过类似项目，每提供一个得1分，最多得</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分；</w:t>
            </w:r>
          </w:p>
          <w:p>
            <w:pPr>
              <w:jc w:val="left"/>
              <w:rPr>
                <w:rFonts w:ascii="宋体" w:hAnsi="宋体" w:cs="宋体"/>
                <w:kern w:val="0"/>
                <w:sz w:val="24"/>
              </w:rPr>
            </w:pPr>
            <w:r>
              <w:rPr>
                <w:rFonts w:hint="eastAsia" w:ascii="宋体" w:hAnsi="宋体" w:cs="宋体"/>
                <w:color w:val="000000"/>
                <w:kern w:val="0"/>
                <w:sz w:val="24"/>
                <w:lang w:bidi="ar"/>
              </w:rPr>
              <w:t xml:space="preserve"> （须提供中标通知书或合同复印件，加盖公章，否则不得分。） </w:t>
            </w:r>
          </w:p>
        </w:tc>
      </w:tr>
      <w:tr>
        <w:tblPrEx>
          <w:tblCellMar>
            <w:top w:w="0" w:type="dxa"/>
            <w:left w:w="108" w:type="dxa"/>
            <w:bottom w:w="0" w:type="dxa"/>
            <w:right w:w="108" w:type="dxa"/>
          </w:tblCellMar>
        </w:tblPrEx>
        <w:trPr>
          <w:trHeight w:val="1461" w:hRule="atLeast"/>
          <w:jc w:val="center"/>
        </w:trPr>
        <w:tc>
          <w:tcPr>
            <w:tcW w:w="534" w:type="dxa"/>
            <w:vMerge w:val="continue"/>
            <w:tcBorders>
              <w:left w:val="single" w:color="auto" w:sz="4" w:space="0"/>
              <w:right w:val="single" w:color="auto" w:sz="4" w:space="0"/>
            </w:tcBorders>
            <w:vAlign w:val="center"/>
          </w:tcPr>
          <w:p>
            <w:pPr>
              <w:jc w:val="center"/>
              <w:rPr>
                <w:rFonts w:ascii="宋体" w:hAnsi="宋体" w:cs="宋体"/>
                <w:kern w:val="0"/>
                <w:sz w:val="24"/>
              </w:rPr>
            </w:pPr>
          </w:p>
        </w:tc>
        <w:tc>
          <w:tcPr>
            <w:tcW w:w="1255"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C0C0C"/>
                <w:sz w:val="24"/>
              </w:rPr>
              <w:t>所投产品厂商商业信誉</w:t>
            </w:r>
          </w:p>
        </w:tc>
        <w:tc>
          <w:tcPr>
            <w:tcW w:w="567" w:type="dxa"/>
            <w:tcBorders>
              <w:top w:val="nil"/>
              <w:left w:val="single" w:color="auto" w:sz="4" w:space="0"/>
              <w:right w:val="single" w:color="auto" w:sz="4" w:space="0"/>
            </w:tcBorders>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6765" w:type="dxa"/>
            <w:gridSpan w:val="2"/>
            <w:tcBorders>
              <w:top w:val="single" w:color="auto" w:sz="4" w:space="0"/>
              <w:left w:val="nil"/>
              <w:right w:val="single" w:color="auto" w:sz="4" w:space="0"/>
            </w:tcBorders>
            <w:vAlign w:val="center"/>
          </w:tcPr>
          <w:p>
            <w:pPr>
              <w:jc w:val="left"/>
              <w:rPr>
                <w:rFonts w:ascii="宋体" w:hAnsi="宋体" w:cs="宋体"/>
                <w:color w:val="0C0C0C"/>
                <w:sz w:val="24"/>
              </w:rPr>
            </w:pPr>
            <w:r>
              <w:rPr>
                <w:rFonts w:hint="eastAsia" w:ascii="宋体" w:hAnsi="宋体" w:cs="宋体"/>
                <w:color w:val="0C0C0C"/>
                <w:sz w:val="24"/>
              </w:rPr>
              <w:t>所投产品厂商具备质量管理体系ISO9001、环境管理体系认证证书ISO14001、职业健康安全管理体系ISO45001证书，</w:t>
            </w:r>
            <w:r>
              <w:rPr>
                <w:rFonts w:hint="eastAsia" w:ascii="宋体" w:hAnsi="宋体" w:cs="宋体"/>
                <w:color w:val="0C0C0C"/>
                <w:sz w:val="24"/>
                <w:lang w:val="en-US" w:eastAsia="zh-CN"/>
              </w:rPr>
              <w:t>全部满足得7</w:t>
            </w:r>
            <w:r>
              <w:rPr>
                <w:rFonts w:hint="eastAsia" w:ascii="宋体" w:hAnsi="宋体" w:cs="宋体"/>
                <w:color w:val="0C0C0C"/>
                <w:sz w:val="24"/>
              </w:rPr>
              <w:t>分。</w:t>
            </w:r>
          </w:p>
          <w:p>
            <w:pPr>
              <w:jc w:val="left"/>
              <w:rPr>
                <w:rFonts w:ascii="宋体" w:hAnsi="宋体" w:cs="宋体"/>
                <w:color w:val="000000"/>
                <w:kern w:val="0"/>
                <w:sz w:val="24"/>
                <w:lang w:bidi="ar"/>
              </w:rPr>
            </w:pPr>
            <w:r>
              <w:rPr>
                <w:rFonts w:hint="eastAsia" w:ascii="宋体" w:hAnsi="宋体" w:cs="宋体"/>
                <w:color w:val="0C0C0C"/>
                <w:sz w:val="24"/>
              </w:rPr>
              <w:t>（</w:t>
            </w:r>
            <w:r>
              <w:rPr>
                <w:rFonts w:hint="eastAsia" w:ascii="宋体" w:hAnsi="宋体" w:cs="宋体"/>
                <w:color w:val="000000"/>
                <w:kern w:val="0"/>
                <w:sz w:val="24"/>
                <w:lang w:bidi="ar"/>
              </w:rPr>
              <w:t>须提供</w:t>
            </w:r>
            <w:r>
              <w:rPr>
                <w:rFonts w:hint="eastAsia" w:ascii="宋体" w:hAnsi="宋体" w:cs="宋体"/>
                <w:color w:val="0C0C0C"/>
                <w:sz w:val="24"/>
              </w:rPr>
              <w:t>证书复印件证书加盖公章）</w:t>
            </w:r>
          </w:p>
        </w:tc>
      </w:tr>
      <w:tr>
        <w:tblPrEx>
          <w:tblCellMar>
            <w:top w:w="0" w:type="dxa"/>
            <w:left w:w="108" w:type="dxa"/>
            <w:bottom w:w="0" w:type="dxa"/>
            <w:right w:w="108" w:type="dxa"/>
          </w:tblCellMar>
        </w:tblPrEx>
        <w:trPr>
          <w:trHeight w:val="27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24"/>
              </w:rPr>
            </w:pPr>
            <w:r>
              <w:rPr>
                <w:rFonts w:hint="eastAsia" w:ascii="宋体" w:hAnsi="宋体" w:cs="宋体"/>
                <w:b/>
                <w:kern w:val="0"/>
                <w:sz w:val="24"/>
              </w:rPr>
              <w:t>三</w:t>
            </w:r>
          </w:p>
        </w:tc>
        <w:tc>
          <w:tcPr>
            <w:tcW w:w="8587" w:type="dxa"/>
            <w:gridSpan w:val="4"/>
            <w:tcBorders>
              <w:top w:val="single" w:color="auto" w:sz="4" w:space="0"/>
              <w:left w:val="nil"/>
              <w:bottom w:val="single" w:color="auto" w:sz="4" w:space="0"/>
              <w:right w:val="single" w:color="auto" w:sz="4" w:space="0"/>
            </w:tcBorders>
            <w:vAlign w:val="center"/>
          </w:tcPr>
          <w:p>
            <w:pPr>
              <w:jc w:val="left"/>
              <w:rPr>
                <w:rFonts w:ascii="宋体" w:hAnsi="宋体" w:cs="宋体"/>
                <w:b/>
                <w:kern w:val="0"/>
                <w:sz w:val="24"/>
              </w:rPr>
            </w:pPr>
            <w:r>
              <w:rPr>
                <w:rFonts w:hint="eastAsia" w:ascii="宋体" w:hAnsi="宋体" w:cs="宋体"/>
                <w:b/>
                <w:kern w:val="0"/>
                <w:sz w:val="24"/>
              </w:rPr>
              <w:t>技术部分（60分）</w:t>
            </w:r>
          </w:p>
        </w:tc>
      </w:tr>
      <w:tr>
        <w:tblPrEx>
          <w:tblCellMar>
            <w:top w:w="0" w:type="dxa"/>
            <w:left w:w="108" w:type="dxa"/>
            <w:bottom w:w="0" w:type="dxa"/>
            <w:right w:w="108" w:type="dxa"/>
          </w:tblCellMar>
        </w:tblPrEx>
        <w:trPr>
          <w:trHeight w:val="693"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highlight w:val="none"/>
              </w:rPr>
            </w:pPr>
            <w:r>
              <w:rPr>
                <w:rFonts w:hint="eastAsia" w:ascii="宋体" w:hAnsi="宋体" w:cs="宋体"/>
                <w:kern w:val="0"/>
                <w:sz w:val="24"/>
                <w:highlight w:val="none"/>
              </w:rPr>
              <w:t>1</w:t>
            </w: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highlight w:val="none"/>
              </w:rPr>
            </w:pPr>
            <w:r>
              <w:rPr>
                <w:rFonts w:hint="eastAsia" w:ascii="宋体" w:hAnsi="宋体" w:cs="宋体"/>
                <w:kern w:val="0"/>
                <w:sz w:val="24"/>
                <w:highlight w:val="none"/>
              </w:rPr>
              <w:t>售后服务及质量要求</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highlight w:val="none"/>
              </w:rPr>
            </w:pPr>
            <w:r>
              <w:rPr>
                <w:rFonts w:hint="eastAsia" w:ascii="宋体" w:hAnsi="宋体" w:cs="宋体"/>
                <w:kern w:val="0"/>
                <w:sz w:val="24"/>
                <w:highlight w:val="none"/>
              </w:rPr>
              <w:t>10</w:t>
            </w:r>
          </w:p>
        </w:tc>
        <w:tc>
          <w:tcPr>
            <w:tcW w:w="6623" w:type="dxa"/>
            <w:tcBorders>
              <w:top w:val="nil"/>
              <w:left w:val="nil"/>
              <w:bottom w:val="single" w:color="auto" w:sz="4" w:space="0"/>
              <w:right w:val="single" w:color="auto" w:sz="4" w:space="0"/>
            </w:tcBorders>
            <w:vAlign w:val="center"/>
          </w:tcPr>
          <w:p>
            <w:pPr>
              <w:pStyle w:val="2"/>
              <w:rPr>
                <w:highlight w:val="none"/>
              </w:rPr>
            </w:pPr>
            <w:r>
              <w:rPr>
                <w:rFonts w:hint="eastAsia"/>
                <w:highlight w:val="none"/>
              </w:rPr>
              <w:t>根据供应商提供针对本项目的服务方案：</w:t>
            </w:r>
          </w:p>
          <w:p>
            <w:pPr>
              <w:pStyle w:val="2"/>
              <w:rPr>
                <w:highlight w:val="none"/>
              </w:rPr>
            </w:pPr>
            <w:r>
              <w:rPr>
                <w:rFonts w:hint="eastAsia"/>
                <w:highlight w:val="none"/>
              </w:rPr>
              <w:t>1.后续服务承诺（维修范围、期限）</w:t>
            </w:r>
          </w:p>
          <w:p>
            <w:pPr>
              <w:pStyle w:val="2"/>
              <w:rPr>
                <w:highlight w:val="none"/>
              </w:rPr>
            </w:pPr>
            <w:r>
              <w:rPr>
                <w:rFonts w:hint="eastAsia"/>
                <w:highlight w:val="none"/>
              </w:rPr>
              <w:t>2.后续质量问题响应时间（需提供明确时间节点的承诺函）</w:t>
            </w:r>
          </w:p>
          <w:p>
            <w:pPr>
              <w:pStyle w:val="2"/>
              <w:rPr>
                <w:highlight w:val="none"/>
              </w:rPr>
            </w:pPr>
            <w:r>
              <w:rPr>
                <w:rFonts w:hint="eastAsia"/>
                <w:highlight w:val="none"/>
              </w:rPr>
              <w:t>3.后续服务技术支持体系。</w:t>
            </w:r>
          </w:p>
          <w:p>
            <w:pPr>
              <w:pStyle w:val="2"/>
              <w:rPr>
                <w:highlight w:val="none"/>
              </w:rPr>
            </w:pPr>
            <w:r>
              <w:rPr>
                <w:rFonts w:hint="eastAsia"/>
                <w:highlight w:val="none"/>
              </w:rPr>
              <w:t>4.质量保障计划（时间、流程等）</w:t>
            </w:r>
          </w:p>
          <w:p>
            <w:pPr>
              <w:pStyle w:val="2"/>
              <w:rPr>
                <w:highlight w:val="none"/>
              </w:rPr>
            </w:pPr>
            <w:r>
              <w:rPr>
                <w:rFonts w:hint="eastAsia"/>
                <w:highlight w:val="none"/>
              </w:rPr>
              <w:t>5.拟为本项目配置的后续服务人员</w:t>
            </w:r>
          </w:p>
          <w:p>
            <w:pPr>
              <w:pStyle w:val="2"/>
              <w:rPr>
                <w:highlight w:val="none"/>
              </w:rPr>
            </w:pPr>
            <w:r>
              <w:rPr>
                <w:rFonts w:hint="eastAsia"/>
                <w:highlight w:val="none"/>
              </w:rPr>
              <w:t>全部提供得10分，每一项存在缺陷、</w:t>
            </w:r>
            <w:r>
              <w:rPr>
                <w:rFonts w:hint="eastAsia" w:ascii="宋体" w:hAnsi="宋体" w:cs="宋体"/>
                <w:szCs w:val="24"/>
                <w:highlight w:val="none"/>
              </w:rPr>
              <w:t>不利于项目实施</w:t>
            </w:r>
            <w:r>
              <w:rPr>
                <w:rFonts w:hint="eastAsia"/>
                <w:highlight w:val="none"/>
              </w:rPr>
              <w:t>或未提供扣2分，扣完为止；</w:t>
            </w:r>
          </w:p>
          <w:p>
            <w:pPr>
              <w:pStyle w:val="2"/>
              <w:rPr>
                <w:rFonts w:ascii="宋体" w:hAnsi="宋体"/>
                <w:szCs w:val="24"/>
                <w:highlight w:val="none"/>
              </w:rPr>
            </w:pPr>
            <w:r>
              <w:rPr>
                <w:rFonts w:hint="eastAsia" w:ascii="宋体" w:hAnsi="宋体" w:cs="宋体"/>
                <w:szCs w:val="24"/>
                <w:highlight w:val="none"/>
              </w:rPr>
              <w:t>（注：缺陷或不利于项目实施是指：存在不适用项目实际情况的情形、凭空编造、方案中内容前后不一致、前后逻辑错误、涉及的规范及标准错误、地点区域错误、内容缺失、不符合项目实际情况。）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2</w:t>
            </w:r>
          </w:p>
        </w:tc>
        <w:tc>
          <w:tcPr>
            <w:tcW w:w="1255"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24"/>
              </w:rPr>
            </w:pPr>
            <w:r>
              <w:rPr>
                <w:rFonts w:hint="eastAsia" w:ascii="宋体" w:hAnsi="宋体" w:cs="宋体"/>
                <w:kern w:val="0"/>
                <w:sz w:val="24"/>
              </w:rPr>
              <w:t>供货配送方案</w:t>
            </w:r>
          </w:p>
        </w:tc>
        <w:tc>
          <w:tcPr>
            <w:tcW w:w="70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10</w:t>
            </w:r>
          </w:p>
        </w:tc>
        <w:tc>
          <w:tcPr>
            <w:tcW w:w="6623" w:type="dxa"/>
            <w:tcBorders>
              <w:top w:val="single" w:color="auto" w:sz="4" w:space="0"/>
              <w:left w:val="nil"/>
              <w:bottom w:val="single" w:color="auto" w:sz="4" w:space="0"/>
              <w:right w:val="single" w:color="auto" w:sz="4" w:space="0"/>
            </w:tcBorders>
            <w:vAlign w:val="center"/>
          </w:tcPr>
          <w:p>
            <w:pPr>
              <w:rPr>
                <w:rFonts w:ascii="宋体" w:hAnsi="宋体" w:cs="宋体"/>
                <w:kern w:val="0"/>
                <w:sz w:val="24"/>
              </w:rPr>
            </w:pPr>
            <w:r>
              <w:rPr>
                <w:rFonts w:hint="eastAsia" w:ascii="宋体" w:hAnsi="宋体" w:cs="宋体"/>
                <w:sz w:val="24"/>
              </w:rPr>
              <w:t>供应商根据项目各实施阶段时间要求制定进度保障措施，包括：1.各阶段时间要求分析、2.进度计划、3.进度目标、4、进度保证措施、5.应急情况处理，内容完整、针对性强有利于项目实施的得10分，方案中有缺陷或不足、且不利于项目实施的每一处扣2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1020" w:hRule="atLeast"/>
          <w:jc w:val="center"/>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3</w:t>
            </w:r>
          </w:p>
        </w:tc>
        <w:tc>
          <w:tcPr>
            <w:tcW w:w="1255" w:type="dxa"/>
            <w:tcBorders>
              <w:top w:val="single" w:color="auto" w:sz="4" w:space="0"/>
              <w:left w:val="nil"/>
              <w:bottom w:val="single" w:color="auto" w:sz="4" w:space="0"/>
              <w:right w:val="single" w:color="auto" w:sz="4" w:space="0"/>
            </w:tcBorders>
            <w:vAlign w:val="center"/>
          </w:tcPr>
          <w:p>
            <w:pPr>
              <w:jc w:val="left"/>
              <w:rPr>
                <w:sz w:val="24"/>
              </w:rPr>
            </w:pPr>
            <w:r>
              <w:rPr>
                <w:rFonts w:hint="eastAsia"/>
                <w:sz w:val="24"/>
              </w:rPr>
              <w:t>技术参数</w:t>
            </w:r>
          </w:p>
        </w:tc>
        <w:tc>
          <w:tcPr>
            <w:tcW w:w="709"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kern w:val="0"/>
                <w:sz w:val="24"/>
              </w:rPr>
            </w:pPr>
            <w:r>
              <w:rPr>
                <w:rFonts w:hint="eastAsia" w:ascii="宋体" w:hAnsi="宋体" w:cs="宋体"/>
                <w:kern w:val="0"/>
                <w:sz w:val="24"/>
              </w:rPr>
              <w:t>40</w:t>
            </w:r>
          </w:p>
        </w:tc>
        <w:tc>
          <w:tcPr>
            <w:tcW w:w="6623" w:type="dxa"/>
            <w:tcBorders>
              <w:top w:val="single" w:color="auto" w:sz="4" w:space="0"/>
              <w:left w:val="nil"/>
              <w:bottom w:val="single" w:color="auto" w:sz="4" w:space="0"/>
              <w:right w:val="single" w:color="auto" w:sz="4" w:space="0"/>
            </w:tcBorders>
            <w:vAlign w:val="center"/>
          </w:tcPr>
          <w:p>
            <w:pPr>
              <w:rPr>
                <w:sz w:val="24"/>
              </w:rPr>
            </w:pPr>
            <w:r>
              <w:rPr>
                <w:rFonts w:hint="eastAsia"/>
                <w:sz w:val="24"/>
              </w:rPr>
              <w:t>投标人所投产品参数，除“*”条款以外的技术参数；全部满足得40分。一条不满足得35分，两条不满足得30分，三条不满足得25分，四条不满足得20分，五条不满足得15分，六条不满足得10分，七条不满足得5分，八条及以上不满足不得分。</w:t>
            </w:r>
          </w:p>
        </w:tc>
      </w:tr>
    </w:tbl>
    <w:p>
      <w:pPr>
        <w:tabs>
          <w:tab w:val="left" w:pos="993"/>
        </w:tabs>
        <w:snapToGrid w:val="0"/>
        <w:spacing w:after="156"/>
        <w:ind w:left="683" w:leftChars="325"/>
        <w:jc w:val="left"/>
        <w:rPr>
          <w:rStyle w:val="39"/>
          <w:rFonts w:ascii="宋体" w:hAnsi="宋体"/>
          <w:kern w:val="0"/>
          <w:sz w:val="24"/>
        </w:rPr>
      </w:pPr>
    </w:p>
    <w:p>
      <w:pPr>
        <w:tabs>
          <w:tab w:val="left" w:pos="993"/>
        </w:tabs>
        <w:snapToGrid w:val="0"/>
        <w:spacing w:after="156"/>
        <w:ind w:left="683" w:leftChars="325"/>
        <w:jc w:val="left"/>
        <w:rPr>
          <w:rStyle w:val="39"/>
          <w:rFonts w:ascii="宋体" w:hAnsi="宋体"/>
          <w:kern w:val="0"/>
          <w:sz w:val="24"/>
        </w:rPr>
      </w:pPr>
      <w:r>
        <w:rPr>
          <w:rStyle w:val="39"/>
          <w:rFonts w:ascii="宋体" w:hAnsi="宋体"/>
          <w:kern w:val="0"/>
          <w:sz w:val="24"/>
        </w:rPr>
        <w:t>根据</w:t>
      </w:r>
      <w:r>
        <w:rPr>
          <w:rStyle w:val="39"/>
          <w:rFonts w:hint="eastAsia" w:ascii="宋体" w:hAnsi="宋体"/>
          <w:kern w:val="0"/>
          <w:sz w:val="24"/>
        </w:rPr>
        <w:t>《关于进一步加大政府采购支持中小企业力度的通知》（财库〔2022〕19号）调整投标人参与评标的价格。（非专门面向中小企业的项目）对小型和微型企业产品的价格给予10%的扣除</w:t>
      </w:r>
      <w:r>
        <w:rPr>
          <w:rStyle w:val="39"/>
          <w:rFonts w:ascii="宋体" w:hAnsi="宋体"/>
          <w:kern w:val="0"/>
          <w:sz w:val="24"/>
        </w:rPr>
        <w:t>。</w:t>
      </w:r>
    </w:p>
    <w:p>
      <w:pPr>
        <w:tabs>
          <w:tab w:val="left" w:pos="993"/>
        </w:tabs>
        <w:snapToGrid w:val="0"/>
        <w:spacing w:after="156"/>
        <w:ind w:left="718" w:leftChars="342"/>
        <w:jc w:val="left"/>
        <w:rPr>
          <w:rStyle w:val="39"/>
          <w:rFonts w:ascii="宋体" w:hAnsi="宋体"/>
          <w:kern w:val="0"/>
          <w:sz w:val="24"/>
        </w:rPr>
      </w:pPr>
      <w:r>
        <w:rPr>
          <w:rStyle w:val="39"/>
          <w:rFonts w:ascii="宋体" w:hAnsi="宋体"/>
          <w:kern w:val="0"/>
          <w:sz w:val="24"/>
        </w:rPr>
        <w:t>注监狱企业、残疾人福利性单位视同小微企业；残疾人福利性单位属于小型、微型企业的，不重复享受政策。</w:t>
      </w:r>
    </w:p>
    <w:p>
      <w:pPr>
        <w:pStyle w:val="2"/>
        <w:rPr>
          <w:sz w:val="32"/>
          <w:szCs w:val="32"/>
        </w:rPr>
      </w:pPr>
      <w:r>
        <w:rPr>
          <w:rStyle w:val="39"/>
          <w:rFonts w:hint="eastAsia"/>
          <w:b/>
          <w:sz w:val="32"/>
          <w:szCs w:val="32"/>
        </w:rPr>
        <w:t>二包：</w:t>
      </w:r>
    </w:p>
    <w:tbl>
      <w:tblPr>
        <w:tblStyle w:val="15"/>
        <w:tblW w:w="9598" w:type="dxa"/>
        <w:tblInd w:w="-74" w:type="dxa"/>
        <w:tblLayout w:type="fixed"/>
        <w:tblCellMar>
          <w:top w:w="0" w:type="dxa"/>
          <w:left w:w="108" w:type="dxa"/>
          <w:bottom w:w="0" w:type="dxa"/>
          <w:right w:w="108" w:type="dxa"/>
        </w:tblCellMar>
      </w:tblPr>
      <w:tblGrid>
        <w:gridCol w:w="506"/>
        <w:gridCol w:w="1406"/>
        <w:gridCol w:w="567"/>
        <w:gridCol w:w="7119"/>
      </w:tblGrid>
      <w:tr>
        <w:tblPrEx>
          <w:tblCellMar>
            <w:top w:w="0" w:type="dxa"/>
            <w:left w:w="108" w:type="dxa"/>
            <w:bottom w:w="0" w:type="dxa"/>
            <w:right w:w="108" w:type="dxa"/>
          </w:tblCellMar>
        </w:tblPrEx>
        <w:trPr>
          <w:trHeight w:val="600"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序号</w:t>
            </w:r>
          </w:p>
        </w:tc>
        <w:tc>
          <w:tcPr>
            <w:tcW w:w="1406"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评标项目</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权重</w:t>
            </w:r>
          </w:p>
        </w:tc>
        <w:tc>
          <w:tcPr>
            <w:tcW w:w="7119"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评标办法</w:t>
            </w:r>
          </w:p>
        </w:tc>
      </w:tr>
      <w:tr>
        <w:tblPrEx>
          <w:tblCellMar>
            <w:top w:w="0" w:type="dxa"/>
            <w:left w:w="108" w:type="dxa"/>
            <w:bottom w:w="0" w:type="dxa"/>
            <w:right w:w="108" w:type="dxa"/>
          </w:tblCellMar>
        </w:tblPrEx>
        <w:trPr>
          <w:trHeight w:val="1342"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一</w:t>
            </w:r>
          </w:p>
        </w:tc>
        <w:tc>
          <w:tcPr>
            <w:tcW w:w="1406"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报价</w:t>
            </w:r>
          </w:p>
        </w:tc>
        <w:tc>
          <w:tcPr>
            <w:tcW w:w="567"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30</w:t>
            </w:r>
          </w:p>
        </w:tc>
        <w:tc>
          <w:tcPr>
            <w:tcW w:w="7119" w:type="dxa"/>
            <w:tcBorders>
              <w:top w:val="single" w:color="auto" w:sz="4" w:space="0"/>
              <w:left w:val="nil"/>
              <w:bottom w:val="single" w:color="auto" w:sz="4" w:space="0"/>
              <w:right w:val="single" w:color="auto" w:sz="4" w:space="0"/>
            </w:tcBorders>
            <w:vAlign w:val="center"/>
          </w:tcPr>
          <w:p>
            <w:pPr>
              <w:tabs>
                <w:tab w:val="left" w:pos="1894"/>
              </w:tabs>
              <w:ind w:right="51"/>
              <w:jc w:val="left"/>
              <w:rPr>
                <w:rFonts w:ascii="宋体" w:hAnsi="宋体"/>
                <w:sz w:val="24"/>
              </w:rPr>
            </w:pPr>
            <w:r>
              <w:rPr>
                <w:rFonts w:hint="eastAsia" w:ascii="宋体" w:hAnsi="宋体"/>
                <w:sz w:val="24"/>
              </w:rPr>
              <w:t>根据《政府采购货物和服务招标投标管理办法》（财政部令第87号）第五十五条规定：</w:t>
            </w:r>
          </w:p>
          <w:p>
            <w:pPr>
              <w:tabs>
                <w:tab w:val="left" w:pos="1894"/>
              </w:tabs>
              <w:ind w:right="51"/>
              <w:jc w:val="left"/>
              <w:rPr>
                <w:rFonts w:ascii="宋体" w:hAnsi="宋体"/>
                <w:sz w:val="24"/>
              </w:rPr>
            </w:pPr>
            <w:r>
              <w:rPr>
                <w:rFonts w:hint="eastAsia" w:ascii="宋体" w:hAnsi="宋体"/>
                <w:sz w:val="24"/>
              </w:rPr>
              <w:t>货物项目的价格分值占总分值的比重不得低于30%，执行国家统一定价标准和采用固定价格采购的项目，其价格不列为评审因素。</w:t>
            </w:r>
          </w:p>
          <w:p>
            <w:pPr>
              <w:tabs>
                <w:tab w:val="left" w:pos="1894"/>
              </w:tabs>
              <w:ind w:right="51"/>
              <w:jc w:val="left"/>
              <w:rPr>
                <w:rFonts w:ascii="宋体" w:hAnsi="宋体"/>
                <w:sz w:val="24"/>
              </w:rPr>
            </w:pPr>
            <w:r>
              <w:rPr>
                <w:rFonts w:hint="eastAsia" w:ascii="宋体" w:hAnsi="宋体"/>
                <w:b/>
                <w:bCs/>
                <w:sz w:val="24"/>
              </w:rPr>
              <w:t>价格分应当采用低价优先法计算，即满足招标文件要求且投标价格最低的投标报价为评标基准价，其价格分为满分。其他投标人的价格分统一按照下列公式计算：</w:t>
            </w:r>
          </w:p>
          <w:p>
            <w:pPr>
              <w:spacing w:line="260" w:lineRule="exact"/>
              <w:jc w:val="left"/>
              <w:rPr>
                <w:rFonts w:ascii="宋体" w:hAnsi="宋体"/>
                <w:b/>
                <w:bCs/>
                <w:sz w:val="24"/>
              </w:rPr>
            </w:pPr>
            <w:r>
              <w:rPr>
                <w:rFonts w:hint="eastAsia" w:ascii="宋体" w:hAnsi="宋体"/>
                <w:b/>
                <w:bCs/>
                <w:sz w:val="24"/>
              </w:rPr>
              <w:t>投标报价得分=(评标基准价／投标报价)×30%×100</w:t>
            </w:r>
          </w:p>
          <w:p>
            <w:pPr>
              <w:spacing w:line="260" w:lineRule="exact"/>
              <w:jc w:val="left"/>
              <w:rPr>
                <w:rFonts w:ascii="宋体" w:hAnsi="宋体"/>
                <w:sz w:val="24"/>
              </w:rPr>
            </w:pPr>
            <w:r>
              <w:rPr>
                <w:rFonts w:hint="eastAsia" w:ascii="宋体" w:hAnsi="宋体"/>
                <w:sz w:val="24"/>
              </w:rPr>
              <w:t>最低报价不能作为中标的保证。所有投标报价总价以人民币万元为单位，保留两位小数点。投标报价超过招标控制价的为无效报价，报价不得分。</w:t>
            </w:r>
          </w:p>
          <w:p>
            <w:pPr>
              <w:jc w:val="left"/>
              <w:rPr>
                <w:rFonts w:ascii="宋体" w:hAnsi="宋体"/>
                <w:sz w:val="24"/>
              </w:rPr>
            </w:pPr>
            <w:r>
              <w:rPr>
                <w:rFonts w:hint="eastAsia" w:ascii="宋体" w:hAnsi="宋体"/>
                <w:sz w:val="24"/>
              </w:rPr>
              <w:t xml:space="preserve">注：1）根据《关于进一步加大政府采购支持中小企业力度的通知》（财库〔2022〕19号）的规定，对小型和微型企业产品的价格给予10%的价格扣除，用扣除后的价格参与评标。 </w:t>
            </w:r>
          </w:p>
          <w:p>
            <w:pPr>
              <w:jc w:val="left"/>
              <w:rPr>
                <w:rFonts w:ascii="宋体" w:hAnsi="宋体"/>
                <w:sz w:val="24"/>
              </w:rPr>
            </w:pPr>
            <w:r>
              <w:rPr>
                <w:rFonts w:hint="eastAsia" w:ascii="宋体" w:hAnsi="宋体"/>
                <w:sz w:val="24"/>
              </w:rPr>
              <w:t xml:space="preserve">2）参加政府采购活动的中小企业应当提供《中小企业声明函》。 </w:t>
            </w:r>
          </w:p>
          <w:p>
            <w:pPr>
              <w:jc w:val="left"/>
              <w:rPr>
                <w:rFonts w:ascii="宋体" w:hAnsi="宋体"/>
                <w:sz w:val="24"/>
              </w:rPr>
            </w:pPr>
            <w:r>
              <w:rPr>
                <w:rFonts w:hint="eastAsia" w:ascii="宋体" w:hAnsi="宋体"/>
                <w:sz w:val="24"/>
              </w:rPr>
              <w:t xml:space="preserve">3）提供由省级以上监狱管理局、戒毒管理局（含新疆生产建设兵团）出具的属于监狱企业证明文件的，视同为小型和微型企业。 </w:t>
            </w:r>
          </w:p>
          <w:p>
            <w:pPr>
              <w:jc w:val="left"/>
              <w:rPr>
                <w:rFonts w:ascii="宋体" w:hAnsi="宋体" w:cs="宋体"/>
                <w:sz w:val="24"/>
              </w:rPr>
            </w:pPr>
            <w:r>
              <w:rPr>
                <w:rFonts w:hint="eastAsia" w:ascii="宋体" w:hAnsi="宋体"/>
                <w:sz w:val="24"/>
              </w:rPr>
              <w:t xml:space="preserve">4）符合享受政府采购支持政策的残疾人福利性单位条件且提供《残疾人福利性单位声明函》的，视同为小型和微型企业。 </w:t>
            </w:r>
          </w:p>
        </w:tc>
      </w:tr>
      <w:tr>
        <w:tblPrEx>
          <w:tblCellMar>
            <w:top w:w="0" w:type="dxa"/>
            <w:left w:w="108" w:type="dxa"/>
            <w:bottom w:w="0" w:type="dxa"/>
            <w:right w:w="108" w:type="dxa"/>
          </w:tblCellMar>
        </w:tblPrEx>
        <w:trPr>
          <w:trHeight w:val="409"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rPr>
            </w:pPr>
            <w:r>
              <w:rPr>
                <w:rFonts w:hint="eastAsia" w:ascii="宋体" w:hAnsi="宋体" w:cs="宋体"/>
                <w:sz w:val="24"/>
              </w:rPr>
              <w:t>二</w:t>
            </w:r>
          </w:p>
        </w:tc>
        <w:tc>
          <w:tcPr>
            <w:tcW w:w="9092"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ascii="宋体" w:hAnsi="宋体" w:cs="宋体"/>
                <w:sz w:val="24"/>
              </w:rPr>
            </w:pPr>
            <w:r>
              <w:rPr>
                <w:rFonts w:hint="eastAsia" w:ascii="宋体" w:hAnsi="宋体" w:cs="宋体"/>
                <w:sz w:val="24"/>
              </w:rPr>
              <w:t>投标设备的技术参数及先进性(</w:t>
            </w:r>
            <w:r>
              <w:rPr>
                <w:rFonts w:hint="eastAsia" w:ascii="宋体" w:hAnsi="宋体" w:cs="宋体"/>
                <w:sz w:val="24"/>
                <w:lang w:val="en-US" w:eastAsia="zh-CN"/>
              </w:rPr>
              <w:t>48</w:t>
            </w:r>
            <w:r>
              <w:rPr>
                <w:rFonts w:hint="eastAsia" w:ascii="宋体" w:hAnsi="宋体" w:cs="宋体"/>
                <w:sz w:val="24"/>
              </w:rPr>
              <w:t>分)</w:t>
            </w:r>
          </w:p>
        </w:tc>
      </w:tr>
      <w:tr>
        <w:tblPrEx>
          <w:tblCellMar>
            <w:top w:w="0" w:type="dxa"/>
            <w:left w:w="108" w:type="dxa"/>
            <w:bottom w:w="0" w:type="dxa"/>
            <w:right w:w="108" w:type="dxa"/>
          </w:tblCellMar>
        </w:tblPrEx>
        <w:trPr>
          <w:trHeight w:val="1134"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highlight w:val="none"/>
              </w:rPr>
            </w:pPr>
            <w:r>
              <w:rPr>
                <w:rFonts w:hint="eastAsia" w:ascii="宋体" w:hAnsi="宋体" w:cs="宋体"/>
                <w:sz w:val="24"/>
                <w:highlight w:val="none"/>
              </w:rPr>
              <w:t>1</w:t>
            </w:r>
          </w:p>
        </w:tc>
        <w:tc>
          <w:tcPr>
            <w:tcW w:w="1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highlight w:val="none"/>
              </w:rPr>
            </w:pPr>
            <w:r>
              <w:rPr>
                <w:rFonts w:hint="eastAsia" w:ascii="宋体" w:hAnsi="宋体" w:cs="宋体"/>
                <w:kern w:val="0"/>
                <w:sz w:val="24"/>
                <w:highlight w:val="none"/>
              </w:rPr>
              <w:t>产品质量技术参数</w:t>
            </w:r>
          </w:p>
        </w:tc>
        <w:tc>
          <w:tcPr>
            <w:tcW w:w="567"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48</w:t>
            </w:r>
          </w:p>
        </w:tc>
        <w:tc>
          <w:tcPr>
            <w:tcW w:w="7119" w:type="dxa"/>
            <w:tcBorders>
              <w:top w:val="single" w:color="auto" w:sz="4" w:space="0"/>
              <w:left w:val="nil"/>
              <w:bottom w:val="single" w:color="auto" w:sz="4" w:space="0"/>
              <w:right w:val="single" w:color="auto" w:sz="8" w:space="0"/>
            </w:tcBorders>
            <w:vAlign w:val="center"/>
          </w:tcPr>
          <w:p>
            <w:pPr>
              <w:spacing w:line="260" w:lineRule="exact"/>
              <w:rPr>
                <w:rFonts w:ascii="仿宋" w:hAnsi="仿宋"/>
                <w:sz w:val="24"/>
                <w:highlight w:val="none"/>
                <w:lang w:bidi="th-TH"/>
              </w:rPr>
            </w:pPr>
            <w:r>
              <w:rPr>
                <w:rFonts w:hint="eastAsia" w:ascii="仿宋" w:hAnsi="仿宋"/>
                <w:sz w:val="24"/>
                <w:highlight w:val="none"/>
                <w:lang w:bidi="th-TH"/>
              </w:rPr>
              <w:t>（1）完全满足招标文件质量技术参数要求，设备技术参数完全符合没有负偏离得</w:t>
            </w:r>
            <w:r>
              <w:rPr>
                <w:rFonts w:hint="eastAsia" w:ascii="仿宋" w:hAnsi="仿宋"/>
                <w:sz w:val="24"/>
                <w:highlight w:val="none"/>
                <w:lang w:val="en-US" w:eastAsia="zh-CN" w:bidi="th-TH"/>
              </w:rPr>
              <w:t>48</w:t>
            </w:r>
            <w:r>
              <w:rPr>
                <w:rFonts w:hint="eastAsia" w:ascii="仿宋" w:hAnsi="仿宋"/>
                <w:sz w:val="24"/>
                <w:highlight w:val="none"/>
                <w:lang w:bidi="th-TH"/>
              </w:rPr>
              <w:t>分。（2）标记“▲”的重要技术参数一条不满足（一条负偏离）扣</w:t>
            </w:r>
            <w:r>
              <w:rPr>
                <w:rFonts w:hint="eastAsia" w:ascii="仿宋" w:hAnsi="仿宋"/>
                <w:sz w:val="24"/>
                <w:highlight w:val="none"/>
                <w:lang w:val="en-US" w:eastAsia="zh-CN" w:bidi="th-TH"/>
              </w:rPr>
              <w:t>3</w:t>
            </w:r>
            <w:r>
              <w:rPr>
                <w:rFonts w:hint="eastAsia" w:ascii="仿宋" w:hAnsi="仿宋"/>
                <w:sz w:val="24"/>
                <w:highlight w:val="none"/>
                <w:lang w:bidi="th-TH"/>
              </w:rPr>
              <w:t>分。（3）其它基本技术参数一条不满足（一条负偏离）扣</w:t>
            </w:r>
            <w:r>
              <w:rPr>
                <w:rFonts w:hint="eastAsia" w:ascii="仿宋" w:hAnsi="仿宋"/>
                <w:sz w:val="24"/>
                <w:highlight w:val="none"/>
                <w:lang w:val="en-US" w:eastAsia="zh-CN" w:bidi="th-TH"/>
              </w:rPr>
              <w:t>1</w:t>
            </w:r>
            <w:r>
              <w:rPr>
                <w:rFonts w:hint="eastAsia" w:ascii="仿宋" w:hAnsi="仿宋"/>
                <w:sz w:val="24"/>
                <w:highlight w:val="none"/>
                <w:lang w:bidi="th-TH"/>
              </w:rPr>
              <w:t>分。扣完为止。</w:t>
            </w:r>
          </w:p>
        </w:tc>
      </w:tr>
      <w:tr>
        <w:tblPrEx>
          <w:tblCellMar>
            <w:top w:w="0" w:type="dxa"/>
            <w:left w:w="108" w:type="dxa"/>
            <w:bottom w:w="0" w:type="dxa"/>
            <w:right w:w="108" w:type="dxa"/>
          </w:tblCellMar>
        </w:tblPrEx>
        <w:trPr>
          <w:trHeight w:val="381" w:hRule="atLeast"/>
        </w:trPr>
        <w:tc>
          <w:tcPr>
            <w:tcW w:w="5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cs="宋体"/>
                <w:sz w:val="24"/>
                <w:highlight w:val="none"/>
              </w:rPr>
            </w:pPr>
            <w:r>
              <w:rPr>
                <w:rFonts w:hint="eastAsia" w:ascii="宋体" w:hAnsi="宋体" w:cs="宋体"/>
                <w:sz w:val="24"/>
                <w:highlight w:val="none"/>
              </w:rPr>
              <w:t>三</w:t>
            </w:r>
          </w:p>
        </w:tc>
        <w:tc>
          <w:tcPr>
            <w:tcW w:w="9092" w:type="dxa"/>
            <w:gridSpan w:val="3"/>
            <w:tcBorders>
              <w:top w:val="single" w:color="auto" w:sz="4" w:space="0"/>
              <w:left w:val="nil"/>
              <w:bottom w:val="single" w:color="auto" w:sz="4" w:space="0"/>
              <w:right w:val="single" w:color="auto" w:sz="4" w:space="0"/>
            </w:tcBorders>
            <w:vAlign w:val="center"/>
          </w:tcPr>
          <w:p>
            <w:pPr>
              <w:spacing w:line="260" w:lineRule="exact"/>
              <w:jc w:val="left"/>
              <w:rPr>
                <w:rFonts w:ascii="宋体" w:hAnsi="宋体" w:cs="宋体"/>
                <w:sz w:val="24"/>
                <w:highlight w:val="none"/>
              </w:rPr>
            </w:pPr>
            <w:r>
              <w:rPr>
                <w:rFonts w:hint="eastAsia" w:ascii="宋体" w:hAnsi="宋体" w:cs="宋体"/>
                <w:sz w:val="24"/>
                <w:highlight w:val="none"/>
              </w:rPr>
              <w:t>售后服务（</w:t>
            </w:r>
            <w:r>
              <w:rPr>
                <w:rFonts w:hint="eastAsia" w:ascii="宋体" w:hAnsi="宋体" w:cs="宋体"/>
                <w:sz w:val="24"/>
                <w:highlight w:val="none"/>
                <w:lang w:val="en-US" w:eastAsia="zh-CN"/>
              </w:rPr>
              <w:t>20</w:t>
            </w:r>
            <w:r>
              <w:rPr>
                <w:rFonts w:hint="eastAsia" w:ascii="宋体" w:hAnsi="宋体" w:cs="宋体"/>
                <w:sz w:val="24"/>
                <w:highlight w:val="none"/>
              </w:rPr>
              <w:t>分）</w:t>
            </w:r>
          </w:p>
        </w:tc>
      </w:tr>
      <w:tr>
        <w:tblPrEx>
          <w:tblCellMar>
            <w:top w:w="0" w:type="dxa"/>
            <w:left w:w="108" w:type="dxa"/>
            <w:bottom w:w="0" w:type="dxa"/>
            <w:right w:w="108" w:type="dxa"/>
          </w:tblCellMar>
        </w:tblPrEx>
        <w:trPr>
          <w:trHeight w:val="724" w:hRule="atLeast"/>
        </w:trPr>
        <w:tc>
          <w:tcPr>
            <w:tcW w:w="506" w:type="dxa"/>
            <w:tcBorders>
              <w:top w:val="single" w:color="auto" w:sz="4" w:space="0"/>
              <w:left w:val="single" w:color="auto" w:sz="8" w:space="0"/>
              <w:bottom w:val="single" w:color="auto" w:sz="4" w:space="0"/>
              <w:right w:val="single" w:color="auto" w:sz="4" w:space="0"/>
            </w:tcBorders>
            <w:vAlign w:val="center"/>
          </w:tcPr>
          <w:p>
            <w:pPr>
              <w:spacing w:line="260" w:lineRule="exact"/>
              <w:jc w:val="center"/>
              <w:rPr>
                <w:rFonts w:ascii="宋体" w:hAnsi="宋体" w:cs="宋体"/>
                <w:bCs/>
                <w:sz w:val="24"/>
                <w:highlight w:val="none"/>
              </w:rPr>
            </w:pPr>
            <w:r>
              <w:rPr>
                <w:rFonts w:hint="eastAsia" w:ascii="宋体" w:hAnsi="宋体"/>
                <w:bCs/>
                <w:color w:val="0C0C0C"/>
                <w:sz w:val="24"/>
                <w:highlight w:val="none"/>
              </w:rPr>
              <w:t>1</w:t>
            </w:r>
          </w:p>
        </w:tc>
        <w:tc>
          <w:tcPr>
            <w:tcW w:w="1406" w:type="dxa"/>
            <w:tcBorders>
              <w:top w:val="single" w:color="auto" w:sz="4" w:space="0"/>
              <w:left w:val="nil"/>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bCs/>
                <w:color w:val="0C0C0C"/>
                <w:sz w:val="24"/>
                <w:highlight w:val="none"/>
              </w:rPr>
              <w:t>售后服务承诺</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bCs/>
                <w:color w:val="0C0C0C"/>
                <w:sz w:val="24"/>
                <w:highlight w:val="none"/>
              </w:rPr>
              <w:t>8</w:t>
            </w:r>
          </w:p>
        </w:tc>
        <w:tc>
          <w:tcPr>
            <w:tcW w:w="7119" w:type="dxa"/>
            <w:tcBorders>
              <w:top w:val="single" w:color="auto" w:sz="4" w:space="0"/>
              <w:left w:val="nil"/>
              <w:bottom w:val="single" w:color="auto" w:sz="4" w:space="0"/>
              <w:right w:val="single" w:color="auto" w:sz="8" w:space="0"/>
            </w:tcBorders>
            <w:vAlign w:val="center"/>
          </w:tcPr>
          <w:p>
            <w:pPr>
              <w:spacing w:line="260" w:lineRule="exact"/>
              <w:rPr>
                <w:rFonts w:ascii="宋体" w:hAnsi="宋体" w:cs="宋体"/>
                <w:bCs/>
                <w:sz w:val="24"/>
                <w:highlight w:val="none"/>
              </w:rPr>
            </w:pPr>
            <w:r>
              <w:rPr>
                <w:rFonts w:hint="eastAsia" w:ascii="宋体" w:hAnsi="宋体" w:cs="宋体"/>
                <w:bCs/>
                <w:sz w:val="24"/>
                <w:highlight w:val="none"/>
              </w:rPr>
              <w:t>根据供应商提供针对本项目的服务方案：</w:t>
            </w:r>
          </w:p>
          <w:p>
            <w:pPr>
              <w:spacing w:line="260" w:lineRule="exact"/>
              <w:rPr>
                <w:rFonts w:ascii="宋体" w:hAnsi="宋体" w:cs="宋体"/>
                <w:bCs/>
                <w:sz w:val="24"/>
                <w:highlight w:val="none"/>
              </w:rPr>
            </w:pPr>
            <w:r>
              <w:rPr>
                <w:rFonts w:hint="eastAsia" w:ascii="宋体" w:hAnsi="宋体" w:cs="宋体"/>
                <w:bCs/>
                <w:sz w:val="24"/>
                <w:highlight w:val="none"/>
              </w:rPr>
              <w:t>1.后续质量问题响应时间（需提供明确时间节点的承诺函）</w:t>
            </w:r>
          </w:p>
          <w:p>
            <w:pPr>
              <w:spacing w:line="260" w:lineRule="exact"/>
              <w:rPr>
                <w:rFonts w:ascii="宋体" w:hAnsi="宋体" w:cs="宋体"/>
                <w:bCs/>
                <w:sz w:val="24"/>
                <w:highlight w:val="none"/>
              </w:rPr>
            </w:pPr>
            <w:r>
              <w:rPr>
                <w:rFonts w:hint="eastAsia" w:ascii="宋体" w:hAnsi="宋体" w:cs="宋体"/>
                <w:bCs/>
                <w:sz w:val="24"/>
                <w:highlight w:val="none"/>
              </w:rPr>
              <w:t>2.后续服务技术支持体系。</w:t>
            </w:r>
          </w:p>
          <w:p>
            <w:pPr>
              <w:spacing w:line="260" w:lineRule="exact"/>
              <w:rPr>
                <w:rFonts w:ascii="宋体" w:hAnsi="宋体" w:cs="宋体"/>
                <w:bCs/>
                <w:sz w:val="24"/>
                <w:highlight w:val="none"/>
              </w:rPr>
            </w:pPr>
            <w:r>
              <w:rPr>
                <w:rFonts w:hint="eastAsia" w:ascii="宋体" w:hAnsi="宋体" w:cs="宋体"/>
                <w:bCs/>
                <w:sz w:val="24"/>
                <w:highlight w:val="none"/>
              </w:rPr>
              <w:t>3.质量保障计划（时间、流程等）</w:t>
            </w:r>
          </w:p>
          <w:p>
            <w:pPr>
              <w:spacing w:line="260" w:lineRule="exact"/>
              <w:rPr>
                <w:rFonts w:ascii="宋体" w:hAnsi="宋体" w:cs="宋体"/>
                <w:bCs/>
                <w:sz w:val="24"/>
                <w:highlight w:val="none"/>
              </w:rPr>
            </w:pPr>
            <w:r>
              <w:rPr>
                <w:rFonts w:hint="eastAsia" w:ascii="宋体" w:hAnsi="宋体" w:cs="宋体"/>
                <w:bCs/>
                <w:sz w:val="24"/>
                <w:highlight w:val="none"/>
              </w:rPr>
              <w:t>4.拟为本项目配置的后续服务人员</w:t>
            </w:r>
          </w:p>
          <w:p>
            <w:pPr>
              <w:spacing w:line="260" w:lineRule="exact"/>
              <w:rPr>
                <w:rFonts w:ascii="宋体" w:hAnsi="宋体" w:cs="宋体"/>
                <w:bCs/>
                <w:sz w:val="24"/>
                <w:highlight w:val="none"/>
              </w:rPr>
            </w:pPr>
            <w:r>
              <w:rPr>
                <w:rFonts w:hint="eastAsia" w:ascii="宋体" w:hAnsi="宋体" w:cs="宋体"/>
                <w:bCs/>
                <w:sz w:val="24"/>
                <w:highlight w:val="none"/>
              </w:rPr>
              <w:t>全部提供得8分，每一项存在缺陷、不利于项目实施或未提供扣2分，扣完为止；</w:t>
            </w:r>
          </w:p>
          <w:p>
            <w:pPr>
              <w:spacing w:line="260" w:lineRule="exact"/>
              <w:rPr>
                <w:rFonts w:ascii="宋体" w:hAnsi="宋体" w:cs="宋体"/>
                <w:bCs/>
                <w:sz w:val="24"/>
                <w:highlight w:val="none"/>
              </w:rPr>
            </w:pPr>
            <w:r>
              <w:rPr>
                <w:rFonts w:hint="eastAsia" w:ascii="宋体" w:hAnsi="宋体" w:cs="宋体"/>
                <w:bCs/>
                <w:sz w:val="24"/>
                <w:highlight w:val="none"/>
              </w:rPr>
              <w:t>（注：缺陷或不利于项目实施是指：存在不适用项目实际情况的情形、凭空编造、方案中内容前后不一致、前后逻辑错误、涉及的规范及标准错误、地点区域错误、内容缺失、不符合项目实际情况。）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724" w:hRule="atLeast"/>
        </w:trPr>
        <w:tc>
          <w:tcPr>
            <w:tcW w:w="506" w:type="dxa"/>
            <w:tcBorders>
              <w:top w:val="single" w:color="auto" w:sz="4" w:space="0"/>
              <w:left w:val="single" w:color="auto" w:sz="8" w:space="0"/>
              <w:bottom w:val="single" w:color="auto" w:sz="4" w:space="0"/>
              <w:right w:val="single" w:color="auto" w:sz="4" w:space="0"/>
            </w:tcBorders>
            <w:vAlign w:val="center"/>
          </w:tcPr>
          <w:p>
            <w:pPr>
              <w:spacing w:line="260" w:lineRule="exact"/>
              <w:jc w:val="center"/>
              <w:rPr>
                <w:rFonts w:ascii="宋体" w:hAnsi="宋体"/>
                <w:bCs/>
                <w:color w:val="0C0C0C"/>
                <w:sz w:val="24"/>
              </w:rPr>
            </w:pPr>
            <w:r>
              <w:rPr>
                <w:rFonts w:hint="eastAsia" w:ascii="宋体" w:hAnsi="宋体"/>
                <w:bCs/>
                <w:color w:val="0C0C0C"/>
                <w:sz w:val="24"/>
              </w:rPr>
              <w:t>2</w:t>
            </w:r>
          </w:p>
        </w:tc>
        <w:tc>
          <w:tcPr>
            <w:tcW w:w="1406" w:type="dxa"/>
            <w:tcBorders>
              <w:top w:val="single" w:color="auto" w:sz="4" w:space="0"/>
              <w:left w:val="nil"/>
              <w:bottom w:val="single" w:color="auto" w:sz="4" w:space="0"/>
              <w:right w:val="single" w:color="auto" w:sz="4" w:space="0"/>
            </w:tcBorders>
            <w:vAlign w:val="center"/>
          </w:tcPr>
          <w:p>
            <w:pPr>
              <w:jc w:val="center"/>
              <w:rPr>
                <w:rFonts w:ascii="宋体" w:hAnsi="宋体"/>
                <w:bCs/>
                <w:color w:val="0C0C0C"/>
                <w:sz w:val="24"/>
              </w:rPr>
            </w:pPr>
            <w:r>
              <w:rPr>
                <w:rFonts w:hint="eastAsia" w:ascii="宋体" w:hAnsi="宋体" w:cs="宋体"/>
                <w:kern w:val="1"/>
                <w:sz w:val="24"/>
              </w:rPr>
              <w:t>售后服务网点</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bCs/>
                <w:color w:val="0C0C0C"/>
                <w:sz w:val="24"/>
              </w:rPr>
            </w:pPr>
            <w:r>
              <w:rPr>
                <w:rFonts w:hint="eastAsia" w:ascii="宋体" w:hAnsi="宋体"/>
                <w:bCs/>
                <w:color w:val="0C0C0C"/>
                <w:sz w:val="24"/>
              </w:rPr>
              <w:t>2</w:t>
            </w:r>
          </w:p>
        </w:tc>
        <w:tc>
          <w:tcPr>
            <w:tcW w:w="7119" w:type="dxa"/>
            <w:tcBorders>
              <w:top w:val="single" w:color="auto" w:sz="4" w:space="0"/>
              <w:left w:val="nil"/>
              <w:bottom w:val="single" w:color="auto" w:sz="4" w:space="0"/>
              <w:right w:val="single" w:color="auto" w:sz="8" w:space="0"/>
            </w:tcBorders>
            <w:vAlign w:val="center"/>
          </w:tcPr>
          <w:p>
            <w:pPr>
              <w:spacing w:line="260" w:lineRule="exact"/>
              <w:rPr>
                <w:rFonts w:ascii="宋体" w:hAnsi="宋体"/>
                <w:bCs/>
                <w:color w:val="0C0C0C"/>
                <w:sz w:val="24"/>
              </w:rPr>
            </w:pPr>
            <w:r>
              <w:rPr>
                <w:rFonts w:hint="eastAsia" w:ascii="宋体" w:hAnsi="宋体" w:cs="宋体"/>
                <w:kern w:val="1"/>
                <w:sz w:val="24"/>
              </w:rPr>
              <w:t>投标人设有长期售后服务机构（含分公司、总公司注册的售后服务网点等），投标人须作出承诺，在产品出现须售后情况，24小时内抵达用户指定地点。满足得2分（以有效营业执照或承诺等相关证明材料为准），否则不得分。</w:t>
            </w:r>
          </w:p>
        </w:tc>
      </w:tr>
      <w:tr>
        <w:tblPrEx>
          <w:tblCellMar>
            <w:top w:w="0" w:type="dxa"/>
            <w:left w:w="108" w:type="dxa"/>
            <w:bottom w:w="0" w:type="dxa"/>
            <w:right w:w="108" w:type="dxa"/>
          </w:tblCellMar>
        </w:tblPrEx>
        <w:trPr>
          <w:trHeight w:val="1604" w:hRule="atLeast"/>
        </w:trPr>
        <w:tc>
          <w:tcPr>
            <w:tcW w:w="506" w:type="dxa"/>
            <w:tcBorders>
              <w:top w:val="single" w:color="auto" w:sz="4" w:space="0"/>
              <w:left w:val="single" w:color="auto" w:sz="8" w:space="0"/>
              <w:bottom w:val="single" w:color="auto" w:sz="4" w:space="0"/>
              <w:right w:val="single" w:color="auto" w:sz="4" w:space="0"/>
            </w:tcBorders>
            <w:vAlign w:val="center"/>
          </w:tcPr>
          <w:p>
            <w:pPr>
              <w:spacing w:line="260" w:lineRule="exact"/>
              <w:jc w:val="center"/>
              <w:rPr>
                <w:rFonts w:ascii="宋体" w:hAnsi="宋体"/>
                <w:bCs/>
                <w:color w:val="0C0C0C"/>
                <w:sz w:val="24"/>
              </w:rPr>
            </w:pPr>
            <w:r>
              <w:rPr>
                <w:rFonts w:hint="eastAsia" w:ascii="宋体" w:hAnsi="宋体"/>
                <w:bCs/>
                <w:color w:val="0C0C0C"/>
                <w:sz w:val="24"/>
              </w:rPr>
              <w:t>3</w:t>
            </w:r>
          </w:p>
        </w:tc>
        <w:tc>
          <w:tcPr>
            <w:tcW w:w="1406" w:type="dxa"/>
            <w:tcBorders>
              <w:top w:val="single" w:color="auto" w:sz="4" w:space="0"/>
              <w:left w:val="nil"/>
              <w:bottom w:val="single" w:color="auto" w:sz="4" w:space="0"/>
              <w:right w:val="single" w:color="auto" w:sz="4" w:space="0"/>
            </w:tcBorders>
            <w:vAlign w:val="center"/>
          </w:tcPr>
          <w:p>
            <w:pPr>
              <w:jc w:val="center"/>
              <w:rPr>
                <w:rFonts w:ascii="宋体" w:hAnsi="宋体" w:cs="宋体"/>
                <w:kern w:val="1"/>
                <w:sz w:val="24"/>
              </w:rPr>
            </w:pPr>
            <w:r>
              <w:rPr>
                <w:rFonts w:hint="eastAsia" w:ascii="宋体" w:hAnsi="宋体" w:cs="宋体"/>
                <w:kern w:val="0"/>
                <w:sz w:val="24"/>
              </w:rPr>
              <w:t>供货配送方案</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bCs/>
                <w:color w:val="0C0C0C"/>
                <w:sz w:val="24"/>
              </w:rPr>
            </w:pPr>
            <w:r>
              <w:rPr>
                <w:rFonts w:hint="eastAsia" w:ascii="宋体" w:hAnsi="宋体"/>
                <w:bCs/>
                <w:color w:val="0C0C0C"/>
                <w:sz w:val="24"/>
              </w:rPr>
              <w:t>1</w:t>
            </w:r>
            <w:r>
              <w:rPr>
                <w:rFonts w:ascii="宋体" w:hAnsi="宋体"/>
                <w:bCs/>
                <w:color w:val="0C0C0C"/>
                <w:sz w:val="24"/>
              </w:rPr>
              <w:t>0</w:t>
            </w:r>
          </w:p>
        </w:tc>
        <w:tc>
          <w:tcPr>
            <w:tcW w:w="7119" w:type="dxa"/>
            <w:tcBorders>
              <w:top w:val="single" w:color="auto" w:sz="4" w:space="0"/>
              <w:left w:val="nil"/>
              <w:bottom w:val="single" w:color="auto" w:sz="4" w:space="0"/>
              <w:right w:val="single" w:color="auto" w:sz="8" w:space="0"/>
            </w:tcBorders>
            <w:vAlign w:val="center"/>
          </w:tcPr>
          <w:p>
            <w:pPr>
              <w:rPr>
                <w:rFonts w:ascii="宋体" w:hAnsi="宋体" w:cs="宋体"/>
                <w:kern w:val="1"/>
                <w:sz w:val="24"/>
              </w:rPr>
            </w:pPr>
            <w:r>
              <w:rPr>
                <w:rFonts w:hint="eastAsia" w:ascii="宋体" w:hAnsi="宋体" w:cs="宋体"/>
                <w:kern w:val="1"/>
                <w:sz w:val="24"/>
              </w:rPr>
              <w:t>供应商根据项目各实施阶段时间要求制定进度保障措施，包括：1.各阶段时间要求分析、2.进度计划、3.进度目标、4、进度保证措施、5.应急情况处理，内容完整、针对性强有利于项目实施的得10分，方案中有缺陷或不足、且不利于项目实施的每一处扣2分，扣完为止。（注：缺陷或不足及且不利于项目实施的是指：存在不适用项目实际情况的情形、凭空编造、方案中内容前后不一致、前后逻辑错误、涉及的规范及标准错误、地点区域错误、内容缺失、不符合项目实际情况。）</w:t>
            </w:r>
          </w:p>
        </w:tc>
      </w:tr>
      <w:tr>
        <w:tblPrEx>
          <w:tblCellMar>
            <w:top w:w="0" w:type="dxa"/>
            <w:left w:w="108" w:type="dxa"/>
            <w:bottom w:w="0" w:type="dxa"/>
            <w:right w:w="108" w:type="dxa"/>
          </w:tblCellMar>
        </w:tblPrEx>
        <w:trPr>
          <w:trHeight w:val="397" w:hRule="atLeast"/>
        </w:trPr>
        <w:tc>
          <w:tcPr>
            <w:tcW w:w="506" w:type="dxa"/>
            <w:tcBorders>
              <w:top w:val="single" w:color="auto" w:sz="4" w:space="0"/>
              <w:left w:val="single" w:color="auto" w:sz="8" w:space="0"/>
              <w:bottom w:val="single" w:color="auto" w:sz="4" w:space="0"/>
              <w:right w:val="single" w:color="auto" w:sz="4" w:space="0"/>
            </w:tcBorders>
            <w:vAlign w:val="center"/>
          </w:tcPr>
          <w:p>
            <w:pPr>
              <w:spacing w:line="260" w:lineRule="exact"/>
              <w:jc w:val="left"/>
              <w:rPr>
                <w:rFonts w:ascii="宋体" w:hAnsi="宋体" w:cs="宋体"/>
                <w:sz w:val="24"/>
              </w:rPr>
            </w:pPr>
            <w:r>
              <w:rPr>
                <w:rFonts w:hint="eastAsia" w:ascii="宋体" w:hAnsi="宋体" w:cs="宋体"/>
                <w:sz w:val="24"/>
              </w:rPr>
              <w:t>四</w:t>
            </w:r>
          </w:p>
        </w:tc>
        <w:tc>
          <w:tcPr>
            <w:tcW w:w="9092" w:type="dxa"/>
            <w:gridSpan w:val="3"/>
            <w:tcBorders>
              <w:top w:val="single" w:color="auto" w:sz="4" w:space="0"/>
              <w:left w:val="nil"/>
              <w:bottom w:val="single" w:color="auto" w:sz="4" w:space="0"/>
              <w:right w:val="single" w:color="000000" w:sz="8" w:space="0"/>
            </w:tcBorders>
            <w:vAlign w:val="center"/>
          </w:tcPr>
          <w:p>
            <w:pPr>
              <w:spacing w:line="260" w:lineRule="exact"/>
              <w:jc w:val="left"/>
              <w:rPr>
                <w:rFonts w:ascii="宋体" w:hAnsi="宋体" w:cs="宋体"/>
                <w:sz w:val="24"/>
              </w:rPr>
            </w:pPr>
            <w:r>
              <w:rPr>
                <w:rFonts w:hint="eastAsia" w:ascii="宋体" w:hAnsi="宋体" w:cs="宋体"/>
                <w:sz w:val="24"/>
              </w:rPr>
              <w:t>商务部分（</w:t>
            </w:r>
            <w:r>
              <w:rPr>
                <w:rFonts w:hint="eastAsia" w:ascii="宋体" w:hAnsi="宋体" w:cs="宋体"/>
                <w:sz w:val="24"/>
                <w:lang w:val="en-US" w:eastAsia="zh-CN"/>
              </w:rPr>
              <w:t>2</w:t>
            </w:r>
            <w:r>
              <w:rPr>
                <w:rFonts w:hint="eastAsia" w:ascii="宋体" w:hAnsi="宋体" w:cs="宋体"/>
                <w:sz w:val="24"/>
              </w:rPr>
              <w:t>分）</w:t>
            </w:r>
          </w:p>
        </w:tc>
      </w:tr>
      <w:tr>
        <w:tblPrEx>
          <w:tblCellMar>
            <w:top w:w="0" w:type="dxa"/>
            <w:left w:w="108" w:type="dxa"/>
            <w:bottom w:w="0" w:type="dxa"/>
            <w:right w:w="108" w:type="dxa"/>
          </w:tblCellMar>
        </w:tblPrEx>
        <w:trPr>
          <w:trHeight w:val="622" w:hRule="atLeast"/>
        </w:trPr>
        <w:tc>
          <w:tcPr>
            <w:tcW w:w="50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C0C0C"/>
                <w:sz w:val="24"/>
              </w:rPr>
            </w:pPr>
            <w:r>
              <w:rPr>
                <w:rFonts w:ascii="宋体" w:hAnsi="宋体"/>
                <w:bCs/>
                <w:color w:val="0C0C0C"/>
                <w:sz w:val="24"/>
              </w:rPr>
              <w:t>1</w:t>
            </w:r>
          </w:p>
        </w:tc>
        <w:tc>
          <w:tcPr>
            <w:tcW w:w="14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C0C0C"/>
                <w:sz w:val="24"/>
              </w:rPr>
            </w:pPr>
            <w:r>
              <w:rPr>
                <w:rFonts w:hint="eastAsia" w:ascii="宋体" w:hAnsi="宋体"/>
                <w:bCs/>
                <w:color w:val="0C0C0C"/>
                <w:sz w:val="24"/>
              </w:rPr>
              <w:t>业绩</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0C0C0C"/>
                <w:sz w:val="24"/>
                <w:lang w:eastAsia="zh-CN"/>
              </w:rPr>
            </w:pPr>
            <w:r>
              <w:rPr>
                <w:rFonts w:hint="eastAsia" w:ascii="宋体" w:hAnsi="宋体"/>
                <w:bCs/>
                <w:color w:val="0C0C0C"/>
                <w:sz w:val="24"/>
                <w:lang w:val="en-US" w:eastAsia="zh-CN"/>
              </w:rPr>
              <w:t>2</w:t>
            </w:r>
          </w:p>
        </w:tc>
        <w:tc>
          <w:tcPr>
            <w:tcW w:w="7119"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C0C0C"/>
                <w:sz w:val="24"/>
              </w:rPr>
            </w:pPr>
            <w:r>
              <w:rPr>
                <w:rFonts w:hint="eastAsia" w:ascii="宋体" w:hAnsi="宋体"/>
                <w:bCs/>
                <w:color w:val="0C0C0C"/>
                <w:sz w:val="24"/>
              </w:rPr>
              <w:t>投标人2019至今完成过类似项目，每提供一个得1分，最多得</w:t>
            </w:r>
            <w:r>
              <w:rPr>
                <w:rFonts w:hint="eastAsia" w:ascii="宋体" w:hAnsi="宋体"/>
                <w:bCs/>
                <w:color w:val="0C0C0C"/>
                <w:sz w:val="24"/>
                <w:lang w:val="en-US" w:eastAsia="zh-CN"/>
              </w:rPr>
              <w:t>2</w:t>
            </w:r>
            <w:r>
              <w:rPr>
                <w:rFonts w:hint="eastAsia" w:ascii="宋体" w:hAnsi="宋体"/>
                <w:bCs/>
                <w:color w:val="0C0C0C"/>
                <w:sz w:val="24"/>
              </w:rPr>
              <w:t>分；</w:t>
            </w:r>
          </w:p>
          <w:p>
            <w:pPr>
              <w:rPr>
                <w:rFonts w:ascii="宋体" w:hAnsi="宋体"/>
                <w:bCs/>
                <w:color w:val="0C0C0C"/>
                <w:sz w:val="24"/>
              </w:rPr>
            </w:pPr>
            <w:r>
              <w:rPr>
                <w:rFonts w:hint="eastAsia" w:ascii="宋体" w:hAnsi="宋体"/>
                <w:bCs/>
                <w:color w:val="0C0C0C"/>
                <w:sz w:val="24"/>
              </w:rPr>
              <w:t xml:space="preserve"> （须提供中标通知书或合同复印件，加盖公章，否则不得分。） </w:t>
            </w:r>
          </w:p>
        </w:tc>
      </w:tr>
    </w:tbl>
    <w:p>
      <w:pPr>
        <w:rPr>
          <w:rStyle w:val="39"/>
        </w:rPr>
      </w:pPr>
    </w:p>
    <w:p>
      <w:pPr>
        <w:tabs>
          <w:tab w:val="left" w:pos="993"/>
        </w:tabs>
        <w:snapToGrid w:val="0"/>
        <w:spacing w:after="156"/>
        <w:ind w:left="683" w:leftChars="325"/>
        <w:jc w:val="left"/>
        <w:rPr>
          <w:rStyle w:val="39"/>
          <w:rFonts w:ascii="宋体" w:hAnsi="宋体"/>
          <w:kern w:val="0"/>
          <w:sz w:val="24"/>
        </w:rPr>
      </w:pPr>
      <w:r>
        <w:rPr>
          <w:rStyle w:val="39"/>
          <w:rFonts w:ascii="宋体" w:hAnsi="宋体"/>
          <w:kern w:val="0"/>
          <w:sz w:val="24"/>
        </w:rPr>
        <w:t>根据</w:t>
      </w:r>
      <w:r>
        <w:rPr>
          <w:rStyle w:val="39"/>
          <w:rFonts w:hint="eastAsia" w:ascii="宋体" w:hAnsi="宋体"/>
          <w:kern w:val="0"/>
          <w:sz w:val="24"/>
        </w:rPr>
        <w:t>《关于进一步加大政府采购支持中小企业力度的通知》（财库〔2022〕19号）调整投标人参与评标的价格。（非专门面向中小企业的项目）对小型和微型企业产品的价格给予10%的扣除</w:t>
      </w:r>
      <w:r>
        <w:rPr>
          <w:rStyle w:val="39"/>
          <w:rFonts w:ascii="宋体" w:hAnsi="宋体"/>
          <w:kern w:val="0"/>
          <w:sz w:val="24"/>
        </w:rPr>
        <w:t>。</w:t>
      </w:r>
    </w:p>
    <w:p>
      <w:pPr>
        <w:tabs>
          <w:tab w:val="left" w:pos="993"/>
        </w:tabs>
        <w:snapToGrid w:val="0"/>
        <w:spacing w:after="156"/>
        <w:ind w:left="718" w:leftChars="342"/>
        <w:jc w:val="left"/>
        <w:rPr>
          <w:rStyle w:val="39"/>
          <w:rFonts w:ascii="宋体" w:hAnsi="宋体"/>
          <w:kern w:val="0"/>
          <w:sz w:val="24"/>
        </w:rPr>
      </w:pPr>
      <w:r>
        <w:rPr>
          <w:rStyle w:val="39"/>
          <w:rFonts w:ascii="宋体" w:hAnsi="宋体"/>
          <w:kern w:val="0"/>
          <w:sz w:val="24"/>
        </w:rPr>
        <w:t>注监狱企业、残疾人福利性单位视同小微企业；残疾人福利性单位属于小型、微型企业的，不重复享受政策。</w:t>
      </w:r>
    </w:p>
    <w:p>
      <w:pPr>
        <w:pStyle w:val="130"/>
        <w:rPr>
          <w:rStyle w:val="39"/>
        </w:rPr>
      </w:pPr>
    </w:p>
    <w:p>
      <w:pPr>
        <w:pStyle w:val="418"/>
        <w:rPr>
          <w:rStyle w:val="39"/>
        </w:rPr>
      </w:pPr>
    </w:p>
    <w:p>
      <w:pPr>
        <w:rPr>
          <w:rStyle w:val="39"/>
          <w:i/>
          <w:iCs/>
          <w:color w:val="3F3F3F"/>
        </w:rPr>
      </w:pPr>
    </w:p>
    <w:p>
      <w:pPr>
        <w:pStyle w:val="2"/>
        <w:rPr>
          <w:rStyle w:val="39"/>
          <w:i/>
          <w:iCs/>
          <w:color w:val="3F3F3F"/>
          <w:sz w:val="21"/>
          <w:szCs w:val="24"/>
        </w:rPr>
      </w:pPr>
    </w:p>
    <w:p>
      <w:pPr>
        <w:pStyle w:val="29"/>
        <w:rPr>
          <w:rStyle w:val="39"/>
        </w:rPr>
      </w:pPr>
    </w:p>
    <w:p>
      <w:pPr>
        <w:rPr>
          <w:rStyle w:val="39"/>
          <w:i/>
          <w:iCs/>
          <w:color w:val="3F3F3F"/>
        </w:rPr>
      </w:pPr>
    </w:p>
    <w:p>
      <w:pPr>
        <w:rPr>
          <w:rStyle w:val="39"/>
          <w:i/>
          <w:iCs/>
          <w:color w:val="3F3F3F"/>
        </w:rPr>
      </w:pPr>
    </w:p>
    <w:p>
      <w:pPr>
        <w:pStyle w:val="2"/>
        <w:rPr>
          <w:rStyle w:val="39"/>
          <w:i/>
          <w:iCs/>
          <w:color w:val="3F3F3F"/>
          <w:sz w:val="21"/>
          <w:szCs w:val="24"/>
        </w:rPr>
      </w:pPr>
    </w:p>
    <w:p>
      <w:pPr>
        <w:pStyle w:val="29"/>
        <w:rPr>
          <w:rStyle w:val="39"/>
        </w:rPr>
      </w:pPr>
    </w:p>
    <w:p/>
    <w:p>
      <w:pPr>
        <w:rPr>
          <w:rStyle w:val="39"/>
        </w:rPr>
      </w:pPr>
    </w:p>
    <w:p>
      <w:pPr>
        <w:pStyle w:val="130"/>
        <w:rPr>
          <w:rStyle w:val="39"/>
        </w:rPr>
      </w:pPr>
    </w:p>
    <w:p>
      <w:pPr>
        <w:rPr>
          <w:rStyle w:val="39"/>
        </w:rPr>
      </w:pPr>
    </w:p>
    <w:p>
      <w:pPr>
        <w:pStyle w:val="2"/>
        <w:rPr>
          <w:rStyle w:val="39"/>
        </w:rPr>
      </w:pPr>
    </w:p>
    <w:p>
      <w:pPr>
        <w:rPr>
          <w:rStyle w:val="39"/>
        </w:rPr>
      </w:pPr>
    </w:p>
    <w:p>
      <w:pPr>
        <w:pStyle w:val="2"/>
        <w:rPr>
          <w:rStyle w:val="39"/>
        </w:rPr>
      </w:pPr>
    </w:p>
    <w:p>
      <w:pPr>
        <w:rPr>
          <w:rStyle w:val="39"/>
        </w:rPr>
      </w:pPr>
    </w:p>
    <w:p>
      <w:pPr>
        <w:pStyle w:val="2"/>
        <w:rPr>
          <w:rStyle w:val="39"/>
        </w:rPr>
      </w:pPr>
    </w:p>
    <w:p>
      <w:pPr>
        <w:rPr>
          <w:rStyle w:val="39"/>
        </w:rPr>
      </w:pPr>
    </w:p>
    <w:p>
      <w:pPr>
        <w:pStyle w:val="2"/>
      </w:pPr>
    </w:p>
    <w:p>
      <w:pPr>
        <w:pStyle w:val="418"/>
        <w:rPr>
          <w:rStyle w:val="39"/>
        </w:rPr>
      </w:pPr>
    </w:p>
    <w:p>
      <w:pPr>
        <w:pStyle w:val="472"/>
        <w:snapToGrid w:val="0"/>
        <w:spacing w:after="156" w:afterLines="50"/>
        <w:jc w:val="center"/>
        <w:outlineLvl w:val="0"/>
        <w:rPr>
          <w:rFonts w:hAnsi="宋体" w:cs="宋体"/>
          <w:sz w:val="24"/>
          <w:szCs w:val="24"/>
        </w:rPr>
      </w:pPr>
      <w:bookmarkStart w:id="95" w:name="_Toc27655"/>
      <w:bookmarkStart w:id="96" w:name="_Toc9913"/>
      <w:bookmarkStart w:id="97" w:name="_Toc10490"/>
      <w:r>
        <w:rPr>
          <w:rFonts w:hint="eastAsia" w:hAnsi="宋体" w:cs="宋体"/>
          <w:sz w:val="24"/>
          <w:szCs w:val="24"/>
        </w:rPr>
        <w:t>第四章  合同条款</w:t>
      </w:r>
      <w:bookmarkEnd w:id="95"/>
      <w:bookmarkEnd w:id="96"/>
      <w:bookmarkEnd w:id="97"/>
    </w:p>
    <w:p>
      <w:pPr>
        <w:pStyle w:val="7"/>
        <w:snapToGrid w:val="0"/>
        <w:spacing w:after="156" w:afterLines="50"/>
        <w:jc w:val="center"/>
        <w:outlineLvl w:val="0"/>
        <w:rPr>
          <w:rFonts w:hAnsi="宋体" w:cs="宋体"/>
          <w:i/>
          <w:iCs/>
          <w:sz w:val="24"/>
          <w:szCs w:val="24"/>
        </w:rPr>
      </w:pPr>
      <w:bookmarkStart w:id="98" w:name="_Toc27808"/>
      <w:r>
        <w:rPr>
          <w:rFonts w:hint="eastAsia" w:hAnsi="宋体" w:cs="宋体"/>
          <w:i/>
          <w:iCs/>
          <w:sz w:val="24"/>
          <w:szCs w:val="24"/>
        </w:rPr>
        <w:t>注：</w:t>
      </w:r>
      <w:r>
        <w:rPr>
          <w:rFonts w:hAnsi="宋体" w:cs="宋体"/>
          <w:i/>
          <w:iCs/>
          <w:sz w:val="24"/>
          <w:szCs w:val="24"/>
        </w:rPr>
        <w:t>政府采购合同应当包括采购人与成交</w:t>
      </w:r>
      <w:r>
        <w:rPr>
          <w:rFonts w:hint="eastAsia" w:hAnsi="宋体" w:cs="宋体"/>
          <w:i/>
          <w:iCs/>
          <w:sz w:val="24"/>
          <w:szCs w:val="24"/>
        </w:rPr>
        <w:t>投标人</w:t>
      </w:r>
      <w:r>
        <w:rPr>
          <w:rFonts w:hAnsi="宋体" w:cs="宋体"/>
          <w:i/>
          <w:iCs/>
          <w:sz w:val="24"/>
          <w:szCs w:val="24"/>
        </w:rPr>
        <w:t>的名称和住所、标的、数量、质量、价款或者报酬、履行期限及地点和方式、验收要求、违约责任、解决争议的方法等内容。</w:t>
      </w:r>
      <w:bookmarkEnd w:id="98"/>
    </w:p>
    <w:p>
      <w:pPr>
        <w:pStyle w:val="7"/>
        <w:snapToGrid w:val="0"/>
        <w:spacing w:after="156" w:afterLines="50"/>
        <w:jc w:val="center"/>
        <w:outlineLvl w:val="0"/>
        <w:rPr>
          <w:rFonts w:hAnsi="宋体" w:cs="宋体"/>
          <w:i/>
          <w:iCs/>
          <w:sz w:val="24"/>
          <w:szCs w:val="24"/>
        </w:rPr>
      </w:pPr>
      <w:bookmarkStart w:id="99" w:name="_Toc5829"/>
      <w:r>
        <w:rPr>
          <w:rFonts w:hint="eastAsia" w:hAnsi="宋体" w:cs="宋体"/>
          <w:i/>
          <w:iCs/>
          <w:sz w:val="24"/>
          <w:szCs w:val="24"/>
        </w:rPr>
        <w:t>（所提供为合同模板，投标人和采购人可根据项目实际情况进行编制）</w:t>
      </w:r>
      <w:bookmarkEnd w:id="99"/>
    </w:p>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100" w:name="_Toc16307"/>
      <w:bookmarkStart w:id="101" w:name="_Toc2745"/>
      <w:bookmarkStart w:id="102" w:name="_Toc17201"/>
      <w:r>
        <w:rPr>
          <w:rFonts w:hint="eastAsia" w:hAnsi="宋体" w:cs="宋体"/>
          <w:sz w:val="24"/>
          <w:szCs w:val="24"/>
        </w:rPr>
        <w:t>（一）合同协议书</w:t>
      </w:r>
      <w:bookmarkEnd w:id="100"/>
      <w:bookmarkEnd w:id="101"/>
      <w:bookmarkEnd w:id="102"/>
    </w:p>
    <w:p>
      <w:pPr>
        <w:pStyle w:val="472"/>
        <w:snapToGrid w:val="0"/>
        <w:spacing w:after="156" w:afterLines="50"/>
        <w:jc w:val="center"/>
        <w:rPr>
          <w:rFonts w:hAnsi="宋体" w:cs="宋体"/>
          <w:sz w:val="32"/>
          <w:szCs w:val="32"/>
        </w:rPr>
      </w:pPr>
      <w:r>
        <w:rPr>
          <w:rFonts w:hint="eastAsia" w:hAnsi="宋体" w:cs="宋体"/>
          <w:sz w:val="32"/>
          <w:szCs w:val="32"/>
        </w:rPr>
        <w:t>合同协议书</w:t>
      </w:r>
    </w:p>
    <w:p>
      <w:pPr>
        <w:pStyle w:val="472"/>
        <w:snapToGrid w:val="0"/>
        <w:spacing w:after="156" w:afterLines="50"/>
        <w:jc w:val="center"/>
        <w:rPr>
          <w:rFonts w:hAnsi="宋体" w:cs="宋体"/>
          <w:sz w:val="32"/>
          <w:szCs w:val="32"/>
        </w:rPr>
      </w:pPr>
    </w:p>
    <w:p>
      <w:pPr>
        <w:pStyle w:val="472"/>
        <w:snapToGrid w:val="0"/>
        <w:spacing w:after="156" w:afterLines="50"/>
        <w:ind w:left="120" w:hanging="120" w:hangingChars="50"/>
        <w:rPr>
          <w:rFonts w:hAnsi="宋体" w:cs="宋体"/>
          <w:sz w:val="24"/>
          <w:szCs w:val="24"/>
        </w:rPr>
      </w:pPr>
      <w:r>
        <w:rPr>
          <w:rFonts w:hint="eastAsia" w:hAnsi="宋体" w:cs="宋体"/>
          <w:sz w:val="24"/>
          <w:szCs w:val="24"/>
        </w:rPr>
        <w:t xml:space="preserve">    本合同于      年     月     日由</w:t>
      </w:r>
      <w:r>
        <w:rPr>
          <w:rFonts w:hint="eastAsia" w:hAnsi="宋体" w:cs="宋体"/>
          <w:sz w:val="24"/>
          <w:szCs w:val="24"/>
          <w:u w:val="single"/>
        </w:rPr>
        <w:t xml:space="preserve">  (买方名称)   </w:t>
      </w:r>
      <w:r>
        <w:rPr>
          <w:rFonts w:hint="eastAsia" w:hAnsi="宋体" w:cs="宋体"/>
          <w:sz w:val="24"/>
          <w:szCs w:val="24"/>
        </w:rPr>
        <w:t>(以下简称“买方”)和</w:t>
      </w:r>
      <w:r>
        <w:rPr>
          <w:rFonts w:hint="eastAsia" w:hAnsi="宋体" w:cs="宋体"/>
          <w:sz w:val="24"/>
          <w:szCs w:val="24"/>
          <w:u w:val="single"/>
        </w:rPr>
        <w:t xml:space="preserve"> (卖方名称)     </w:t>
      </w:r>
      <w:r>
        <w:rPr>
          <w:rFonts w:hint="eastAsia" w:hAnsi="宋体" w:cs="宋体"/>
          <w:sz w:val="24"/>
          <w:szCs w:val="24"/>
        </w:rPr>
        <w:t xml:space="preserve">(以下简称“卖方”)按下述条款和条件签署。 </w:t>
      </w:r>
    </w:p>
    <w:p>
      <w:pPr>
        <w:pStyle w:val="472"/>
        <w:snapToGrid w:val="0"/>
        <w:spacing w:after="156" w:afterLines="50"/>
        <w:rPr>
          <w:rFonts w:hAnsi="宋体" w:cs="宋体"/>
          <w:sz w:val="24"/>
          <w:szCs w:val="24"/>
        </w:rPr>
      </w:pPr>
      <w:r>
        <w:rPr>
          <w:rFonts w:hint="eastAsia" w:hAnsi="宋体" w:cs="宋体"/>
          <w:sz w:val="24"/>
          <w:szCs w:val="24"/>
        </w:rPr>
        <w:t xml:space="preserve">    鉴于买方为获得以下货物和伴随服务，即</w:t>
      </w:r>
      <w:r>
        <w:rPr>
          <w:rFonts w:hint="eastAsia" w:hAnsi="宋体" w:cs="宋体"/>
          <w:sz w:val="24"/>
          <w:szCs w:val="24"/>
          <w:u w:val="single"/>
        </w:rPr>
        <w:t xml:space="preserve"> (货物和服务简介)  </w:t>
      </w:r>
      <w:r>
        <w:rPr>
          <w:rFonts w:hint="eastAsia" w:hAnsi="宋体" w:cs="宋体"/>
          <w:sz w:val="24"/>
          <w:szCs w:val="24"/>
        </w:rPr>
        <w:t xml:space="preserve">，并接受了卖方以总金额 (币种、用文字和数字表示的合同价) (以下简称“合同价”)提供上述货物和服务的投标。 </w:t>
      </w:r>
    </w:p>
    <w:p>
      <w:pPr>
        <w:pStyle w:val="472"/>
        <w:snapToGrid w:val="0"/>
        <w:spacing w:after="156" w:afterLines="50"/>
        <w:ind w:firstLine="476"/>
        <w:rPr>
          <w:rFonts w:hAnsi="宋体" w:cs="宋体"/>
          <w:sz w:val="24"/>
          <w:szCs w:val="24"/>
        </w:rPr>
      </w:pPr>
      <w:r>
        <w:rPr>
          <w:rFonts w:hint="eastAsia" w:hAnsi="宋体" w:cs="宋体"/>
          <w:sz w:val="24"/>
          <w:szCs w:val="24"/>
        </w:rPr>
        <w:t>本合同在此声明如下：</w:t>
      </w:r>
    </w:p>
    <w:p>
      <w:pPr>
        <w:pStyle w:val="472"/>
        <w:snapToGrid w:val="0"/>
        <w:spacing w:after="156" w:afterLines="50"/>
        <w:rPr>
          <w:rFonts w:hAnsi="宋体" w:cs="宋体"/>
          <w:sz w:val="24"/>
          <w:szCs w:val="24"/>
        </w:rPr>
      </w:pPr>
      <w:r>
        <w:rPr>
          <w:rFonts w:hint="eastAsia" w:hAnsi="宋体" w:cs="宋体"/>
          <w:sz w:val="24"/>
          <w:szCs w:val="24"/>
        </w:rPr>
        <w:t xml:space="preserve">    1. 本合同中的词语和术语的含义与合同条款中定义的相同。 </w:t>
      </w:r>
    </w:p>
    <w:p>
      <w:pPr>
        <w:pStyle w:val="472"/>
        <w:snapToGrid w:val="0"/>
        <w:spacing w:after="156" w:afterLines="50"/>
        <w:rPr>
          <w:rFonts w:hAnsi="宋体" w:cs="宋体"/>
          <w:sz w:val="24"/>
          <w:szCs w:val="24"/>
        </w:rPr>
      </w:pPr>
      <w:r>
        <w:rPr>
          <w:rFonts w:hint="eastAsia" w:hAnsi="宋体" w:cs="宋体"/>
          <w:sz w:val="24"/>
          <w:szCs w:val="24"/>
        </w:rPr>
        <w:t xml:space="preserve">    2. 下述文件是本合同的一部分，并与本合同协议书一起阅读和解释： </w:t>
      </w:r>
    </w:p>
    <w:p>
      <w:pPr>
        <w:pStyle w:val="472"/>
        <w:snapToGrid w:val="0"/>
        <w:spacing w:after="156" w:afterLines="50"/>
        <w:rPr>
          <w:rFonts w:hAnsi="宋体" w:cs="宋体"/>
          <w:sz w:val="24"/>
          <w:szCs w:val="24"/>
        </w:rPr>
      </w:pPr>
      <w:r>
        <w:rPr>
          <w:rFonts w:hint="eastAsia" w:hAnsi="宋体" w:cs="宋体"/>
          <w:sz w:val="24"/>
          <w:szCs w:val="24"/>
        </w:rPr>
        <w:t xml:space="preserve">       1) 合同条款；</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2) 合同附件，如：</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附件1—供货范围及分项价格表</w:t>
      </w:r>
    </w:p>
    <w:p>
      <w:pPr>
        <w:pStyle w:val="472"/>
        <w:snapToGrid w:val="0"/>
        <w:spacing w:after="156" w:afterLines="50"/>
        <w:rPr>
          <w:rFonts w:hAnsi="宋体" w:cs="宋体"/>
          <w:sz w:val="24"/>
          <w:szCs w:val="24"/>
        </w:rPr>
      </w:pPr>
      <w:r>
        <w:rPr>
          <w:rFonts w:hint="eastAsia" w:hAnsi="宋体" w:cs="宋体"/>
          <w:sz w:val="24"/>
          <w:szCs w:val="24"/>
        </w:rPr>
        <w:t xml:space="preserve">          附件2—技术规格（采购需求、项目验收标准和程序）</w:t>
      </w:r>
    </w:p>
    <w:p>
      <w:pPr>
        <w:pStyle w:val="472"/>
        <w:snapToGrid w:val="0"/>
        <w:spacing w:after="156" w:afterLines="50"/>
        <w:rPr>
          <w:rFonts w:ascii="MingLiU_HKSCS" w:hAnsi="MingLiU_HKSCS" w:cs="MingLiU_HKSCS"/>
          <w:sz w:val="24"/>
          <w:szCs w:val="24"/>
        </w:rPr>
      </w:pPr>
      <w:r>
        <w:rPr>
          <w:rFonts w:hint="eastAsia" w:hAnsi="宋体" w:cs="宋体"/>
          <w:sz w:val="24"/>
          <w:szCs w:val="24"/>
        </w:rPr>
        <w:t xml:space="preserve">          附件3—交货批次及交货时间</w:t>
      </w:r>
    </w:p>
    <w:p>
      <w:pPr>
        <w:pStyle w:val="472"/>
        <w:snapToGrid w:val="0"/>
        <w:spacing w:after="156" w:afterLines="50"/>
        <w:rPr>
          <w:rFonts w:hAnsi="宋体" w:cs="宋体"/>
          <w:sz w:val="24"/>
          <w:szCs w:val="24"/>
        </w:rPr>
      </w:pPr>
      <w:r>
        <w:rPr>
          <w:rFonts w:hint="eastAsia" w:hAnsi="宋体" w:cs="宋体"/>
          <w:sz w:val="24"/>
          <w:szCs w:val="24"/>
        </w:rPr>
        <w:t xml:space="preserve">          附件4—履约保证金银行保函（格式见合同附件格式）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附件5—预付款银行保函（格式见合同附件格式） </w:t>
      </w:r>
    </w:p>
    <w:p>
      <w:pPr>
        <w:pStyle w:val="472"/>
        <w:snapToGrid w:val="0"/>
        <w:spacing w:after="156" w:afterLines="50"/>
        <w:rPr>
          <w:rFonts w:hAnsi="宋体" w:cs="宋体"/>
          <w:sz w:val="24"/>
          <w:szCs w:val="24"/>
        </w:rPr>
      </w:pPr>
      <w:r>
        <w:rPr>
          <w:rFonts w:hint="eastAsia" w:hAnsi="宋体" w:cs="宋体"/>
          <w:sz w:val="24"/>
          <w:szCs w:val="24"/>
        </w:rPr>
        <w:t xml:space="preserve">       3) 中标通知书 </w:t>
      </w:r>
    </w:p>
    <w:p>
      <w:pPr>
        <w:pStyle w:val="472"/>
        <w:snapToGrid w:val="0"/>
        <w:spacing w:after="156" w:afterLines="50"/>
        <w:rPr>
          <w:rFonts w:hAnsi="宋体" w:cs="宋体"/>
          <w:sz w:val="24"/>
          <w:szCs w:val="24"/>
        </w:rPr>
      </w:pPr>
      <w:r>
        <w:rPr>
          <w:rFonts w:hint="eastAsia" w:hAnsi="宋体" w:cs="宋体"/>
          <w:sz w:val="24"/>
          <w:szCs w:val="24"/>
        </w:rPr>
        <w:t xml:space="preserve">    3.卖方在此保证全部按照合同的规定向买方提供货物和服务，并修补缺陷。 </w:t>
      </w:r>
    </w:p>
    <w:p>
      <w:pPr>
        <w:pStyle w:val="472"/>
        <w:snapToGrid w:val="0"/>
        <w:spacing w:after="156" w:afterLines="50"/>
        <w:rPr>
          <w:rFonts w:hAnsi="宋体" w:cs="宋体"/>
          <w:sz w:val="24"/>
          <w:szCs w:val="24"/>
        </w:rPr>
      </w:pPr>
      <w:r>
        <w:rPr>
          <w:rFonts w:hint="eastAsia" w:hAnsi="宋体" w:cs="宋体"/>
          <w:sz w:val="24"/>
          <w:szCs w:val="24"/>
        </w:rPr>
        <w:t xml:space="preserve">    4.买方在此保证按照合同规定的时间和方式向卖方支付合同价或其他按合同规定应支付的金额。 </w:t>
      </w:r>
    </w:p>
    <w:p>
      <w:pPr>
        <w:pStyle w:val="472"/>
        <w:snapToGrid w:val="0"/>
        <w:spacing w:after="156" w:afterLines="50"/>
        <w:rPr>
          <w:rFonts w:hAnsi="宋体" w:cs="宋体"/>
          <w:sz w:val="24"/>
          <w:szCs w:val="24"/>
        </w:rPr>
      </w:pPr>
      <w:r>
        <w:rPr>
          <w:rFonts w:hint="eastAsia" w:hAnsi="宋体" w:cs="宋体"/>
          <w:sz w:val="24"/>
          <w:szCs w:val="24"/>
        </w:rPr>
        <w:t xml:space="preserve">    双方在上述日期签署本协议。 </w:t>
      </w:r>
    </w:p>
    <w:p>
      <w:pPr>
        <w:pStyle w:val="472"/>
        <w:snapToGrid w:val="0"/>
        <w:spacing w:after="156" w:afterLines="50"/>
        <w:rPr>
          <w:rFonts w:hAnsi="宋体" w:cs="宋体"/>
          <w:sz w:val="24"/>
          <w:szCs w:val="24"/>
        </w:rPr>
      </w:pPr>
    </w:p>
    <w:tbl>
      <w:tblPr>
        <w:tblStyle w:val="15"/>
        <w:tblW w:w="9180" w:type="dxa"/>
        <w:tblInd w:w="0" w:type="dxa"/>
        <w:tblLayout w:type="fixed"/>
        <w:tblCellMar>
          <w:top w:w="0" w:type="dxa"/>
          <w:left w:w="108" w:type="dxa"/>
          <w:bottom w:w="0" w:type="dxa"/>
          <w:right w:w="108" w:type="dxa"/>
        </w:tblCellMar>
      </w:tblPr>
      <w:tblGrid>
        <w:gridCol w:w="1384"/>
        <w:gridCol w:w="3402"/>
        <w:gridCol w:w="1279"/>
        <w:gridCol w:w="3115"/>
      </w:tblGrid>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买方：</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（盖单位章）</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卖方:</w:t>
            </w:r>
          </w:p>
        </w:tc>
        <w:tc>
          <w:tcPr>
            <w:tcW w:w="3115" w:type="dxa"/>
            <w:vAlign w:val="center"/>
          </w:tcPr>
          <w:p>
            <w:pPr>
              <w:pStyle w:val="472"/>
              <w:snapToGrid w:val="0"/>
              <w:spacing w:after="156" w:afterLines="50"/>
              <w:jc w:val="distribute"/>
              <w:rPr>
                <w:rFonts w:hAnsi="宋体" w:cs="宋体"/>
                <w:sz w:val="24"/>
                <w:szCs w:val="24"/>
              </w:rPr>
            </w:pPr>
          </w:p>
          <w:p>
            <w:pPr>
              <w:pStyle w:val="472"/>
              <w:snapToGrid w:val="0"/>
              <w:spacing w:after="156" w:afterLines="50"/>
              <w:jc w:val="distribute"/>
              <w:rPr>
                <w:rFonts w:hAnsi="宋体" w:cs="宋体"/>
                <w:sz w:val="24"/>
                <w:szCs w:val="24"/>
              </w:rPr>
            </w:pPr>
            <w:r>
              <w:rPr>
                <w:rFonts w:hint="eastAsia" w:hAnsi="宋体" w:cs="宋体"/>
                <w:sz w:val="24"/>
                <w:szCs w:val="24"/>
              </w:rPr>
              <w:t xml:space="preserve">          （盖单位章）</w:t>
            </w:r>
          </w:p>
        </w:tc>
      </w:tr>
      <w:tr>
        <w:tblPrEx>
          <w:tblCellMar>
            <w:top w:w="0" w:type="dxa"/>
            <w:left w:w="108" w:type="dxa"/>
            <w:bottom w:w="0" w:type="dxa"/>
            <w:right w:w="108" w:type="dxa"/>
          </w:tblCellMar>
        </w:tblPrEx>
        <w:tc>
          <w:tcPr>
            <w:tcW w:w="1384"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402"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c>
          <w:tcPr>
            <w:tcW w:w="1279" w:type="dxa"/>
            <w:vAlign w:val="center"/>
          </w:tcPr>
          <w:p>
            <w:pPr>
              <w:pStyle w:val="472"/>
              <w:snapToGrid w:val="0"/>
              <w:spacing w:after="156" w:afterLines="50"/>
              <w:jc w:val="distribute"/>
              <w:rPr>
                <w:rFonts w:hAnsi="宋体" w:cs="宋体"/>
                <w:sz w:val="24"/>
                <w:szCs w:val="24"/>
              </w:rPr>
            </w:pPr>
            <w:r>
              <w:rPr>
                <w:rFonts w:hint="eastAsia" w:hAnsi="宋体" w:cs="宋体"/>
                <w:sz w:val="24"/>
                <w:szCs w:val="24"/>
              </w:rPr>
              <w:t>法定代表人或其委托人:</w:t>
            </w:r>
          </w:p>
        </w:tc>
        <w:tc>
          <w:tcPr>
            <w:tcW w:w="3115" w:type="dxa"/>
            <w:vAlign w:val="center"/>
          </w:tcPr>
          <w:p>
            <w:pPr>
              <w:pStyle w:val="472"/>
              <w:snapToGrid w:val="0"/>
              <w:spacing w:after="156" w:afterLines="50"/>
              <w:jc w:val="center"/>
              <w:rPr>
                <w:rFonts w:hAnsi="宋体" w:cs="宋体"/>
                <w:sz w:val="24"/>
                <w:szCs w:val="24"/>
              </w:rPr>
            </w:pPr>
          </w:p>
          <w:p>
            <w:pPr>
              <w:pStyle w:val="472"/>
              <w:snapToGrid w:val="0"/>
              <w:spacing w:after="156" w:afterLines="50"/>
              <w:jc w:val="center"/>
              <w:rPr>
                <w:rFonts w:hAnsi="宋体" w:cs="宋体"/>
                <w:sz w:val="24"/>
                <w:szCs w:val="24"/>
              </w:rPr>
            </w:pPr>
            <w:r>
              <w:rPr>
                <w:rFonts w:hint="eastAsia" w:hAnsi="宋体" w:cs="宋体"/>
                <w:sz w:val="24"/>
                <w:szCs w:val="24"/>
              </w:rPr>
              <w:t xml:space="preserve">            （签字）</w:t>
            </w:r>
          </w:p>
        </w:tc>
      </w:tr>
    </w:tbl>
    <w:p>
      <w:pPr>
        <w:pStyle w:val="472"/>
        <w:snapToGrid w:val="0"/>
        <w:spacing w:after="156" w:afterLines="50"/>
        <w:jc w:val="center"/>
        <w:outlineLvl w:val="0"/>
        <w:rPr>
          <w:rFonts w:hAnsi="宋体" w:cs="宋体"/>
          <w:sz w:val="24"/>
          <w:szCs w:val="24"/>
        </w:rPr>
      </w:pPr>
      <w:r>
        <w:rPr>
          <w:rFonts w:hAnsi="宋体" w:cs="宋体"/>
          <w:sz w:val="24"/>
          <w:szCs w:val="24"/>
        </w:rPr>
        <w:br w:type="page"/>
      </w:r>
      <w:bookmarkStart w:id="103" w:name="_Toc3396"/>
      <w:bookmarkStart w:id="104" w:name="_Toc3281"/>
      <w:bookmarkStart w:id="105" w:name="_Toc6119"/>
      <w:r>
        <w:rPr>
          <w:rFonts w:hint="eastAsia" w:hAnsi="宋体" w:cs="宋体"/>
          <w:sz w:val="24"/>
          <w:szCs w:val="24"/>
        </w:rPr>
        <w:t>（二）合同条款</w:t>
      </w:r>
      <w:bookmarkEnd w:id="103"/>
      <w:bookmarkEnd w:id="104"/>
      <w:bookmarkEnd w:id="105"/>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6" w:name="_Toc6990"/>
      <w:bookmarkStart w:id="107" w:name="_Toc22037"/>
      <w:r>
        <w:rPr>
          <w:rFonts w:hint="eastAsia" w:ascii="黑体" w:hAnsi="宋体" w:eastAsia="黑体" w:cs="黑体"/>
          <w:kern w:val="0"/>
          <w:sz w:val="24"/>
        </w:rPr>
        <w:t>定义</w:t>
      </w:r>
      <w:bookmarkEnd w:id="106"/>
      <w:bookmarkEnd w:id="10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本合同下列术语应解释为：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“合同”系指买卖双方签署的、合同格式中载明的买卖双方所达成的协议，包括所有的附件、附录和上述文件所提到的构成合同的所有文件。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“合同价”系指根据本合同规定卖方在正确地完全履行合同义务后买方应支付给卖方的价款。</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“货物”系指卖方根据本合同规定须向买方提供的一切设备、机械和/或其它材料。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“伴随服务”系指根据本合同规定卖方承担与供货有关的辅助服务，如运输、保险、安装、调试、提供技术援助、培训和合同中规定卖方应承担的其它义务。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“买方”系指购买货物和服务的单位。</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6)</w:t>
      </w:r>
      <w:r>
        <w:rPr>
          <w:rFonts w:hint="eastAsia" w:hAnsi="宋体" w:cs="宋体"/>
          <w:sz w:val="24"/>
          <w:szCs w:val="24"/>
        </w:rPr>
        <w:tab/>
      </w:r>
      <w:r>
        <w:rPr>
          <w:rFonts w:hint="eastAsia" w:hAnsi="宋体" w:cs="宋体"/>
          <w:sz w:val="24"/>
          <w:szCs w:val="24"/>
        </w:rPr>
        <w:t>“卖方”系指提供本合同项下货物和服务的公司或其它实体。</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7）</w:t>
      </w:r>
      <w:r>
        <w:rPr>
          <w:rFonts w:hint="eastAsia" w:hAnsi="宋体" w:cs="宋体"/>
          <w:sz w:val="24"/>
          <w:szCs w:val="24"/>
        </w:rPr>
        <w:tab/>
      </w:r>
      <w:r>
        <w:rPr>
          <w:rFonts w:hint="eastAsia" w:hAnsi="宋体" w:cs="宋体"/>
          <w:sz w:val="24"/>
          <w:szCs w:val="24"/>
        </w:rPr>
        <w:t>“合同条款”包含合同协议书和合同条款，当合同条款与合同协议书不一致时，以合同协议书为准。</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8)</w:t>
      </w:r>
      <w:r>
        <w:rPr>
          <w:rFonts w:hint="eastAsia" w:hAnsi="宋体" w:cs="宋体"/>
          <w:sz w:val="24"/>
          <w:szCs w:val="24"/>
        </w:rPr>
        <w:tab/>
      </w:r>
      <w:r>
        <w:rPr>
          <w:rFonts w:hint="eastAsia" w:hAnsi="宋体" w:cs="宋体"/>
          <w:sz w:val="24"/>
          <w:szCs w:val="24"/>
        </w:rPr>
        <w:t>“项目现场”系指本合同项下货物安装、运行的现场。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9)</w:t>
      </w:r>
      <w:r>
        <w:rPr>
          <w:rFonts w:hint="eastAsia" w:hAnsi="宋体" w:cs="宋体"/>
          <w:sz w:val="24"/>
          <w:szCs w:val="24"/>
        </w:rPr>
        <w:tab/>
      </w:r>
      <w:r>
        <w:rPr>
          <w:rFonts w:hint="eastAsia" w:hAnsi="宋体" w:cs="宋体"/>
          <w:sz w:val="24"/>
          <w:szCs w:val="24"/>
        </w:rPr>
        <w:t>“日”指日历日。</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08" w:name="_Toc2489"/>
      <w:bookmarkStart w:id="109" w:name="_Toc285462117"/>
      <w:bookmarkStart w:id="110" w:name="_Toc333062187"/>
      <w:bookmarkStart w:id="111" w:name="_Toc12111"/>
      <w:r>
        <w:rPr>
          <w:rFonts w:hint="eastAsia" w:ascii="黑体" w:hAnsi="宋体" w:eastAsia="黑体" w:cs="黑体"/>
          <w:kern w:val="0"/>
          <w:sz w:val="24"/>
        </w:rPr>
        <w:t>合同标的</w:t>
      </w:r>
      <w:bookmarkEnd w:id="108"/>
      <w:bookmarkEnd w:id="109"/>
      <w:bookmarkEnd w:id="110"/>
      <w:bookmarkEnd w:id="11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卖方提供及其备品备件、易损易耗件、专用工具、试验装置和相关服务。范围如下：</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kern w:val="0"/>
          <w:sz w:val="24"/>
        </w:rPr>
      </w:pPr>
      <w:r>
        <w:rPr>
          <w:rFonts w:hint="eastAsia" w:ascii="宋体" w:hAnsi="宋体" w:cs="黑体"/>
          <w:kern w:val="0"/>
          <w:sz w:val="24"/>
        </w:rPr>
        <w:t>卖方的所有供货及服务必须使交付的货物完全满足合同附件</w:t>
      </w:r>
      <w:r>
        <w:rPr>
          <w:rFonts w:hint="eastAsia" w:ascii="宋体" w:hAnsi="宋体" w:cs="黑体"/>
          <w:iCs/>
          <w:kern w:val="0"/>
          <w:sz w:val="24"/>
        </w:rPr>
        <w:t>（按对应附件序号填写）</w:t>
      </w:r>
      <w:r>
        <w:rPr>
          <w:rFonts w:hint="eastAsia" w:ascii="宋体" w:hAnsi="宋体" w:cs="黑体"/>
          <w:kern w:val="0"/>
          <w:sz w:val="24"/>
        </w:rPr>
        <w:t>“技术规格与要求”的要求；</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2"/>
          <w:numId w:val="15"/>
        </w:numPr>
        <w:tabs>
          <w:tab w:val="left" w:pos="1701"/>
        </w:tabs>
        <w:autoSpaceDE w:val="0"/>
        <w:autoSpaceDN w:val="0"/>
        <w:adjustRightInd w:val="0"/>
        <w:spacing w:after="156" w:afterLines="50"/>
        <w:ind w:left="1700" w:leftChars="540" w:hanging="566" w:hangingChars="236"/>
        <w:textAlignment w:val="auto"/>
        <w:rPr>
          <w:rFonts w:ascii="宋体" w:hAnsi="宋体" w:cs="黑体"/>
          <w:i/>
          <w:kern w:val="0"/>
          <w:sz w:val="24"/>
        </w:rPr>
      </w:pPr>
      <w:r>
        <w:rPr>
          <w:rFonts w:hint="eastAsia" w:ascii="宋体" w:hAnsi="宋体" w:cs="黑体"/>
          <w:i/>
          <w:kern w:val="0"/>
          <w:sz w:val="24"/>
        </w:rPr>
        <w:t>……</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卖方应承担依照合同规定而履行其合同义务所产生的全部费用。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2" w:name="_Toc20030"/>
      <w:bookmarkStart w:id="113" w:name="_Toc10309"/>
      <w:r>
        <w:rPr>
          <w:rFonts w:hint="eastAsia" w:ascii="黑体" w:hAnsi="宋体" w:eastAsia="黑体" w:cs="黑体"/>
          <w:kern w:val="0"/>
          <w:sz w:val="24"/>
        </w:rPr>
        <w:t>适用性</w:t>
      </w:r>
      <w:bookmarkEnd w:id="112"/>
      <w:bookmarkEnd w:id="11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本合同条款适用于没有被本合同其他部分的条款所取代的范围。</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4" w:name="_Toc21645"/>
      <w:bookmarkStart w:id="115" w:name="_Toc21546"/>
      <w:r>
        <w:rPr>
          <w:rFonts w:hint="eastAsia" w:ascii="黑体" w:hAnsi="宋体" w:eastAsia="黑体" w:cs="黑体"/>
          <w:kern w:val="0"/>
          <w:sz w:val="24"/>
        </w:rPr>
        <w:t>标准</w:t>
      </w:r>
      <w:bookmarkEnd w:id="114"/>
      <w:bookmarkEnd w:id="11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本合同下交付的货物应符合技术规格所述的标准。如果没有提及适用标准，则应符合中华人民共和国标准。这些标准必须是有关机构发布的最新有效版本的标准。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除非技术规格中另有规定，计量单位均采用中华人民共和国法定计量单位。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6" w:name="_Toc11019"/>
      <w:bookmarkStart w:id="117" w:name="_Toc12157"/>
      <w:r>
        <w:rPr>
          <w:rFonts w:hint="eastAsia" w:ascii="黑体" w:hAnsi="宋体" w:eastAsia="黑体" w:cs="黑体"/>
          <w:kern w:val="0"/>
          <w:sz w:val="24"/>
        </w:rPr>
        <w:t>合同文件和资料的使用</w:t>
      </w:r>
      <w:bookmarkEnd w:id="116"/>
      <w:bookmarkEnd w:id="117"/>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18" w:name="_Ref426364224"/>
      <w:r>
        <w:rPr>
          <w:rFonts w:hint="eastAsia" w:ascii="宋体" w:hAnsi="宋体" w:cs="黑体"/>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11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没有买方事先书面同意，除了履行本合同之外，卖方不应使用合同条款第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款所列举的任何文件和资料。</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除了合同本身以外，合同条款第</w:t>
      </w:r>
      <w:r>
        <w:rPr>
          <w:rFonts w:ascii="宋体" w:hAnsi="宋体" w:cs="黑体"/>
          <w:kern w:val="0"/>
          <w:sz w:val="24"/>
        </w:rPr>
        <w:fldChar w:fldCharType="begin"/>
      </w:r>
      <w:r>
        <w:rPr>
          <w:rFonts w:hint="eastAsia" w:ascii="宋体" w:hAnsi="宋体" w:cs="黑体"/>
          <w:kern w:val="0"/>
          <w:sz w:val="24"/>
        </w:rPr>
        <w:instrText xml:space="preserve">REF _Ref426364224 \r \h</w:instrText>
      </w:r>
      <w:r>
        <w:rPr>
          <w:rFonts w:ascii="宋体" w:hAnsi="宋体" w:cs="黑体"/>
          <w:kern w:val="0"/>
          <w:sz w:val="24"/>
        </w:rPr>
        <w:fldChar w:fldCharType="separate"/>
      </w:r>
      <w:r>
        <w:rPr>
          <w:rFonts w:ascii="宋体" w:hAnsi="宋体" w:cs="黑体"/>
          <w:kern w:val="0"/>
          <w:sz w:val="24"/>
        </w:rPr>
        <w:t>5.1</w:t>
      </w:r>
      <w:r>
        <w:rPr>
          <w:rFonts w:ascii="宋体" w:hAnsi="宋体" w:cs="黑体"/>
          <w:kern w:val="0"/>
          <w:sz w:val="24"/>
        </w:rPr>
        <w:fldChar w:fldCharType="end"/>
      </w:r>
      <w:r>
        <w:rPr>
          <w:rFonts w:hint="eastAsia" w:ascii="宋体" w:hAnsi="宋体" w:cs="黑体"/>
          <w:kern w:val="0"/>
          <w:sz w:val="24"/>
        </w:rPr>
        <w:t>款所列举的任何文件是买方的财产。如果买方有要求，卖方在完成合同后应将这些文件及全部复制件还给买方。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19" w:name="_Toc20361"/>
      <w:bookmarkStart w:id="120" w:name="_Toc809"/>
      <w:r>
        <w:rPr>
          <w:rFonts w:hint="eastAsia" w:ascii="黑体" w:hAnsi="宋体" w:eastAsia="黑体" w:cs="黑体"/>
          <w:kern w:val="0"/>
          <w:sz w:val="24"/>
        </w:rPr>
        <w:t>设计及设计联络（适用大型或成套设备）</w:t>
      </w:r>
      <w:bookmarkEnd w:id="119"/>
      <w:bookmarkEnd w:id="12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双方应按照附件</w:t>
      </w:r>
      <w:r>
        <w:rPr>
          <w:rFonts w:hint="eastAsia" w:ascii="宋体" w:hAnsi="宋体" w:cs="黑体"/>
          <w:i/>
          <w:iCs/>
          <w:kern w:val="0"/>
          <w:sz w:val="24"/>
        </w:rPr>
        <w:t>（按对应附件序号填写）</w:t>
      </w:r>
      <w:r>
        <w:rPr>
          <w:rFonts w:hint="eastAsia" w:ascii="宋体" w:hAnsi="宋体" w:cs="黑体"/>
          <w:kern w:val="0"/>
          <w:sz w:val="24"/>
        </w:rPr>
        <w:t>的规定进行设计联络。</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双方各自承担的设计工作的范围、技术资料的提交详见附件</w:t>
      </w:r>
      <w:r>
        <w:rPr>
          <w:rFonts w:hint="eastAsia" w:ascii="宋体" w:hAnsi="宋体" w:cs="黑体"/>
          <w:i/>
          <w:iCs/>
          <w:kern w:val="0"/>
          <w:sz w:val="24"/>
        </w:rPr>
        <w:t>（按对应附件序号填写）</w:t>
      </w:r>
      <w:r>
        <w:rPr>
          <w:rFonts w:hint="eastAsia" w:ascii="宋体" w:hAnsi="宋体" w:cs="黑体"/>
          <w:kern w:val="0"/>
          <w:sz w:val="24"/>
        </w:rPr>
        <w:t>的规定。买方提交的技术资料应作为卖方进行设计工作的基础。设计联络会的内容、日程安排、地点、和参加人数详见附件</w:t>
      </w:r>
      <w:r>
        <w:rPr>
          <w:rFonts w:hint="eastAsia" w:ascii="宋体" w:hAnsi="宋体" w:cs="黑体"/>
          <w:i/>
          <w:iCs/>
          <w:kern w:val="0"/>
          <w:sz w:val="24"/>
        </w:rPr>
        <w:t>（按对应附件序号填写）</w:t>
      </w:r>
      <w:r>
        <w:rPr>
          <w:rFonts w:hint="eastAsia" w:ascii="宋体" w:hAnsi="宋体" w:cs="黑体"/>
          <w:kern w:val="0"/>
          <w:sz w:val="24"/>
        </w:rPr>
        <w:t>的规定。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在一方人员启程前</w:t>
      </w:r>
      <w:r>
        <w:rPr>
          <w:rFonts w:hint="eastAsia" w:ascii="宋体" w:hAnsi="宋体" w:cs="黑体"/>
          <w:i/>
          <w:kern w:val="0"/>
          <w:sz w:val="24"/>
          <w:u w:val="single"/>
        </w:rPr>
        <w:t xml:space="preserve"> （7） </w:t>
      </w:r>
      <w:r>
        <w:rPr>
          <w:rFonts w:hint="eastAsia" w:ascii="宋体" w:hAnsi="宋体" w:cs="黑体"/>
          <w:kern w:val="0"/>
          <w:sz w:val="24"/>
        </w:rPr>
        <w:t>日，应书面告知另一方参会人员名单和预计启程日期。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每次联络会应签署会议纪要。该会议纪要是合同的不可分割的组成部分，对双方具有约束力。</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在当次联络会上应决定下一次联络会的议题、参加人数及确切日期。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会议在买方所在地举行时，准备、组织和安排联络会议的所有费用由买方负担。但买方不承担卖方人员的往返机票、食宿费、交通费。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会议在卖方所在地举行时，准备、组织和安排联络会议的所有费用由卖方负担。卖方应免费向买方人员提供当地交通。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买方参加会议人员的往返机票及食宿等费用包含在合同总价内。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为使买方人员更好地理解有关合同设备设计和运行的各种技术文件，卖方将免费为买方人员安排参观工厂。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除设计联络会外，各方提出的合同设备的所有设计修改或改变，应进行讨论，并经对方同意。从（一方）收到对方任何需批准的资料或图纸</w:t>
      </w:r>
      <w:r>
        <w:rPr>
          <w:rFonts w:hint="eastAsia" w:ascii="宋体" w:hAnsi="宋体" w:cs="黑体"/>
          <w:i/>
          <w:kern w:val="0"/>
          <w:sz w:val="24"/>
          <w:u w:val="single"/>
        </w:rPr>
        <w:t xml:space="preserve"> （21） </w:t>
      </w:r>
      <w:r>
        <w:rPr>
          <w:rFonts w:hint="eastAsia" w:ascii="宋体" w:hAnsi="宋体" w:cs="黑体"/>
          <w:kern w:val="0"/>
          <w:sz w:val="24"/>
        </w:rPr>
        <w:t>日内，应以书面提出批准或意见给对方。除非在设计联络会上双方同意缩短时间。</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卖方应在每次设计联络会前</w:t>
      </w:r>
      <w:r>
        <w:rPr>
          <w:rFonts w:hint="eastAsia" w:ascii="宋体" w:hAnsi="宋体" w:cs="黑体"/>
          <w:i/>
          <w:kern w:val="0"/>
          <w:sz w:val="24"/>
          <w:u w:val="single"/>
        </w:rPr>
        <w:t xml:space="preserve"> （14） </w:t>
      </w:r>
      <w:r>
        <w:rPr>
          <w:rFonts w:hint="eastAsia" w:ascii="宋体" w:hAnsi="宋体" w:cs="黑体"/>
          <w:kern w:val="0"/>
          <w:sz w:val="24"/>
        </w:rPr>
        <w:t>天向买方提供关于设计的技术资料和图纸，以便买方在会上讨论和确认这些技术资料和图纸。</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在合同有效期内，卖方应在</w:t>
      </w:r>
      <w:r>
        <w:rPr>
          <w:rFonts w:hint="eastAsia" w:ascii="宋体" w:hAnsi="宋体" w:cs="黑体"/>
          <w:i/>
          <w:kern w:val="0"/>
          <w:sz w:val="24"/>
          <w:u w:val="single"/>
        </w:rPr>
        <w:t xml:space="preserve"> （28） </w:t>
      </w:r>
      <w:r>
        <w:rPr>
          <w:rFonts w:hint="eastAsia" w:ascii="宋体" w:hAnsi="宋体" w:cs="黑体"/>
          <w:kern w:val="0"/>
          <w:sz w:val="24"/>
        </w:rPr>
        <w:t>天内及时回答买方提出的合同范围内有关设计和技术方面的问题，并向买方免费提供有关技术文件。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1" w:name="_Toc11645"/>
      <w:bookmarkStart w:id="122" w:name="_Toc24387"/>
      <w:r>
        <w:rPr>
          <w:rFonts w:hint="eastAsia" w:ascii="黑体" w:hAnsi="宋体" w:eastAsia="黑体" w:cs="黑体"/>
          <w:kern w:val="0"/>
          <w:sz w:val="24"/>
        </w:rPr>
        <w:t>知识产权</w:t>
      </w:r>
      <w:bookmarkEnd w:id="121"/>
      <w:bookmarkEnd w:id="12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卖方应保证，买方在使用该货物或货物的任何一部分时，免受第三方提出的侵犯其专利权、商标权、著作权或其它知识产权的起诉。</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3" w:name="_Toc10049"/>
      <w:bookmarkStart w:id="124" w:name="_Toc28042"/>
      <w:r>
        <w:rPr>
          <w:rFonts w:hint="eastAsia" w:ascii="黑体" w:hAnsi="宋体" w:eastAsia="黑体" w:cs="黑体"/>
          <w:kern w:val="0"/>
          <w:sz w:val="24"/>
        </w:rPr>
        <w:t>履约保证金</w:t>
      </w:r>
      <w:bookmarkEnd w:id="123"/>
      <w:bookmarkEnd w:id="12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卖方应在收到《中标通知书》后28日内，向买方提交合同金额</w:t>
      </w:r>
      <w:r>
        <w:rPr>
          <w:rFonts w:hint="eastAsia" w:ascii="宋体" w:hAnsi="宋体" w:cs="黑体"/>
          <w:i/>
          <w:kern w:val="0"/>
          <w:sz w:val="24"/>
          <w:u w:val="single"/>
        </w:rPr>
        <w:t>（0～10）</w:t>
      </w:r>
      <w:r>
        <w:rPr>
          <w:rFonts w:hint="eastAsia" w:ascii="宋体" w:hAnsi="宋体" w:cs="黑体"/>
          <w:kern w:val="0"/>
          <w:sz w:val="24"/>
        </w:rPr>
        <w:t>%的履约保证金。</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履约保证金用于补偿买方因卖方不能完成其合同义务而蒙受的损失。</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履约保证金采用下述方式第</w:t>
      </w:r>
      <w:r>
        <w:rPr>
          <w:rFonts w:hint="eastAsia" w:ascii="宋体" w:hAnsi="宋体" w:cs="黑体"/>
          <w:i/>
          <w:kern w:val="0"/>
          <w:sz w:val="24"/>
          <w:u w:val="single"/>
        </w:rPr>
        <w:t>（1）/（2）/（3）/（4）</w:t>
      </w:r>
      <w:r>
        <w:rPr>
          <w:rFonts w:hint="eastAsia" w:ascii="宋体" w:hAnsi="宋体" w:cs="黑体"/>
          <w:kern w:val="0"/>
          <w:sz w:val="24"/>
        </w:rPr>
        <w:t>方式提交：</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银行保函</w:t>
      </w:r>
    </w:p>
    <w:p>
      <w:pPr>
        <w:pStyle w:val="472"/>
        <w:snapToGrid w:val="0"/>
        <w:spacing w:after="156" w:afterLines="50"/>
        <w:ind w:left="1984" w:leftChars="945" w:firstLine="1"/>
        <w:rPr>
          <w:rFonts w:hAnsi="宋体" w:cs="宋体"/>
          <w:sz w:val="24"/>
          <w:szCs w:val="24"/>
        </w:rPr>
      </w:pPr>
      <w:r>
        <w:rPr>
          <w:rFonts w:hint="eastAsia" w:hAnsi="宋体" w:cs="宋体"/>
          <w:sz w:val="24"/>
          <w:szCs w:val="24"/>
        </w:rPr>
        <w:t>由买方可接受的在中华人民共和国注册和营业的银行出具，其格式采用招标文件提供的格式或其他买方可接受的格式。</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担保机构保函</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支票</w:t>
      </w:r>
    </w:p>
    <w:p>
      <w:pPr>
        <w:pStyle w:val="472"/>
        <w:snapToGrid w:val="0"/>
        <w:spacing w:after="156" w:afterLines="50"/>
        <w:ind w:left="1983" w:leftChars="540" w:hanging="849" w:hangingChars="354"/>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汇票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在卖方完成其合同义务包括任何保证义务后</w:t>
      </w:r>
      <w:r>
        <w:rPr>
          <w:rFonts w:hint="eastAsia" w:ascii="宋体" w:hAnsi="宋体" w:cs="黑体"/>
          <w:i/>
          <w:kern w:val="0"/>
          <w:sz w:val="24"/>
          <w:u w:val="single"/>
        </w:rPr>
        <w:t xml:space="preserve"> 28 </w:t>
      </w:r>
      <w:r>
        <w:rPr>
          <w:rFonts w:hint="eastAsia" w:ascii="宋体" w:hAnsi="宋体" w:cs="黑体"/>
          <w:kern w:val="0"/>
          <w:sz w:val="24"/>
        </w:rPr>
        <w:t>日内，买方将把履约保证金退还卖方。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5" w:name="_Toc11041"/>
      <w:bookmarkStart w:id="126" w:name="_Ref426364299"/>
      <w:bookmarkStart w:id="127" w:name="_Toc21830"/>
      <w:r>
        <w:rPr>
          <w:rFonts w:hint="eastAsia" w:ascii="黑体" w:hAnsi="宋体" w:eastAsia="黑体" w:cs="黑体"/>
          <w:kern w:val="0"/>
          <w:sz w:val="24"/>
        </w:rPr>
        <w:t>检验和测试</w:t>
      </w:r>
      <w:bookmarkEnd w:id="125"/>
      <w:bookmarkEnd w:id="126"/>
      <w:bookmarkEnd w:id="12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检验和测试可以在卖方或其分包人的驻地、交货地点和/或货物的最终目的地进行。如果在卖方或其分包人的驻地进行，检测人员应能得到全部合理的设施和协助，买方不应为此承担费用。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如果任何被检验或测试的货物不能满足规格的要求，买方可以拒绝接受该货物，卖方应更换被拒绝的货物，或者免费进行必要的修改以满足规格的要求。</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买方在货物到达项目现场后对货物进行检验、测试及必要时拒绝接受货物的权力将不会因为货物在启运前通过了买方或其代表的检验、测试和认可而受到限制或放弃。</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条[保证]规定的保证期内，根据检验结果，发现货物的质量或规格与合同要求不符，或货物被证实有缺陷，包括潜在的缺陷或使用不合适的材料，买方应及时向卖方提出索赔。</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合同条款第</w:t>
      </w:r>
      <w:r>
        <w:rPr>
          <w:rFonts w:ascii="宋体" w:hAnsi="宋体" w:cs="黑体"/>
          <w:kern w:val="0"/>
          <w:sz w:val="24"/>
        </w:rPr>
        <w:fldChar w:fldCharType="begin"/>
      </w:r>
      <w:r>
        <w:rPr>
          <w:rFonts w:hint="eastAsia" w:ascii="宋体" w:hAnsi="宋体" w:cs="黑体"/>
          <w:kern w:val="0"/>
          <w:sz w:val="24"/>
        </w:rPr>
        <w:instrText xml:space="preserve">REF _Ref426364299 \r \h</w:instrText>
      </w:r>
      <w:r>
        <w:rPr>
          <w:rFonts w:ascii="宋体" w:hAnsi="宋体" w:cs="黑体"/>
          <w:kern w:val="0"/>
          <w:sz w:val="24"/>
        </w:rPr>
        <w:fldChar w:fldCharType="separate"/>
      </w:r>
      <w:r>
        <w:rPr>
          <w:rFonts w:ascii="宋体" w:hAnsi="宋体" w:cs="黑体"/>
          <w:kern w:val="0"/>
          <w:sz w:val="24"/>
        </w:rPr>
        <w:t>9</w:t>
      </w:r>
      <w:r>
        <w:rPr>
          <w:rFonts w:ascii="宋体" w:hAnsi="宋体" w:cs="黑体"/>
          <w:kern w:val="0"/>
          <w:sz w:val="24"/>
        </w:rPr>
        <w:fldChar w:fldCharType="end"/>
      </w:r>
      <w:r>
        <w:rPr>
          <w:rFonts w:hint="eastAsia" w:ascii="宋体" w:hAnsi="宋体" w:cs="黑体"/>
          <w:kern w:val="0"/>
          <w:sz w:val="24"/>
        </w:rPr>
        <w:t>条[检验和测试]的规定不能免除卖方在本合同项下的保证义务或其他义务。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28" w:name="_Toc2183"/>
      <w:bookmarkStart w:id="129" w:name="_Toc14006"/>
      <w:bookmarkStart w:id="130" w:name="_Ref426364328"/>
      <w:r>
        <w:rPr>
          <w:rFonts w:hint="eastAsia" w:ascii="黑体" w:hAnsi="宋体" w:eastAsia="黑体" w:cs="黑体"/>
          <w:kern w:val="0"/>
          <w:sz w:val="24"/>
        </w:rPr>
        <w:t>包装</w:t>
      </w:r>
      <w:bookmarkEnd w:id="128"/>
      <w:bookmarkEnd w:id="129"/>
      <w:bookmarkEnd w:id="13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1" w:name="_Toc22427"/>
      <w:bookmarkStart w:id="132" w:name="_Toc32651"/>
      <w:bookmarkStart w:id="133" w:name="_Ref426364336"/>
      <w:r>
        <w:rPr>
          <w:rFonts w:hint="eastAsia" w:ascii="黑体" w:hAnsi="宋体" w:eastAsia="黑体" w:cs="黑体"/>
          <w:kern w:val="0"/>
          <w:sz w:val="24"/>
        </w:rPr>
        <w:t>装运标记</w:t>
      </w:r>
      <w:bookmarkEnd w:id="131"/>
      <w:bookmarkEnd w:id="132"/>
      <w:bookmarkEnd w:id="13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卖方应在每一包装箱相邻的四面用不可擦除的油漆和明显的做出以下标记：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收货人</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合同号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货物名称</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毛重/净重(用kg表示)</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对裸装（无需包装或无法包装）的合同设备，上述内容应用至少两个金属标牌标明并牢固地固定在其相应位置上。应提供足够的支承架和包装垫木。</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4" w:name="_Toc14285"/>
      <w:bookmarkStart w:id="135" w:name="_Toc9109"/>
      <w:r>
        <w:rPr>
          <w:rFonts w:hint="eastAsia" w:ascii="黑体" w:hAnsi="宋体" w:eastAsia="黑体" w:cs="黑体"/>
          <w:kern w:val="0"/>
          <w:sz w:val="24"/>
        </w:rPr>
        <w:t>交货和单据</w:t>
      </w:r>
      <w:bookmarkEnd w:id="134"/>
      <w:bookmarkEnd w:id="13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卖方应按照“货物需求一览表”规定的条件交货。卖方应提供的装运细节和/或其他单据见合同条款第</w:t>
      </w:r>
      <w:r>
        <w:rPr>
          <w:rFonts w:ascii="宋体" w:hAnsi="宋体" w:cs="黑体"/>
          <w:kern w:val="0"/>
          <w:sz w:val="24"/>
        </w:rPr>
        <w:fldChar w:fldCharType="begin"/>
      </w:r>
      <w:r>
        <w:rPr>
          <w:rFonts w:hint="eastAsia" w:ascii="宋体" w:hAnsi="宋体" w:cs="黑体"/>
          <w:kern w:val="0"/>
          <w:sz w:val="24"/>
        </w:rPr>
        <w:instrText xml:space="preserve">REF _Ref426364328 \r \h</w:instrText>
      </w:r>
      <w:r>
        <w:rPr>
          <w:rFonts w:ascii="宋体" w:hAnsi="宋体" w:cs="黑体"/>
          <w:kern w:val="0"/>
          <w:sz w:val="24"/>
        </w:rPr>
        <w:fldChar w:fldCharType="separate"/>
      </w:r>
      <w:r>
        <w:rPr>
          <w:rFonts w:ascii="宋体" w:hAnsi="宋体" w:cs="黑体"/>
          <w:kern w:val="0"/>
          <w:sz w:val="24"/>
        </w:rPr>
        <w:t>10</w:t>
      </w:r>
      <w:r>
        <w:rPr>
          <w:rFonts w:ascii="宋体" w:hAnsi="宋体" w:cs="黑体"/>
          <w:kern w:val="0"/>
          <w:sz w:val="24"/>
        </w:rPr>
        <w:fldChar w:fldCharType="end"/>
      </w:r>
      <w:r>
        <w:rPr>
          <w:rFonts w:hint="eastAsia" w:ascii="宋体" w:hAnsi="宋体" w:cs="黑体"/>
          <w:kern w:val="0"/>
          <w:sz w:val="24"/>
        </w:rPr>
        <w:t>条[包装]、第</w:t>
      </w:r>
      <w:r>
        <w:rPr>
          <w:rFonts w:ascii="宋体" w:hAnsi="宋体" w:cs="黑体"/>
          <w:kern w:val="0"/>
          <w:sz w:val="24"/>
        </w:rPr>
        <w:fldChar w:fldCharType="begin"/>
      </w:r>
      <w:r>
        <w:rPr>
          <w:rFonts w:hint="eastAsia" w:ascii="宋体" w:hAnsi="宋体" w:cs="黑体"/>
          <w:kern w:val="0"/>
          <w:sz w:val="24"/>
        </w:rPr>
        <w:instrText xml:space="preserve">REF _Ref426364336 \r \h</w:instrText>
      </w:r>
      <w:r>
        <w:rPr>
          <w:rFonts w:ascii="宋体" w:hAnsi="宋体" w:cs="黑体"/>
          <w:kern w:val="0"/>
          <w:sz w:val="24"/>
        </w:rPr>
        <w:fldChar w:fldCharType="separate"/>
      </w:r>
      <w:r>
        <w:rPr>
          <w:rFonts w:ascii="宋体" w:hAnsi="宋体" w:cs="黑体"/>
          <w:kern w:val="0"/>
          <w:sz w:val="24"/>
        </w:rPr>
        <w:t>11</w:t>
      </w:r>
      <w:r>
        <w:rPr>
          <w:rFonts w:ascii="宋体" w:hAnsi="宋体" w:cs="黑体"/>
          <w:kern w:val="0"/>
          <w:sz w:val="24"/>
        </w:rPr>
        <w:fldChar w:fldCharType="end"/>
      </w:r>
      <w:r>
        <w:rPr>
          <w:rFonts w:hint="eastAsia" w:ascii="宋体" w:hAnsi="宋体" w:cs="黑体"/>
          <w:kern w:val="0"/>
          <w:sz w:val="24"/>
        </w:rPr>
        <w:t>条[装运标记]规定。</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卖方应在货物装完启运后以传真形式将全部装运细节，包括合同号、货物说明、数量、运输工具名称、预计到货日期等通知买方。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6" w:name="_Toc26683"/>
      <w:bookmarkStart w:id="137" w:name="_Toc5708"/>
      <w:r>
        <w:rPr>
          <w:rFonts w:hint="eastAsia" w:ascii="黑体" w:hAnsi="宋体" w:eastAsia="黑体" w:cs="黑体"/>
          <w:kern w:val="0"/>
          <w:sz w:val="24"/>
        </w:rPr>
        <w:t>保险</w:t>
      </w:r>
      <w:bookmarkEnd w:id="136"/>
      <w:bookmarkEnd w:id="137"/>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应对本合同下提供的货物，按本条款规定的方式，用一种可以自由兑换的货币对其在制造、购置、运输、存放及交货过程中的丢失或损坏进行全面保险。</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卖方应按设备金额的110%投保的货物运输保险，并以买方为受益人。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38" w:name="_Toc15095"/>
      <w:bookmarkStart w:id="139" w:name="_Toc1899"/>
      <w:r>
        <w:rPr>
          <w:rFonts w:hint="eastAsia" w:ascii="黑体" w:hAnsi="宋体" w:eastAsia="黑体" w:cs="黑体"/>
          <w:kern w:val="0"/>
          <w:sz w:val="24"/>
        </w:rPr>
        <w:t>运输</w:t>
      </w:r>
      <w:bookmarkEnd w:id="138"/>
      <w:bookmarkEnd w:id="13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卖方应负责办理、支付将货物运至合同中指定的其他目的地的一切运输事项，相关费用应包括在合同价中。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0" w:name="_Toc21678"/>
      <w:bookmarkStart w:id="141" w:name="_Toc26340"/>
      <w:r>
        <w:rPr>
          <w:rFonts w:hint="eastAsia" w:ascii="黑体" w:hAnsi="宋体" w:eastAsia="黑体" w:cs="黑体"/>
          <w:kern w:val="0"/>
          <w:sz w:val="24"/>
        </w:rPr>
        <w:t>伴随服务</w:t>
      </w:r>
      <w:bookmarkEnd w:id="140"/>
      <w:bookmarkEnd w:id="14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卖方可能被要求提供下列服务中的任一或所有服务，包括技术规格中规定的附加服务(如果有的话)：</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实施或监督所供货物的现场组装和/或试运行；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提供货物组装和/或维修所需的工具；</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为所供货物的每一适当的单台设备提供详细的操作和维护手册；</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在双方商定的一定期限内对所供货物实施运行或监督或维护或修理，但前提条件是该服务并不能免除卖方在合同保证期内所承担的义务；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5)</w:t>
      </w:r>
      <w:r>
        <w:rPr>
          <w:rFonts w:hint="eastAsia" w:hAnsi="宋体" w:cs="宋体"/>
          <w:sz w:val="24"/>
          <w:szCs w:val="24"/>
        </w:rPr>
        <w:tab/>
      </w:r>
      <w:r>
        <w:rPr>
          <w:rFonts w:hint="eastAsia" w:hAnsi="宋体" w:cs="宋体"/>
          <w:sz w:val="24"/>
          <w:szCs w:val="24"/>
        </w:rPr>
        <w:t>在卖方厂家和/或在项目现场就所供货物的组装、试运行、运行、维护和/或修理对买方人员进行培训。</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如果卖方提供的伴随服务的费用未含在货物的合同价中，双方应事先就其达成协议，但其费用单价不应超过卖方向其他人提供类似服务所收取的现行单价。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卖方应提供合同条款/技术规格中规定的所有服务。为履行要求的伴随服务的报价或双方商定的费用应包括在合同价中。</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2" w:name="_Toc26093"/>
      <w:bookmarkStart w:id="143" w:name="_Toc13815"/>
      <w:r>
        <w:rPr>
          <w:rFonts w:hint="eastAsia" w:ascii="黑体" w:hAnsi="宋体" w:eastAsia="黑体" w:cs="黑体"/>
          <w:kern w:val="0"/>
          <w:sz w:val="24"/>
        </w:rPr>
        <w:t>备件</w:t>
      </w:r>
      <w:bookmarkEnd w:id="142"/>
      <w:bookmarkEnd w:id="14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正如合同条款所规定，卖方可能被要求提供下列与备件有关的材料、通知和资料：</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买方从卖方选购备件的资料，但前提条件是该选择并不能免除卖方在合同保证期内所承担的义务；</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在备件停止生产的情况下，卖方应事先将要停止生产的计划通知买方使买方有足够的时间采购所需的备件；</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在备件停止生产后，如果买方要求，卖方应免费向买方提供备件的蓝图、图纸和规格。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卖方应按照合同条款/技术规格中的规定提供所需的备件。</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4" w:name="_Toc11948"/>
      <w:bookmarkStart w:id="145" w:name="_Ref426364278"/>
      <w:bookmarkStart w:id="146" w:name="_Toc6722"/>
      <w:r>
        <w:rPr>
          <w:rFonts w:hint="eastAsia" w:ascii="黑体" w:hAnsi="宋体" w:eastAsia="黑体" w:cs="黑体"/>
          <w:kern w:val="0"/>
          <w:sz w:val="24"/>
        </w:rPr>
        <w:t>保证</w:t>
      </w:r>
      <w:bookmarkEnd w:id="144"/>
      <w:bookmarkEnd w:id="145"/>
      <w:bookmarkEnd w:id="14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本保证应在合同货物最终验收后的</w:t>
      </w:r>
      <w:r>
        <w:rPr>
          <w:rFonts w:hint="eastAsia" w:ascii="宋体" w:hAnsi="宋体" w:cs="黑体"/>
          <w:i/>
          <w:kern w:val="0"/>
          <w:sz w:val="24"/>
          <w:u w:val="single"/>
        </w:rPr>
        <w:t>（24）</w:t>
      </w:r>
      <w:r>
        <w:rPr>
          <w:rFonts w:hint="eastAsia" w:ascii="宋体" w:hAnsi="宋体" w:cs="黑体"/>
          <w:kern w:val="0"/>
          <w:sz w:val="24"/>
        </w:rPr>
        <w:t>个月内保持有效，或在最后一批合同货物到达交货地点后的</w:t>
      </w:r>
      <w:r>
        <w:rPr>
          <w:rFonts w:hint="eastAsia" w:ascii="宋体" w:hAnsi="宋体" w:cs="黑体"/>
          <w:i/>
          <w:kern w:val="0"/>
          <w:sz w:val="24"/>
          <w:u w:val="single"/>
        </w:rPr>
        <w:t>（24）</w:t>
      </w:r>
      <w:r>
        <w:rPr>
          <w:rFonts w:hint="eastAsia" w:ascii="宋体" w:hAnsi="宋体" w:cs="黑体"/>
          <w:kern w:val="0"/>
          <w:sz w:val="24"/>
        </w:rPr>
        <w:t>个月内保持有效，以先发生的为准。</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买方应尽快以书面形式通知卖方保证期内所发现的缺陷。</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卖方收到通知后应在</w:t>
      </w:r>
      <w:r>
        <w:rPr>
          <w:rFonts w:hint="eastAsia" w:ascii="宋体" w:hAnsi="宋体" w:cs="黑体"/>
          <w:i/>
          <w:kern w:val="0"/>
          <w:sz w:val="24"/>
          <w:u w:val="single"/>
        </w:rPr>
        <w:t>（48）</w:t>
      </w:r>
      <w:r>
        <w:rPr>
          <w:rFonts w:hint="eastAsia" w:ascii="宋体" w:hAnsi="宋体" w:cs="黑体"/>
          <w:kern w:val="0"/>
          <w:sz w:val="24"/>
        </w:rPr>
        <w:t>小时内以合理的速度免费维修或更换有缺陷的货物或部件。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如果卖方收到通知后在合同规定的时间内没有以合理的速度弥补缺陷，买方可采取必要的补救措施，但其风险和费用将由卖方承担，买方根据合同规定对卖方行使的其他权力不受影响。</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47" w:name="_Toc23198"/>
      <w:bookmarkStart w:id="148" w:name="_Ref426373961"/>
      <w:bookmarkStart w:id="149" w:name="_Toc26702"/>
      <w:r>
        <w:rPr>
          <w:rFonts w:hint="eastAsia" w:ascii="黑体" w:hAnsi="宋体" w:eastAsia="黑体" w:cs="黑体"/>
          <w:kern w:val="0"/>
          <w:sz w:val="24"/>
        </w:rPr>
        <w:t>索赔</w:t>
      </w:r>
      <w:bookmarkEnd w:id="147"/>
      <w:bookmarkEnd w:id="148"/>
      <w:bookmarkEnd w:id="14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如果卖方对偏差负有责任，并且买方在合同条款第</w:t>
      </w:r>
      <w:r>
        <w:rPr>
          <w:rFonts w:ascii="宋体" w:hAnsi="宋体" w:cs="黑体"/>
          <w:kern w:val="0"/>
          <w:sz w:val="24"/>
        </w:rPr>
        <w:fldChar w:fldCharType="begin"/>
      </w:r>
      <w:r>
        <w:rPr>
          <w:rFonts w:hint="eastAsia" w:ascii="宋体" w:hAnsi="宋体" w:cs="黑体"/>
          <w:kern w:val="0"/>
          <w:sz w:val="24"/>
        </w:rPr>
        <w:instrText xml:space="preserve">REF _Ref426364278 \r \h</w:instrText>
      </w:r>
      <w:r>
        <w:rPr>
          <w:rFonts w:ascii="宋体" w:hAnsi="宋体" w:cs="黑体"/>
          <w:kern w:val="0"/>
          <w:sz w:val="24"/>
        </w:rPr>
        <w:fldChar w:fldCharType="separate"/>
      </w:r>
      <w:r>
        <w:rPr>
          <w:rFonts w:ascii="宋体" w:hAnsi="宋体" w:cs="黑体"/>
          <w:kern w:val="0"/>
          <w:sz w:val="24"/>
        </w:rPr>
        <w:t>17</w:t>
      </w:r>
      <w:r>
        <w:rPr>
          <w:rFonts w:ascii="宋体" w:hAnsi="宋体" w:cs="黑体"/>
          <w:kern w:val="0"/>
          <w:sz w:val="24"/>
        </w:rPr>
        <w:fldChar w:fldCharType="end"/>
      </w:r>
      <w:r>
        <w:rPr>
          <w:rFonts w:hint="eastAsia" w:ascii="宋体" w:hAnsi="宋体" w:cs="黑体"/>
          <w:kern w:val="0"/>
          <w:sz w:val="24"/>
        </w:rPr>
        <w:t>条[保证]或合同的其他条款规定的检验、安装、调试、验收和质量保证期内提出了索赔，卖方应按照买方同意的下列一种或几种方式结合起来解决索赔事宜：</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根据货物的偏差情况、损坏程度以及买方所遭受损失的金额，经买卖双方商定降低货物的价格。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用符合合同规定的规格、质量和性能要求的新零件、部件和/或设备来更换有缺陷的部分和/或修补缺陷部分，卖方应承担一切费用和风险并负担买方蒙受的全部直接损失费用。同时，卖方应按合同条款第</w:t>
      </w:r>
      <w:r>
        <w:rPr>
          <w:rFonts w:hAnsi="宋体" w:cs="黑体"/>
          <w:kern w:val="0"/>
          <w:sz w:val="24"/>
        </w:rPr>
        <w:fldChar w:fldCharType="begin"/>
      </w:r>
      <w:r>
        <w:rPr>
          <w:rFonts w:hint="eastAsia" w:hAnsi="宋体" w:cs="黑体"/>
          <w:kern w:val="0"/>
          <w:sz w:val="24"/>
        </w:rPr>
        <w:instrText xml:space="preserve">REF _Ref426364278 \r \h</w:instrText>
      </w:r>
      <w:r>
        <w:rPr>
          <w:rFonts w:hAnsi="宋体" w:cs="黑体"/>
          <w:kern w:val="0"/>
          <w:sz w:val="24"/>
        </w:rPr>
        <w:fldChar w:fldCharType="separate"/>
      </w:r>
      <w:r>
        <w:rPr>
          <w:rFonts w:hAnsi="宋体" w:cs="黑体"/>
          <w:kern w:val="0"/>
          <w:sz w:val="24"/>
        </w:rPr>
        <w:t>17</w:t>
      </w:r>
      <w:r>
        <w:rPr>
          <w:rFonts w:hAnsi="宋体" w:cs="黑体"/>
          <w:kern w:val="0"/>
          <w:sz w:val="24"/>
        </w:rPr>
        <w:fldChar w:fldCharType="end"/>
      </w:r>
      <w:r>
        <w:rPr>
          <w:rFonts w:hint="eastAsia" w:hAnsi="宋体" w:cs="宋体"/>
          <w:sz w:val="24"/>
          <w:szCs w:val="24"/>
        </w:rPr>
        <w:t>条</w:t>
      </w:r>
      <w:r>
        <w:rPr>
          <w:rFonts w:hint="eastAsia" w:hAnsi="宋体" w:cs="黑体"/>
          <w:kern w:val="0"/>
          <w:sz w:val="24"/>
        </w:rPr>
        <w:t>[保证]</w:t>
      </w:r>
      <w:r>
        <w:rPr>
          <w:rFonts w:hint="eastAsia" w:hAnsi="宋体" w:cs="宋体"/>
          <w:sz w:val="24"/>
          <w:szCs w:val="24"/>
        </w:rPr>
        <w:t>规定，相应延长所更换货物的质量保证期。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50" w:name="_Toc191"/>
      <w:bookmarkStart w:id="151" w:name="_Toc3959"/>
      <w:r>
        <w:rPr>
          <w:rFonts w:hint="eastAsia" w:ascii="黑体" w:hAnsi="宋体" w:eastAsia="黑体" w:cs="黑体"/>
          <w:kern w:val="0"/>
          <w:sz w:val="24"/>
        </w:rPr>
        <w:t>付款</w:t>
      </w:r>
      <w:bookmarkEnd w:id="150"/>
      <w:bookmarkEnd w:id="15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本合同项下的付款方法和条件：</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分期支付</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52" w:name="_Toc11967"/>
      <w:bookmarkStart w:id="153" w:name="_Toc3058"/>
      <w:r>
        <w:rPr>
          <w:rFonts w:hint="eastAsia" w:ascii="黑体" w:hAnsi="宋体" w:eastAsia="黑体" w:cs="黑体"/>
          <w:kern w:val="0"/>
          <w:sz w:val="24"/>
        </w:rPr>
        <w:t>价格</w:t>
      </w:r>
      <w:bookmarkEnd w:id="152"/>
      <w:bookmarkEnd w:id="15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卖方在本合同项下提交货物的价格和履行伴随服务收取的费用在合同协议书中给出。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54" w:name="_Toc6149"/>
      <w:bookmarkStart w:id="155" w:name="_Toc8145"/>
      <w:bookmarkStart w:id="156" w:name="_Ref426364593"/>
      <w:r>
        <w:rPr>
          <w:rFonts w:hint="eastAsia" w:ascii="黑体" w:hAnsi="宋体" w:eastAsia="黑体" w:cs="黑体"/>
          <w:kern w:val="0"/>
          <w:sz w:val="24"/>
        </w:rPr>
        <w:t>变更指令</w:t>
      </w:r>
      <w:bookmarkEnd w:id="154"/>
      <w:bookmarkEnd w:id="155"/>
      <w:bookmarkEnd w:id="15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根据合同条款第</w:t>
      </w:r>
      <w:r>
        <w:rPr>
          <w:rFonts w:ascii="宋体" w:hAnsi="宋体" w:cs="黑体"/>
          <w:kern w:val="0"/>
          <w:sz w:val="24"/>
        </w:rPr>
        <w:fldChar w:fldCharType="begin"/>
      </w:r>
      <w:r>
        <w:rPr>
          <w:rFonts w:hint="eastAsia" w:ascii="宋体" w:hAnsi="宋体" w:cs="黑体"/>
          <w:kern w:val="0"/>
          <w:sz w:val="24"/>
        </w:rPr>
        <w:instrText xml:space="preserve">REF _Ref426364569 \r \h</w:instrText>
      </w:r>
      <w:r>
        <w:rPr>
          <w:rFonts w:ascii="宋体" w:hAnsi="宋体" w:cs="黑体"/>
          <w:kern w:val="0"/>
          <w:sz w:val="24"/>
        </w:rPr>
        <w:fldChar w:fldCharType="separate"/>
      </w:r>
      <w:r>
        <w:rPr>
          <w:rFonts w:ascii="宋体" w:hAnsi="宋体" w:cs="黑体"/>
          <w:kern w:val="0"/>
          <w:sz w:val="24"/>
        </w:rPr>
        <w:t>34</w:t>
      </w:r>
      <w:r>
        <w:rPr>
          <w:rFonts w:ascii="宋体" w:hAnsi="宋体" w:cs="黑体"/>
          <w:kern w:val="0"/>
          <w:sz w:val="24"/>
        </w:rPr>
        <w:fldChar w:fldCharType="end"/>
      </w:r>
      <w:r>
        <w:rPr>
          <w:rFonts w:hint="eastAsia" w:ascii="宋体" w:hAnsi="宋体" w:cs="黑体"/>
          <w:kern w:val="0"/>
          <w:sz w:val="24"/>
        </w:rPr>
        <w:t>条[通知]的规定，买方可以在任何时候书面向卖方发出指令，在本合同的一般范围内变更下述一项或几项：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本合同项下提供的货物是专为买方制造时，变更图纸、设计或规格；</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运输或包装的方法；</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3)</w:t>
      </w:r>
      <w:r>
        <w:rPr>
          <w:rFonts w:hint="eastAsia" w:hAnsi="宋体" w:cs="宋体"/>
          <w:sz w:val="24"/>
          <w:szCs w:val="24"/>
        </w:rPr>
        <w:tab/>
      </w:r>
      <w:r>
        <w:rPr>
          <w:rFonts w:hint="eastAsia" w:hAnsi="宋体" w:cs="宋体"/>
          <w:sz w:val="24"/>
          <w:szCs w:val="24"/>
        </w:rPr>
        <w:t>交货地点；</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4)</w:t>
      </w:r>
      <w:r>
        <w:rPr>
          <w:rFonts w:hint="eastAsia" w:hAnsi="宋体" w:cs="宋体"/>
          <w:sz w:val="24"/>
          <w:szCs w:val="24"/>
        </w:rPr>
        <w:tab/>
      </w:r>
      <w:r>
        <w:rPr>
          <w:rFonts w:hint="eastAsia" w:hAnsi="宋体" w:cs="宋体"/>
          <w:sz w:val="24"/>
          <w:szCs w:val="24"/>
        </w:rPr>
        <w:t>卖方提供的伴随服务。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Pr>
          <w:rFonts w:hint="eastAsia" w:ascii="宋体" w:hAnsi="宋体" w:cs="黑体"/>
          <w:i/>
          <w:kern w:val="0"/>
          <w:sz w:val="24"/>
          <w:u w:val="single"/>
        </w:rPr>
        <w:t xml:space="preserve"> 28 </w:t>
      </w:r>
      <w:r>
        <w:rPr>
          <w:rFonts w:hint="eastAsia" w:ascii="宋体" w:hAnsi="宋体" w:cs="黑体"/>
          <w:kern w:val="0"/>
          <w:sz w:val="24"/>
        </w:rPr>
        <w:t>日内提出。</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57" w:name="_Toc14201"/>
      <w:bookmarkStart w:id="158" w:name="_Toc30794"/>
      <w:r>
        <w:rPr>
          <w:rFonts w:hint="eastAsia" w:ascii="黑体" w:hAnsi="宋体" w:eastAsia="黑体" w:cs="黑体"/>
          <w:kern w:val="0"/>
          <w:sz w:val="24"/>
        </w:rPr>
        <w:t>合同的修改</w:t>
      </w:r>
      <w:bookmarkEnd w:id="157"/>
      <w:bookmarkEnd w:id="15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_Ref426364593 \r \h</w:instrText>
      </w:r>
      <w:r>
        <w:rPr>
          <w:rFonts w:ascii="宋体" w:hAnsi="宋体" w:cs="黑体"/>
          <w:kern w:val="0"/>
          <w:sz w:val="24"/>
        </w:rPr>
        <w:fldChar w:fldCharType="separate"/>
      </w:r>
      <w:r>
        <w:rPr>
          <w:rFonts w:ascii="宋体" w:hAnsi="宋体" w:cs="黑体"/>
          <w:kern w:val="0"/>
          <w:sz w:val="24"/>
        </w:rPr>
        <w:t>21</w:t>
      </w:r>
      <w:r>
        <w:rPr>
          <w:rFonts w:ascii="宋体" w:hAnsi="宋体" w:cs="黑体"/>
          <w:kern w:val="0"/>
          <w:sz w:val="24"/>
        </w:rPr>
        <w:fldChar w:fldCharType="end"/>
      </w:r>
      <w:r>
        <w:rPr>
          <w:rFonts w:hint="eastAsia" w:ascii="宋体" w:hAnsi="宋体" w:cs="黑体"/>
          <w:kern w:val="0"/>
          <w:sz w:val="24"/>
        </w:rPr>
        <w:t>条[变更指令]的情况外，不应对合同条款进行任何变更或修改，除非双方同意并签订书面的合同修改书。</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59" w:name="_Toc26628"/>
      <w:bookmarkStart w:id="160" w:name="_Toc25219"/>
      <w:r>
        <w:rPr>
          <w:rFonts w:hint="eastAsia" w:ascii="黑体" w:hAnsi="宋体" w:eastAsia="黑体" w:cs="黑体"/>
          <w:kern w:val="0"/>
          <w:sz w:val="24"/>
        </w:rPr>
        <w:t>转让</w:t>
      </w:r>
      <w:bookmarkEnd w:id="159"/>
      <w:bookmarkEnd w:id="16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除买方事先书面同意外，卖方不得部分转让或全部转让其应履行的合同义务。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61" w:name="_Toc9430"/>
      <w:bookmarkStart w:id="162" w:name="_Toc23520"/>
      <w:r>
        <w:rPr>
          <w:rFonts w:hint="eastAsia" w:ascii="黑体" w:hAnsi="宋体" w:eastAsia="黑体" w:cs="黑体"/>
          <w:kern w:val="0"/>
          <w:sz w:val="24"/>
        </w:rPr>
        <w:t>分包</w:t>
      </w:r>
      <w:bookmarkEnd w:id="161"/>
      <w:bookmarkEnd w:id="16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卖方应书面通知买方其在本合同中所分包的全部分包合同，但此分包通知并不能解除卖方履行本合同的责任和义务。</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63" w:name="_Toc6473"/>
      <w:bookmarkStart w:id="164" w:name="_Toc1813"/>
      <w:bookmarkStart w:id="165" w:name="_Ref426364917"/>
      <w:r>
        <w:rPr>
          <w:rFonts w:hint="eastAsia" w:ascii="黑体" w:hAnsi="宋体" w:eastAsia="黑体" w:cs="黑体"/>
          <w:kern w:val="0"/>
          <w:sz w:val="24"/>
        </w:rPr>
        <w:t>卖方履约延误</w:t>
      </w:r>
      <w:bookmarkEnd w:id="163"/>
      <w:bookmarkEnd w:id="164"/>
      <w:bookmarkEnd w:id="165"/>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卖方应按照“货物需求一览表”中买方规定的时间表交货和提供伴随服务。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66" w:name="_Ref426364874"/>
      <w:r>
        <w:rPr>
          <w:rFonts w:hint="eastAsia" w:ascii="宋体" w:hAnsi="宋体" w:cs="黑体"/>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6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除了合同条款第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条[不可抗力]的情况外，除非拖延是根据合同条款第</w:t>
      </w:r>
      <w:r>
        <w:rPr>
          <w:rFonts w:ascii="宋体" w:hAnsi="宋体" w:cs="黑体"/>
          <w:kern w:val="0"/>
          <w:sz w:val="24"/>
        </w:rPr>
        <w:fldChar w:fldCharType="begin"/>
      </w:r>
      <w:r>
        <w:rPr>
          <w:rFonts w:hint="eastAsia" w:ascii="宋体" w:hAnsi="宋体" w:cs="黑体"/>
          <w:kern w:val="0"/>
          <w:sz w:val="24"/>
        </w:rPr>
        <w:instrText xml:space="preserve">REF _Ref426364874 \r \h</w:instrText>
      </w:r>
      <w:r>
        <w:rPr>
          <w:rFonts w:ascii="宋体" w:hAnsi="宋体" w:cs="黑体"/>
          <w:kern w:val="0"/>
          <w:sz w:val="24"/>
        </w:rPr>
        <w:fldChar w:fldCharType="separate"/>
      </w:r>
      <w:r>
        <w:rPr>
          <w:rFonts w:ascii="宋体" w:hAnsi="宋体" w:cs="黑体"/>
          <w:kern w:val="0"/>
          <w:sz w:val="24"/>
        </w:rPr>
        <w:t>25.2</w:t>
      </w:r>
      <w:r>
        <w:rPr>
          <w:rFonts w:ascii="宋体" w:hAnsi="宋体" w:cs="黑体"/>
          <w:kern w:val="0"/>
          <w:sz w:val="24"/>
        </w:rPr>
        <w:fldChar w:fldCharType="end"/>
      </w:r>
      <w:r>
        <w:rPr>
          <w:rFonts w:hint="eastAsia" w:ascii="宋体" w:hAnsi="宋体" w:cs="黑体"/>
          <w:kern w:val="0"/>
          <w:sz w:val="24"/>
        </w:rPr>
        <w:t>款的规定取得同意而不收取误期赔偿费之外，卖方延误交货，将按合同条款第</w:t>
      </w:r>
      <w:r>
        <w:rPr>
          <w:rFonts w:ascii="宋体" w:hAnsi="宋体" w:cs="黑体"/>
          <w:kern w:val="0"/>
          <w:sz w:val="24"/>
        </w:rPr>
        <w:fldChar w:fldCharType="begin"/>
      </w:r>
      <w:r>
        <w:rPr>
          <w:rFonts w:hint="eastAsia" w:ascii="宋体" w:hAnsi="宋体" w:cs="黑体"/>
          <w:kern w:val="0"/>
          <w:sz w:val="24"/>
        </w:rPr>
        <w:instrText xml:space="preserve">REF _Ref426364883 \r \h</w:instrText>
      </w:r>
      <w:r>
        <w:rPr>
          <w:rFonts w:ascii="宋体" w:hAnsi="宋体" w:cs="黑体"/>
          <w:kern w:val="0"/>
          <w:sz w:val="24"/>
        </w:rPr>
        <w:fldChar w:fldCharType="separate"/>
      </w:r>
      <w:r>
        <w:rPr>
          <w:rFonts w:ascii="宋体" w:hAnsi="宋体" w:cs="黑体"/>
          <w:kern w:val="0"/>
          <w:sz w:val="24"/>
        </w:rPr>
        <w:t>26</w:t>
      </w:r>
      <w:r>
        <w:rPr>
          <w:rFonts w:ascii="宋体" w:hAnsi="宋体" w:cs="黑体"/>
          <w:kern w:val="0"/>
          <w:sz w:val="24"/>
        </w:rPr>
        <w:fldChar w:fldCharType="end"/>
      </w:r>
      <w:r>
        <w:rPr>
          <w:rFonts w:hint="eastAsia" w:ascii="宋体" w:hAnsi="宋体" w:cs="黑体"/>
          <w:kern w:val="0"/>
          <w:sz w:val="24"/>
        </w:rPr>
        <w:t>条[误期赔偿费]的规定被收取误期赔偿费。</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67" w:name="_Toc8226"/>
      <w:bookmarkStart w:id="168" w:name="_Ref426364883"/>
      <w:bookmarkStart w:id="169" w:name="_Toc22981"/>
      <w:r>
        <w:rPr>
          <w:rFonts w:hint="eastAsia" w:ascii="黑体" w:hAnsi="宋体" w:eastAsia="黑体" w:cs="黑体"/>
          <w:kern w:val="0"/>
          <w:sz w:val="24"/>
        </w:rPr>
        <w:t>误期赔偿费</w:t>
      </w:r>
      <w:bookmarkEnd w:id="167"/>
      <w:bookmarkEnd w:id="168"/>
      <w:bookmarkEnd w:id="16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除合同条款第</w:t>
      </w:r>
      <w:r>
        <w:rPr>
          <w:rFonts w:ascii="宋体" w:hAnsi="宋体" w:cs="黑体"/>
          <w:kern w:val="0"/>
          <w:sz w:val="24"/>
        </w:rPr>
        <w:fldChar w:fldCharType="begin"/>
      </w:r>
      <w:r>
        <w:rPr>
          <w:rFonts w:hint="eastAsia" w:ascii="宋体" w:hAnsi="宋体" w:cs="黑体"/>
          <w:kern w:val="0"/>
          <w:sz w:val="24"/>
        </w:rPr>
        <w:instrText xml:space="preserve">REF _Ref426364863 \r \h</w:instrText>
      </w:r>
      <w:r>
        <w:rPr>
          <w:rFonts w:ascii="宋体" w:hAnsi="宋体" w:cs="黑体"/>
          <w:kern w:val="0"/>
          <w:sz w:val="24"/>
        </w:rPr>
        <w:fldChar w:fldCharType="separate"/>
      </w:r>
      <w:r>
        <w:rPr>
          <w:rFonts w:ascii="宋体" w:hAnsi="宋体" w:cs="黑体"/>
          <w:kern w:val="0"/>
          <w:sz w:val="24"/>
        </w:rPr>
        <w:t>28</w:t>
      </w:r>
      <w:r>
        <w:rPr>
          <w:rFonts w:ascii="宋体" w:hAnsi="宋体" w:cs="黑体"/>
          <w:kern w:val="0"/>
          <w:sz w:val="24"/>
        </w:rPr>
        <w:fldChar w:fldCharType="end"/>
      </w:r>
      <w:r>
        <w:rPr>
          <w:rFonts w:hint="eastAsia" w:ascii="宋体" w:hAnsi="宋体" w:cs="黑体"/>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hint="eastAsia" w:ascii="宋体" w:hAnsi="宋体" w:cs="黑体"/>
          <w:i/>
          <w:kern w:val="0"/>
          <w:sz w:val="24"/>
          <w:u w:val="single"/>
        </w:rPr>
        <w:t>（0.5）</w:t>
      </w:r>
      <w:r>
        <w:rPr>
          <w:rFonts w:hint="eastAsia" w:ascii="宋体" w:hAnsi="宋体" w:cs="黑体"/>
          <w:kern w:val="0"/>
          <w:sz w:val="24"/>
        </w:rPr>
        <w:t>%计收，直至交货或提供服务为止。误期赔偿费的最高限额为合同价格的</w:t>
      </w:r>
      <w:r>
        <w:rPr>
          <w:rFonts w:hint="eastAsia" w:ascii="宋体" w:hAnsi="宋体" w:cs="黑体"/>
          <w:i/>
          <w:kern w:val="0"/>
          <w:sz w:val="24"/>
          <w:u w:val="single"/>
        </w:rPr>
        <w:t xml:space="preserve"> （5） </w:t>
      </w:r>
      <w:r>
        <w:rPr>
          <w:rFonts w:hint="eastAsia" w:ascii="宋体" w:hAnsi="宋体" w:cs="黑体"/>
          <w:kern w:val="0"/>
          <w:sz w:val="24"/>
        </w:rPr>
        <w:t>%。一旦达到误期赔偿费的最高限额，买方可考虑根据合同条款第</w:t>
      </w:r>
      <w:r>
        <w:rPr>
          <w:rFonts w:ascii="宋体" w:hAnsi="宋体" w:cs="黑体"/>
          <w:kern w:val="0"/>
          <w:sz w:val="24"/>
        </w:rPr>
        <w:fldChar w:fldCharType="begin"/>
      </w:r>
      <w:r>
        <w:rPr>
          <w:rFonts w:hint="eastAsia" w:ascii="宋体" w:hAnsi="宋体" w:cs="黑体"/>
          <w:kern w:val="0"/>
          <w:sz w:val="24"/>
        </w:rPr>
        <w:instrText xml:space="preserve">REF _Ref426364907 \r \h</w:instrText>
      </w:r>
      <w:r>
        <w:rPr>
          <w:rFonts w:ascii="宋体" w:hAnsi="宋体" w:cs="黑体"/>
          <w:kern w:val="0"/>
          <w:sz w:val="24"/>
        </w:rPr>
        <w:fldChar w:fldCharType="separate"/>
      </w:r>
      <w:r>
        <w:rPr>
          <w:rFonts w:ascii="宋体" w:hAnsi="宋体" w:cs="黑体"/>
          <w:kern w:val="0"/>
          <w:sz w:val="24"/>
        </w:rPr>
        <w:t>27</w:t>
      </w:r>
      <w:r>
        <w:rPr>
          <w:rFonts w:ascii="宋体" w:hAnsi="宋体" w:cs="黑体"/>
          <w:kern w:val="0"/>
          <w:sz w:val="24"/>
        </w:rPr>
        <w:fldChar w:fldCharType="end"/>
      </w:r>
      <w:r>
        <w:rPr>
          <w:rFonts w:hint="eastAsia" w:ascii="宋体" w:hAnsi="宋体" w:cs="黑体"/>
          <w:kern w:val="0"/>
          <w:sz w:val="24"/>
        </w:rPr>
        <w:t>条[违约终止合同]的规定终止合同。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70" w:name="_Toc8984"/>
      <w:bookmarkStart w:id="171" w:name="_Toc9043"/>
      <w:bookmarkStart w:id="172" w:name="_Ref426364907"/>
      <w:r>
        <w:rPr>
          <w:rFonts w:hint="eastAsia" w:ascii="黑体" w:hAnsi="宋体" w:eastAsia="黑体" w:cs="黑体"/>
          <w:kern w:val="0"/>
          <w:sz w:val="24"/>
        </w:rPr>
        <w:t>违约终止合同</w:t>
      </w:r>
      <w:bookmarkEnd w:id="170"/>
      <w:bookmarkEnd w:id="171"/>
      <w:bookmarkEnd w:id="172"/>
    </w:p>
    <w:p>
      <w:pPr>
        <w:widowControl w:val="0"/>
        <w:numPr>
          <w:ilvl w:val="1"/>
          <w:numId w:val="14"/>
        </w:numPr>
        <w:autoSpaceDE w:val="0"/>
        <w:autoSpaceDN w:val="0"/>
        <w:adjustRightInd w:val="0"/>
        <w:spacing w:after="156" w:afterLines="50"/>
        <w:textAlignment w:val="auto"/>
        <w:rPr>
          <w:rFonts w:ascii="宋体" w:hAnsi="宋体" w:cs="黑体"/>
          <w:kern w:val="0"/>
          <w:sz w:val="24"/>
        </w:rPr>
      </w:pPr>
      <w:bookmarkStart w:id="173" w:name="_Ref426364930"/>
      <w:r>
        <w:rPr>
          <w:rFonts w:hint="eastAsia" w:ascii="宋体" w:hAnsi="宋体" w:cs="黑体"/>
          <w:kern w:val="0"/>
          <w:sz w:val="24"/>
        </w:rPr>
        <w:t>卖方有下列情形之一时，买方可向卖方发出书面违约通知书，提出终止部分或全部合同：</w:t>
      </w:r>
      <w:bookmarkEnd w:id="173"/>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如果卖方未能在合同规定的期限内或买方根据合同条款第</w:t>
      </w:r>
      <w:r>
        <w:rPr>
          <w:rFonts w:hAnsi="宋体" w:cs="宋体"/>
          <w:sz w:val="24"/>
          <w:szCs w:val="24"/>
        </w:rPr>
        <w:fldChar w:fldCharType="begin"/>
      </w:r>
      <w:r>
        <w:rPr>
          <w:rFonts w:hint="eastAsia" w:hAnsi="宋体" w:cs="宋体"/>
          <w:sz w:val="24"/>
          <w:szCs w:val="24"/>
        </w:rPr>
        <w:instrText xml:space="preserve">REF _Ref426364917 \r \h</w:instrText>
      </w:r>
      <w:r>
        <w:rPr>
          <w:rFonts w:hAnsi="宋体" w:cs="宋体"/>
          <w:sz w:val="24"/>
          <w:szCs w:val="24"/>
        </w:rPr>
        <w:fldChar w:fldCharType="separate"/>
      </w:r>
      <w:r>
        <w:rPr>
          <w:rFonts w:hAnsi="宋体" w:cs="宋体"/>
          <w:sz w:val="24"/>
          <w:szCs w:val="24"/>
        </w:rPr>
        <w:t>25</w:t>
      </w:r>
      <w:r>
        <w:rPr>
          <w:rFonts w:hAnsi="宋体" w:cs="宋体"/>
          <w:sz w:val="24"/>
          <w:szCs w:val="24"/>
        </w:rPr>
        <w:fldChar w:fldCharType="end"/>
      </w:r>
      <w:r>
        <w:rPr>
          <w:rFonts w:hint="eastAsia" w:hAnsi="宋体" w:cs="宋体"/>
          <w:sz w:val="24"/>
          <w:szCs w:val="24"/>
        </w:rPr>
        <w:t>条</w:t>
      </w:r>
      <w:r>
        <w:rPr>
          <w:rFonts w:hint="eastAsia" w:hAnsi="宋体" w:cs="黑体"/>
          <w:kern w:val="0"/>
          <w:sz w:val="24"/>
        </w:rPr>
        <w:t>[卖方履约延误]</w:t>
      </w:r>
      <w:r>
        <w:rPr>
          <w:rFonts w:hint="eastAsia" w:hAnsi="宋体" w:cs="宋体"/>
          <w:sz w:val="24"/>
          <w:szCs w:val="24"/>
        </w:rPr>
        <w:t>的规定同意延长的期限内提供部分或全部货物；</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没有买方的书面同意转让合同或将项目的全部或部分分包出去；</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由于卖方违约而导致卖方支付违约金达到合同条款</w:t>
      </w:r>
      <w:r>
        <w:rPr>
          <w:rFonts w:hAnsi="宋体" w:cs="宋体"/>
          <w:sz w:val="24"/>
          <w:szCs w:val="24"/>
        </w:rPr>
        <w:fldChar w:fldCharType="begin"/>
      </w:r>
      <w:r>
        <w:rPr>
          <w:rFonts w:hint="eastAsia" w:hAnsi="宋体" w:cs="宋体"/>
          <w:sz w:val="24"/>
          <w:szCs w:val="24"/>
        </w:rPr>
        <w:instrText xml:space="preserve">REF _Ref426373961 \r \h</w:instrText>
      </w:r>
      <w:r>
        <w:rPr>
          <w:rFonts w:hAnsi="宋体" w:cs="宋体"/>
          <w:sz w:val="24"/>
          <w:szCs w:val="24"/>
        </w:rPr>
        <w:fldChar w:fldCharType="separate"/>
      </w:r>
      <w:r>
        <w:rPr>
          <w:rFonts w:hAnsi="宋体" w:cs="宋体"/>
          <w:sz w:val="24"/>
          <w:szCs w:val="24"/>
        </w:rPr>
        <w:t>18</w:t>
      </w:r>
      <w:r>
        <w:rPr>
          <w:rFonts w:hAnsi="宋体" w:cs="宋体"/>
          <w:sz w:val="24"/>
          <w:szCs w:val="24"/>
        </w:rPr>
        <w:fldChar w:fldCharType="end"/>
      </w:r>
      <w:r>
        <w:rPr>
          <w:rFonts w:hint="eastAsia" w:hAnsi="宋体" w:cs="宋体"/>
          <w:sz w:val="24"/>
          <w:szCs w:val="24"/>
        </w:rPr>
        <w:t>条[索赔]规定的限额。</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如果卖方未能履行合同规定的其它任何义务。</w:t>
      </w:r>
    </w:p>
    <w:p>
      <w:pPr>
        <w:pStyle w:val="472"/>
        <w:numPr>
          <w:ilvl w:val="2"/>
          <w:numId w:val="16"/>
        </w:numPr>
        <w:tabs>
          <w:tab w:val="left" w:pos="1701"/>
        </w:tabs>
        <w:snapToGrid w:val="0"/>
        <w:spacing w:after="156" w:afterLines="50"/>
        <w:ind w:left="1701" w:hanging="567"/>
        <w:rPr>
          <w:rFonts w:hAnsi="宋体" w:cs="宋体"/>
          <w:sz w:val="24"/>
          <w:szCs w:val="24"/>
        </w:rPr>
      </w:pPr>
      <w:r>
        <w:rPr>
          <w:rFonts w:hint="eastAsia" w:hAnsi="宋体" w:cs="宋体"/>
          <w:sz w:val="24"/>
          <w:szCs w:val="24"/>
        </w:rPr>
        <w:t>如果买方认为卖方在本合同的竞争和实施过程中有腐败和欺诈行为。为此目的，定义下述条件：</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a)</w:t>
      </w:r>
      <w:r>
        <w:rPr>
          <w:rFonts w:hint="eastAsia" w:hAnsi="宋体" w:cs="宋体"/>
          <w:sz w:val="24"/>
          <w:szCs w:val="24"/>
        </w:rPr>
        <w:tab/>
      </w:r>
      <w:r>
        <w:rPr>
          <w:rFonts w:hint="eastAsia" w:hAnsi="宋体" w:cs="宋体"/>
          <w:sz w:val="24"/>
          <w:szCs w:val="24"/>
        </w:rPr>
        <w:t>“腐败行为”是指提供、给予、接受或索取任何有价值的物品来影响买方在采购过程或合同实施过程中的行为。</w:t>
      </w:r>
    </w:p>
    <w:p>
      <w:pPr>
        <w:pStyle w:val="472"/>
        <w:snapToGrid w:val="0"/>
        <w:spacing w:after="156" w:afterLines="50"/>
        <w:ind w:left="2267" w:leftChars="810" w:hanging="566" w:hangingChars="236"/>
        <w:rPr>
          <w:rFonts w:hAnsi="宋体" w:cs="宋体"/>
          <w:sz w:val="24"/>
          <w:szCs w:val="24"/>
        </w:rPr>
      </w:pPr>
      <w:r>
        <w:rPr>
          <w:rFonts w:hint="eastAsia" w:hAnsi="宋体" w:cs="宋体"/>
          <w:sz w:val="24"/>
          <w:szCs w:val="24"/>
        </w:rPr>
        <w:t>b)</w:t>
      </w:r>
      <w:r>
        <w:rPr>
          <w:rFonts w:hint="eastAsia" w:hAnsi="宋体" w:cs="宋体"/>
          <w:sz w:val="24"/>
          <w:szCs w:val="24"/>
        </w:rPr>
        <w:tab/>
      </w:r>
      <w:r>
        <w:rPr>
          <w:rFonts w:hint="eastAsia" w:hAnsi="宋体" w:cs="宋体"/>
          <w:sz w:val="24"/>
          <w:szCs w:val="24"/>
        </w:rPr>
        <w:t>“欺诈行为”是指为了影响采购过程或合同实施过程而谎报或隐瞒事实，损害买方利益的行为。</w:t>
      </w:r>
    </w:p>
    <w:p>
      <w:pPr>
        <w:pStyle w:val="472"/>
        <w:snapToGrid w:val="0"/>
        <w:spacing w:after="156" w:afterLines="50"/>
        <w:ind w:left="1132" w:leftChars="539"/>
        <w:rPr>
          <w:rFonts w:hAnsi="宋体" w:cs="宋体"/>
          <w:sz w:val="24"/>
          <w:szCs w:val="24"/>
        </w:rPr>
      </w:pPr>
      <w:r>
        <w:rPr>
          <w:rFonts w:hint="eastAsia" w:hAnsi="宋体" w:cs="宋体"/>
          <w:sz w:val="24"/>
          <w:szCs w:val="24"/>
        </w:rPr>
        <w:t>买方可在向卖方发出终止通知</w:t>
      </w:r>
      <w:r>
        <w:rPr>
          <w:rFonts w:hint="eastAsia" w:hAnsi="宋体" w:cs="宋体"/>
          <w:i/>
          <w:sz w:val="24"/>
          <w:szCs w:val="24"/>
          <w:u w:val="single"/>
        </w:rPr>
        <w:t xml:space="preserve"> （28） </w:t>
      </w:r>
      <w:r>
        <w:rPr>
          <w:rFonts w:hint="eastAsia" w:hAnsi="宋体" w:cs="宋体"/>
          <w:sz w:val="24"/>
          <w:szCs w:val="24"/>
        </w:rPr>
        <w:t>天后选择终止部分或全部合同。但是，卖方应继续执行合同中未终止的部分。</w:t>
      </w:r>
    </w:p>
    <w:p>
      <w:pPr>
        <w:pStyle w:val="472"/>
        <w:snapToGrid w:val="0"/>
        <w:spacing w:after="156" w:afterLines="50"/>
        <w:ind w:left="1132" w:leftChars="539"/>
        <w:rPr>
          <w:rFonts w:hAnsi="宋体" w:cs="宋体"/>
          <w:sz w:val="24"/>
          <w:szCs w:val="24"/>
        </w:rPr>
      </w:pPr>
      <w:r>
        <w:rPr>
          <w:rFonts w:hint="eastAsia" w:hAnsi="宋体" w:cs="宋体"/>
          <w:sz w:val="24"/>
          <w:szCs w:val="24"/>
        </w:rPr>
        <w:t>合同全部或部分终止后，买方可自己或委托第三方完成被终止部分内容，卖方须向买方补偿因此造成的全部直接费用。</w:t>
      </w:r>
    </w:p>
    <w:p>
      <w:pPr>
        <w:pStyle w:val="472"/>
        <w:snapToGrid w:val="0"/>
        <w:spacing w:after="156" w:afterLines="50"/>
        <w:ind w:left="1132" w:leftChars="539"/>
        <w:rPr>
          <w:rFonts w:hAnsi="宋体" w:cs="宋体"/>
          <w:sz w:val="24"/>
          <w:szCs w:val="24"/>
        </w:rPr>
      </w:pPr>
      <w:r>
        <w:rPr>
          <w:rFonts w:hint="eastAsia" w:hAnsi="宋体" w:cs="宋体"/>
          <w:sz w:val="24"/>
          <w:szCs w:val="24"/>
        </w:rPr>
        <w:t>合同终止后，并不能免除合同当事人根据合同规定应当承担的支付违约金的义务。</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如果买方根据上述第</w:t>
      </w:r>
      <w:r>
        <w:rPr>
          <w:rFonts w:ascii="宋体" w:hAnsi="宋体" w:cs="黑体"/>
          <w:kern w:val="0"/>
          <w:sz w:val="24"/>
        </w:rPr>
        <w:fldChar w:fldCharType="begin"/>
      </w:r>
      <w:r>
        <w:rPr>
          <w:rFonts w:hint="eastAsia" w:ascii="宋体" w:hAnsi="宋体" w:cs="黑体"/>
          <w:kern w:val="0"/>
          <w:sz w:val="24"/>
        </w:rPr>
        <w:instrText xml:space="preserve">REF _Ref426364930 \r \h</w:instrText>
      </w:r>
      <w:r>
        <w:rPr>
          <w:rFonts w:ascii="宋体" w:hAnsi="宋体" w:cs="黑体"/>
          <w:kern w:val="0"/>
          <w:sz w:val="24"/>
        </w:rPr>
        <w:fldChar w:fldCharType="separate"/>
      </w:r>
      <w:r>
        <w:rPr>
          <w:rFonts w:ascii="宋体" w:hAnsi="宋体" w:cs="黑体"/>
          <w:kern w:val="0"/>
          <w:sz w:val="24"/>
        </w:rPr>
        <w:t>27.1</w:t>
      </w:r>
      <w:r>
        <w:rPr>
          <w:rFonts w:ascii="宋体" w:hAnsi="宋体" w:cs="黑体"/>
          <w:kern w:val="0"/>
          <w:sz w:val="24"/>
        </w:rPr>
        <w:fldChar w:fldCharType="end"/>
      </w:r>
      <w:r>
        <w:rPr>
          <w:rFonts w:hint="eastAsia" w:ascii="宋体" w:hAnsi="宋体" w:cs="黑体"/>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74" w:name="_Ref426364863"/>
      <w:bookmarkStart w:id="175" w:name="_Toc2045"/>
      <w:bookmarkStart w:id="176" w:name="_Toc17830"/>
      <w:r>
        <w:rPr>
          <w:rFonts w:hint="eastAsia" w:ascii="黑体" w:hAnsi="宋体" w:eastAsia="黑体" w:cs="黑体"/>
          <w:kern w:val="0"/>
          <w:sz w:val="24"/>
        </w:rPr>
        <w:t>不可抗力</w:t>
      </w:r>
      <w:bookmarkEnd w:id="174"/>
      <w:bookmarkEnd w:id="175"/>
      <w:bookmarkEnd w:id="17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77" w:name="_Toc13096"/>
      <w:bookmarkStart w:id="178" w:name="_Toc22062"/>
      <w:r>
        <w:rPr>
          <w:rFonts w:hint="eastAsia" w:ascii="黑体" w:hAnsi="宋体" w:eastAsia="黑体" w:cs="黑体"/>
          <w:kern w:val="0"/>
          <w:sz w:val="24"/>
        </w:rPr>
        <w:t>因破产而终止合同</w:t>
      </w:r>
      <w:bookmarkEnd w:id="177"/>
      <w:bookmarkEnd w:id="178"/>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79" w:name="_Toc3202"/>
      <w:bookmarkStart w:id="180" w:name="_Toc25732"/>
      <w:r>
        <w:rPr>
          <w:rFonts w:hint="eastAsia" w:ascii="黑体" w:hAnsi="宋体" w:eastAsia="黑体" w:cs="黑体"/>
          <w:kern w:val="0"/>
          <w:sz w:val="24"/>
        </w:rPr>
        <w:t>因买方的便利而终止合同</w:t>
      </w:r>
      <w:bookmarkEnd w:id="179"/>
      <w:bookmarkEnd w:id="180"/>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买方可在任何时候出于自身的便利向卖方发出书面通知全部或部分终止合同，终止通知应明确该终止合同是出于买方的便利，并明确合同终止的程度，以及终止的生效日期。</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对卖方在收到终止通知后28日内已完成并准备装运的货物，买方应按原合同价格和条款予以接收，对于剩余的货物，买方可：</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w:t>
      </w:r>
      <w:r>
        <w:rPr>
          <w:rFonts w:hint="eastAsia" w:hAnsi="宋体" w:cs="宋体"/>
          <w:sz w:val="24"/>
          <w:szCs w:val="24"/>
        </w:rPr>
        <w:tab/>
      </w:r>
      <w:r>
        <w:rPr>
          <w:rFonts w:hint="eastAsia" w:hAnsi="宋体" w:cs="宋体"/>
          <w:sz w:val="24"/>
          <w:szCs w:val="24"/>
        </w:rPr>
        <w:t>仅对部分货物按照原来的合同价格和条款予以接受；或</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w:t>
      </w:r>
      <w:r>
        <w:rPr>
          <w:rFonts w:hint="eastAsia" w:hAnsi="宋体" w:cs="宋体"/>
          <w:sz w:val="24"/>
          <w:szCs w:val="24"/>
        </w:rPr>
        <w:tab/>
      </w:r>
      <w:r>
        <w:rPr>
          <w:rFonts w:hint="eastAsia" w:hAnsi="宋体" w:cs="宋体"/>
          <w:sz w:val="24"/>
          <w:szCs w:val="24"/>
        </w:rPr>
        <w:t>取消对剩余货物的采购，并按双方商定的金额向卖方支付部分完成的货物和服务以及卖方以前已采购的材料和部件的费用。</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81" w:name="_Toc27070"/>
      <w:bookmarkStart w:id="182" w:name="_Toc1645"/>
      <w:r>
        <w:rPr>
          <w:rFonts w:hint="eastAsia" w:ascii="黑体" w:hAnsi="宋体" w:eastAsia="黑体" w:cs="黑体"/>
          <w:kern w:val="0"/>
          <w:sz w:val="24"/>
        </w:rPr>
        <w:t>争议的解决</w:t>
      </w:r>
      <w:bookmarkEnd w:id="181"/>
      <w:bookmarkEnd w:id="182"/>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合同实施或与合同有关的一切争议应通过双方协商解决。如果协商开始后56日还不能解决，争议可约定下列第</w:t>
      </w:r>
      <w:r>
        <w:rPr>
          <w:rFonts w:hint="eastAsia" w:ascii="宋体" w:hAnsi="宋体" w:cs="黑体"/>
          <w:i/>
          <w:kern w:val="0"/>
          <w:sz w:val="24"/>
          <w:u w:val="single"/>
        </w:rPr>
        <w:t xml:space="preserve"> （1</w:t>
      </w:r>
      <w:r>
        <w:rPr>
          <w:rFonts w:ascii="宋体" w:hAnsi="宋体" w:cs="黑体"/>
          <w:i/>
          <w:kern w:val="0"/>
          <w:sz w:val="24"/>
          <w:u w:val="single"/>
        </w:rPr>
        <w:t>）</w:t>
      </w:r>
      <w:r>
        <w:rPr>
          <w:rFonts w:hint="eastAsia" w:ascii="宋体" w:hAnsi="宋体" w:cs="黑体"/>
          <w:i/>
          <w:kern w:val="0"/>
          <w:sz w:val="24"/>
          <w:u w:val="single"/>
        </w:rPr>
        <w:t xml:space="preserve">/(2) </w:t>
      </w:r>
      <w:r>
        <w:rPr>
          <w:rFonts w:hint="eastAsia" w:ascii="宋体" w:hAnsi="宋体" w:cs="黑体"/>
          <w:kern w:val="0"/>
          <w:sz w:val="24"/>
        </w:rPr>
        <w:t>方式解决：</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（1）向仲裁委员会申请仲裁。</w:t>
      </w:r>
    </w:p>
    <w:p>
      <w:pPr>
        <w:pStyle w:val="472"/>
        <w:snapToGrid w:val="0"/>
        <w:spacing w:after="156" w:afterLines="50"/>
        <w:ind w:left="1700" w:leftChars="540" w:hanging="566" w:hangingChars="236"/>
        <w:rPr>
          <w:rFonts w:hAnsi="宋体" w:cs="宋体"/>
          <w:sz w:val="24"/>
          <w:szCs w:val="24"/>
        </w:rPr>
      </w:pPr>
      <w:r>
        <w:rPr>
          <w:rFonts w:hint="eastAsia" w:hAnsi="宋体" w:cs="宋体"/>
          <w:sz w:val="24"/>
          <w:szCs w:val="24"/>
        </w:rPr>
        <w:t>（2）向有管辖权的人民法院提起诉讼。</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仲裁费除仲裁机关另有裁决外均应由败诉方负担。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在仲裁、诉讼期间，除正在进行仲裁、诉讼部分外，本合同其它部分应继续执行。</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83" w:name="_Toc17940"/>
      <w:bookmarkStart w:id="184" w:name="_Toc997"/>
      <w:r>
        <w:rPr>
          <w:rFonts w:hint="eastAsia" w:ascii="黑体" w:hAnsi="宋体" w:eastAsia="黑体" w:cs="黑体"/>
          <w:kern w:val="0"/>
          <w:sz w:val="24"/>
        </w:rPr>
        <w:t>合同语言</w:t>
      </w:r>
      <w:bookmarkEnd w:id="183"/>
      <w:bookmarkEnd w:id="184"/>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除非双方另有约定，本合同语言为中文。</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85" w:name="_Toc11954"/>
      <w:bookmarkStart w:id="186" w:name="_Toc17411"/>
      <w:r>
        <w:rPr>
          <w:rFonts w:hint="eastAsia" w:ascii="黑体" w:hAnsi="宋体" w:eastAsia="黑体" w:cs="黑体"/>
          <w:kern w:val="0"/>
          <w:sz w:val="24"/>
        </w:rPr>
        <w:t>适用法律</w:t>
      </w:r>
      <w:bookmarkEnd w:id="185"/>
      <w:bookmarkEnd w:id="186"/>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本合同应按照中华人民共和国的法律进行解释。</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87" w:name="_Ref426364569"/>
      <w:bookmarkStart w:id="188" w:name="_Toc30434"/>
      <w:bookmarkStart w:id="189" w:name="_Toc11144"/>
      <w:r>
        <w:rPr>
          <w:rFonts w:hint="eastAsia" w:ascii="黑体" w:hAnsi="宋体" w:eastAsia="黑体" w:cs="黑体"/>
          <w:kern w:val="0"/>
          <w:sz w:val="24"/>
        </w:rPr>
        <w:t>通知</w:t>
      </w:r>
      <w:bookmarkEnd w:id="187"/>
      <w:bookmarkEnd w:id="188"/>
      <w:bookmarkEnd w:id="189"/>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本合同一方给对方的通知应采用书面形式送达至第36.3款列明的地址。</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通知以送到日期或通知书的生效日期为生效日期，两者中以晚的一个日期为准。</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90" w:name="_Toc26468"/>
      <w:bookmarkStart w:id="191" w:name="_Toc18701"/>
      <w:r>
        <w:rPr>
          <w:rFonts w:hint="eastAsia" w:ascii="黑体" w:hAnsi="宋体" w:eastAsia="黑体" w:cs="黑体"/>
          <w:kern w:val="0"/>
          <w:sz w:val="24"/>
        </w:rPr>
        <w:t>税费</w:t>
      </w:r>
      <w:bookmarkEnd w:id="190"/>
      <w:bookmarkEnd w:id="191"/>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政府根据现行税法对买方征收的与本合同有关的一切税费均应由买方负担。</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政府根据现行税法对卖方征收的与本合同有关的一切税费均应由卖方负担。</w:t>
      </w:r>
    </w:p>
    <w:p>
      <w:pPr>
        <w:widowControl w:val="0"/>
        <w:numPr>
          <w:ilvl w:val="0"/>
          <w:numId w:val="14"/>
        </w:numPr>
        <w:autoSpaceDE w:val="0"/>
        <w:autoSpaceDN w:val="0"/>
        <w:adjustRightInd w:val="0"/>
        <w:spacing w:after="156" w:afterLines="50"/>
        <w:textAlignment w:val="auto"/>
        <w:outlineLvl w:val="2"/>
        <w:rPr>
          <w:rFonts w:ascii="黑体" w:hAnsi="宋体" w:eastAsia="黑体" w:cs="黑体"/>
          <w:kern w:val="0"/>
          <w:sz w:val="24"/>
        </w:rPr>
      </w:pPr>
      <w:bookmarkStart w:id="192" w:name="_Toc3353"/>
      <w:bookmarkStart w:id="193" w:name="_Toc20791"/>
      <w:r>
        <w:rPr>
          <w:rFonts w:hint="eastAsia" w:ascii="黑体" w:hAnsi="宋体" w:eastAsia="黑体" w:cs="黑体"/>
          <w:kern w:val="0"/>
          <w:sz w:val="24"/>
        </w:rPr>
        <w:t>合同生效及其他</w:t>
      </w:r>
      <w:bookmarkEnd w:id="192"/>
      <w:bookmarkEnd w:id="193"/>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本合同应在双方签字和买方收到卖方提交的合格的履约保证后生效。</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合同份数：买方正本 1 份，副本  份；卖方正本 1 份，副本  份。</w:t>
      </w:r>
    </w:p>
    <w:p>
      <w:pPr>
        <w:widowControl w:val="0"/>
        <w:numPr>
          <w:ilvl w:val="1"/>
          <w:numId w:val="14"/>
        </w:numPr>
        <w:autoSpaceDE w:val="0"/>
        <w:autoSpaceDN w:val="0"/>
        <w:adjustRightInd w:val="0"/>
        <w:spacing w:after="156" w:afterLines="50"/>
        <w:textAlignment w:val="auto"/>
        <w:rPr>
          <w:rFonts w:ascii="宋体" w:hAnsi="宋体" w:cs="黑体"/>
          <w:kern w:val="0"/>
          <w:sz w:val="24"/>
        </w:rPr>
      </w:pPr>
      <w:r>
        <w:rPr>
          <w:rFonts w:hint="eastAsia" w:ascii="宋体" w:hAnsi="宋体" w:cs="黑体"/>
          <w:kern w:val="0"/>
          <w:sz w:val="24"/>
        </w:rPr>
        <w:t>双方当事人之间的一切联络往来应以书面形式按以下地址进行：</w:t>
      </w: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买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autoSpaceDE w:val="0"/>
        <w:autoSpaceDN w:val="0"/>
        <w:adjustRightInd w:val="0"/>
        <w:spacing w:after="156" w:afterLines="50"/>
        <w:ind w:left="1134" w:leftChars="540"/>
        <w:rPr>
          <w:rFonts w:ascii="宋体" w:hAnsi="宋体" w:cs="黑体"/>
          <w:kern w:val="0"/>
          <w:sz w:val="24"/>
        </w:rPr>
      </w:pPr>
    </w:p>
    <w:p>
      <w:pPr>
        <w:autoSpaceDE w:val="0"/>
        <w:autoSpaceDN w:val="0"/>
        <w:adjustRightInd w:val="0"/>
        <w:spacing w:after="156" w:afterLines="50"/>
        <w:ind w:left="1134" w:leftChars="540"/>
        <w:rPr>
          <w:rFonts w:ascii="宋体" w:hAnsi="宋体" w:cs="黑体"/>
          <w:kern w:val="0"/>
          <w:sz w:val="24"/>
        </w:rPr>
      </w:pPr>
      <w:r>
        <w:rPr>
          <w:rFonts w:hint="eastAsia" w:ascii="宋体" w:hAnsi="宋体" w:cs="黑体"/>
          <w:kern w:val="0"/>
          <w:sz w:val="24"/>
        </w:rPr>
        <w:t>卖    方：</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地    址：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邮    编：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传    真：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    话：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电子邮件： ____________________________________</w:t>
      </w:r>
    </w:p>
    <w:p>
      <w:pPr>
        <w:autoSpaceDE w:val="0"/>
        <w:autoSpaceDN w:val="0"/>
        <w:adjustRightInd w:val="0"/>
        <w:spacing w:after="156" w:afterLines="50"/>
        <w:ind w:left="2268" w:leftChars="1080"/>
        <w:rPr>
          <w:rFonts w:ascii="宋体" w:hAnsi="宋体" w:cs="黑体"/>
          <w:kern w:val="0"/>
          <w:sz w:val="24"/>
        </w:rPr>
      </w:pPr>
      <w:r>
        <w:rPr>
          <w:rFonts w:hint="eastAsia" w:ascii="宋体" w:hAnsi="宋体" w:cs="黑体"/>
          <w:kern w:val="0"/>
          <w:sz w:val="24"/>
        </w:rPr>
        <w:t>联 系 人： ____________________________________</w:t>
      </w:r>
    </w:p>
    <w:p>
      <w:pPr>
        <w:pStyle w:val="472"/>
        <w:snapToGrid w:val="0"/>
        <w:spacing w:after="156" w:afterLines="50"/>
        <w:outlineLvl w:val="0"/>
        <w:rPr>
          <w:rFonts w:hAnsi="宋体" w:cs="宋体"/>
          <w:sz w:val="24"/>
          <w:szCs w:val="24"/>
        </w:rPr>
      </w:pPr>
      <w:r>
        <w:rPr>
          <w:rFonts w:hAnsi="宋体" w:cs="宋体"/>
          <w:sz w:val="24"/>
          <w:szCs w:val="24"/>
        </w:rPr>
        <w:br w:type="page"/>
      </w:r>
      <w:bookmarkStart w:id="194" w:name="_Toc20533"/>
      <w:bookmarkStart w:id="195" w:name="_Toc16319"/>
      <w:bookmarkStart w:id="196" w:name="_Toc32507"/>
      <w:r>
        <w:rPr>
          <w:rFonts w:hint="eastAsia" w:hAnsi="宋体" w:cs="宋体"/>
          <w:sz w:val="24"/>
          <w:szCs w:val="24"/>
        </w:rPr>
        <w:t>（三）合同附件格式</w:t>
      </w:r>
      <w:bookmarkEnd w:id="194"/>
      <w:bookmarkEnd w:id="195"/>
      <w:bookmarkEnd w:id="196"/>
    </w:p>
    <w:p>
      <w:pPr>
        <w:spacing w:line="360" w:lineRule="auto"/>
        <w:jc w:val="center"/>
        <w:outlineLvl w:val="2"/>
        <w:rPr>
          <w:rFonts w:ascii="仿宋_GB2312" w:hAnsi="仿宋_GB2312" w:eastAsia="仿宋_GB2312" w:cs="宋体"/>
          <w:kern w:val="0"/>
        </w:rPr>
      </w:pPr>
      <w:bookmarkStart w:id="197" w:name="_Toc26179"/>
      <w:bookmarkStart w:id="198" w:name="_Toc9090"/>
      <w:bookmarkStart w:id="199" w:name="_Toc11500"/>
      <w:r>
        <w:rPr>
          <w:rFonts w:hint="eastAsia" w:ascii="仿宋_GB2312" w:hAnsi="仿宋_GB2312" w:eastAsia="仿宋_GB2312" w:cs="宋体"/>
          <w:kern w:val="0"/>
        </w:rPr>
        <w:t>履约保证金保函（格式）</w:t>
      </w:r>
      <w:bookmarkEnd w:id="197"/>
      <w:bookmarkEnd w:id="198"/>
      <w:bookmarkEnd w:id="199"/>
    </w:p>
    <w:p>
      <w:pPr>
        <w:spacing w:line="360" w:lineRule="auto"/>
        <w:rPr>
          <w:rFonts w:ascii="仿宋_GB2312" w:hAnsi="仿宋_GB2312" w:eastAsia="仿宋_GB2312" w:cs="宋体"/>
          <w:b/>
          <w:kern w:val="0"/>
        </w:rPr>
      </w:pPr>
      <w:r>
        <w:rPr>
          <w:rFonts w:hint="eastAsia" w:ascii="仿宋_GB2312" w:hAnsi="仿宋_GB2312" w:eastAsia="仿宋_GB2312" w:cs="宋体"/>
          <w:kern w:val="0"/>
        </w:rPr>
        <w:t>编号：</w:t>
      </w:r>
    </w:p>
    <w:p>
      <w:pPr>
        <w:spacing w:before="156" w:beforeLines="50"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（采购人）： </w:t>
      </w:r>
    </w:p>
    <w:p>
      <w:pPr>
        <w:spacing w:before="156" w:beforeLines="50"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鉴于你方与（以下简称投标人）于年月日签定编号为的《</w:t>
      </w:r>
      <w:r>
        <w:rPr>
          <w:rFonts w:hint="eastAsia" w:ascii="仿宋_GB2312" w:hAnsi="仿宋_GB2312" w:eastAsia="仿宋_GB2312" w:cs="宋体"/>
          <w:kern w:val="0"/>
          <w:sz w:val="24"/>
          <w:szCs w:val="28"/>
          <w:u w:val="single"/>
        </w:rPr>
        <w:t xml:space="preserve">      政府采购</w:t>
      </w:r>
      <w:r>
        <w:rPr>
          <w:rFonts w:hint="eastAsia" w:ascii="仿宋_GB2312" w:hAnsi="仿宋_GB2312" w:eastAsia="仿宋_GB2312" w:cs="宋体"/>
          <w:kern w:val="0"/>
          <w:sz w:val="24"/>
          <w:szCs w:val="28"/>
        </w:rPr>
        <w:t>合同》（以下简称主合同），且依据该合同的约定，投标人应在年月日前向你方交纳履约保证金，且可以履约保证金函的形式交纳履约保证金。应投标人的申请，我方以保证的方式向你方提供如下履约保证金担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一、保证责任的情形及保证金额</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（一）在投标人出现下列情形之一时，我方承担保证责任：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1．将中标项目转让给他人，或者在投标文件中未说明，且未经采购人同意，将中标项目分包给他人的；</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2．主合同约定的应当缴纳履约保证金的情形: </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（1）未按主合同约定的质量、数量和期限供应货物/提供服务/完成工程的； </w:t>
      </w:r>
    </w:p>
    <w:p>
      <w:pPr>
        <w:spacing w:line="360" w:lineRule="auto"/>
        <w:ind w:firstLine="480" w:firstLineChars="200"/>
        <w:rPr>
          <w:rFonts w:ascii="仿宋_GB2312" w:hAnsi="仿宋_GB2312" w:eastAsia="仿宋_GB2312" w:cs="宋体"/>
          <w:kern w:val="0"/>
          <w:sz w:val="24"/>
          <w:szCs w:val="28"/>
          <w:u w:val="single"/>
        </w:rPr>
      </w:pPr>
      <w:r>
        <w:rPr>
          <w:rFonts w:hint="eastAsia" w:ascii="仿宋_GB2312" w:hAnsi="仿宋_GB2312" w:eastAsia="仿宋_GB2312" w:cs="宋体"/>
          <w:kern w:val="0"/>
          <w:sz w:val="24"/>
          <w:szCs w:val="28"/>
        </w:rPr>
        <w:t>（2）。</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（二）我方的保证范围是主合同约定的合同价款总额的%数额为元（大写），币种为。（即主合同履约保证金金额）</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二、保证的方式及保证期间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我方保证的方式为：连带责任保证。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我方保证的期间为：自本合同生效之日起至投标人按照主合同约定的供货/完工期限届满后日内。</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如果投标人未按主合同约定向贵方供应货物/提供服务/完成工程的，由我方在保证金额内向你方支付上述款项。 </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三、承担保证责任的程序</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 xml:space="preserve">1．你方要求我方承担保证责任的，应在本保函保证期间内向我方发出书面索赔通知。索赔通知应写明要求索赔的金额，支付款项应到达的帐号。并附有证明投标人违约事实的证明材料。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如果你方与投标人因货物质量问题产生争议，你方还需同时提供部门出具的质量检测报告，或经诉讼（仲裁）程序裁决后的裁决书、调解书，本保证人即按照检测结果或裁决书、调解书决定是否承担保证责任。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2．我方收到你方的书面索赔通知及相应证明材料，在工作日内进行核定后按照本保函的承诺承担保证责任。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四、保证责任的终止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2．我方按照本保函向你方履行了保证责任后，自我方向你方支付款项（支付款项从我方账户划出）之日起，保证责任即终止。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3．按照法律法规的规定或出现应终止我方保证责任的其它情形的，我方在本保函项下的保证责任亦终止。</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4．你方与投标人修改主合同，加重我方保证责任的，我方对加重部分不承担保证责任，但该等修改事先经我方书面同意的除外；你方与投标人修改主合同履行期限，我方保证期间仍依修改前的履行期限计算，但该等修改事先经我方书面同意的除外。</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五、免责条款</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1．因你方违反主合同约定致使投标人不能履行义务的，我方不承担保证责任。</w:t>
      </w:r>
    </w:p>
    <w:p>
      <w:pPr>
        <w:spacing w:line="360" w:lineRule="auto"/>
        <w:ind w:firstLine="480" w:firstLineChars="200"/>
        <w:rPr>
          <w:rFonts w:ascii="仿宋_GB2312" w:hAnsi="仿宋_GB2312" w:eastAsia="仿宋_GB2312" w:cs="宋体"/>
          <w:b/>
          <w:kern w:val="0"/>
          <w:sz w:val="24"/>
          <w:szCs w:val="28"/>
        </w:rPr>
      </w:pPr>
      <w:r>
        <w:rPr>
          <w:rFonts w:hint="eastAsia" w:ascii="仿宋_GB2312" w:hAnsi="仿宋_GB2312" w:eastAsia="仿宋_GB2312" w:cs="宋体"/>
          <w:kern w:val="0"/>
          <w:sz w:val="24"/>
          <w:szCs w:val="28"/>
        </w:rPr>
        <w:t>2．依照法律法规的规定或你方与投标人的另行约定，全部或者部分免除投标人应缴纳的保证金义务的，我方亦免除相应的保证责任。</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3．因不可抗力造成投标人不能履行供货义务的，我方不承担保证责任。</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六、争议的解决</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因本保函发生的纠纷，由你我双方协商解决，协商不成的，通过诉讼程序解决，诉讼管辖地法院为法院。</w:t>
      </w:r>
    </w:p>
    <w:p>
      <w:pPr>
        <w:spacing w:line="360" w:lineRule="auto"/>
        <w:ind w:firstLine="482" w:firstLineChars="200"/>
        <w:rPr>
          <w:rFonts w:ascii="仿宋_GB2312" w:hAnsi="仿宋_GB2312" w:eastAsia="仿宋_GB2312" w:cs="宋体"/>
          <w:b/>
          <w:kern w:val="0"/>
          <w:sz w:val="24"/>
          <w:szCs w:val="28"/>
        </w:rPr>
      </w:pPr>
      <w:r>
        <w:rPr>
          <w:rFonts w:hint="eastAsia" w:ascii="仿宋_GB2312" w:hAnsi="仿宋_GB2312" w:eastAsia="仿宋_GB2312" w:cs="宋体"/>
          <w:b/>
          <w:kern w:val="0"/>
          <w:sz w:val="24"/>
          <w:szCs w:val="28"/>
        </w:rPr>
        <w:t xml:space="preserve">七、保函的生效 </w:t>
      </w:r>
    </w:p>
    <w:p>
      <w:pPr>
        <w:spacing w:line="360" w:lineRule="auto"/>
        <w:ind w:firstLine="480" w:firstLineChars="200"/>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本保函自我方加盖公章之日起生效。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保证人：（公章）                     </w:t>
      </w:r>
    </w:p>
    <w:p>
      <w:pPr>
        <w:spacing w:line="360" w:lineRule="auto"/>
        <w:rPr>
          <w:rFonts w:ascii="仿宋_GB2312" w:hAnsi="仿宋_GB2312" w:eastAsia="仿宋_GB2312" w:cs="宋体"/>
          <w:kern w:val="0"/>
          <w:sz w:val="24"/>
          <w:szCs w:val="28"/>
        </w:rPr>
      </w:pPr>
      <w:r>
        <w:rPr>
          <w:rFonts w:hint="eastAsia" w:ascii="仿宋_GB2312" w:hAnsi="仿宋_GB2312" w:eastAsia="仿宋_GB2312" w:cs="宋体"/>
          <w:kern w:val="0"/>
          <w:sz w:val="24"/>
          <w:szCs w:val="28"/>
        </w:rPr>
        <w:t xml:space="preserve">                                    年   月   日</w:t>
      </w:r>
    </w:p>
    <w:p>
      <w:pPr>
        <w:jc w:val="left"/>
        <w:rPr>
          <w:rFonts w:ascii="宋体" w:hAnsi="宋体" w:cs="宋体"/>
          <w:sz w:val="24"/>
        </w:rPr>
      </w:pPr>
      <w:r>
        <w:rPr>
          <w:rFonts w:ascii="宋体" w:hAnsi="宋体" w:cs="宋体"/>
          <w:sz w:val="24"/>
        </w:rPr>
        <w:br w:type="page"/>
      </w:r>
    </w:p>
    <w:p>
      <w:pPr>
        <w:pStyle w:val="472"/>
        <w:snapToGrid w:val="0"/>
        <w:spacing w:after="156" w:afterLines="50"/>
        <w:rPr>
          <w:rFonts w:hAnsi="宋体" w:cs="宋体"/>
          <w:sz w:val="24"/>
          <w:szCs w:val="24"/>
        </w:rPr>
      </w:pPr>
    </w:p>
    <w:p>
      <w:pPr>
        <w:spacing w:line="360" w:lineRule="auto"/>
        <w:jc w:val="center"/>
        <w:outlineLvl w:val="2"/>
        <w:rPr>
          <w:rFonts w:ascii="仿宋_GB2312" w:hAnsi="仿宋_GB2312" w:eastAsia="仿宋_GB2312" w:cs="宋体"/>
          <w:kern w:val="0"/>
        </w:rPr>
      </w:pPr>
      <w:bookmarkStart w:id="200" w:name="_Toc2002"/>
      <w:bookmarkStart w:id="201" w:name="_Toc23761"/>
      <w:bookmarkStart w:id="202" w:name="_Toc16412"/>
      <w:r>
        <w:rPr>
          <w:rFonts w:hint="eastAsia" w:ascii="仿宋_GB2312" w:hAnsi="仿宋_GB2312" w:eastAsia="仿宋_GB2312" w:cs="宋体"/>
          <w:kern w:val="0"/>
        </w:rPr>
        <w:t>预付款银行保函</w:t>
      </w:r>
      <w:bookmarkEnd w:id="200"/>
      <w:bookmarkEnd w:id="201"/>
      <w:bookmarkEnd w:id="202"/>
    </w:p>
    <w:p>
      <w:pPr>
        <w:pStyle w:val="472"/>
        <w:snapToGrid w:val="0"/>
        <w:spacing w:after="156" w:afterLines="50"/>
        <w:rPr>
          <w:rFonts w:hAnsi="宋体" w:cs="宋体"/>
          <w:sz w:val="24"/>
          <w:szCs w:val="24"/>
        </w:rPr>
      </w:pPr>
    </w:p>
    <w:p>
      <w:pPr>
        <w:autoSpaceDE w:val="0"/>
        <w:autoSpaceDN w:val="0"/>
        <w:adjustRightInd w:val="0"/>
        <w:spacing w:before="156" w:beforeLines="50"/>
        <w:jc w:val="left"/>
        <w:rPr>
          <w:rFonts w:ascii="宋体" w:hAnsi="宋体" w:cs="仿宋_GB2312"/>
          <w:kern w:val="0"/>
          <w:sz w:val="24"/>
        </w:rPr>
      </w:pPr>
      <w:r>
        <w:rPr>
          <w:rFonts w:hint="eastAsia" w:ascii="宋体" w:hAnsi="宋体" w:cs="仿宋_GB2312"/>
          <w:kern w:val="0"/>
          <w:sz w:val="24"/>
        </w:rPr>
        <w:t>（买方名称）：</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firstLine="480" w:firstLineChars="200"/>
        <w:jc w:val="left"/>
        <w:rPr>
          <w:rFonts w:ascii="宋体" w:hAnsi="宋体" w:cs="仿宋_GB2312"/>
          <w:kern w:val="0"/>
          <w:sz w:val="24"/>
        </w:rPr>
      </w:pPr>
      <w:r>
        <w:rPr>
          <w:rFonts w:hint="eastAsia" w:ascii="宋体" w:hAnsi="宋体" w:cs="仿宋_GB2312"/>
          <w:kern w:val="0"/>
          <w:sz w:val="24"/>
        </w:rPr>
        <w:t>根据（卖方名称）（以下称</w:t>
      </w:r>
      <w:r>
        <w:rPr>
          <w:rFonts w:ascii="宋体" w:hAnsi="宋体" w:cs="TimesNewRomanPSMT"/>
          <w:kern w:val="0"/>
          <w:sz w:val="24"/>
        </w:rPr>
        <w:t>“</w:t>
      </w:r>
      <w:r>
        <w:rPr>
          <w:rFonts w:hint="eastAsia" w:ascii="宋体" w:hAnsi="宋体" w:cs="TimesNewRomanPSMT"/>
          <w:kern w:val="0"/>
          <w:sz w:val="24"/>
        </w:rPr>
        <w:t>卖方</w:t>
      </w:r>
      <w:r>
        <w:rPr>
          <w:rFonts w:ascii="宋体" w:hAnsi="宋体" w:cs="TimesNewRomanPSMT"/>
          <w:kern w:val="0"/>
          <w:sz w:val="24"/>
        </w:rPr>
        <w:t>”</w:t>
      </w:r>
      <w:r>
        <w:rPr>
          <w:rFonts w:hint="eastAsia" w:ascii="宋体" w:hAnsi="宋体" w:cs="仿宋_GB2312"/>
          <w:kern w:val="0"/>
          <w:sz w:val="24"/>
        </w:rPr>
        <w:t>）与（买方名称）（以下简称</w:t>
      </w:r>
      <w:r>
        <w:rPr>
          <w:rFonts w:ascii="宋体" w:hAnsi="宋体" w:cs="TimesNewRomanPSMT"/>
          <w:kern w:val="0"/>
          <w:sz w:val="24"/>
        </w:rPr>
        <w:t>“</w:t>
      </w:r>
      <w:r>
        <w:rPr>
          <w:rFonts w:hint="eastAsia" w:ascii="宋体" w:hAnsi="宋体" w:cs="TimesNewRomanPSMT"/>
          <w:kern w:val="0"/>
          <w:sz w:val="24"/>
        </w:rPr>
        <w:t>买方</w:t>
      </w:r>
      <w:r>
        <w:rPr>
          <w:rFonts w:ascii="宋体" w:hAnsi="宋体" w:cs="TimesNewRomanPSMT"/>
          <w:kern w:val="0"/>
          <w:sz w:val="24"/>
        </w:rPr>
        <w:t>”</w:t>
      </w:r>
      <w:r>
        <w:rPr>
          <w:rFonts w:hint="eastAsia" w:ascii="宋体" w:hAnsi="宋体" w:cs="仿宋_GB2312"/>
          <w:kern w:val="0"/>
          <w:sz w:val="24"/>
        </w:rPr>
        <w:t>）于年月日签订的（项目名称）合同，卖方按约定的金额向买方提交一份预付款担保，即有权得到买方支付相等金额的预付款。我方愿意就你方提供给卖方的预付款提供担保。</w:t>
      </w:r>
    </w:p>
    <w:p>
      <w:pPr>
        <w:autoSpaceDE w:val="0"/>
        <w:autoSpaceDN w:val="0"/>
        <w:adjustRightInd w:val="0"/>
        <w:spacing w:before="156" w:beforeLines="50"/>
        <w:jc w:val="left"/>
        <w:rPr>
          <w:rFonts w:ascii="宋体" w:hAnsi="宋体" w:cs="仿宋_GB2312"/>
          <w:kern w:val="0"/>
          <w:sz w:val="24"/>
        </w:rPr>
      </w:pPr>
      <w:r>
        <w:rPr>
          <w:rFonts w:ascii="宋体" w:hAnsi="宋体" w:cs="TimesNewRomanPSMT"/>
          <w:kern w:val="0"/>
          <w:sz w:val="24"/>
        </w:rPr>
        <w:t xml:space="preserve">1. </w:t>
      </w:r>
      <w:r>
        <w:rPr>
          <w:rFonts w:hint="eastAsia" w:ascii="宋体" w:hAnsi="宋体" w:cs="仿宋_GB2312"/>
          <w:kern w:val="0"/>
          <w:sz w:val="24"/>
        </w:rPr>
        <w:t>担保金额人民币（大写）（</w:t>
      </w:r>
      <w:r>
        <w:rPr>
          <w:rFonts w:ascii="宋体" w:hAnsi="宋体" w:cs="TimesNewRomanPSMT"/>
          <w:kern w:val="0"/>
          <w:sz w:val="24"/>
        </w:rPr>
        <w:t>¥</w:t>
      </w:r>
      <w:r>
        <w:rPr>
          <w:rFonts w:hint="eastAsia" w:ascii="宋体" w:hAnsi="宋体" w:cs="仿宋_GB2312"/>
          <w:kern w:val="0"/>
          <w:sz w:val="24"/>
        </w:rPr>
        <w:t>元）。</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2. </w:t>
      </w:r>
      <w:r>
        <w:rPr>
          <w:rFonts w:hint="eastAsia" w:ascii="宋体" w:hAnsi="宋体" w:cs="仿宋_GB2312"/>
          <w:kern w:val="0"/>
          <w:sz w:val="24"/>
        </w:rPr>
        <w:t>担保有效期</w:t>
      </w:r>
      <w:r>
        <w:rPr>
          <w:rFonts w:hint="eastAsia" w:hAnsi="宋体" w:cs="宋体"/>
          <w:sz w:val="24"/>
        </w:rPr>
        <w:t>从卖方收到合同预付款起直至最后一批货物交货后30日内有效</w:t>
      </w:r>
      <w:r>
        <w:rPr>
          <w:rFonts w:hint="eastAsia" w:ascii="宋体" w:hAnsi="宋体" w:cs="仿宋_GB2312"/>
          <w:kern w:val="0"/>
          <w:sz w:val="24"/>
        </w:rPr>
        <w:t>。</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3. </w:t>
      </w:r>
      <w:r>
        <w:rPr>
          <w:rFonts w:hint="eastAsia" w:ascii="宋体" w:hAnsi="宋体" w:cs="仿宋_GB2312"/>
          <w:kern w:val="0"/>
          <w:sz w:val="24"/>
        </w:rPr>
        <w:t>在本保函有效期内，因卖方违反合同约定的义务而要求收回预付款时，我方在收到你方的书面通知后，在7天内无条件支付。</w:t>
      </w:r>
    </w:p>
    <w:p>
      <w:pPr>
        <w:autoSpaceDE w:val="0"/>
        <w:autoSpaceDN w:val="0"/>
        <w:adjustRightInd w:val="0"/>
        <w:spacing w:before="156" w:beforeLines="50"/>
        <w:ind w:left="360" w:hanging="360" w:hangingChars="150"/>
        <w:jc w:val="left"/>
        <w:rPr>
          <w:rFonts w:ascii="宋体" w:hAnsi="宋体" w:cs="仿宋_GB2312"/>
          <w:kern w:val="0"/>
          <w:sz w:val="24"/>
        </w:rPr>
      </w:pPr>
      <w:r>
        <w:rPr>
          <w:rFonts w:ascii="宋体" w:hAnsi="宋体" w:cs="TimesNewRomanPSMT"/>
          <w:kern w:val="0"/>
          <w:sz w:val="24"/>
        </w:rPr>
        <w:t xml:space="preserve">4. </w:t>
      </w:r>
      <w:r>
        <w:rPr>
          <w:rFonts w:hint="eastAsia" w:ascii="宋体" w:hAnsi="宋体" w:cs="仿宋_GB2312"/>
          <w:kern w:val="0"/>
          <w:sz w:val="24"/>
        </w:rPr>
        <w:t>买方和卖方按《合同条款》第</w:t>
      </w:r>
      <w:r>
        <w:rPr>
          <w:rFonts w:hint="eastAsia" w:ascii="宋体" w:hAnsi="宋体" w:cs="TimesNewRomanPSMT"/>
          <w:kern w:val="0"/>
          <w:sz w:val="24"/>
        </w:rPr>
        <w:t>22</w:t>
      </w:r>
      <w:r>
        <w:rPr>
          <w:rFonts w:hint="eastAsia" w:ascii="宋体" w:hAnsi="宋体" w:cs="仿宋_GB2312"/>
          <w:kern w:val="0"/>
          <w:sz w:val="24"/>
        </w:rPr>
        <w:t>条变更合同时，我方承担本保函规定的义务不变。</w:t>
      </w: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jc w:val="left"/>
        <w:rPr>
          <w:rFonts w:ascii="宋体" w:hAnsi="宋体" w:cs="仿宋_GB2312"/>
          <w:kern w:val="0"/>
          <w:sz w:val="24"/>
        </w:rPr>
      </w:pP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担保人：         （盖单位章）</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法定代表人或其委托代理人：          （签字）</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地址：</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邮政编码：</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电话：</w:t>
      </w:r>
    </w:p>
    <w:p>
      <w:pPr>
        <w:autoSpaceDE w:val="0"/>
        <w:autoSpaceDN w:val="0"/>
        <w:adjustRightInd w:val="0"/>
        <w:spacing w:before="156" w:beforeLines="50"/>
        <w:ind w:left="3419" w:leftChars="1628"/>
        <w:jc w:val="left"/>
        <w:rPr>
          <w:rFonts w:ascii="宋体" w:hAnsi="宋体" w:cs="仿宋_GB2312"/>
          <w:kern w:val="0"/>
          <w:sz w:val="24"/>
        </w:rPr>
      </w:pPr>
      <w:r>
        <w:rPr>
          <w:rFonts w:hint="eastAsia" w:ascii="宋体" w:hAnsi="宋体" w:cs="仿宋_GB2312"/>
          <w:kern w:val="0"/>
          <w:sz w:val="24"/>
        </w:rPr>
        <w:t>传真：</w:t>
      </w:r>
    </w:p>
    <w:p>
      <w:pPr>
        <w:autoSpaceDE w:val="0"/>
        <w:autoSpaceDN w:val="0"/>
        <w:adjustRightInd w:val="0"/>
        <w:spacing w:before="156" w:beforeLines="50"/>
        <w:ind w:left="5580" w:leftChars="2657"/>
        <w:jc w:val="left"/>
        <w:rPr>
          <w:rFonts w:ascii="宋体" w:hAnsi="宋体" w:cs="仿宋_GB2312"/>
          <w:kern w:val="0"/>
          <w:sz w:val="24"/>
        </w:rPr>
      </w:pPr>
      <w:r>
        <w:rPr>
          <w:rFonts w:hint="eastAsia" w:ascii="宋体" w:hAnsi="宋体" w:cs="仿宋_GB2312"/>
          <w:kern w:val="0"/>
          <w:sz w:val="24"/>
        </w:rPr>
        <w:t>年月日</w:t>
      </w:r>
    </w:p>
    <w:p>
      <w:pPr>
        <w:jc w:val="left"/>
        <w:rPr>
          <w:rFonts w:ascii="宋体" w:hAnsi="宋体" w:cs="宋体"/>
          <w:sz w:val="24"/>
        </w:rPr>
      </w:pPr>
    </w:p>
    <w:p>
      <w:pPr>
        <w:pStyle w:val="66"/>
        <w:snapToGrid w:val="0"/>
        <w:spacing w:after="156"/>
        <w:rPr>
          <w:rStyle w:val="39"/>
          <w:rFonts w:hAnsi="宋体"/>
          <w:sz w:val="24"/>
          <w:szCs w:val="24"/>
        </w:rPr>
      </w:pPr>
    </w:p>
    <w:p>
      <w:pPr>
        <w:jc w:val="left"/>
        <w:rPr>
          <w:rStyle w:val="39"/>
          <w:rFonts w:ascii="宋体" w:hAnsi="宋体"/>
          <w:sz w:val="24"/>
        </w:rPr>
      </w:pPr>
    </w:p>
    <w:p>
      <w:pPr>
        <w:pStyle w:val="2"/>
        <w:rPr>
          <w:rStyle w:val="39"/>
          <w:rFonts w:ascii="宋体" w:hAnsi="宋体"/>
          <w:szCs w:val="24"/>
        </w:rPr>
      </w:pPr>
    </w:p>
    <w:p>
      <w:pPr>
        <w:pStyle w:val="29"/>
        <w:rPr>
          <w:rStyle w:val="39"/>
          <w:rFonts w:ascii="宋体" w:hAnsi="宋体"/>
          <w:sz w:val="24"/>
        </w:rPr>
      </w:pPr>
    </w:p>
    <w:p>
      <w:pPr>
        <w:rPr>
          <w:rStyle w:val="39"/>
          <w:rFonts w:ascii="宋体" w:hAnsi="宋体"/>
          <w:sz w:val="24"/>
        </w:rPr>
      </w:pPr>
    </w:p>
    <w:p>
      <w:pPr>
        <w:pStyle w:val="2"/>
        <w:rPr>
          <w:rStyle w:val="39"/>
          <w:rFonts w:ascii="宋体" w:hAnsi="宋体"/>
          <w:szCs w:val="24"/>
        </w:rPr>
      </w:pPr>
    </w:p>
    <w:p>
      <w:pPr>
        <w:pStyle w:val="29"/>
      </w:pPr>
    </w:p>
    <w:p>
      <w:pPr>
        <w:jc w:val="left"/>
        <w:rPr>
          <w:rStyle w:val="39"/>
          <w:rFonts w:ascii="宋体" w:hAnsi="宋体"/>
          <w:sz w:val="24"/>
        </w:rPr>
      </w:pPr>
    </w:p>
    <w:p>
      <w:pPr>
        <w:numPr>
          <w:ilvl w:val="0"/>
          <w:numId w:val="17"/>
        </w:numPr>
        <w:snapToGrid w:val="0"/>
        <w:spacing w:line="360" w:lineRule="auto"/>
        <w:jc w:val="center"/>
        <w:outlineLvl w:val="0"/>
        <w:rPr>
          <w:rStyle w:val="39"/>
          <w:rFonts w:ascii="宋体" w:hAnsi="宋体"/>
          <w:b/>
          <w:sz w:val="36"/>
        </w:rPr>
      </w:pPr>
      <w:bookmarkStart w:id="203" w:name="_Toc13926"/>
      <w:r>
        <w:rPr>
          <w:rStyle w:val="39"/>
          <w:rFonts w:ascii="宋体" w:hAnsi="宋体"/>
          <w:b/>
          <w:sz w:val="36"/>
        </w:rPr>
        <w:t>采购需求</w:t>
      </w:r>
      <w:bookmarkEnd w:id="203"/>
    </w:p>
    <w:p>
      <w:pPr>
        <w:pStyle w:val="2"/>
        <w:rPr>
          <w:b/>
          <w:bCs/>
          <w:sz w:val="28"/>
          <w:szCs w:val="28"/>
        </w:rPr>
      </w:pPr>
      <w:r>
        <w:rPr>
          <w:rFonts w:hint="eastAsia"/>
          <w:b/>
          <w:bCs/>
          <w:sz w:val="28"/>
          <w:szCs w:val="28"/>
        </w:rPr>
        <w:t>注：标记“*”为不允许偏离条款。</w:t>
      </w:r>
    </w:p>
    <w:p>
      <w:pPr>
        <w:spacing w:line="360" w:lineRule="auto"/>
        <w:rPr>
          <w:b/>
          <w:bCs/>
          <w:sz w:val="44"/>
          <w:szCs w:val="44"/>
        </w:rPr>
      </w:pPr>
      <w:r>
        <w:rPr>
          <w:rFonts w:hint="eastAsia"/>
          <w:b/>
          <w:bCs/>
          <w:sz w:val="44"/>
          <w:szCs w:val="44"/>
        </w:rPr>
        <w:t>一包：</w:t>
      </w:r>
    </w:p>
    <w:p>
      <w:pPr>
        <w:spacing w:before="100" w:after="100" w:line="360" w:lineRule="auto"/>
        <w:rPr>
          <w:rFonts w:ascii="宋体" w:hAnsi="宋体"/>
          <w:b/>
          <w:bCs/>
          <w:sz w:val="24"/>
        </w:rPr>
      </w:pPr>
      <w:r>
        <w:rPr>
          <w:rFonts w:hint="eastAsia" w:ascii="宋体" w:hAnsi="宋体"/>
          <w:b/>
          <w:bCs/>
          <w:sz w:val="24"/>
        </w:rPr>
        <w:t>一、液相色谱-原子荧光联用仪技术参数</w:t>
      </w:r>
      <w:r>
        <w:rPr>
          <w:rFonts w:hint="eastAsia"/>
          <w:b/>
          <w:bCs/>
          <w:sz w:val="24"/>
        </w:rPr>
        <w:t>（数量：1套）</w:t>
      </w:r>
    </w:p>
    <w:p>
      <w:pPr>
        <w:spacing w:line="360" w:lineRule="auto"/>
        <w:rPr>
          <w:rFonts w:ascii="宋体" w:hAnsi="宋体"/>
          <w:b/>
          <w:bCs/>
        </w:rPr>
      </w:pPr>
      <w:r>
        <w:rPr>
          <w:rFonts w:hint="eastAsia" w:ascii="宋体" w:hAnsi="宋体"/>
          <w:b/>
          <w:bCs/>
        </w:rPr>
        <w:t>1、原子荧光技术指标及性能要求：</w:t>
      </w:r>
    </w:p>
    <w:p>
      <w:pPr>
        <w:spacing w:line="360" w:lineRule="auto"/>
        <w:rPr>
          <w:rFonts w:ascii="宋体" w:hAnsi="宋体"/>
          <w:szCs w:val="21"/>
        </w:rPr>
      </w:pPr>
      <w:r>
        <w:rPr>
          <w:rFonts w:hint="eastAsia" w:ascii="宋体" w:hAnsi="宋体"/>
          <w:szCs w:val="21"/>
        </w:rPr>
        <w:t>1.1适用于样品中砷、汞、硒、锡、铅、铋、锑、碲、锗、镉、锌、金十二种元素的痕量分析。</w:t>
      </w:r>
    </w:p>
    <w:p>
      <w:pPr>
        <w:spacing w:line="360" w:lineRule="auto"/>
        <w:rPr>
          <w:rFonts w:ascii="宋体" w:hAnsi="宋体"/>
          <w:szCs w:val="21"/>
        </w:rPr>
      </w:pPr>
      <w:r>
        <w:rPr>
          <w:rFonts w:hint="eastAsia" w:ascii="宋体" w:hAnsi="宋体"/>
          <w:szCs w:val="21"/>
        </w:rPr>
        <w:t>1.2工作电源：交流电压：(220±22) V，频率 (50±1) Hz</w:t>
      </w:r>
    </w:p>
    <w:p>
      <w:pPr>
        <w:spacing w:line="360" w:lineRule="auto"/>
        <w:rPr>
          <w:rFonts w:ascii="宋体" w:hAnsi="宋体"/>
          <w:szCs w:val="21"/>
        </w:rPr>
      </w:pPr>
      <w:r>
        <w:rPr>
          <w:rFonts w:hint="eastAsia" w:ascii="宋体" w:hAnsi="宋体"/>
          <w:szCs w:val="21"/>
        </w:rPr>
        <w:t xml:space="preserve">1.3工作环境：温度：15～30℃，相对湿度：75％。 </w:t>
      </w:r>
    </w:p>
    <w:p>
      <w:pPr>
        <w:spacing w:line="360" w:lineRule="auto"/>
        <w:rPr>
          <w:rFonts w:ascii="宋体" w:hAnsi="宋体"/>
          <w:szCs w:val="21"/>
        </w:rPr>
      </w:pPr>
      <w:r>
        <w:rPr>
          <w:rFonts w:hint="eastAsia" w:ascii="宋体" w:hAnsi="宋体"/>
          <w:szCs w:val="21"/>
        </w:rPr>
        <w:t>1.4相对标准偏差RSD：&lt;0.6%</w:t>
      </w:r>
    </w:p>
    <w:p>
      <w:pPr>
        <w:spacing w:line="360" w:lineRule="auto"/>
        <w:rPr>
          <w:rFonts w:ascii="宋体" w:hAnsi="宋体"/>
          <w:szCs w:val="21"/>
        </w:rPr>
      </w:pPr>
      <w:r>
        <w:rPr>
          <w:rFonts w:hint="eastAsia" w:ascii="宋体" w:hAnsi="宋体"/>
          <w:szCs w:val="21"/>
        </w:rPr>
        <w:t xml:space="preserve">1.5漂移：≤1.5%/30min  </w:t>
      </w:r>
    </w:p>
    <w:p>
      <w:pPr>
        <w:spacing w:line="360" w:lineRule="auto"/>
        <w:rPr>
          <w:rFonts w:ascii="宋体" w:hAnsi="宋体"/>
          <w:szCs w:val="21"/>
        </w:rPr>
      </w:pPr>
      <w:r>
        <w:rPr>
          <w:rFonts w:hint="eastAsia" w:ascii="宋体" w:hAnsi="宋体"/>
          <w:szCs w:val="21"/>
        </w:rPr>
        <w:t>1.6噪声：≤1.5%</w:t>
      </w:r>
    </w:p>
    <w:p>
      <w:pPr>
        <w:spacing w:line="360" w:lineRule="auto"/>
        <w:rPr>
          <w:rFonts w:ascii="宋体" w:hAnsi="宋体"/>
          <w:szCs w:val="21"/>
        </w:rPr>
      </w:pPr>
      <w:r>
        <w:rPr>
          <w:rFonts w:hint="eastAsia"/>
        </w:rPr>
        <w:t>1.7道间干扰：≤2%</w:t>
      </w:r>
    </w:p>
    <w:p>
      <w:pPr>
        <w:spacing w:line="360" w:lineRule="auto"/>
        <w:rPr>
          <w:rFonts w:ascii="宋体" w:hAnsi="宋体"/>
          <w:szCs w:val="21"/>
        </w:rPr>
      </w:pPr>
      <w:r>
        <w:rPr>
          <w:rFonts w:hint="eastAsia" w:ascii="宋体" w:hAnsi="宋体"/>
          <w:szCs w:val="21"/>
        </w:rPr>
        <w:t>1.8线性范围: 大于三个数量级。</w:t>
      </w:r>
    </w:p>
    <w:p>
      <w:pPr>
        <w:spacing w:line="360" w:lineRule="auto"/>
        <w:rPr>
          <w:rFonts w:ascii="宋体" w:hAnsi="宋体"/>
          <w:szCs w:val="21"/>
        </w:rPr>
      </w:pPr>
      <w:r>
        <w:rPr>
          <w:rFonts w:hint="eastAsia" w:ascii="宋体" w:hAnsi="宋体"/>
          <w:szCs w:val="21"/>
        </w:rPr>
        <w:t>1.9检出限（D.L.）砷、锑、硒、铋、碲、汞、锡和铅元素&lt;0.01µg/L；汞（冷原子）&lt;0.001µg/L；镉&lt;0.001µg/L；锗&lt;0.05µg/L；锌&lt;1.0µg/L；金&lt;3.0µg/L。</w:t>
      </w:r>
    </w:p>
    <w:p>
      <w:pPr>
        <w:spacing w:line="360" w:lineRule="auto"/>
        <w:rPr>
          <w:rFonts w:ascii="宋体" w:hAnsi="宋体"/>
          <w:szCs w:val="21"/>
        </w:rPr>
      </w:pPr>
      <w:r>
        <w:rPr>
          <w:rFonts w:hint="eastAsia" w:ascii="宋体" w:hAnsi="宋体"/>
          <w:szCs w:val="21"/>
        </w:rPr>
        <w:t>2、进样系统：</w:t>
      </w:r>
    </w:p>
    <w:p>
      <w:pPr>
        <w:spacing w:line="360" w:lineRule="auto"/>
        <w:rPr>
          <w:rFonts w:ascii="宋体" w:hAnsi="宋体"/>
          <w:szCs w:val="21"/>
        </w:rPr>
      </w:pPr>
      <w:r>
        <w:rPr>
          <w:rFonts w:hint="eastAsia" w:ascii="宋体" w:hAnsi="宋体" w:cs="宋体"/>
          <w:szCs w:val="21"/>
        </w:rPr>
        <w:t>2.1</w:t>
      </w:r>
      <w:r>
        <w:rPr>
          <w:rFonts w:hint="eastAsia" w:ascii="宋体" w:hAnsi="宋体"/>
          <w:szCs w:val="21"/>
        </w:rPr>
        <w:t>双顺序注射进样系统，采用组装特制双顺序注射泵,微升级取样精度和补偿技术,重复性精度优于0.05%（可提供数据证明材料）。</w:t>
      </w:r>
    </w:p>
    <w:p>
      <w:pPr>
        <w:spacing w:line="360" w:lineRule="auto"/>
        <w:rPr>
          <w:rFonts w:ascii="宋体" w:hAnsi="宋体"/>
          <w:color w:val="000000"/>
          <w:szCs w:val="21"/>
        </w:rPr>
      </w:pPr>
      <w:r>
        <w:rPr>
          <w:rFonts w:hint="eastAsia" w:ascii="宋体" w:hAnsi="宋体" w:cs="宋体"/>
          <w:szCs w:val="21"/>
        </w:rPr>
        <w:t>2.2</w:t>
      </w:r>
      <w:r>
        <w:rPr>
          <w:rFonts w:hint="eastAsia" w:ascii="宋体" w:hAnsi="宋体"/>
          <w:color w:val="000000"/>
          <w:szCs w:val="21"/>
        </w:rPr>
        <w:t>具备高浓度样品自动稀释,自动配置标准系列功能，单标准自动配制标准曲线（r＞0.999）。</w:t>
      </w:r>
    </w:p>
    <w:p>
      <w:pPr>
        <w:spacing w:line="360" w:lineRule="auto"/>
      </w:pPr>
      <w:r>
        <w:rPr>
          <w:rFonts w:hint="eastAsia" w:ascii="宋体" w:hAnsi="宋体" w:cs="宋体"/>
          <w:szCs w:val="21"/>
        </w:rPr>
        <w:t>2.3</w:t>
      </w:r>
      <w:r>
        <w:rPr>
          <w:rFonts w:hint="eastAsia" w:ascii="宋体" w:hAnsi="宋体"/>
          <w:color w:val="000000"/>
          <w:szCs w:val="21"/>
        </w:rPr>
        <w:t>碳纤骨架</w:t>
      </w:r>
      <w:r>
        <w:rPr>
          <w:rFonts w:ascii="宋体" w:hAnsi="宋体"/>
          <w:color w:val="000000"/>
          <w:szCs w:val="21"/>
        </w:rPr>
        <w:t>PTFE</w:t>
      </w:r>
      <w:r>
        <w:rPr>
          <w:rFonts w:hint="eastAsia" w:ascii="宋体" w:hAnsi="宋体"/>
          <w:color w:val="000000"/>
          <w:szCs w:val="21"/>
        </w:rPr>
        <w:t>取样针，</w:t>
      </w:r>
      <w:r>
        <w:rPr>
          <w:rFonts w:hint="eastAsia" w:ascii="宋体" w:hAnsi="宋体"/>
          <w:szCs w:val="21"/>
        </w:rPr>
        <w:t>支持自动在线补载流。</w:t>
      </w:r>
    </w:p>
    <w:p>
      <w:pPr>
        <w:spacing w:line="360" w:lineRule="auto"/>
        <w:rPr>
          <w:rFonts w:ascii="宋体" w:hAnsi="宋体"/>
          <w:szCs w:val="21"/>
        </w:rPr>
      </w:pPr>
      <w:r>
        <w:rPr>
          <w:rFonts w:hint="eastAsia" w:ascii="宋体" w:hAnsi="宋体"/>
          <w:szCs w:val="21"/>
        </w:rPr>
        <w:t>3、光学系统：</w:t>
      </w:r>
    </w:p>
    <w:p>
      <w:pPr>
        <w:spacing w:line="360" w:lineRule="auto"/>
        <w:rPr>
          <w:rFonts w:ascii="宋体" w:hAnsi="宋体"/>
          <w:szCs w:val="21"/>
        </w:rPr>
      </w:pPr>
      <w:r>
        <w:rPr>
          <w:rFonts w:hint="eastAsia" w:ascii="宋体" w:hAnsi="宋体"/>
          <w:szCs w:val="21"/>
        </w:rPr>
        <w:t>3.1</w:t>
      </w:r>
      <w:r>
        <w:rPr>
          <w:rFonts w:hint="eastAsia" w:ascii="宋体" w:hAnsi="宋体"/>
          <w:color w:val="000000"/>
          <w:szCs w:val="21"/>
        </w:rPr>
        <w:t>双通道，短焦距透镜聚光，内置式氩氢火焰观察窗，既减少了外界光线干扰仪器内部光路，又可实时观察火焰状态</w:t>
      </w:r>
      <w:r>
        <w:rPr>
          <w:rFonts w:hint="eastAsia" w:ascii="宋体" w:hAnsi="宋体"/>
          <w:szCs w:val="21"/>
        </w:rPr>
        <w:t>。</w:t>
      </w:r>
    </w:p>
    <w:p>
      <w:pPr>
        <w:spacing w:line="360" w:lineRule="auto"/>
        <w:rPr>
          <w:rFonts w:ascii="宋体" w:hAnsi="宋体"/>
          <w:szCs w:val="21"/>
        </w:rPr>
      </w:pPr>
      <w:r>
        <w:rPr>
          <w:rFonts w:hint="eastAsia" w:ascii="宋体" w:hAnsi="宋体"/>
          <w:szCs w:val="21"/>
        </w:rPr>
        <w:t>4、光源：</w:t>
      </w:r>
    </w:p>
    <w:p>
      <w:pPr>
        <w:spacing w:line="360" w:lineRule="auto"/>
        <w:rPr>
          <w:rFonts w:ascii="宋体" w:hAnsi="宋体"/>
          <w:color w:val="000000"/>
          <w:szCs w:val="21"/>
        </w:rPr>
      </w:pPr>
      <w:r>
        <w:rPr>
          <w:rFonts w:hint="eastAsia" w:ascii="宋体" w:hAnsi="宋体"/>
          <w:szCs w:val="21"/>
        </w:rPr>
        <w:t>4</w:t>
      </w:r>
      <w:r>
        <w:rPr>
          <w:rFonts w:hint="eastAsia" w:ascii="宋体" w:hAnsi="宋体"/>
          <w:color w:val="000000"/>
          <w:szCs w:val="21"/>
        </w:rPr>
        <w:t>.1智能空心阴极灯，内置存储芯片，元素类型自动识别，且支持元素灯使用计时，随时掌握灯信息（提供灯信息及寿命计时界面截图）。</w:t>
      </w:r>
    </w:p>
    <w:p>
      <w:pPr>
        <w:spacing w:line="360" w:lineRule="auto"/>
        <w:rPr>
          <w:rFonts w:ascii="宋体" w:hAnsi="宋体"/>
          <w:color w:val="000000"/>
          <w:szCs w:val="21"/>
        </w:rPr>
      </w:pPr>
      <w:r>
        <w:rPr>
          <w:rFonts w:hint="eastAsia" w:ascii="宋体" w:hAnsi="宋体"/>
          <w:szCs w:val="21"/>
        </w:rPr>
        <w:t>4</w:t>
      </w:r>
      <w:r>
        <w:rPr>
          <w:rFonts w:hint="eastAsia" w:ascii="宋体" w:hAnsi="宋体"/>
          <w:color w:val="000000"/>
          <w:szCs w:val="21"/>
        </w:rPr>
        <w:t>.2灯电源支持双道自动激发启辉（提供官方知识产权证明）。</w:t>
      </w:r>
    </w:p>
    <w:p>
      <w:pPr>
        <w:spacing w:line="360" w:lineRule="auto"/>
        <w:rPr>
          <w:rFonts w:ascii="宋体" w:hAnsi="宋体"/>
          <w:color w:val="000000"/>
          <w:szCs w:val="21"/>
        </w:rPr>
      </w:pPr>
      <w:r>
        <w:rPr>
          <w:rFonts w:hint="eastAsia" w:ascii="宋体" w:hAnsi="宋体"/>
          <w:color w:val="000000"/>
          <w:szCs w:val="21"/>
        </w:rPr>
        <w:t>4.3 具备信号增强功能，可提高检出性能。</w:t>
      </w:r>
    </w:p>
    <w:p>
      <w:pPr>
        <w:spacing w:line="360" w:lineRule="auto"/>
        <w:rPr>
          <w:rFonts w:ascii="宋体" w:hAnsi="宋体"/>
          <w:szCs w:val="21"/>
        </w:rPr>
      </w:pPr>
      <w:r>
        <w:rPr>
          <w:rFonts w:hint="eastAsia" w:ascii="宋体" w:hAnsi="宋体"/>
          <w:szCs w:val="21"/>
        </w:rPr>
        <w:t>5、氢化物反应装置：</w:t>
      </w:r>
    </w:p>
    <w:p>
      <w:pPr>
        <w:spacing w:line="360" w:lineRule="auto"/>
        <w:rPr>
          <w:rFonts w:ascii="宋体" w:hAnsi="宋体"/>
          <w:color w:val="000000"/>
          <w:szCs w:val="21"/>
        </w:rPr>
      </w:pPr>
      <w:r>
        <w:rPr>
          <w:rFonts w:hint="eastAsia" w:ascii="宋体" w:hAnsi="宋体"/>
          <w:color w:val="000000"/>
          <w:szCs w:val="21"/>
        </w:rPr>
        <w:t>5.1 新型化学气液分离器，免加水，废液直排，有效消除水蒸气（提供气液分离器图片）。</w:t>
      </w:r>
    </w:p>
    <w:p>
      <w:pPr>
        <w:spacing w:line="360" w:lineRule="auto"/>
        <w:rPr>
          <w:rFonts w:ascii="宋体" w:hAnsi="宋体"/>
          <w:szCs w:val="21"/>
        </w:rPr>
      </w:pPr>
      <w:r>
        <w:rPr>
          <w:rFonts w:hint="eastAsia" w:ascii="宋体" w:hAnsi="宋体"/>
          <w:szCs w:val="21"/>
        </w:rPr>
        <w:t>5.2 具备原子化器炉丝电流监控功能，软件实时监控炉丝状态（提供证明文件）。</w:t>
      </w:r>
    </w:p>
    <w:p>
      <w:pPr>
        <w:spacing w:line="360" w:lineRule="auto"/>
        <w:rPr>
          <w:rFonts w:ascii="宋体" w:hAnsi="宋体"/>
          <w:szCs w:val="21"/>
        </w:rPr>
      </w:pPr>
      <w:r>
        <w:rPr>
          <w:rFonts w:hint="eastAsia" w:ascii="宋体" w:hAnsi="宋体"/>
          <w:szCs w:val="21"/>
        </w:rPr>
        <w:t>5.3高效除汞装置，去除重金属对环境的污染（提供官方知识产权证明）。</w:t>
      </w:r>
    </w:p>
    <w:p>
      <w:pPr>
        <w:spacing w:line="360" w:lineRule="auto"/>
        <w:rPr>
          <w:rFonts w:ascii="宋体" w:hAnsi="宋体"/>
          <w:szCs w:val="21"/>
        </w:rPr>
      </w:pPr>
      <w:r>
        <w:rPr>
          <w:rFonts w:hint="eastAsia" w:ascii="宋体" w:hAnsi="宋体"/>
          <w:szCs w:val="21"/>
        </w:rPr>
        <w:t>6、气路系统：</w:t>
      </w:r>
    </w:p>
    <w:p>
      <w:pPr>
        <w:spacing w:line="360" w:lineRule="auto"/>
        <w:rPr>
          <w:rFonts w:ascii="宋体" w:hAnsi="宋体"/>
          <w:szCs w:val="21"/>
        </w:rPr>
      </w:pPr>
      <w:r>
        <w:rPr>
          <w:rFonts w:hint="eastAsia" w:ascii="宋体" w:hAnsi="宋体"/>
          <w:szCs w:val="21"/>
        </w:rPr>
        <w:t>6.1</w:t>
      </w:r>
      <w:r>
        <w:rPr>
          <w:rFonts w:ascii="宋体" w:hAnsi="宋体"/>
          <w:szCs w:val="21"/>
        </w:rPr>
        <w:t>采用阀岛阵列式结构，自动控制载气和屏蔽气双路流量，具有低压报警功能</w:t>
      </w:r>
      <w:r>
        <w:rPr>
          <w:rFonts w:hint="eastAsia" w:ascii="宋体" w:hAnsi="宋体"/>
          <w:szCs w:val="21"/>
        </w:rPr>
        <w:t>。</w:t>
      </w:r>
    </w:p>
    <w:p>
      <w:pPr>
        <w:spacing w:line="360" w:lineRule="auto"/>
        <w:rPr>
          <w:rFonts w:ascii="宋体" w:hAnsi="宋体"/>
          <w:color w:val="000000"/>
          <w:szCs w:val="21"/>
        </w:rPr>
      </w:pPr>
      <w:r>
        <w:rPr>
          <w:rFonts w:hint="eastAsia" w:ascii="宋体" w:hAnsi="宋体"/>
          <w:color w:val="000000"/>
          <w:szCs w:val="21"/>
        </w:rPr>
        <w:t>6.2具备低消耗运行设计</w:t>
      </w:r>
      <w:r>
        <w:rPr>
          <w:rFonts w:ascii="宋体" w:hAnsi="宋体"/>
          <w:color w:val="000000"/>
          <w:szCs w:val="21"/>
        </w:rPr>
        <w:t>，有效节约氩气消耗量</w:t>
      </w:r>
      <w:r>
        <w:rPr>
          <w:rFonts w:hint="eastAsia" w:ascii="宋体" w:hAnsi="宋体"/>
          <w:color w:val="000000"/>
          <w:szCs w:val="21"/>
        </w:rPr>
        <w:t>70%~80%达（提供证明文件）</w:t>
      </w:r>
      <w:r>
        <w:rPr>
          <w:rFonts w:ascii="宋体" w:hAnsi="宋体"/>
          <w:color w:val="000000"/>
          <w:szCs w:val="21"/>
        </w:rPr>
        <w:t>。</w:t>
      </w:r>
    </w:p>
    <w:p>
      <w:pPr>
        <w:spacing w:line="360" w:lineRule="auto"/>
        <w:rPr>
          <w:rFonts w:ascii="宋体" w:hAnsi="宋体"/>
          <w:szCs w:val="21"/>
        </w:rPr>
      </w:pPr>
      <w:r>
        <w:rPr>
          <w:rFonts w:hint="eastAsia" w:ascii="宋体" w:hAnsi="宋体"/>
          <w:szCs w:val="21"/>
        </w:rPr>
        <w:t>7、电路系统：</w:t>
      </w:r>
    </w:p>
    <w:p>
      <w:pPr>
        <w:spacing w:line="360" w:lineRule="auto"/>
        <w:rPr>
          <w:rFonts w:ascii="宋体" w:hAnsi="宋体"/>
          <w:szCs w:val="21"/>
        </w:rPr>
      </w:pPr>
      <w:r>
        <w:rPr>
          <w:rFonts w:hint="eastAsia" w:ascii="宋体" w:hAnsi="宋体"/>
          <w:szCs w:val="21"/>
        </w:rPr>
        <w:t>7.1采用ARM+FPGA主控架构，核心部件独立MCU控制，四核心协同运作，保证系统高效并行工作，具有极佳的可扩展性。</w:t>
      </w:r>
    </w:p>
    <w:p>
      <w:pPr>
        <w:spacing w:line="360" w:lineRule="auto"/>
        <w:rPr>
          <w:rFonts w:ascii="宋体" w:hAnsi="宋体"/>
          <w:color w:val="000000"/>
          <w:szCs w:val="21"/>
        </w:rPr>
      </w:pPr>
      <w:r>
        <w:rPr>
          <w:rFonts w:hint="eastAsia" w:ascii="宋体" w:hAnsi="宋体"/>
          <w:szCs w:val="21"/>
        </w:rPr>
        <w:t>7</w:t>
      </w:r>
      <w:r>
        <w:rPr>
          <w:rFonts w:hint="eastAsia" w:ascii="宋体" w:hAnsi="宋体"/>
          <w:color w:val="000000"/>
          <w:szCs w:val="21"/>
        </w:rPr>
        <w:t>.2快速多通道采样电路，提高采样频率（500Hz），降低道间干扰（提供知识产权证明文件）。</w:t>
      </w:r>
    </w:p>
    <w:p>
      <w:pPr>
        <w:spacing w:line="360" w:lineRule="auto"/>
        <w:rPr>
          <w:rFonts w:ascii="宋体" w:hAnsi="宋体"/>
          <w:color w:val="000000"/>
          <w:szCs w:val="21"/>
        </w:rPr>
      </w:pPr>
      <w:r>
        <w:rPr>
          <w:rFonts w:hint="eastAsia" w:ascii="宋体" w:hAnsi="宋体"/>
          <w:szCs w:val="21"/>
        </w:rPr>
        <w:t>8、 扩展功能：</w:t>
      </w:r>
      <w:r>
        <w:rPr>
          <w:rFonts w:hint="eastAsia" w:ascii="宋体" w:hAnsi="宋体"/>
          <w:color w:val="000000"/>
          <w:szCs w:val="21"/>
        </w:rPr>
        <w:t>具备形态分析扩展功能。预留元素形态分析串口，可升级为形态分析仪，测量As、Hg、Se等元素的各种价态。</w:t>
      </w:r>
    </w:p>
    <w:p>
      <w:pPr>
        <w:spacing w:line="360" w:lineRule="auto"/>
        <w:rPr>
          <w:rFonts w:ascii="宋体" w:hAnsi="宋体"/>
          <w:szCs w:val="21"/>
        </w:rPr>
      </w:pPr>
      <w:r>
        <w:rPr>
          <w:rFonts w:hint="eastAsia" w:ascii="宋体" w:hAnsi="宋体"/>
          <w:szCs w:val="21"/>
        </w:rPr>
        <w:t>9、数据处理系统：</w:t>
      </w:r>
    </w:p>
    <w:p>
      <w:pPr>
        <w:spacing w:line="360" w:lineRule="auto"/>
        <w:rPr>
          <w:rFonts w:ascii="宋体" w:hAnsi="宋体"/>
          <w:szCs w:val="21"/>
        </w:rPr>
      </w:pPr>
      <w:r>
        <w:rPr>
          <w:rFonts w:hint="eastAsia" w:ascii="宋体" w:hAnsi="宋体"/>
          <w:szCs w:val="21"/>
        </w:rPr>
        <w:t>9.1可实现全面的系统自检，具备图形化的设备状态监控和参数显示，仪器自诊断，异常状态报警（提供软件截图）</w:t>
      </w:r>
    </w:p>
    <w:p>
      <w:pPr>
        <w:spacing w:line="360" w:lineRule="auto"/>
        <w:rPr>
          <w:rFonts w:ascii="宋体" w:hAnsi="宋体"/>
          <w:szCs w:val="21"/>
        </w:rPr>
      </w:pPr>
      <w:r>
        <w:rPr>
          <w:rFonts w:hint="eastAsia" w:ascii="宋体" w:hAnsi="宋体"/>
          <w:szCs w:val="21"/>
        </w:rPr>
        <w:t>9.2集成的方法管理模块，便捷序列编辑功能，支持同序列多方法切换；</w:t>
      </w:r>
    </w:p>
    <w:p>
      <w:pPr>
        <w:spacing w:line="360" w:lineRule="auto"/>
        <w:rPr>
          <w:rFonts w:ascii="宋体" w:hAnsi="宋体"/>
          <w:szCs w:val="21"/>
        </w:rPr>
      </w:pPr>
      <w:r>
        <w:rPr>
          <w:rFonts w:hint="eastAsia" w:ascii="宋体" w:hAnsi="宋体"/>
          <w:szCs w:val="21"/>
        </w:rPr>
        <w:t>9.3 可通过主菜单快速查看和加载最近使用的方法、序列和结果文件；</w:t>
      </w:r>
    </w:p>
    <w:p>
      <w:pPr>
        <w:spacing w:line="360" w:lineRule="auto"/>
        <w:rPr>
          <w:rFonts w:ascii="宋体" w:hAnsi="宋体"/>
          <w:szCs w:val="21"/>
        </w:rPr>
      </w:pPr>
      <w:r>
        <w:rPr>
          <w:rFonts w:hint="eastAsia" w:ascii="宋体" w:hAnsi="宋体"/>
          <w:szCs w:val="21"/>
        </w:rPr>
        <w:t>9.4支持多样品信息快速导入，</w:t>
      </w:r>
      <w:r>
        <w:rPr>
          <w:rFonts w:ascii="宋体" w:hAnsi="宋体"/>
          <w:szCs w:val="21"/>
        </w:rPr>
        <w:t>可在excel下直接编辑及导入仪器操作软件，无需再次重复编辑信息；支持扫码器直接导入编码</w:t>
      </w:r>
      <w:r>
        <w:rPr>
          <w:rFonts w:hint="eastAsia" w:ascii="宋体" w:hAnsi="宋体"/>
          <w:szCs w:val="21"/>
        </w:rPr>
        <w:t>（提供软件截图）</w:t>
      </w:r>
    </w:p>
    <w:p>
      <w:pPr>
        <w:spacing w:line="360" w:lineRule="auto"/>
        <w:rPr>
          <w:rFonts w:ascii="宋体" w:hAnsi="宋体"/>
          <w:szCs w:val="21"/>
        </w:rPr>
      </w:pPr>
      <w:r>
        <w:rPr>
          <w:rFonts w:hint="eastAsia" w:ascii="宋体" w:hAnsi="宋体"/>
          <w:szCs w:val="21"/>
        </w:rPr>
        <w:t>9.5提供向导式操作功能，实现一站式运行；</w:t>
      </w:r>
    </w:p>
    <w:p>
      <w:pPr>
        <w:spacing w:line="360" w:lineRule="auto"/>
        <w:rPr>
          <w:rFonts w:ascii="宋体" w:hAnsi="宋体"/>
          <w:szCs w:val="21"/>
        </w:rPr>
      </w:pPr>
      <w:r>
        <w:rPr>
          <w:rFonts w:hint="eastAsia" w:ascii="宋体" w:hAnsi="宋体"/>
          <w:szCs w:val="21"/>
        </w:rPr>
        <w:t>9.6 具备漂移软校准功能、QCP质控功能，支持多标曲自动检测（提供漂移校准证明文件）；</w:t>
      </w:r>
    </w:p>
    <w:p>
      <w:pPr>
        <w:spacing w:line="360" w:lineRule="auto"/>
        <w:rPr>
          <w:rFonts w:ascii="宋体" w:hAnsi="宋体"/>
          <w:szCs w:val="21"/>
        </w:rPr>
      </w:pPr>
      <w:r>
        <w:rPr>
          <w:rFonts w:hint="eastAsia" w:ascii="宋体" w:hAnsi="宋体"/>
          <w:szCs w:val="21"/>
        </w:rPr>
        <w:t>9.7独立数据分析模块，支持多数据文件同时打开，切换处理；</w:t>
      </w:r>
    </w:p>
    <w:p>
      <w:pPr>
        <w:spacing w:line="360" w:lineRule="auto"/>
        <w:rPr>
          <w:rFonts w:ascii="宋体" w:hAnsi="宋体"/>
          <w:szCs w:val="21"/>
        </w:rPr>
      </w:pPr>
      <w:r>
        <w:rPr>
          <w:rFonts w:hint="eastAsia" w:ascii="宋体" w:hAnsi="宋体"/>
          <w:szCs w:val="21"/>
        </w:rPr>
        <w:t>9.8信号曲线实时监测，支持多道信号谱图实时显示，可加载背景谱图进行对比；</w:t>
      </w:r>
    </w:p>
    <w:p>
      <w:pPr>
        <w:spacing w:line="360" w:lineRule="auto"/>
        <w:rPr>
          <w:rFonts w:ascii="宋体" w:hAnsi="宋体"/>
          <w:szCs w:val="21"/>
        </w:rPr>
      </w:pPr>
      <w:r>
        <w:rPr>
          <w:rFonts w:hint="eastAsia" w:ascii="宋体" w:hAnsi="宋体"/>
          <w:szCs w:val="21"/>
        </w:rPr>
        <w:t>9.9灵活报告模版，内置简单、通用、详细及多种性能测试报告模版，可按需选择；支持自定义模版；</w:t>
      </w:r>
    </w:p>
    <w:p>
      <w:pPr>
        <w:spacing w:line="360" w:lineRule="auto"/>
        <w:rPr>
          <w:rFonts w:ascii="宋体" w:hAnsi="宋体"/>
          <w:szCs w:val="21"/>
        </w:rPr>
      </w:pPr>
      <w:r>
        <w:rPr>
          <w:rFonts w:hint="eastAsia" w:ascii="宋体" w:hAnsi="宋体"/>
          <w:szCs w:val="21"/>
        </w:rPr>
        <w:t>9.10检测结果可以转换成至少5种以上常用文件格式，包括pdf、xlsx、doc、txt等，支持LIMS数据读取。</w:t>
      </w:r>
    </w:p>
    <w:p>
      <w:pPr>
        <w:spacing w:line="360" w:lineRule="auto"/>
        <w:rPr>
          <w:rFonts w:ascii="宋体" w:hAnsi="宋体"/>
          <w:szCs w:val="21"/>
        </w:rPr>
      </w:pPr>
      <w:r>
        <w:rPr>
          <w:rFonts w:hint="eastAsia" w:ascii="宋体" w:hAnsi="宋体"/>
          <w:szCs w:val="21"/>
        </w:rPr>
        <w:t>9.11具备用户权限管理，审计追踪功能，管理员可对日志进行分类查阅和其他处理，自动记录用户的重要操作，符合GMP/GLP要求（提供软件截图）</w:t>
      </w:r>
    </w:p>
    <w:p>
      <w:pPr>
        <w:spacing w:line="360" w:lineRule="auto"/>
        <w:rPr>
          <w:rFonts w:ascii="宋体" w:hAnsi="宋体"/>
          <w:szCs w:val="21"/>
        </w:rPr>
      </w:pPr>
      <w:r>
        <w:rPr>
          <w:rFonts w:hint="eastAsia" w:ascii="宋体" w:hAnsi="宋体"/>
          <w:szCs w:val="21"/>
        </w:rPr>
        <w:t xml:space="preserve">9.12 </w:t>
      </w:r>
      <w:r>
        <w:rPr>
          <w:rFonts w:ascii="宋体" w:hAnsi="宋体"/>
          <w:szCs w:val="21"/>
        </w:rPr>
        <w:t>具备</w:t>
      </w:r>
      <w:r>
        <w:rPr>
          <w:rFonts w:hint="eastAsia" w:ascii="宋体" w:hAnsi="宋体"/>
          <w:szCs w:val="21"/>
        </w:rPr>
        <w:t>自动清洗、大流量吹扫功能（提供软件截图）</w:t>
      </w:r>
    </w:p>
    <w:p>
      <w:pPr>
        <w:spacing w:line="360" w:lineRule="auto"/>
        <w:rPr>
          <w:rFonts w:ascii="宋体" w:hAnsi="宋体"/>
          <w:szCs w:val="21"/>
        </w:rPr>
      </w:pPr>
      <w:r>
        <w:rPr>
          <w:rFonts w:hint="eastAsia" w:ascii="宋体" w:hAnsi="宋体"/>
          <w:szCs w:val="21"/>
        </w:rPr>
        <w:t>9.13专用夜间模式，支持仪器运行结束后休眠，以及定时自动唤醒并执行预热功能，支持静态预热和动态预热功能（提供软件截图）；</w:t>
      </w:r>
    </w:p>
    <w:p>
      <w:pPr>
        <w:spacing w:line="360" w:lineRule="auto"/>
        <w:rPr>
          <w:rFonts w:ascii="宋体" w:hAnsi="宋体"/>
          <w:szCs w:val="21"/>
        </w:rPr>
      </w:pPr>
      <w:r>
        <w:rPr>
          <w:rFonts w:hint="eastAsia" w:ascii="宋体" w:hAnsi="宋体"/>
          <w:szCs w:val="21"/>
        </w:rPr>
        <w:t>9.14支持用户自定义软件风格，配置主题、色调和子窗口；</w:t>
      </w:r>
    </w:p>
    <w:p>
      <w:pPr>
        <w:spacing w:line="360" w:lineRule="auto"/>
        <w:rPr>
          <w:rFonts w:ascii="宋体" w:hAnsi="宋体"/>
          <w:szCs w:val="21"/>
        </w:rPr>
      </w:pPr>
      <w:r>
        <w:rPr>
          <w:rFonts w:hint="eastAsia" w:ascii="宋体" w:hAnsi="宋体"/>
          <w:szCs w:val="21"/>
        </w:rPr>
        <w:t>10、监控和报警信息：</w:t>
      </w:r>
    </w:p>
    <w:p>
      <w:pPr>
        <w:spacing w:line="360" w:lineRule="auto"/>
        <w:rPr>
          <w:rFonts w:ascii="宋体" w:hAnsi="宋体"/>
          <w:szCs w:val="21"/>
        </w:rPr>
      </w:pPr>
      <w:r>
        <w:rPr>
          <w:rFonts w:hint="eastAsia" w:ascii="宋体" w:hAnsi="宋体"/>
          <w:szCs w:val="21"/>
        </w:rPr>
        <w:t>10.1 具有全方位传感系统，低压报警、炉丝电流监测等；</w:t>
      </w:r>
    </w:p>
    <w:p>
      <w:pPr>
        <w:spacing w:line="360" w:lineRule="auto"/>
        <w:rPr>
          <w:rFonts w:ascii="宋体" w:hAnsi="宋体"/>
          <w:szCs w:val="21"/>
        </w:rPr>
      </w:pPr>
      <w:r>
        <w:rPr>
          <w:rFonts w:hint="eastAsia" w:ascii="宋体" w:hAnsi="宋体"/>
          <w:szCs w:val="21"/>
        </w:rPr>
        <w:t>10.2 运行保护报警系统，无载气安全保护、炉丝短路断路保护、气路漏气保护、氢化物反应剧烈保护；</w:t>
      </w:r>
    </w:p>
    <w:p>
      <w:pPr>
        <w:spacing w:before="100" w:after="100" w:line="360" w:lineRule="auto"/>
        <w:rPr>
          <w:rFonts w:ascii="宋体" w:hAnsi="宋体"/>
          <w:b/>
          <w:bCs/>
        </w:rPr>
      </w:pPr>
      <w:r>
        <w:rPr>
          <w:rFonts w:hint="eastAsia" w:ascii="宋体" w:hAnsi="宋体"/>
          <w:b/>
          <w:bCs/>
        </w:rPr>
        <w:t>2、形态分析蒸气发生装置技术指标及性能要求：</w:t>
      </w:r>
    </w:p>
    <w:p>
      <w:pPr>
        <w:spacing w:line="360" w:lineRule="auto"/>
        <w:rPr>
          <w:rFonts w:ascii="宋体" w:hAnsi="宋体"/>
        </w:rPr>
      </w:pPr>
      <w:r>
        <w:rPr>
          <w:rFonts w:hint="eastAsia" w:ascii="宋体" w:hAnsi="宋体"/>
        </w:rPr>
        <w:t>2.1、全自动的总量/形态切换功能。</w:t>
      </w:r>
    </w:p>
    <w:p>
      <w:pPr>
        <w:spacing w:line="360" w:lineRule="auto"/>
        <w:rPr>
          <w:rFonts w:ascii="宋体" w:hAnsi="宋体"/>
        </w:rPr>
      </w:pPr>
      <w:r>
        <w:rPr>
          <w:rFonts w:hint="eastAsia"/>
          <w:color w:val="000000"/>
          <w:kern w:val="0"/>
          <w:szCs w:val="21"/>
        </w:rPr>
        <w:t>*</w:t>
      </w:r>
      <w:r>
        <w:rPr>
          <w:rFonts w:hint="eastAsia" w:ascii="宋体" w:hAnsi="宋体"/>
        </w:rPr>
        <w:t>2.2、全自动的紫外/非紫外管路切换功能</w:t>
      </w:r>
      <w:r>
        <w:rPr>
          <w:rFonts w:hint="eastAsia" w:ascii="宋体" w:hAnsi="宋体"/>
          <w:b/>
          <w:bCs/>
        </w:rPr>
        <w:t>(须提供证明文件）</w:t>
      </w:r>
      <w:r>
        <w:rPr>
          <w:rFonts w:hint="eastAsia" w:ascii="宋体" w:hAnsi="宋体"/>
        </w:rPr>
        <w:t>。</w:t>
      </w:r>
    </w:p>
    <w:p>
      <w:pPr>
        <w:spacing w:line="360" w:lineRule="auto"/>
        <w:rPr>
          <w:rFonts w:ascii="宋体" w:hAnsi="宋体"/>
        </w:rPr>
      </w:pPr>
      <w:r>
        <w:rPr>
          <w:rFonts w:hint="eastAsia" w:ascii="宋体" w:hAnsi="宋体"/>
        </w:rPr>
        <w:t>2.3、全自动开关紫外消解灯。</w:t>
      </w:r>
    </w:p>
    <w:p>
      <w:pPr>
        <w:spacing w:line="360" w:lineRule="auto"/>
        <w:rPr>
          <w:rFonts w:ascii="宋体" w:hAnsi="宋体"/>
        </w:rPr>
      </w:pPr>
      <w:r>
        <w:rPr>
          <w:rFonts w:hint="eastAsia" w:ascii="宋体" w:hAnsi="宋体"/>
        </w:rPr>
        <w:t>2.4、需具备能够直观显示仪器的所处状态的多色LED显示屏。</w:t>
      </w:r>
    </w:p>
    <w:p>
      <w:pPr>
        <w:spacing w:line="360" w:lineRule="auto"/>
        <w:rPr>
          <w:rFonts w:ascii="宋体" w:hAnsi="宋体"/>
        </w:rPr>
      </w:pPr>
      <w:r>
        <w:rPr>
          <w:rFonts w:hint="eastAsia" w:ascii="宋体" w:hAnsi="宋体"/>
        </w:rPr>
        <w:t>2.5、须采用灯内消解的紫外消解单元。</w:t>
      </w:r>
    </w:p>
    <w:p>
      <w:pPr>
        <w:spacing w:line="360" w:lineRule="auto"/>
        <w:rPr>
          <w:rFonts w:ascii="宋体" w:hAnsi="宋体"/>
        </w:rPr>
      </w:pPr>
      <w:r>
        <w:rPr>
          <w:rFonts w:hint="eastAsia" w:ascii="宋体" w:hAnsi="宋体"/>
        </w:rPr>
        <w:t>2.6、化学气相发生气液分离装置，大体积设计，适用于剧烈反应，具有功能强大的除水效果，以降低噪声，降低检测限。</w:t>
      </w:r>
    </w:p>
    <w:p>
      <w:pPr>
        <w:spacing w:line="360" w:lineRule="auto"/>
        <w:rPr>
          <w:rFonts w:ascii="宋体" w:hAnsi="宋体"/>
        </w:rPr>
      </w:pPr>
      <w:r>
        <w:rPr>
          <w:rFonts w:hint="eastAsia" w:ascii="宋体" w:hAnsi="宋体"/>
        </w:rPr>
        <w:t>2.7、需配备液相色谱-原子荧光联用仪数据工作站软件。</w:t>
      </w:r>
    </w:p>
    <w:p>
      <w:pPr>
        <w:spacing w:line="360" w:lineRule="auto"/>
        <w:rPr>
          <w:rFonts w:ascii="宋体" w:hAnsi="宋体"/>
        </w:rPr>
      </w:pPr>
      <w:r>
        <w:rPr>
          <w:rFonts w:hint="eastAsia" w:ascii="宋体" w:hAnsi="宋体"/>
        </w:rPr>
        <w:t>2.8、全面的仪器控制，统一的方法管理。</w:t>
      </w:r>
    </w:p>
    <w:p>
      <w:pPr>
        <w:spacing w:line="360" w:lineRule="auto"/>
        <w:rPr>
          <w:rFonts w:ascii="宋体" w:hAnsi="宋体"/>
        </w:rPr>
      </w:pPr>
      <w:r>
        <w:rPr>
          <w:rFonts w:hint="eastAsia" w:ascii="宋体" w:hAnsi="宋体"/>
        </w:rPr>
        <w:t>2.9、混合序列的设置，可保证多种检测需求同时满足，并能做到检测结束后自动清洗、关灯、关火、仪器停止运行等。做到真正的自动化。</w:t>
      </w:r>
    </w:p>
    <w:p>
      <w:pPr>
        <w:spacing w:line="360" w:lineRule="auto"/>
        <w:rPr>
          <w:rFonts w:ascii="宋体" w:hAnsi="宋体"/>
        </w:rPr>
      </w:pPr>
      <w:r>
        <w:rPr>
          <w:rFonts w:hint="eastAsia" w:ascii="宋体" w:hAnsi="宋体"/>
        </w:rPr>
        <w:t>2.10、完善的系统自检。</w:t>
      </w:r>
    </w:p>
    <w:p>
      <w:pPr>
        <w:spacing w:line="360" w:lineRule="auto"/>
        <w:rPr>
          <w:rFonts w:ascii="宋体" w:hAnsi="宋体"/>
        </w:rPr>
      </w:pPr>
      <w:r>
        <w:rPr>
          <w:rFonts w:hint="eastAsia" w:ascii="宋体" w:hAnsi="宋体"/>
        </w:rPr>
        <w:t>2.11、可定义的报告模板。</w:t>
      </w:r>
    </w:p>
    <w:p>
      <w:pPr>
        <w:spacing w:line="360" w:lineRule="auto"/>
        <w:rPr>
          <w:rFonts w:ascii="宋体" w:hAnsi="宋体"/>
        </w:rPr>
      </w:pPr>
      <w:r>
        <w:rPr>
          <w:rFonts w:hint="eastAsia" w:ascii="宋体" w:hAnsi="宋体"/>
        </w:rPr>
        <w:t>2.12、配备独立防腐的溶剂托盘，以便试剂独立存放，安全存放。</w:t>
      </w:r>
    </w:p>
    <w:p>
      <w:pPr>
        <w:spacing w:line="360" w:lineRule="auto"/>
        <w:rPr>
          <w:rFonts w:ascii="宋体" w:hAnsi="宋体"/>
        </w:rPr>
      </w:pPr>
      <w:r>
        <w:rPr>
          <w:rFonts w:hint="eastAsia" w:ascii="宋体" w:hAnsi="宋体"/>
        </w:rPr>
        <w:t>2.13、须具备专用的液相色谱和氢化物发生原子荧光光谱仪接口，以便有效的把柱后流出液和氢化物发生液体混合。</w:t>
      </w:r>
    </w:p>
    <w:p>
      <w:pPr>
        <w:spacing w:line="360" w:lineRule="auto"/>
        <w:rPr>
          <w:rFonts w:ascii="宋体" w:hAnsi="宋体"/>
        </w:rPr>
      </w:pPr>
      <w:r>
        <w:rPr>
          <w:rFonts w:hint="eastAsia" w:ascii="宋体" w:hAnsi="宋体"/>
        </w:rPr>
        <w:t>2.14、形态分析检出限（DL）：</w:t>
      </w:r>
    </w:p>
    <w:p>
      <w:pPr>
        <w:spacing w:line="360" w:lineRule="auto"/>
      </w:pPr>
      <w:r>
        <w:t>As（III）&lt;0.04ng、DMA&lt;0.08ng、MMA&lt;0.08ng、As（V）&lt;0.2ng</w:t>
      </w:r>
      <w:r>
        <w:tab/>
      </w:r>
    </w:p>
    <w:p>
      <w:pPr>
        <w:spacing w:line="360" w:lineRule="auto"/>
      </w:pPr>
      <w:r>
        <w:t>SeCys&lt;0.3ng</w:t>
      </w:r>
      <w:r>
        <w:tab/>
      </w:r>
      <w:r>
        <w:t>SeMeCys&lt;1ng、Se（IV）&lt;0.1ng、SeMet&lt;2ng</w:t>
      </w:r>
    </w:p>
    <w:p>
      <w:pPr>
        <w:spacing w:line="360" w:lineRule="auto"/>
      </w:pPr>
      <w:r>
        <w:t>Hg（II）&lt;0.05ng、MeHg&lt;0.05ng、EtHg&lt;0.05ng、</w:t>
      </w:r>
      <w:r>
        <w:tab/>
      </w:r>
      <w:r>
        <w:t>PhHg&lt;0.1ng</w:t>
      </w:r>
    </w:p>
    <w:p>
      <w:pPr>
        <w:spacing w:line="360" w:lineRule="auto"/>
      </w:pPr>
      <w:r>
        <w:t>Sb（v）&lt;0.5ng、Sb（III）&lt;0.1ng。</w:t>
      </w:r>
    </w:p>
    <w:p>
      <w:pPr>
        <w:spacing w:line="360" w:lineRule="auto"/>
        <w:rPr>
          <w:rFonts w:ascii="宋体" w:hAnsi="宋体"/>
        </w:rPr>
      </w:pPr>
      <w:r>
        <w:rPr>
          <w:rFonts w:hint="eastAsia" w:ascii="宋体" w:hAnsi="宋体"/>
        </w:rPr>
        <w:t>2.15、精密度（RSD）：&lt;4%，分析时间：&lt;12min。</w:t>
      </w:r>
    </w:p>
    <w:p>
      <w:pPr>
        <w:spacing w:line="360" w:lineRule="auto"/>
        <w:rPr>
          <w:rFonts w:ascii="宋体" w:hAnsi="宋体"/>
        </w:rPr>
      </w:pPr>
      <w:r>
        <w:rPr>
          <w:rFonts w:hint="eastAsia" w:ascii="宋体" w:hAnsi="宋体"/>
        </w:rPr>
        <w:t>2.16、线性范围：三个数量级。</w:t>
      </w:r>
    </w:p>
    <w:p>
      <w:pPr>
        <w:spacing w:before="100" w:after="100" w:line="360" w:lineRule="auto"/>
        <w:rPr>
          <w:rFonts w:ascii="宋体" w:hAnsi="宋体"/>
          <w:b/>
          <w:bCs/>
        </w:rPr>
      </w:pPr>
      <w:r>
        <w:rPr>
          <w:rFonts w:hint="eastAsia" w:ascii="宋体" w:hAnsi="宋体"/>
          <w:b/>
          <w:bCs/>
        </w:rPr>
        <w:t>3、形态分析液相色谱装置双泵技术指标与性能要求：</w:t>
      </w:r>
    </w:p>
    <w:p>
      <w:pPr>
        <w:spacing w:line="360" w:lineRule="auto"/>
        <w:rPr>
          <w:rFonts w:ascii="宋体" w:hAnsi="宋体"/>
          <w:kern w:val="0"/>
          <w:lang w:bidi="ar"/>
        </w:rPr>
      </w:pPr>
      <w:r>
        <w:rPr>
          <w:rFonts w:hint="eastAsia" w:ascii="宋体" w:hAnsi="宋体"/>
          <w:kern w:val="0"/>
          <w:lang w:bidi="ar"/>
        </w:rPr>
        <w:t>3.1、须配备双柱塞杆高压二元梯度泵。</w:t>
      </w:r>
    </w:p>
    <w:p>
      <w:pPr>
        <w:spacing w:line="360" w:lineRule="auto"/>
        <w:rPr>
          <w:rFonts w:ascii="宋体" w:hAnsi="宋体"/>
          <w:kern w:val="0"/>
          <w:lang w:bidi="ar"/>
        </w:rPr>
      </w:pPr>
      <w:r>
        <w:rPr>
          <w:rFonts w:hint="eastAsia" w:ascii="宋体" w:hAnsi="宋体"/>
          <w:kern w:val="0"/>
          <w:lang w:bidi="ar"/>
        </w:rPr>
        <w:t>3.2、须配备双色谱柱柱切换阀，无需手动更换，可全自动切换色谱柱。</w:t>
      </w:r>
    </w:p>
    <w:p>
      <w:pPr>
        <w:spacing w:line="360" w:lineRule="auto"/>
        <w:rPr>
          <w:rFonts w:ascii="宋体" w:hAnsi="宋体"/>
          <w:kern w:val="0"/>
          <w:lang w:bidi="ar"/>
        </w:rPr>
      </w:pPr>
      <w:r>
        <w:rPr>
          <w:rFonts w:hint="eastAsia" w:ascii="宋体" w:hAnsi="宋体"/>
          <w:kern w:val="0"/>
          <w:lang w:bidi="ar"/>
        </w:rPr>
        <w:t>3.3、配备前置大体积双色谱柱柱温箱，控温范围30℃-80℃。</w:t>
      </w:r>
    </w:p>
    <w:p>
      <w:pPr>
        <w:spacing w:line="360" w:lineRule="auto"/>
        <w:rPr>
          <w:rFonts w:ascii="宋体" w:hAnsi="宋体"/>
          <w:kern w:val="0"/>
          <w:lang w:bidi="ar"/>
        </w:rPr>
      </w:pPr>
      <w:r>
        <w:rPr>
          <w:rFonts w:hint="eastAsia" w:ascii="宋体" w:hAnsi="宋体"/>
          <w:kern w:val="0"/>
          <w:lang w:bidi="ar"/>
        </w:rPr>
        <w:t>3.4、流速：0.01-9.99ml/min（10ml泵头）。</w:t>
      </w:r>
    </w:p>
    <w:p>
      <w:pPr>
        <w:spacing w:line="360" w:lineRule="auto"/>
        <w:rPr>
          <w:rFonts w:ascii="宋体" w:hAnsi="宋体"/>
          <w:kern w:val="0"/>
          <w:lang w:bidi="ar"/>
        </w:rPr>
      </w:pPr>
      <w:r>
        <w:rPr>
          <w:rFonts w:hint="eastAsia" w:ascii="宋体" w:hAnsi="宋体"/>
          <w:kern w:val="0"/>
          <w:lang w:bidi="ar"/>
        </w:rPr>
        <w:t>3.5、最大压力：≥45MPa。</w:t>
      </w:r>
    </w:p>
    <w:p>
      <w:pPr>
        <w:spacing w:line="360" w:lineRule="auto"/>
        <w:rPr>
          <w:rFonts w:ascii="宋体" w:hAnsi="宋体"/>
          <w:kern w:val="0"/>
          <w:lang w:bidi="ar"/>
        </w:rPr>
      </w:pPr>
      <w:r>
        <w:rPr>
          <w:rFonts w:hint="eastAsia" w:ascii="宋体" w:hAnsi="宋体"/>
          <w:kern w:val="0"/>
          <w:lang w:bidi="ar"/>
        </w:rPr>
        <w:t>3.6、流速重现性:0.03% (1mL/min 二次水 室温)。</w:t>
      </w:r>
    </w:p>
    <w:p>
      <w:pPr>
        <w:spacing w:line="360" w:lineRule="auto"/>
        <w:rPr>
          <w:rFonts w:ascii="宋体" w:hAnsi="宋体"/>
          <w:kern w:val="0"/>
          <w:lang w:bidi="ar"/>
        </w:rPr>
      </w:pPr>
      <w:r>
        <w:rPr>
          <w:rFonts w:hint="eastAsia" w:ascii="宋体" w:hAnsi="宋体"/>
          <w:kern w:val="0"/>
          <w:lang w:bidi="ar"/>
        </w:rPr>
        <w:t>3.7、流量精度：±0.14%(1mL/min 二次水 室温)。</w:t>
      </w:r>
    </w:p>
    <w:p>
      <w:pPr>
        <w:spacing w:line="360" w:lineRule="auto"/>
        <w:rPr>
          <w:rFonts w:ascii="宋体" w:hAnsi="宋体"/>
          <w:kern w:val="0"/>
          <w:lang w:bidi="ar"/>
        </w:rPr>
      </w:pPr>
      <w:r>
        <w:rPr>
          <w:rFonts w:hint="eastAsia" w:ascii="宋体" w:hAnsi="宋体"/>
          <w:kern w:val="0"/>
          <w:lang w:bidi="ar"/>
        </w:rPr>
        <w:t>3.8、系统保护：可对最大最小压力进行设置保护。</w:t>
      </w:r>
    </w:p>
    <w:p>
      <w:pPr>
        <w:spacing w:line="360" w:lineRule="auto"/>
        <w:rPr>
          <w:rFonts w:ascii="宋体" w:hAnsi="宋体"/>
          <w:kern w:val="0"/>
          <w:lang w:bidi="ar"/>
        </w:rPr>
      </w:pPr>
      <w:r>
        <w:rPr>
          <w:rFonts w:hint="eastAsia" w:ascii="宋体" w:hAnsi="宋体"/>
          <w:kern w:val="0"/>
          <w:lang w:bidi="ar"/>
        </w:rPr>
        <w:t>3.9、须配备专用的液相色谱和氢化物发生原子荧光光谱仪接口，以便有效的把柱后流出液和氢化物发生液体混合。</w:t>
      </w:r>
    </w:p>
    <w:p>
      <w:pPr>
        <w:spacing w:before="100" w:after="100" w:line="360" w:lineRule="auto"/>
        <w:rPr>
          <w:rFonts w:ascii="宋体" w:hAnsi="宋体"/>
          <w:b/>
          <w:bCs/>
        </w:rPr>
      </w:pPr>
      <w:r>
        <w:rPr>
          <w:rFonts w:hint="eastAsia" w:ascii="宋体" w:hAnsi="宋体"/>
          <w:b/>
          <w:bCs/>
        </w:rPr>
        <w:t xml:space="preserve">4、自动进样器技术指标与性能要求： </w:t>
      </w:r>
    </w:p>
    <w:p>
      <w:pPr>
        <w:spacing w:line="360" w:lineRule="auto"/>
        <w:rPr>
          <w:rFonts w:ascii="宋体" w:hAnsi="宋体"/>
          <w:kern w:val="0"/>
          <w:lang w:bidi="ar"/>
        </w:rPr>
      </w:pPr>
      <w:r>
        <w:rPr>
          <w:rFonts w:hint="eastAsia" w:ascii="宋体" w:hAnsi="宋体"/>
          <w:kern w:val="0"/>
          <w:lang w:bidi="ar"/>
        </w:rPr>
        <w:t>4.1、进样范围：0</w:t>
      </w:r>
      <w:r>
        <w:rPr>
          <w:rFonts w:ascii="宋体" w:hAnsi="宋体"/>
          <w:kern w:val="0"/>
          <w:lang w:bidi="ar"/>
        </w:rPr>
        <w:t>-100uL</w:t>
      </w:r>
    </w:p>
    <w:p>
      <w:pPr>
        <w:spacing w:line="360" w:lineRule="auto"/>
        <w:rPr>
          <w:rFonts w:ascii="宋体" w:hAnsi="宋体"/>
          <w:kern w:val="0"/>
          <w:lang w:bidi="ar"/>
        </w:rPr>
      </w:pPr>
      <w:r>
        <w:rPr>
          <w:rFonts w:hint="eastAsia" w:ascii="宋体" w:hAnsi="宋体"/>
          <w:kern w:val="0"/>
          <w:lang w:bidi="ar"/>
        </w:rPr>
        <w:t>4.2、进样重复性：满样品环进样R</w:t>
      </w:r>
      <w:r>
        <w:rPr>
          <w:rFonts w:ascii="宋体" w:hAnsi="宋体"/>
          <w:kern w:val="0"/>
          <w:lang w:bidi="ar"/>
        </w:rPr>
        <w:t>SD&lt;0.3%</w:t>
      </w:r>
      <w:r>
        <w:rPr>
          <w:rFonts w:hint="eastAsia" w:ascii="宋体" w:hAnsi="宋体"/>
          <w:kern w:val="0"/>
          <w:lang w:bidi="ar"/>
        </w:rPr>
        <w:t>；部分体积进样有损进样R</w:t>
      </w:r>
      <w:r>
        <w:rPr>
          <w:rFonts w:ascii="宋体" w:hAnsi="宋体"/>
          <w:kern w:val="0"/>
          <w:lang w:bidi="ar"/>
        </w:rPr>
        <w:t>SD</w:t>
      </w:r>
      <w:r>
        <w:rPr>
          <w:rFonts w:hint="eastAsia" w:ascii="宋体" w:hAnsi="宋体"/>
          <w:kern w:val="0"/>
          <w:lang w:bidi="ar"/>
        </w:rPr>
        <w:t>&lt;0.5%；部分体积进样无损进样R</w:t>
      </w:r>
      <w:r>
        <w:rPr>
          <w:rFonts w:ascii="宋体" w:hAnsi="宋体"/>
          <w:kern w:val="0"/>
          <w:lang w:bidi="ar"/>
        </w:rPr>
        <w:t>SD&lt;</w:t>
      </w:r>
      <w:r>
        <w:rPr>
          <w:rFonts w:hint="eastAsia" w:ascii="宋体" w:hAnsi="宋体"/>
          <w:kern w:val="0"/>
          <w:lang w:bidi="ar"/>
        </w:rPr>
        <w:t>1.0%。</w:t>
      </w:r>
    </w:p>
    <w:p>
      <w:pPr>
        <w:spacing w:line="360" w:lineRule="auto"/>
        <w:rPr>
          <w:rFonts w:ascii="宋体" w:hAnsi="宋体"/>
          <w:kern w:val="0"/>
          <w:lang w:bidi="ar"/>
        </w:rPr>
      </w:pPr>
      <w:r>
        <w:rPr>
          <w:rFonts w:hint="eastAsia" w:ascii="宋体" w:hAnsi="宋体"/>
          <w:kern w:val="0"/>
          <w:lang w:bidi="ar"/>
        </w:rPr>
        <w:t>4.3、进样线性：</w:t>
      </w:r>
      <w:r>
        <w:rPr>
          <w:szCs w:val="21"/>
        </w:rPr>
        <w:t>R</w:t>
      </w:r>
      <w:r>
        <w:rPr>
          <w:szCs w:val="21"/>
          <w:vertAlign w:val="superscript"/>
        </w:rPr>
        <w:t>2</w:t>
      </w:r>
      <w:r>
        <w:rPr>
          <w:szCs w:val="21"/>
        </w:rPr>
        <w:t>＞0.999</w:t>
      </w:r>
      <w:r>
        <w:rPr>
          <w:rFonts w:hint="eastAsia" w:ascii="宋体" w:hAnsi="宋体"/>
          <w:kern w:val="0"/>
          <w:lang w:bidi="ar"/>
        </w:rPr>
        <w:t xml:space="preserve"> 。</w:t>
      </w:r>
    </w:p>
    <w:p>
      <w:pPr>
        <w:spacing w:line="360" w:lineRule="auto"/>
        <w:rPr>
          <w:rFonts w:ascii="宋体" w:hAnsi="宋体"/>
          <w:kern w:val="0"/>
          <w:lang w:bidi="ar"/>
        </w:rPr>
      </w:pPr>
      <w:r>
        <w:rPr>
          <w:rFonts w:hint="eastAsia" w:ascii="宋体" w:hAnsi="宋体"/>
          <w:kern w:val="0"/>
          <w:lang w:bidi="ar"/>
        </w:rPr>
        <w:t>4.4、样品残留：&lt;</w:t>
      </w:r>
      <w:r>
        <w:rPr>
          <w:rFonts w:ascii="宋体" w:hAnsi="宋体"/>
          <w:kern w:val="0"/>
          <w:lang w:bidi="ar"/>
        </w:rPr>
        <w:t>0.01%</w:t>
      </w:r>
      <w:r>
        <w:rPr>
          <w:rFonts w:hint="eastAsia" w:ascii="宋体" w:hAnsi="宋体"/>
          <w:kern w:val="0"/>
          <w:lang w:bidi="ar"/>
        </w:rPr>
        <w:t>。</w:t>
      </w:r>
    </w:p>
    <w:p>
      <w:pPr>
        <w:spacing w:line="360" w:lineRule="auto"/>
        <w:rPr>
          <w:rFonts w:ascii="宋体" w:hAnsi="宋体"/>
          <w:kern w:val="0"/>
          <w:lang w:bidi="ar"/>
        </w:rPr>
      </w:pPr>
      <w:r>
        <w:rPr>
          <w:rFonts w:ascii="宋体" w:hAnsi="宋体"/>
          <w:kern w:val="0"/>
          <w:lang w:bidi="ar"/>
        </w:rPr>
        <w:t>4.5</w:t>
      </w:r>
      <w:r>
        <w:rPr>
          <w:rFonts w:hint="eastAsia" w:ascii="宋体" w:hAnsi="宋体"/>
          <w:kern w:val="0"/>
          <w:lang w:bidi="ar"/>
        </w:rPr>
        <w:t>、最高压力：35</w:t>
      </w:r>
      <w:r>
        <w:rPr>
          <w:rFonts w:ascii="宋体" w:hAnsi="宋体"/>
          <w:kern w:val="0"/>
          <w:lang w:bidi="ar"/>
        </w:rPr>
        <w:t>MP</w:t>
      </w:r>
      <w:r>
        <w:rPr>
          <w:rFonts w:hint="eastAsia" w:ascii="宋体" w:hAnsi="宋体"/>
          <w:kern w:val="0"/>
          <w:lang w:bidi="ar"/>
        </w:rPr>
        <w:t>a。</w:t>
      </w:r>
    </w:p>
    <w:p>
      <w:pPr>
        <w:spacing w:line="360" w:lineRule="auto"/>
        <w:rPr>
          <w:rFonts w:ascii="宋体" w:hAnsi="宋体"/>
          <w:kern w:val="0"/>
          <w:lang w:bidi="ar"/>
        </w:rPr>
      </w:pPr>
      <w:r>
        <w:rPr>
          <w:rFonts w:hint="eastAsia" w:ascii="宋体" w:hAnsi="宋体"/>
          <w:kern w:val="0"/>
          <w:lang w:bidi="ar"/>
        </w:rPr>
        <w:t>4.6、通讯方式：U</w:t>
      </w:r>
      <w:r>
        <w:rPr>
          <w:rFonts w:ascii="宋体" w:hAnsi="宋体"/>
          <w:kern w:val="0"/>
          <w:lang w:bidi="ar"/>
        </w:rPr>
        <w:t>DP</w:t>
      </w:r>
      <w:r>
        <w:rPr>
          <w:rFonts w:hint="eastAsia" w:ascii="宋体" w:hAnsi="宋体"/>
          <w:kern w:val="0"/>
          <w:lang w:bidi="ar"/>
        </w:rPr>
        <w:t>网络通讯</w:t>
      </w:r>
    </w:p>
    <w:p>
      <w:pPr>
        <w:spacing w:line="360" w:lineRule="auto"/>
        <w:rPr>
          <w:rFonts w:ascii="宋体" w:hAnsi="宋体"/>
          <w:kern w:val="0"/>
          <w:lang w:bidi="ar"/>
        </w:rPr>
      </w:pPr>
      <w:r>
        <w:rPr>
          <w:rFonts w:hint="eastAsia" w:ascii="宋体" w:hAnsi="宋体"/>
          <w:kern w:val="0"/>
          <w:lang w:bidi="ar"/>
        </w:rPr>
        <w:t>4.7、晋阳触发：数字模式、模拟模式</w:t>
      </w:r>
    </w:p>
    <w:p>
      <w:pPr>
        <w:numPr>
          <w:ilvl w:val="0"/>
          <w:numId w:val="18"/>
        </w:numPr>
        <w:spacing w:before="100" w:after="100" w:line="360" w:lineRule="auto"/>
        <w:rPr>
          <w:rFonts w:ascii="宋体" w:hAnsi="宋体"/>
          <w:b/>
          <w:bCs/>
        </w:rPr>
      </w:pPr>
      <w:r>
        <w:rPr>
          <w:rFonts w:hint="eastAsia" w:ascii="宋体" w:hAnsi="宋体"/>
          <w:b/>
          <w:bCs/>
        </w:rPr>
        <w:t>配置要求</w:t>
      </w:r>
    </w:p>
    <w:tbl>
      <w:tblPr>
        <w:tblStyle w:val="15"/>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885"/>
        <w:gridCol w:w="82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b/>
                <w:bCs/>
                <w:kern w:val="0"/>
              </w:rPr>
            </w:pPr>
            <w:r>
              <w:rPr>
                <w:rFonts w:hint="eastAsia" w:ascii="宋体" w:hAnsi="宋体"/>
                <w:b/>
                <w:bCs/>
                <w:kern w:val="0"/>
              </w:rPr>
              <w:t>序号</w:t>
            </w:r>
          </w:p>
        </w:tc>
        <w:tc>
          <w:tcPr>
            <w:tcW w:w="3885" w:type="dxa"/>
            <w:vAlign w:val="center"/>
          </w:tcPr>
          <w:p>
            <w:pPr>
              <w:jc w:val="center"/>
              <w:rPr>
                <w:rFonts w:ascii="宋体" w:hAnsi="宋体"/>
                <w:b/>
                <w:bCs/>
                <w:kern w:val="0"/>
              </w:rPr>
            </w:pPr>
            <w:r>
              <w:rPr>
                <w:rFonts w:hint="eastAsia" w:ascii="宋体" w:hAnsi="宋体"/>
                <w:b/>
                <w:bCs/>
                <w:kern w:val="0"/>
              </w:rPr>
              <w:t>名称</w:t>
            </w:r>
          </w:p>
        </w:tc>
        <w:tc>
          <w:tcPr>
            <w:tcW w:w="825" w:type="dxa"/>
            <w:vAlign w:val="center"/>
          </w:tcPr>
          <w:p>
            <w:pPr>
              <w:jc w:val="center"/>
              <w:rPr>
                <w:rFonts w:ascii="宋体" w:hAnsi="宋体"/>
                <w:b/>
                <w:bCs/>
                <w:kern w:val="0"/>
              </w:rPr>
            </w:pPr>
            <w:r>
              <w:rPr>
                <w:rFonts w:hint="eastAsia" w:ascii="宋体" w:hAnsi="宋体"/>
                <w:b/>
                <w:bCs/>
                <w:kern w:val="0"/>
              </w:rPr>
              <w:t>数量</w:t>
            </w:r>
          </w:p>
        </w:tc>
        <w:tc>
          <w:tcPr>
            <w:tcW w:w="3045" w:type="dxa"/>
            <w:vAlign w:val="center"/>
          </w:tcPr>
          <w:p>
            <w:pPr>
              <w:jc w:val="center"/>
              <w:rPr>
                <w:rFonts w:ascii="宋体" w:hAnsi="宋体"/>
                <w:b/>
                <w:bCs/>
                <w:kern w:val="0"/>
              </w:rPr>
            </w:pPr>
            <w:r>
              <w:rPr>
                <w:rFonts w:hint="eastAsia" w:ascii="宋体" w:hAnsi="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1</w:t>
            </w:r>
          </w:p>
        </w:tc>
        <w:tc>
          <w:tcPr>
            <w:tcW w:w="3885" w:type="dxa"/>
            <w:vAlign w:val="center"/>
          </w:tcPr>
          <w:p>
            <w:pPr>
              <w:jc w:val="center"/>
              <w:rPr>
                <w:rFonts w:ascii="宋体" w:hAnsi="宋体"/>
                <w:kern w:val="0"/>
              </w:rPr>
            </w:pPr>
            <w:r>
              <w:rPr>
                <w:rFonts w:hint="eastAsia" w:ascii="宋体" w:hAnsi="宋体"/>
                <w:kern w:val="0"/>
              </w:rPr>
              <w:t>原子荧光光谱仪主机</w:t>
            </w:r>
          </w:p>
        </w:tc>
        <w:tc>
          <w:tcPr>
            <w:tcW w:w="825" w:type="dxa"/>
            <w:vAlign w:val="center"/>
          </w:tcPr>
          <w:p>
            <w:pPr>
              <w:jc w:val="center"/>
              <w:rPr>
                <w:rFonts w:ascii="宋体" w:hAnsi="宋体"/>
                <w:kern w:val="0"/>
              </w:rPr>
            </w:pPr>
            <w:r>
              <w:rPr>
                <w:rFonts w:hint="eastAsia" w:ascii="宋体" w:hAnsi="宋体"/>
                <w:kern w:val="0"/>
              </w:rPr>
              <w:t>1套</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2</w:t>
            </w:r>
          </w:p>
        </w:tc>
        <w:tc>
          <w:tcPr>
            <w:tcW w:w="3885" w:type="dxa"/>
            <w:vAlign w:val="center"/>
          </w:tcPr>
          <w:p>
            <w:pPr>
              <w:jc w:val="center"/>
              <w:rPr>
                <w:rFonts w:ascii="宋体" w:hAnsi="宋体"/>
                <w:kern w:val="0"/>
              </w:rPr>
            </w:pPr>
            <w:r>
              <w:rPr>
                <w:rFonts w:hint="eastAsia" w:ascii="宋体" w:hAnsi="宋体"/>
                <w:kern w:val="0"/>
              </w:rPr>
              <w:t>原子荧光自动进样器</w:t>
            </w:r>
          </w:p>
        </w:tc>
        <w:tc>
          <w:tcPr>
            <w:tcW w:w="825" w:type="dxa"/>
            <w:vAlign w:val="center"/>
          </w:tcPr>
          <w:p>
            <w:pPr>
              <w:jc w:val="center"/>
              <w:rPr>
                <w:rFonts w:ascii="宋体" w:hAnsi="宋体"/>
                <w:kern w:val="0"/>
              </w:rPr>
            </w:pPr>
            <w:r>
              <w:rPr>
                <w:rFonts w:hint="eastAsia" w:ascii="宋体" w:hAnsi="宋体"/>
                <w:kern w:val="0"/>
              </w:rPr>
              <w:t>1套</w:t>
            </w:r>
          </w:p>
        </w:tc>
        <w:tc>
          <w:tcPr>
            <w:tcW w:w="3045" w:type="dxa"/>
            <w:vAlign w:val="center"/>
          </w:tcPr>
          <w:p>
            <w:pPr>
              <w:jc w:val="center"/>
              <w:rPr>
                <w:rFonts w:ascii="宋体" w:hAnsi="宋体"/>
                <w:kern w:val="0"/>
              </w:rPr>
            </w:pPr>
            <w:r>
              <w:rPr>
                <w:rFonts w:hint="eastAsia" w:ascii="宋体" w:hAnsi="宋体"/>
                <w:kern w:val="0"/>
              </w:rPr>
              <w:t>160位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3</w:t>
            </w:r>
          </w:p>
        </w:tc>
        <w:tc>
          <w:tcPr>
            <w:tcW w:w="3885" w:type="dxa"/>
            <w:vAlign w:val="center"/>
          </w:tcPr>
          <w:p>
            <w:pPr>
              <w:jc w:val="center"/>
              <w:rPr>
                <w:rFonts w:ascii="宋体" w:hAnsi="宋体"/>
                <w:kern w:val="0"/>
              </w:rPr>
            </w:pPr>
            <w:r>
              <w:rPr>
                <w:rFonts w:hint="eastAsia" w:ascii="宋体" w:hAnsi="宋体"/>
                <w:kern w:val="0"/>
              </w:rPr>
              <w:t>高压输液泵</w:t>
            </w:r>
          </w:p>
        </w:tc>
        <w:tc>
          <w:tcPr>
            <w:tcW w:w="825" w:type="dxa"/>
            <w:vAlign w:val="center"/>
          </w:tcPr>
          <w:p>
            <w:pPr>
              <w:jc w:val="center"/>
              <w:rPr>
                <w:rFonts w:ascii="宋体" w:hAnsi="宋体"/>
                <w:kern w:val="0"/>
              </w:rPr>
            </w:pPr>
            <w:r>
              <w:rPr>
                <w:rFonts w:hint="eastAsia" w:ascii="宋体" w:hAnsi="宋体"/>
                <w:kern w:val="0"/>
              </w:rPr>
              <w:t>1套</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6" w:type="dxa"/>
            <w:vAlign w:val="center"/>
          </w:tcPr>
          <w:p>
            <w:pPr>
              <w:jc w:val="center"/>
              <w:rPr>
                <w:rFonts w:ascii="宋体" w:hAnsi="宋体"/>
                <w:kern w:val="0"/>
              </w:rPr>
            </w:pPr>
            <w:r>
              <w:rPr>
                <w:rFonts w:hint="eastAsia" w:ascii="宋体" w:hAnsi="宋体"/>
                <w:kern w:val="0"/>
              </w:rPr>
              <w:t>4</w:t>
            </w:r>
          </w:p>
        </w:tc>
        <w:tc>
          <w:tcPr>
            <w:tcW w:w="3885" w:type="dxa"/>
            <w:vAlign w:val="center"/>
          </w:tcPr>
          <w:p>
            <w:pPr>
              <w:jc w:val="center"/>
              <w:rPr>
                <w:rFonts w:ascii="宋体" w:hAnsi="宋体"/>
                <w:kern w:val="0"/>
              </w:rPr>
            </w:pPr>
            <w:r>
              <w:rPr>
                <w:rFonts w:hint="eastAsia" w:ascii="宋体" w:hAnsi="宋体"/>
                <w:kern w:val="0"/>
              </w:rPr>
              <w:t>价态、形态分析预处理装置，在线反应及紫外消解装置</w:t>
            </w:r>
          </w:p>
        </w:tc>
        <w:tc>
          <w:tcPr>
            <w:tcW w:w="825" w:type="dxa"/>
            <w:vAlign w:val="center"/>
          </w:tcPr>
          <w:p>
            <w:pPr>
              <w:jc w:val="center"/>
              <w:rPr>
                <w:rFonts w:ascii="宋体" w:hAnsi="宋体"/>
                <w:kern w:val="0"/>
              </w:rPr>
            </w:pPr>
            <w:r>
              <w:rPr>
                <w:rFonts w:hint="eastAsia" w:ascii="宋体" w:hAnsi="宋体"/>
                <w:kern w:val="0"/>
              </w:rPr>
              <w:t>1套</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5</w:t>
            </w:r>
          </w:p>
        </w:tc>
        <w:tc>
          <w:tcPr>
            <w:tcW w:w="3885" w:type="dxa"/>
            <w:vAlign w:val="center"/>
          </w:tcPr>
          <w:p>
            <w:pPr>
              <w:jc w:val="center"/>
              <w:rPr>
                <w:rFonts w:ascii="宋体" w:hAnsi="宋体"/>
                <w:kern w:val="0"/>
              </w:rPr>
            </w:pPr>
            <w:r>
              <w:rPr>
                <w:rFonts w:hint="eastAsia" w:ascii="宋体" w:hAnsi="宋体"/>
                <w:kern w:val="0"/>
              </w:rPr>
              <w:t>空心阴极灯</w:t>
            </w:r>
          </w:p>
        </w:tc>
        <w:tc>
          <w:tcPr>
            <w:tcW w:w="825" w:type="dxa"/>
            <w:vAlign w:val="center"/>
          </w:tcPr>
          <w:p>
            <w:pPr>
              <w:jc w:val="center"/>
              <w:rPr>
                <w:rFonts w:ascii="宋体" w:hAnsi="宋体"/>
                <w:kern w:val="0"/>
              </w:rPr>
            </w:pPr>
            <w:r>
              <w:rPr>
                <w:rFonts w:hint="eastAsia" w:ascii="宋体" w:hAnsi="宋体"/>
                <w:kern w:val="0"/>
              </w:rPr>
              <w:t>2个</w:t>
            </w:r>
          </w:p>
        </w:tc>
        <w:tc>
          <w:tcPr>
            <w:tcW w:w="3045" w:type="dxa"/>
            <w:vAlign w:val="center"/>
          </w:tcPr>
          <w:p>
            <w:pPr>
              <w:jc w:val="center"/>
              <w:rPr>
                <w:rFonts w:ascii="宋体" w:hAnsi="宋体"/>
                <w:kern w:val="0"/>
              </w:rPr>
            </w:pPr>
            <w:r>
              <w:rPr>
                <w:rFonts w:hint="eastAsia" w:ascii="宋体" w:hAnsi="宋体"/>
                <w:kern w:val="0"/>
              </w:rPr>
              <w:t>砷元素、汞元素。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6</w:t>
            </w:r>
          </w:p>
        </w:tc>
        <w:tc>
          <w:tcPr>
            <w:tcW w:w="3885" w:type="dxa"/>
            <w:vAlign w:val="center"/>
          </w:tcPr>
          <w:p>
            <w:pPr>
              <w:jc w:val="center"/>
              <w:rPr>
                <w:rFonts w:ascii="宋体" w:hAnsi="宋体"/>
                <w:kern w:val="0"/>
              </w:rPr>
            </w:pPr>
            <w:r>
              <w:rPr>
                <w:rFonts w:hint="eastAsia" w:ascii="宋体" w:hAnsi="宋体"/>
                <w:kern w:val="0"/>
              </w:rPr>
              <w:t>品牌商用计算机</w:t>
            </w:r>
          </w:p>
        </w:tc>
        <w:tc>
          <w:tcPr>
            <w:tcW w:w="825" w:type="dxa"/>
            <w:vAlign w:val="center"/>
          </w:tcPr>
          <w:p>
            <w:pPr>
              <w:jc w:val="center"/>
              <w:rPr>
                <w:rFonts w:ascii="宋体" w:hAnsi="宋体"/>
                <w:kern w:val="0"/>
              </w:rPr>
            </w:pPr>
            <w:r>
              <w:rPr>
                <w:rFonts w:hint="eastAsia" w:ascii="宋体" w:hAnsi="宋体"/>
                <w:kern w:val="0"/>
              </w:rPr>
              <w:t>1台</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7</w:t>
            </w:r>
          </w:p>
        </w:tc>
        <w:tc>
          <w:tcPr>
            <w:tcW w:w="3885" w:type="dxa"/>
            <w:vAlign w:val="center"/>
          </w:tcPr>
          <w:p>
            <w:pPr>
              <w:jc w:val="center"/>
              <w:rPr>
                <w:rFonts w:ascii="宋体" w:hAnsi="宋体"/>
                <w:kern w:val="0"/>
              </w:rPr>
            </w:pPr>
            <w:r>
              <w:rPr>
                <w:rFonts w:hint="eastAsia" w:ascii="宋体" w:hAnsi="宋体"/>
                <w:kern w:val="0"/>
              </w:rPr>
              <w:t>打印机</w:t>
            </w:r>
          </w:p>
        </w:tc>
        <w:tc>
          <w:tcPr>
            <w:tcW w:w="825" w:type="dxa"/>
            <w:vAlign w:val="center"/>
          </w:tcPr>
          <w:p>
            <w:pPr>
              <w:jc w:val="center"/>
              <w:rPr>
                <w:rFonts w:ascii="宋体" w:hAnsi="宋体"/>
                <w:kern w:val="0"/>
              </w:rPr>
            </w:pPr>
            <w:r>
              <w:rPr>
                <w:rFonts w:hint="eastAsia" w:ascii="宋体" w:hAnsi="宋体"/>
                <w:kern w:val="0"/>
              </w:rPr>
              <w:t>1台</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8</w:t>
            </w:r>
          </w:p>
        </w:tc>
        <w:tc>
          <w:tcPr>
            <w:tcW w:w="3885" w:type="dxa"/>
            <w:vAlign w:val="center"/>
          </w:tcPr>
          <w:p>
            <w:pPr>
              <w:jc w:val="center"/>
              <w:rPr>
                <w:rFonts w:ascii="宋体" w:hAnsi="宋体"/>
                <w:kern w:val="0"/>
              </w:rPr>
            </w:pPr>
            <w:r>
              <w:rPr>
                <w:rFonts w:hint="eastAsia" w:ascii="宋体" w:hAnsi="宋体"/>
                <w:kern w:val="0"/>
              </w:rPr>
              <w:t>元素总价测量软件</w:t>
            </w:r>
          </w:p>
        </w:tc>
        <w:tc>
          <w:tcPr>
            <w:tcW w:w="825" w:type="dxa"/>
            <w:vAlign w:val="center"/>
          </w:tcPr>
          <w:p>
            <w:pPr>
              <w:jc w:val="center"/>
              <w:rPr>
                <w:rFonts w:ascii="宋体" w:hAnsi="宋体"/>
                <w:kern w:val="0"/>
              </w:rPr>
            </w:pPr>
            <w:r>
              <w:rPr>
                <w:rFonts w:hint="eastAsia" w:ascii="宋体" w:hAnsi="宋体"/>
                <w:kern w:val="0"/>
              </w:rPr>
              <w:t>1 套</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9</w:t>
            </w:r>
          </w:p>
        </w:tc>
        <w:tc>
          <w:tcPr>
            <w:tcW w:w="3885" w:type="dxa"/>
            <w:vAlign w:val="center"/>
          </w:tcPr>
          <w:p>
            <w:pPr>
              <w:jc w:val="center"/>
              <w:rPr>
                <w:rFonts w:ascii="宋体" w:hAnsi="宋体"/>
                <w:kern w:val="0"/>
              </w:rPr>
            </w:pPr>
            <w:r>
              <w:rPr>
                <w:rFonts w:hint="eastAsia" w:ascii="宋体" w:hAnsi="宋体"/>
                <w:kern w:val="0"/>
              </w:rPr>
              <w:t>形态分析数据采集及处理软件</w:t>
            </w:r>
          </w:p>
        </w:tc>
        <w:tc>
          <w:tcPr>
            <w:tcW w:w="825" w:type="dxa"/>
            <w:vAlign w:val="center"/>
          </w:tcPr>
          <w:p>
            <w:pPr>
              <w:jc w:val="center"/>
              <w:rPr>
                <w:rFonts w:ascii="宋体" w:hAnsi="宋体"/>
                <w:kern w:val="0"/>
              </w:rPr>
            </w:pPr>
            <w:r>
              <w:rPr>
                <w:rFonts w:hint="eastAsia" w:ascii="宋体" w:hAnsi="宋体"/>
                <w:kern w:val="0"/>
              </w:rPr>
              <w:t>1 套</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10</w:t>
            </w:r>
          </w:p>
        </w:tc>
        <w:tc>
          <w:tcPr>
            <w:tcW w:w="3885" w:type="dxa"/>
            <w:vAlign w:val="center"/>
          </w:tcPr>
          <w:p>
            <w:pPr>
              <w:jc w:val="center"/>
              <w:rPr>
                <w:rFonts w:ascii="宋体" w:hAnsi="宋体"/>
                <w:kern w:val="0"/>
              </w:rPr>
            </w:pPr>
            <w:r>
              <w:rPr>
                <w:rFonts w:hint="eastAsia" w:ascii="宋体" w:hAnsi="宋体"/>
                <w:kern w:val="0"/>
              </w:rPr>
              <w:t>砷、汞形态分析色谱柱及保护柱</w:t>
            </w:r>
          </w:p>
        </w:tc>
        <w:tc>
          <w:tcPr>
            <w:tcW w:w="825" w:type="dxa"/>
            <w:vAlign w:val="center"/>
          </w:tcPr>
          <w:p>
            <w:pPr>
              <w:jc w:val="center"/>
              <w:rPr>
                <w:rFonts w:ascii="宋体" w:hAnsi="宋体"/>
                <w:kern w:val="0"/>
              </w:rPr>
            </w:pPr>
            <w:r>
              <w:rPr>
                <w:rFonts w:hint="eastAsia" w:ascii="宋体" w:hAnsi="宋体"/>
                <w:kern w:val="0"/>
              </w:rPr>
              <w:t>2套</w:t>
            </w:r>
          </w:p>
        </w:tc>
        <w:tc>
          <w:tcPr>
            <w:tcW w:w="3045" w:type="dxa"/>
            <w:vAlign w:val="center"/>
          </w:tcPr>
          <w:p>
            <w:pPr>
              <w:jc w:val="center"/>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6" w:type="dxa"/>
            <w:vAlign w:val="center"/>
          </w:tcPr>
          <w:p>
            <w:pPr>
              <w:jc w:val="center"/>
              <w:rPr>
                <w:rFonts w:ascii="宋体" w:hAnsi="宋体"/>
                <w:kern w:val="0"/>
              </w:rPr>
            </w:pPr>
            <w:r>
              <w:rPr>
                <w:rFonts w:hint="eastAsia" w:ascii="宋体" w:hAnsi="宋体"/>
                <w:kern w:val="0"/>
              </w:rPr>
              <w:t>11</w:t>
            </w:r>
          </w:p>
        </w:tc>
        <w:tc>
          <w:tcPr>
            <w:tcW w:w="3885" w:type="dxa"/>
            <w:vAlign w:val="center"/>
          </w:tcPr>
          <w:p>
            <w:pPr>
              <w:jc w:val="center"/>
              <w:rPr>
                <w:rFonts w:ascii="宋体" w:hAnsi="宋体"/>
                <w:kern w:val="0"/>
              </w:rPr>
            </w:pPr>
            <w:r>
              <w:rPr>
                <w:rFonts w:hint="eastAsia" w:ascii="宋体" w:hAnsi="宋体"/>
                <w:kern w:val="0"/>
              </w:rPr>
              <w:t>液相色谱自动进样系统</w:t>
            </w:r>
          </w:p>
        </w:tc>
        <w:tc>
          <w:tcPr>
            <w:tcW w:w="825" w:type="dxa"/>
            <w:vAlign w:val="center"/>
          </w:tcPr>
          <w:p>
            <w:pPr>
              <w:jc w:val="center"/>
              <w:rPr>
                <w:rFonts w:ascii="宋体" w:hAnsi="宋体"/>
                <w:kern w:val="0"/>
              </w:rPr>
            </w:pPr>
            <w:r>
              <w:rPr>
                <w:rFonts w:hint="eastAsia" w:ascii="宋体" w:hAnsi="宋体"/>
                <w:kern w:val="0"/>
              </w:rPr>
              <w:t>1 套</w:t>
            </w:r>
          </w:p>
        </w:tc>
        <w:tc>
          <w:tcPr>
            <w:tcW w:w="3045" w:type="dxa"/>
            <w:vAlign w:val="center"/>
          </w:tcPr>
          <w:p>
            <w:pPr>
              <w:jc w:val="center"/>
              <w:rPr>
                <w:rFonts w:ascii="宋体" w:hAnsi="宋体"/>
                <w:kern w:val="0"/>
              </w:rPr>
            </w:pPr>
            <w:r>
              <w:rPr>
                <w:rFonts w:hint="eastAsia" w:ascii="宋体" w:hAnsi="宋体"/>
                <w:kern w:val="0"/>
              </w:rPr>
              <w:t>120位</w:t>
            </w:r>
          </w:p>
        </w:tc>
      </w:tr>
    </w:tbl>
    <w:p>
      <w:pPr>
        <w:spacing w:before="156" w:after="156" w:line="360" w:lineRule="auto"/>
        <w:rPr>
          <w:rFonts w:ascii="宋体" w:hAnsi="宋体"/>
          <w:b/>
        </w:rPr>
      </w:pPr>
      <w:r>
        <w:rPr>
          <w:rFonts w:hint="eastAsia" w:ascii="宋体" w:hAnsi="宋体"/>
          <w:b/>
        </w:rPr>
        <w:t>6、售后服务要求</w:t>
      </w:r>
    </w:p>
    <w:p>
      <w:pPr>
        <w:spacing w:before="100" w:after="100" w:line="360" w:lineRule="auto"/>
        <w:rPr>
          <w:rFonts w:ascii="宋体" w:hAnsi="宋体"/>
          <w:b/>
          <w:bCs/>
          <w:shd w:val="clear" w:color="auto" w:fill="FFFFFF"/>
        </w:rPr>
      </w:pPr>
      <w:r>
        <w:rPr>
          <w:rFonts w:hint="eastAsia" w:ascii="宋体" w:hAnsi="宋体"/>
          <w:b/>
          <w:bCs/>
          <w:shd w:val="clear" w:color="auto" w:fill="FFFFFF"/>
        </w:rPr>
        <w:t>6.1、仪器安装、调试和验收要求：</w:t>
      </w:r>
    </w:p>
    <w:p>
      <w:pPr>
        <w:spacing w:line="360" w:lineRule="auto"/>
        <w:rPr>
          <w:rFonts w:ascii="宋体" w:hAnsi="宋体"/>
          <w:shd w:val="clear" w:color="auto" w:fill="FFFFFF"/>
        </w:rPr>
      </w:pPr>
      <w:r>
        <w:rPr>
          <w:rFonts w:hint="eastAsia" w:ascii="宋体" w:hAnsi="宋体"/>
          <w:shd w:val="clear" w:color="auto" w:fill="FFFFFF"/>
        </w:rPr>
        <w:t>6.1.1、仪器到达用户现场后，供货方按照用户要求，在规定的时间内安排有经验的工程技术人员到用户现场安装、调试仪器，按验收指标逐项测试，直至达到要求。</w:t>
      </w:r>
    </w:p>
    <w:p>
      <w:pPr>
        <w:spacing w:before="100" w:after="100" w:line="360" w:lineRule="auto"/>
        <w:rPr>
          <w:rFonts w:ascii="宋体" w:hAnsi="宋体"/>
          <w:b/>
          <w:bCs/>
          <w:shd w:val="clear" w:color="auto" w:fill="FFFFFF"/>
        </w:rPr>
      </w:pPr>
      <w:r>
        <w:rPr>
          <w:rFonts w:hint="eastAsia" w:ascii="宋体" w:hAnsi="宋体"/>
          <w:b/>
          <w:bCs/>
          <w:shd w:val="clear" w:color="auto" w:fill="FFFFFF"/>
        </w:rPr>
        <w:t>6.2、技术培训要求：</w:t>
      </w:r>
    </w:p>
    <w:p>
      <w:pPr>
        <w:spacing w:line="360" w:lineRule="auto"/>
        <w:rPr>
          <w:rFonts w:ascii="宋体" w:hAnsi="宋体"/>
          <w:shd w:val="clear" w:color="auto" w:fill="FFFFFF"/>
        </w:rPr>
      </w:pPr>
      <w:r>
        <w:rPr>
          <w:rFonts w:hint="eastAsia" w:ascii="宋体" w:hAnsi="宋体"/>
          <w:shd w:val="clear" w:color="auto" w:fill="FFFFFF"/>
        </w:rPr>
        <w:t>6.2.1、安装验收期间，由供货方免费在用户所在地对用户进行仪器操作和日常维护的现场培训，包括仪器原理、使用方法和维护方法等。</w:t>
      </w:r>
    </w:p>
    <w:p>
      <w:pPr>
        <w:spacing w:line="360" w:lineRule="auto"/>
        <w:rPr>
          <w:rFonts w:ascii="宋体" w:hAnsi="宋体"/>
        </w:rPr>
      </w:pPr>
      <w:r>
        <w:rPr>
          <w:rFonts w:hint="eastAsia" w:ascii="宋体" w:hAnsi="宋体"/>
          <w:shd w:val="clear" w:color="auto" w:fill="FFFFFF"/>
        </w:rPr>
        <w:t>6.2.2、</w:t>
      </w:r>
      <w:r>
        <w:rPr>
          <w:rFonts w:hint="eastAsia" w:ascii="宋体" w:hAnsi="宋体"/>
        </w:rPr>
        <w:t>仪器生厂商培训中心</w:t>
      </w:r>
      <w:r>
        <w:rPr>
          <w:rFonts w:hint="eastAsia" w:ascii="宋体" w:hAnsi="宋体"/>
          <w:shd w:val="clear" w:color="auto" w:fill="FFFFFF"/>
        </w:rPr>
        <w:t>需向用户</w:t>
      </w:r>
      <w:r>
        <w:rPr>
          <w:rFonts w:hint="eastAsia" w:ascii="宋体" w:hAnsi="宋体"/>
        </w:rPr>
        <w:t>免费提供 2-3人次，高级操作和技术培训，培训时间不得少于1周。</w:t>
      </w:r>
    </w:p>
    <w:p>
      <w:pPr>
        <w:spacing w:before="100" w:after="100" w:line="360" w:lineRule="auto"/>
        <w:rPr>
          <w:rFonts w:ascii="宋体" w:hAnsi="宋体"/>
          <w:b/>
          <w:bCs/>
          <w:shd w:val="clear" w:color="auto" w:fill="FFFFFF"/>
        </w:rPr>
      </w:pPr>
      <w:r>
        <w:rPr>
          <w:rFonts w:hint="eastAsia" w:ascii="宋体" w:hAnsi="宋体"/>
          <w:b/>
          <w:bCs/>
          <w:shd w:val="clear" w:color="auto" w:fill="FFFFFF"/>
        </w:rPr>
        <w:t>6.3、保修期要求：</w:t>
      </w:r>
    </w:p>
    <w:p>
      <w:pPr>
        <w:spacing w:line="360" w:lineRule="auto"/>
        <w:rPr>
          <w:rFonts w:ascii="宋体" w:hAnsi="宋体"/>
          <w:shd w:val="clear" w:color="auto" w:fill="FFFFFF"/>
        </w:rPr>
      </w:pPr>
      <w:r>
        <w:rPr>
          <w:rFonts w:hint="eastAsia" w:ascii="宋体" w:hAnsi="宋体"/>
          <w:shd w:val="clear" w:color="auto" w:fill="FFFFFF"/>
        </w:rPr>
        <w:t>6.3.1、自验收合格之日起，提供至少1年的免费保修期，保修期外，终生提供备品和配件。</w:t>
      </w:r>
    </w:p>
    <w:p>
      <w:pPr>
        <w:spacing w:line="360" w:lineRule="auto"/>
        <w:rPr>
          <w:rFonts w:ascii="宋体" w:hAnsi="宋体"/>
          <w:shd w:val="clear" w:color="auto" w:fill="FFFFFF"/>
        </w:rPr>
      </w:pPr>
      <w:r>
        <w:rPr>
          <w:rFonts w:hint="eastAsia" w:ascii="宋体" w:hAnsi="宋体"/>
          <w:shd w:val="clear" w:color="auto" w:fill="FFFFFF"/>
        </w:rPr>
        <w:t>6.3.2、仪器生厂商须有专门的售后服务部门为用户提供专业的售后服务，及时提供仪器维护、维修服务。</w:t>
      </w:r>
    </w:p>
    <w:p>
      <w:pPr>
        <w:spacing w:line="360" w:lineRule="auto"/>
        <w:rPr>
          <w:b/>
          <w:bCs/>
          <w:sz w:val="44"/>
          <w:szCs w:val="44"/>
        </w:rPr>
      </w:pPr>
    </w:p>
    <w:p>
      <w:pPr>
        <w:spacing w:line="360" w:lineRule="auto"/>
        <w:rPr>
          <w:b/>
          <w:bCs/>
          <w:sz w:val="44"/>
          <w:szCs w:val="44"/>
        </w:rPr>
      </w:pPr>
      <w:r>
        <w:rPr>
          <w:rFonts w:hint="eastAsia"/>
          <w:b/>
          <w:bCs/>
          <w:sz w:val="44"/>
          <w:szCs w:val="44"/>
        </w:rPr>
        <w:t>二包：</w:t>
      </w:r>
    </w:p>
    <w:p>
      <w:pPr>
        <w:rPr>
          <w:b/>
          <w:bCs/>
          <w:sz w:val="24"/>
        </w:rPr>
      </w:pPr>
      <w:r>
        <w:rPr>
          <w:rFonts w:hint="eastAsia"/>
          <w:b/>
          <w:bCs/>
          <w:sz w:val="24"/>
        </w:rPr>
        <w:t>一</w:t>
      </w:r>
      <w:r>
        <w:rPr>
          <w:b/>
          <w:bCs/>
          <w:sz w:val="24"/>
        </w:rPr>
        <w:t>、</w:t>
      </w:r>
      <w:r>
        <w:rPr>
          <w:b/>
          <w:bCs/>
          <w:color w:val="000000"/>
          <w:kern w:val="0"/>
          <w:sz w:val="24"/>
        </w:rPr>
        <w:t>紫外可见分光光度计</w:t>
      </w:r>
      <w:r>
        <w:rPr>
          <w:rFonts w:hint="eastAsia"/>
          <w:b/>
          <w:bCs/>
          <w:sz w:val="24"/>
        </w:rPr>
        <w:t>（数量：1套）</w:t>
      </w:r>
    </w:p>
    <w:p>
      <w:pPr>
        <w:spacing w:line="360" w:lineRule="auto"/>
        <w:rPr>
          <w:color w:val="000000"/>
          <w:kern w:val="0"/>
          <w:szCs w:val="21"/>
        </w:rPr>
      </w:pPr>
      <w:r>
        <w:rPr>
          <w:color w:val="000000"/>
          <w:kern w:val="0"/>
          <w:szCs w:val="21"/>
        </w:rPr>
        <w:t>1．技术参数</w:t>
      </w:r>
    </w:p>
    <w:p>
      <w:pPr>
        <w:spacing w:line="360" w:lineRule="auto"/>
        <w:rPr>
          <w:color w:val="000000"/>
          <w:kern w:val="0"/>
          <w:szCs w:val="21"/>
        </w:rPr>
      </w:pPr>
      <w:r>
        <w:rPr>
          <w:color w:val="000000"/>
          <w:kern w:val="0"/>
          <w:szCs w:val="21"/>
        </w:rPr>
        <w:t>1.1光路类型：双光束</w:t>
      </w:r>
    </w:p>
    <w:p>
      <w:pPr>
        <w:spacing w:line="360" w:lineRule="auto"/>
        <w:rPr>
          <w:color w:val="000000"/>
          <w:kern w:val="0"/>
          <w:szCs w:val="21"/>
        </w:rPr>
      </w:pPr>
      <w:r>
        <w:rPr>
          <w:color w:val="000000"/>
          <w:kern w:val="0"/>
          <w:szCs w:val="21"/>
        </w:rPr>
        <w:t>1.2开放式仪器应用平台，方便用户二次开发</w:t>
      </w:r>
    </w:p>
    <w:p>
      <w:pPr>
        <w:spacing w:line="360" w:lineRule="auto"/>
        <w:rPr>
          <w:color w:val="000000"/>
          <w:kern w:val="0"/>
          <w:szCs w:val="21"/>
        </w:rPr>
      </w:pPr>
      <w:r>
        <w:rPr>
          <w:color w:val="000000"/>
          <w:kern w:val="0"/>
          <w:szCs w:val="21"/>
        </w:rPr>
        <w:t>1.3</w:t>
      </w:r>
      <w:r>
        <w:rPr>
          <w:rFonts w:hint="eastAsia"/>
          <w:bCs/>
          <w:color w:val="0C0C0C"/>
        </w:rPr>
        <w:t>*</w:t>
      </w:r>
      <w:r>
        <w:rPr>
          <w:color w:val="000000"/>
          <w:kern w:val="0"/>
          <w:szCs w:val="21"/>
        </w:rPr>
        <w:t>内置三种光源，方便用户进行波长校准</w:t>
      </w:r>
    </w:p>
    <w:p>
      <w:pPr>
        <w:spacing w:line="360" w:lineRule="auto"/>
        <w:rPr>
          <w:color w:val="000000"/>
          <w:kern w:val="0"/>
          <w:szCs w:val="21"/>
        </w:rPr>
      </w:pPr>
      <w:r>
        <w:rPr>
          <w:color w:val="000000"/>
          <w:kern w:val="0"/>
          <w:szCs w:val="21"/>
        </w:rPr>
        <w:t>1.4</w:t>
      </w:r>
      <w:r>
        <w:rPr>
          <w:rFonts w:hint="eastAsia"/>
          <w:bCs/>
          <w:color w:val="0C0C0C"/>
        </w:rPr>
        <w:t>*</w:t>
      </w:r>
      <w:r>
        <w:rPr>
          <w:color w:val="000000"/>
          <w:kern w:val="0"/>
          <w:szCs w:val="21"/>
        </w:rPr>
        <w:t>波长范围</w:t>
      </w:r>
      <w:r>
        <w:rPr>
          <w:color w:val="000000"/>
          <w:kern w:val="0"/>
          <w:szCs w:val="21"/>
        </w:rPr>
        <w:tab/>
      </w:r>
      <w:r>
        <w:rPr>
          <w:color w:val="000000"/>
          <w:kern w:val="0"/>
          <w:szCs w:val="21"/>
        </w:rPr>
        <w:t xml:space="preserve">185nm ～900nm </w:t>
      </w:r>
    </w:p>
    <w:p>
      <w:pPr>
        <w:spacing w:line="360" w:lineRule="auto"/>
        <w:rPr>
          <w:color w:val="000000"/>
          <w:kern w:val="0"/>
          <w:szCs w:val="21"/>
        </w:rPr>
      </w:pPr>
      <w:r>
        <w:rPr>
          <w:color w:val="000000"/>
          <w:kern w:val="0"/>
          <w:szCs w:val="21"/>
        </w:rPr>
        <w:t>1.5波长准确度</w:t>
      </w:r>
      <w:r>
        <w:rPr>
          <w:color w:val="000000"/>
          <w:kern w:val="0"/>
          <w:szCs w:val="21"/>
        </w:rPr>
        <w:tab/>
      </w:r>
      <w:r>
        <w:rPr>
          <w:color w:val="000000"/>
          <w:kern w:val="0"/>
          <w:szCs w:val="21"/>
        </w:rPr>
        <w:t xml:space="preserve">±0.1nm（氘灯656.1nm） </w:t>
      </w:r>
    </w:p>
    <w:p>
      <w:pPr>
        <w:spacing w:line="360" w:lineRule="auto"/>
        <w:rPr>
          <w:color w:val="000000"/>
          <w:kern w:val="0"/>
          <w:szCs w:val="21"/>
        </w:rPr>
      </w:pPr>
      <w:r>
        <w:rPr>
          <w:color w:val="000000"/>
          <w:kern w:val="0"/>
          <w:szCs w:val="21"/>
        </w:rPr>
        <w:t>1.6</w:t>
      </w:r>
      <w:r>
        <w:rPr>
          <w:rFonts w:hint="eastAsia"/>
          <w:bCs/>
          <w:color w:val="0C0C0C"/>
        </w:rPr>
        <w:t>*</w:t>
      </w:r>
      <w:r>
        <w:rPr>
          <w:color w:val="000000"/>
          <w:kern w:val="0"/>
          <w:szCs w:val="21"/>
        </w:rPr>
        <w:t>波长重复性</w:t>
      </w:r>
      <w:r>
        <w:rPr>
          <w:color w:val="000000"/>
          <w:kern w:val="0"/>
          <w:szCs w:val="21"/>
        </w:rPr>
        <w:tab/>
      </w:r>
      <w:r>
        <w:rPr>
          <w:color w:val="000000"/>
          <w:kern w:val="0"/>
          <w:szCs w:val="21"/>
        </w:rPr>
        <w:t xml:space="preserve">≤0.05nm（氘灯656.1nm） </w:t>
      </w:r>
    </w:p>
    <w:p>
      <w:pPr>
        <w:spacing w:line="360" w:lineRule="auto"/>
        <w:rPr>
          <w:color w:val="000000"/>
          <w:kern w:val="0"/>
          <w:szCs w:val="21"/>
        </w:rPr>
      </w:pPr>
      <w:r>
        <w:rPr>
          <w:color w:val="000000"/>
          <w:kern w:val="0"/>
          <w:szCs w:val="21"/>
        </w:rPr>
        <w:t>1.7光谱带宽：0.1nm,0.2nm,0.5nm,1nm,2nm,5nm（六档可调）</w:t>
      </w:r>
      <w:r>
        <w:rPr>
          <w:color w:val="000000"/>
          <w:kern w:val="0"/>
          <w:szCs w:val="21"/>
        </w:rPr>
        <w:tab/>
      </w:r>
    </w:p>
    <w:p>
      <w:pPr>
        <w:spacing w:line="360" w:lineRule="auto"/>
        <w:rPr>
          <w:color w:val="000000"/>
          <w:kern w:val="0"/>
          <w:szCs w:val="21"/>
        </w:rPr>
      </w:pPr>
      <w:r>
        <w:rPr>
          <w:color w:val="000000"/>
          <w:kern w:val="0"/>
          <w:szCs w:val="21"/>
        </w:rPr>
        <w:t>1.8杂散光</w:t>
      </w:r>
      <w:r>
        <w:rPr>
          <w:color w:val="000000"/>
          <w:kern w:val="0"/>
          <w:szCs w:val="21"/>
        </w:rPr>
        <w:tab/>
      </w:r>
      <w:r>
        <w:rPr>
          <w:color w:val="000000"/>
          <w:kern w:val="0"/>
          <w:szCs w:val="21"/>
        </w:rPr>
        <w:t xml:space="preserve">220 nm≤0.0001% （NaI）；360 nm≤0.0001% （NaNO2） </w:t>
      </w:r>
    </w:p>
    <w:p>
      <w:pPr>
        <w:spacing w:line="360" w:lineRule="auto"/>
        <w:rPr>
          <w:color w:val="000000"/>
          <w:kern w:val="0"/>
          <w:szCs w:val="21"/>
        </w:rPr>
      </w:pPr>
      <w:r>
        <w:rPr>
          <w:color w:val="000000"/>
          <w:kern w:val="0"/>
          <w:szCs w:val="21"/>
        </w:rPr>
        <w:t>1.9</w:t>
      </w:r>
      <w:r>
        <w:rPr>
          <w:rFonts w:hint="eastAsia"/>
          <w:bCs/>
          <w:color w:val="0C0C0C"/>
        </w:rPr>
        <w:t>*</w:t>
      </w:r>
      <w:r>
        <w:rPr>
          <w:color w:val="000000"/>
          <w:kern w:val="0"/>
          <w:szCs w:val="21"/>
        </w:rPr>
        <w:t>光度范围</w:t>
      </w:r>
      <w:r>
        <w:rPr>
          <w:color w:val="000000"/>
          <w:kern w:val="0"/>
          <w:szCs w:val="21"/>
        </w:rPr>
        <w:tab/>
      </w:r>
      <w:r>
        <w:rPr>
          <w:color w:val="000000"/>
          <w:kern w:val="0"/>
          <w:szCs w:val="21"/>
        </w:rPr>
        <w:t xml:space="preserve">-6.0Abs～6.0Abs </w:t>
      </w:r>
    </w:p>
    <w:p>
      <w:pPr>
        <w:spacing w:line="360" w:lineRule="auto"/>
        <w:rPr>
          <w:color w:val="000000"/>
          <w:kern w:val="0"/>
          <w:szCs w:val="21"/>
        </w:rPr>
      </w:pPr>
      <w:r>
        <w:rPr>
          <w:color w:val="000000"/>
          <w:kern w:val="0"/>
          <w:szCs w:val="21"/>
        </w:rPr>
        <w:t>1.10光源</w:t>
      </w:r>
      <w:r>
        <w:rPr>
          <w:color w:val="000000"/>
          <w:kern w:val="0"/>
          <w:szCs w:val="21"/>
        </w:rPr>
        <w:tab/>
      </w:r>
      <w:r>
        <w:rPr>
          <w:color w:val="000000"/>
          <w:kern w:val="0"/>
          <w:szCs w:val="21"/>
        </w:rPr>
        <w:t xml:space="preserve">内置氘灯、钨灯、汞灯，自动切换 </w:t>
      </w:r>
    </w:p>
    <w:p>
      <w:pPr>
        <w:spacing w:line="360" w:lineRule="auto"/>
        <w:rPr>
          <w:color w:val="000000"/>
          <w:kern w:val="0"/>
          <w:szCs w:val="21"/>
        </w:rPr>
      </w:pPr>
      <w:r>
        <w:rPr>
          <w:color w:val="000000"/>
          <w:kern w:val="0"/>
          <w:szCs w:val="21"/>
        </w:rPr>
        <w:t>1.11光学系统</w:t>
      </w:r>
      <w:r>
        <w:rPr>
          <w:color w:val="000000"/>
          <w:kern w:val="0"/>
          <w:szCs w:val="21"/>
        </w:rPr>
        <w:tab/>
      </w:r>
      <w:r>
        <w:rPr>
          <w:color w:val="000000"/>
          <w:kern w:val="0"/>
          <w:szCs w:val="21"/>
        </w:rPr>
        <w:t xml:space="preserve">混合C-T双单器系统 </w:t>
      </w:r>
    </w:p>
    <w:p>
      <w:pPr>
        <w:spacing w:line="360" w:lineRule="auto"/>
        <w:rPr>
          <w:color w:val="000000"/>
          <w:kern w:val="0"/>
          <w:szCs w:val="21"/>
        </w:rPr>
      </w:pPr>
      <w:r>
        <w:rPr>
          <w:color w:val="000000"/>
          <w:kern w:val="0"/>
          <w:szCs w:val="21"/>
        </w:rPr>
        <w:t>1.12检测器</w:t>
      </w:r>
      <w:r>
        <w:rPr>
          <w:color w:val="000000"/>
          <w:kern w:val="0"/>
          <w:szCs w:val="21"/>
        </w:rPr>
        <w:tab/>
      </w:r>
      <w:r>
        <w:rPr>
          <w:color w:val="000000"/>
          <w:kern w:val="0"/>
          <w:szCs w:val="21"/>
        </w:rPr>
        <w:t xml:space="preserve">高效光电倍增管 </w:t>
      </w:r>
    </w:p>
    <w:p>
      <w:pPr>
        <w:spacing w:line="360" w:lineRule="auto"/>
        <w:rPr>
          <w:color w:val="000000"/>
          <w:kern w:val="0"/>
          <w:szCs w:val="21"/>
        </w:rPr>
      </w:pPr>
      <w:r>
        <w:rPr>
          <w:color w:val="000000"/>
          <w:kern w:val="0"/>
          <w:szCs w:val="21"/>
        </w:rPr>
        <w:t>1.13通讯接口</w:t>
      </w:r>
      <w:r>
        <w:rPr>
          <w:color w:val="000000"/>
          <w:kern w:val="0"/>
          <w:szCs w:val="21"/>
        </w:rPr>
        <w:tab/>
      </w:r>
      <w:r>
        <w:rPr>
          <w:color w:val="000000"/>
          <w:kern w:val="0"/>
          <w:szCs w:val="21"/>
        </w:rPr>
        <w:t xml:space="preserve">RS232，USB </w:t>
      </w:r>
    </w:p>
    <w:p>
      <w:pPr>
        <w:spacing w:line="360" w:lineRule="auto"/>
        <w:rPr>
          <w:color w:val="000000"/>
          <w:kern w:val="0"/>
          <w:szCs w:val="21"/>
        </w:rPr>
      </w:pPr>
      <w:r>
        <w:rPr>
          <w:color w:val="000000"/>
          <w:kern w:val="0"/>
          <w:szCs w:val="21"/>
        </w:rPr>
        <w:t>1.14控制软件</w:t>
      </w:r>
      <w:r>
        <w:rPr>
          <w:color w:val="000000"/>
          <w:kern w:val="0"/>
          <w:szCs w:val="21"/>
        </w:rPr>
        <w:tab/>
      </w:r>
      <w:r>
        <w:rPr>
          <w:color w:val="000000"/>
          <w:kern w:val="0"/>
          <w:szCs w:val="21"/>
        </w:rPr>
        <w:t xml:space="preserve">PC机，WINDOWSXP，WIN7 </w:t>
      </w:r>
    </w:p>
    <w:p>
      <w:pPr>
        <w:spacing w:line="360" w:lineRule="auto"/>
        <w:rPr>
          <w:color w:val="000000"/>
          <w:kern w:val="0"/>
          <w:szCs w:val="21"/>
        </w:rPr>
      </w:pPr>
      <w:r>
        <w:rPr>
          <w:color w:val="000000"/>
          <w:kern w:val="0"/>
          <w:szCs w:val="21"/>
        </w:rPr>
        <w:t>1.15样品室</w:t>
      </w:r>
      <w:r>
        <w:rPr>
          <w:color w:val="000000"/>
          <w:kern w:val="0"/>
          <w:szCs w:val="21"/>
        </w:rPr>
        <w:tab/>
      </w:r>
      <w:r>
        <w:rPr>
          <w:color w:val="000000"/>
          <w:kern w:val="0"/>
          <w:szCs w:val="21"/>
        </w:rPr>
        <w:t xml:space="preserve">最大光程100mm </w:t>
      </w:r>
    </w:p>
    <w:p>
      <w:pPr>
        <w:spacing w:line="360" w:lineRule="auto"/>
        <w:rPr>
          <w:color w:val="000000"/>
          <w:kern w:val="0"/>
          <w:szCs w:val="21"/>
        </w:rPr>
      </w:pPr>
      <w:r>
        <w:rPr>
          <w:color w:val="000000"/>
          <w:kern w:val="0"/>
          <w:szCs w:val="21"/>
        </w:rPr>
        <w:t xml:space="preserve">1.16参比光束与样品光束中心距100mm </w:t>
      </w:r>
    </w:p>
    <w:p>
      <w:pPr>
        <w:spacing w:line="360" w:lineRule="auto"/>
        <w:rPr>
          <w:color w:val="000000"/>
          <w:kern w:val="0"/>
          <w:szCs w:val="21"/>
        </w:rPr>
      </w:pPr>
      <w:r>
        <w:rPr>
          <w:color w:val="000000"/>
          <w:kern w:val="0"/>
          <w:szCs w:val="21"/>
        </w:rPr>
        <w:t>1.17</w:t>
      </w:r>
      <w:r>
        <w:rPr>
          <w:rFonts w:hint="eastAsia"/>
          <w:bCs/>
          <w:color w:val="0C0C0C"/>
        </w:rPr>
        <w:t>*</w:t>
      </w:r>
      <w:r>
        <w:rPr>
          <w:color w:val="000000"/>
          <w:kern w:val="0"/>
          <w:szCs w:val="21"/>
        </w:rPr>
        <w:t>样品池光斑高度0-12mm连续可调</w:t>
      </w:r>
    </w:p>
    <w:p>
      <w:pPr>
        <w:spacing w:line="360" w:lineRule="auto"/>
        <w:rPr>
          <w:color w:val="000000"/>
          <w:kern w:val="0"/>
          <w:szCs w:val="21"/>
        </w:rPr>
      </w:pPr>
      <w:r>
        <w:rPr>
          <w:color w:val="000000"/>
          <w:kern w:val="0"/>
          <w:szCs w:val="21"/>
        </w:rPr>
        <w:t>1.18</w:t>
      </w:r>
      <w:r>
        <w:rPr>
          <w:rFonts w:hint="eastAsia"/>
          <w:bCs/>
          <w:color w:val="0C0C0C"/>
        </w:rPr>
        <w:t>*</w:t>
      </w:r>
      <w:r>
        <w:rPr>
          <w:color w:val="000000"/>
          <w:kern w:val="0"/>
          <w:szCs w:val="21"/>
        </w:rPr>
        <w:t xml:space="preserve">双光束100mm长样品池架附件适用比色皿规格：5mm、10mm、20mm、30mm、40mm、50mm、100mm 7档可选 </w:t>
      </w:r>
    </w:p>
    <w:p>
      <w:pPr>
        <w:spacing w:line="360" w:lineRule="auto"/>
        <w:rPr>
          <w:color w:val="000000"/>
          <w:kern w:val="0"/>
          <w:szCs w:val="21"/>
        </w:rPr>
      </w:pPr>
      <w:r>
        <w:rPr>
          <w:color w:val="000000"/>
          <w:kern w:val="0"/>
          <w:szCs w:val="21"/>
        </w:rPr>
        <w:t>1.19</w:t>
      </w:r>
      <w:r>
        <w:rPr>
          <w:rFonts w:hint="eastAsia"/>
          <w:bCs/>
          <w:color w:val="0C0C0C"/>
        </w:rPr>
        <w:t>*</w:t>
      </w:r>
      <w:r>
        <w:rPr>
          <w:color w:val="000000"/>
          <w:kern w:val="0"/>
          <w:szCs w:val="21"/>
        </w:rPr>
        <w:t>预留三维直角坐标式自动进样器接口，可连续检测多个样品，全程自动化检测，提高工作效率，节约人力资源，避免人为误差干扰，自动进样器省去了反复清洗比色皿造成的样品损失或污染，可以实现多个样品连续测量。</w:t>
      </w:r>
    </w:p>
    <w:p>
      <w:pPr>
        <w:spacing w:line="360" w:lineRule="auto"/>
        <w:rPr>
          <w:color w:val="000000"/>
          <w:kern w:val="0"/>
          <w:szCs w:val="21"/>
        </w:rPr>
      </w:pPr>
      <w:r>
        <w:rPr>
          <w:color w:val="000000"/>
          <w:kern w:val="0"/>
          <w:szCs w:val="21"/>
        </w:rPr>
        <w:t>1.20配套重金属检测专用耗材及方法包（铅/镉等），实现对水/食品/粮食中重金属特异性选择、富集及检测，消除背景干扰，特异性选择富集能力非常强；(提供有资质的食品检验机构出具的验证报告，提供原件或加盖公章的复印件)</w:t>
      </w:r>
    </w:p>
    <w:p>
      <w:pPr>
        <w:spacing w:line="360" w:lineRule="auto"/>
        <w:rPr>
          <w:color w:val="000000"/>
          <w:kern w:val="0"/>
          <w:szCs w:val="21"/>
        </w:rPr>
      </w:pPr>
      <w:r>
        <w:rPr>
          <w:color w:val="000000"/>
          <w:kern w:val="0"/>
          <w:szCs w:val="21"/>
        </w:rPr>
        <w:t>1.21生产厂家具有全国分析检测人员能力NTC培训资质（需提供NTC培训机构资质认定证书复印件）</w:t>
      </w:r>
    </w:p>
    <w:p>
      <w:pPr>
        <w:spacing w:line="360" w:lineRule="auto"/>
        <w:rPr>
          <w:color w:val="000000"/>
          <w:kern w:val="0"/>
          <w:szCs w:val="21"/>
        </w:rPr>
      </w:pPr>
      <w:r>
        <w:rPr>
          <w:color w:val="000000"/>
          <w:kern w:val="0"/>
          <w:szCs w:val="21"/>
        </w:rPr>
        <w:t>1.22生产厂家具有全国分析检测人员能力NTC考核资质（需提供NTC考核基地资质认定证书复印件）</w:t>
      </w:r>
    </w:p>
    <w:p>
      <w:pPr>
        <w:spacing w:line="360" w:lineRule="auto"/>
        <w:rPr>
          <w:b/>
          <w:bCs/>
          <w:color w:val="000000"/>
          <w:kern w:val="0"/>
          <w:szCs w:val="21"/>
        </w:rPr>
      </w:pPr>
      <w:r>
        <w:rPr>
          <w:b/>
          <w:bCs/>
          <w:color w:val="000000"/>
          <w:kern w:val="0"/>
          <w:szCs w:val="21"/>
        </w:rPr>
        <w:t>2配置</w:t>
      </w:r>
    </w:p>
    <w:p>
      <w:pPr>
        <w:spacing w:line="360" w:lineRule="auto"/>
        <w:rPr>
          <w:color w:val="000000"/>
          <w:kern w:val="0"/>
          <w:szCs w:val="21"/>
        </w:rPr>
      </w:pPr>
      <w:r>
        <w:rPr>
          <w:color w:val="000000"/>
          <w:kern w:val="0"/>
          <w:szCs w:val="21"/>
        </w:rPr>
        <w:t>2.1 紫外可见分光光度计一套</w:t>
      </w:r>
    </w:p>
    <w:p>
      <w:pPr>
        <w:spacing w:line="360" w:lineRule="auto"/>
        <w:rPr>
          <w:color w:val="000000"/>
          <w:kern w:val="0"/>
          <w:szCs w:val="21"/>
        </w:rPr>
      </w:pPr>
      <w:r>
        <w:rPr>
          <w:color w:val="000000"/>
          <w:kern w:val="0"/>
          <w:szCs w:val="21"/>
        </w:rPr>
        <w:t>2.2 全中文工作站软件一套</w:t>
      </w:r>
    </w:p>
    <w:p>
      <w:pPr>
        <w:spacing w:line="360" w:lineRule="auto"/>
        <w:rPr>
          <w:color w:val="000000"/>
          <w:kern w:val="0"/>
          <w:szCs w:val="21"/>
        </w:rPr>
      </w:pPr>
      <w:r>
        <w:rPr>
          <w:color w:val="000000"/>
          <w:kern w:val="0"/>
          <w:szCs w:val="21"/>
        </w:rPr>
        <w:t xml:space="preserve">2.3 石英比色皿一对 </w:t>
      </w:r>
    </w:p>
    <w:p>
      <w:pPr>
        <w:spacing w:line="360" w:lineRule="auto"/>
        <w:rPr>
          <w:color w:val="000000"/>
          <w:kern w:val="0"/>
          <w:szCs w:val="21"/>
        </w:rPr>
      </w:pPr>
      <w:r>
        <w:rPr>
          <w:color w:val="000000"/>
          <w:kern w:val="0"/>
          <w:szCs w:val="21"/>
        </w:rPr>
        <w:t>2.4 双光束100mm长样品池架附件一套</w:t>
      </w:r>
    </w:p>
    <w:p>
      <w:pPr>
        <w:spacing w:line="360" w:lineRule="auto"/>
        <w:rPr>
          <w:color w:val="000000"/>
          <w:kern w:val="0"/>
          <w:szCs w:val="21"/>
        </w:rPr>
      </w:pPr>
      <w:r>
        <w:rPr>
          <w:color w:val="000000"/>
          <w:kern w:val="0"/>
          <w:szCs w:val="21"/>
        </w:rPr>
        <w:t>2.5自动进样器专用接口</w:t>
      </w:r>
    </w:p>
    <w:p>
      <w:pPr>
        <w:spacing w:line="360" w:lineRule="auto"/>
        <w:rPr>
          <w:color w:val="000000"/>
          <w:kern w:val="0"/>
          <w:szCs w:val="21"/>
        </w:rPr>
      </w:pPr>
      <w:r>
        <w:rPr>
          <w:color w:val="000000"/>
          <w:kern w:val="0"/>
          <w:szCs w:val="21"/>
        </w:rPr>
        <w:t>2.6品牌电脑一套</w:t>
      </w:r>
    </w:p>
    <w:p>
      <w:pPr>
        <w:spacing w:line="360" w:lineRule="auto"/>
        <w:rPr>
          <w:color w:val="000000"/>
          <w:kern w:val="0"/>
          <w:szCs w:val="21"/>
        </w:rPr>
      </w:pPr>
      <w:r>
        <w:rPr>
          <w:color w:val="000000"/>
          <w:kern w:val="0"/>
          <w:szCs w:val="21"/>
        </w:rPr>
        <w:t>2.7品牌打印机一套</w:t>
      </w:r>
    </w:p>
    <w:p>
      <w:pPr>
        <w:spacing w:line="360" w:lineRule="auto"/>
        <w:rPr>
          <w:color w:val="000000"/>
          <w:kern w:val="0"/>
          <w:szCs w:val="21"/>
        </w:rPr>
      </w:pPr>
      <w:r>
        <w:rPr>
          <w:color w:val="000000"/>
          <w:kern w:val="0"/>
          <w:szCs w:val="21"/>
        </w:rPr>
        <w:t>2.8 氘灯、钨灯备用件一套。</w:t>
      </w:r>
    </w:p>
    <w:p>
      <w:pPr>
        <w:spacing w:line="360" w:lineRule="auto"/>
        <w:rPr>
          <w:color w:val="000000"/>
          <w:kern w:val="0"/>
          <w:szCs w:val="21"/>
        </w:rPr>
      </w:pPr>
      <w:r>
        <w:rPr>
          <w:color w:val="000000"/>
          <w:kern w:val="0"/>
          <w:szCs w:val="21"/>
        </w:rPr>
        <w:t>3售后服务</w:t>
      </w:r>
    </w:p>
    <w:p>
      <w:pPr>
        <w:spacing w:line="360" w:lineRule="auto"/>
        <w:rPr>
          <w:color w:val="000000"/>
          <w:kern w:val="0"/>
          <w:szCs w:val="21"/>
        </w:rPr>
      </w:pPr>
      <w:r>
        <w:rPr>
          <w:color w:val="000000"/>
          <w:kern w:val="0"/>
          <w:szCs w:val="21"/>
        </w:rPr>
        <w:t>3.1合同签订前，最终采购者有权要求预中标人提供样机进行技术参数验证，如果不能通过验证，作废标处理，一切责任由投标人承担，制定技术服务条款，有明确的售后服务措施和收费标准。在保修期内，厂家在接到用户要求对所购仪器设备进行维修时，应在24小时之内给予响应，并及时提供维修服务。</w:t>
      </w:r>
    </w:p>
    <w:p>
      <w:pPr>
        <w:spacing w:line="360" w:lineRule="auto"/>
        <w:rPr>
          <w:color w:val="000000"/>
          <w:kern w:val="0"/>
          <w:szCs w:val="21"/>
        </w:rPr>
      </w:pPr>
      <w:r>
        <w:rPr>
          <w:color w:val="000000"/>
          <w:kern w:val="0"/>
          <w:szCs w:val="21"/>
        </w:rPr>
        <w:t>3.2首次仪器安装时厂家提供现场免费培训，确保使用人员能够正确操作使用仪器。培训内容包括仪器设备的基本原理、操作使用和日常维护等，直到学会为止。</w:t>
      </w:r>
    </w:p>
    <w:p>
      <w:pPr>
        <w:spacing w:line="360" w:lineRule="auto"/>
        <w:rPr>
          <w:color w:val="000000"/>
          <w:kern w:val="0"/>
          <w:szCs w:val="21"/>
        </w:rPr>
      </w:pPr>
      <w:r>
        <w:rPr>
          <w:color w:val="000000"/>
          <w:kern w:val="0"/>
          <w:szCs w:val="21"/>
        </w:rPr>
        <w:t>3.3制造厂家需设立售后服务机构或技术服务机构，自验收合格之日起，中标人应免费提供仪器设备1年保修期的技术服务；软件终身免费升级（需提供证明材料）。</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二、全自动凯氏定氮仪</w:t>
      </w:r>
      <w:r>
        <w:rPr>
          <w:rFonts w:hint="eastAsia"/>
          <w:b/>
          <w:bCs/>
          <w:sz w:val="24"/>
        </w:rPr>
        <w:t>（数量：1套）</w:t>
      </w:r>
    </w:p>
    <w:p>
      <w:pPr>
        <w:spacing w:line="360" w:lineRule="auto"/>
        <w:rPr>
          <w:b/>
          <w:bCs/>
          <w:color w:val="000000"/>
          <w:kern w:val="0"/>
          <w:szCs w:val="21"/>
        </w:rPr>
      </w:pPr>
      <w:r>
        <w:rPr>
          <w:rFonts w:hint="eastAsia"/>
          <w:b/>
          <w:bCs/>
          <w:color w:val="000000"/>
          <w:kern w:val="0"/>
          <w:szCs w:val="21"/>
        </w:rPr>
        <w:t>1.设备用途：</w:t>
      </w:r>
    </w:p>
    <w:p>
      <w:pPr>
        <w:spacing w:line="360" w:lineRule="auto"/>
        <w:rPr>
          <w:color w:val="000000"/>
          <w:kern w:val="0"/>
          <w:szCs w:val="21"/>
        </w:rPr>
      </w:pPr>
      <w:r>
        <w:rPr>
          <w:rFonts w:hint="eastAsia"/>
          <w:color w:val="000000"/>
          <w:kern w:val="0"/>
          <w:szCs w:val="21"/>
        </w:rPr>
        <w:t>用于检测食品、药品、谷物、农业、水产品、乳制品、化工、土壤、植物、肥料、动物饲料、烟草、环境监测等样品中全氮和蛋白质含量的分析以及其它挥发性组分的分析。</w:t>
      </w:r>
    </w:p>
    <w:p>
      <w:pPr>
        <w:spacing w:line="360" w:lineRule="auto"/>
        <w:rPr>
          <w:b/>
          <w:bCs/>
          <w:color w:val="000000"/>
          <w:kern w:val="0"/>
          <w:szCs w:val="21"/>
        </w:rPr>
      </w:pPr>
      <w:r>
        <w:rPr>
          <w:rFonts w:hint="eastAsia"/>
          <w:b/>
          <w:bCs/>
          <w:color w:val="000000"/>
          <w:kern w:val="0"/>
          <w:szCs w:val="21"/>
        </w:rPr>
        <w:t>2. 主机要求</w:t>
      </w:r>
    </w:p>
    <w:p>
      <w:pPr>
        <w:spacing w:line="360" w:lineRule="auto"/>
        <w:rPr>
          <w:color w:val="000000"/>
          <w:kern w:val="0"/>
          <w:szCs w:val="21"/>
        </w:rPr>
      </w:pPr>
      <w:r>
        <w:rPr>
          <w:rFonts w:hint="eastAsia"/>
          <w:color w:val="000000"/>
          <w:kern w:val="0"/>
          <w:szCs w:val="21"/>
        </w:rPr>
        <w:t>*</w:t>
      </w:r>
      <w:r>
        <w:rPr>
          <w:color w:val="000000"/>
          <w:kern w:val="0"/>
          <w:szCs w:val="21"/>
        </w:rPr>
        <w:t>2.</w:t>
      </w:r>
      <w:r>
        <w:rPr>
          <w:rFonts w:hint="eastAsia"/>
          <w:color w:val="000000"/>
          <w:kern w:val="0"/>
          <w:szCs w:val="21"/>
        </w:rPr>
        <w:t>1.采用国家标准的凯氏定氮方法：浓硫酸环境消解样品、碱性环境蒸汽蒸馏、硼酸吸收、指示剂滴定终点颜色判定法；</w:t>
      </w:r>
    </w:p>
    <w:p>
      <w:pPr>
        <w:spacing w:line="360" w:lineRule="auto"/>
        <w:rPr>
          <w:color w:val="000000"/>
          <w:kern w:val="0"/>
          <w:szCs w:val="21"/>
        </w:rPr>
      </w:pPr>
      <w:r>
        <w:rPr>
          <w:color w:val="000000"/>
          <w:kern w:val="0"/>
          <w:szCs w:val="21"/>
        </w:rPr>
        <w:t>2.</w:t>
      </w:r>
      <w:r>
        <w:rPr>
          <w:rFonts w:hint="eastAsia"/>
          <w:color w:val="000000"/>
          <w:kern w:val="0"/>
          <w:szCs w:val="21"/>
        </w:rPr>
        <w:t>2.测定样品重量：固体≤5g,液体≤20ml；检测范围：0.1-240mg 氮；回收率≥99.5%（1-240mgN）；</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3.滴定精度：0.2、0.4、1.0μL/步三档可选;重复性误差(RSD)：≤0.5%（1-240mgN）；</w:t>
      </w:r>
    </w:p>
    <w:p>
      <w:pPr>
        <w:spacing w:line="360" w:lineRule="auto"/>
        <w:rPr>
          <w:color w:val="000000"/>
          <w:kern w:val="0"/>
          <w:szCs w:val="21"/>
        </w:rPr>
      </w:pPr>
      <w:r>
        <w:rPr>
          <w:color w:val="000000"/>
          <w:kern w:val="0"/>
          <w:szCs w:val="21"/>
        </w:rPr>
        <w:t>2.</w:t>
      </w:r>
      <w:r>
        <w:rPr>
          <w:rFonts w:hint="eastAsia"/>
          <w:color w:val="000000"/>
          <w:kern w:val="0"/>
          <w:szCs w:val="21"/>
        </w:rPr>
        <w:t>4.全自动加碱加酸、全自动蒸馏、全自动滴定、全自动排废、全自动清洗、全自动校正、全自动消化管排空、全自动故障检测、全自动溶液液位监测、全自动超温监测、全自动计算结果、输出、打印；</w:t>
      </w:r>
    </w:p>
    <w:p>
      <w:pPr>
        <w:spacing w:line="360" w:lineRule="auto"/>
        <w:rPr>
          <w:color w:val="000000"/>
          <w:kern w:val="0"/>
          <w:szCs w:val="21"/>
        </w:rPr>
      </w:pPr>
      <w:r>
        <w:rPr>
          <w:color w:val="000000"/>
          <w:kern w:val="0"/>
          <w:szCs w:val="21"/>
        </w:rPr>
        <w:t>2.</w:t>
      </w:r>
      <w:r>
        <w:rPr>
          <w:rFonts w:hint="eastAsia"/>
          <w:color w:val="000000"/>
          <w:kern w:val="0"/>
          <w:szCs w:val="21"/>
        </w:rPr>
        <w:t>5. 显示系统采用≥10吋彩色触摸屏，使用安卓操作系统，可通过触摸显示系统和操作软件进行设备控制及数据处理；</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6.采用三级用户名加密码形式登录，并可对密码进行老化设置，内置用户权限分级规则，仪器操作可溯源，同时具有审计追踪功能,使仪器的实验数据更加的真实，安全；</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7.设备具有批量测试功能，能够批量的输入样品信息，减少用户的工作量，使测试方便快捷，提高测试的效率；</w:t>
      </w:r>
    </w:p>
    <w:p>
      <w:pPr>
        <w:spacing w:line="360" w:lineRule="auto"/>
        <w:rPr>
          <w:color w:val="000000"/>
          <w:kern w:val="0"/>
          <w:szCs w:val="21"/>
        </w:rPr>
      </w:pPr>
      <w:r>
        <w:rPr>
          <w:color w:val="000000"/>
          <w:kern w:val="0"/>
          <w:szCs w:val="21"/>
        </w:rPr>
        <w:t>2.</w:t>
      </w:r>
      <w:r>
        <w:rPr>
          <w:rFonts w:hint="eastAsia"/>
          <w:color w:val="000000"/>
          <w:kern w:val="0"/>
          <w:szCs w:val="21"/>
        </w:rPr>
        <w:t>8.可以对接LIMS实验室信息管理系统，数据统一管理，方便快捷；</w:t>
      </w:r>
    </w:p>
    <w:p>
      <w:pPr>
        <w:spacing w:line="360" w:lineRule="auto"/>
        <w:rPr>
          <w:color w:val="000000"/>
          <w:kern w:val="0"/>
          <w:szCs w:val="21"/>
        </w:rPr>
      </w:pPr>
      <w:r>
        <w:rPr>
          <w:color w:val="000000"/>
          <w:kern w:val="0"/>
          <w:szCs w:val="21"/>
        </w:rPr>
        <w:t>2.</w:t>
      </w:r>
      <w:r>
        <w:rPr>
          <w:rFonts w:hint="eastAsia"/>
          <w:color w:val="000000"/>
          <w:kern w:val="0"/>
          <w:szCs w:val="21"/>
        </w:rPr>
        <w:t>9.蒸汽流量0-100%可调；蒸馏模式：双蒸馏模式可选；蒸馏时间：0—6000S 连续可调；</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10.采用金属材质蒸馏发生器，具有压力传感器、温度传感器、温度保护开关、分离式液位监测等多重保护；（需提供权威文件证明或仪器实物图片）；</w:t>
      </w:r>
    </w:p>
    <w:p>
      <w:pPr>
        <w:spacing w:line="360" w:lineRule="auto"/>
        <w:rPr>
          <w:color w:val="000000"/>
          <w:kern w:val="0"/>
          <w:szCs w:val="21"/>
        </w:rPr>
      </w:pPr>
      <w:r>
        <w:rPr>
          <w:color w:val="000000"/>
          <w:kern w:val="0"/>
          <w:szCs w:val="21"/>
        </w:rPr>
        <w:t>2.</w:t>
      </w:r>
      <w:r>
        <w:rPr>
          <w:rFonts w:hint="eastAsia"/>
          <w:color w:val="000000"/>
          <w:kern w:val="0"/>
          <w:szCs w:val="21"/>
        </w:rPr>
        <w:t>11.防溅瓶采用耐碱液腐蚀的高分子材质；接收杯上盖可随时拆卸，无需借助工具，便于清洗接收杯等部件</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12.冷凝系统采用金属冷凝方式，同时具有蒸馏馏出液温度监控系统，温度探头位于冷凝器下方,保证馏出液的温度不超温，保证测试结果的准确性；（需提供权威文件证明或仪器实物图片）；</w:t>
      </w:r>
    </w:p>
    <w:p>
      <w:pPr>
        <w:spacing w:line="360" w:lineRule="auto"/>
        <w:rPr>
          <w:color w:val="000000"/>
          <w:kern w:val="0"/>
          <w:szCs w:val="21"/>
        </w:rPr>
      </w:pPr>
      <w:r>
        <w:rPr>
          <w:color w:val="000000"/>
          <w:kern w:val="0"/>
          <w:szCs w:val="21"/>
        </w:rPr>
        <w:t>2.</w:t>
      </w:r>
      <w:r>
        <w:rPr>
          <w:rFonts w:hint="eastAsia"/>
          <w:color w:val="000000"/>
          <w:kern w:val="0"/>
          <w:szCs w:val="21"/>
        </w:rPr>
        <w:t>13.具备边蒸馏边滴定和变速度变体积滴定技术，减少测试时间，提高测试准确性；</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14.测试结果具备两种报告类型，标题可编辑，满足不同客户需求；且本机即可储存测试数据≥100万条, 满足各类规范中关于文件、记录保存时限的要求；</w:t>
      </w:r>
    </w:p>
    <w:p>
      <w:pPr>
        <w:spacing w:line="360" w:lineRule="auto"/>
        <w:rPr>
          <w:color w:val="000000"/>
          <w:kern w:val="0"/>
          <w:szCs w:val="21"/>
        </w:rPr>
      </w:pPr>
      <w:r>
        <w:rPr>
          <w:rFonts w:hint="eastAsia"/>
          <w:color w:val="000000"/>
          <w:kern w:val="0"/>
          <w:szCs w:val="21"/>
        </w:rPr>
        <w:t>▲2</w:t>
      </w:r>
      <w:r>
        <w:rPr>
          <w:color w:val="000000"/>
          <w:kern w:val="0"/>
          <w:szCs w:val="21"/>
        </w:rPr>
        <w:t>.</w:t>
      </w:r>
      <w:r>
        <w:rPr>
          <w:rFonts w:hint="eastAsia"/>
          <w:color w:val="000000"/>
          <w:kern w:val="0"/>
          <w:szCs w:val="21"/>
        </w:rPr>
        <w:t>15.具备滴定颜色设置和微调功能:共三种颜色判定，可支持凯氏定氮各指示剂种类及配比，满足各类标准需要；（需提供操作软件界面图片）；</w:t>
      </w:r>
    </w:p>
    <w:p>
      <w:pPr>
        <w:spacing w:line="360" w:lineRule="auto"/>
        <w:rPr>
          <w:color w:val="000000"/>
          <w:kern w:val="0"/>
          <w:szCs w:val="21"/>
        </w:rPr>
      </w:pPr>
      <w:r>
        <w:rPr>
          <w:color w:val="000000"/>
          <w:kern w:val="0"/>
          <w:szCs w:val="21"/>
        </w:rPr>
        <w:t>2.</w:t>
      </w:r>
      <w:r>
        <w:rPr>
          <w:rFonts w:hint="eastAsia"/>
          <w:color w:val="000000"/>
          <w:kern w:val="0"/>
          <w:szCs w:val="21"/>
        </w:rPr>
        <w:t>16.具备安全门自动监测、消化管在位监测、溶液桶液位监测、接收杯溢出监测、进样器监测；</w:t>
      </w:r>
    </w:p>
    <w:p>
      <w:pPr>
        <w:spacing w:line="360" w:lineRule="auto"/>
        <w:rPr>
          <w:b/>
          <w:bCs/>
          <w:color w:val="000000"/>
          <w:kern w:val="0"/>
          <w:szCs w:val="21"/>
        </w:rPr>
      </w:pPr>
      <w:r>
        <w:rPr>
          <w:rFonts w:hint="eastAsia"/>
          <w:b/>
          <w:bCs/>
          <w:color w:val="000000"/>
          <w:kern w:val="0"/>
          <w:szCs w:val="21"/>
        </w:rPr>
        <w:t>3.石墨消解仪要求:</w:t>
      </w:r>
    </w:p>
    <w:p>
      <w:pPr>
        <w:spacing w:line="360" w:lineRule="auto"/>
        <w:rPr>
          <w:color w:val="000000"/>
          <w:kern w:val="0"/>
          <w:szCs w:val="21"/>
        </w:rPr>
      </w:pPr>
      <w:r>
        <w:rPr>
          <w:color w:val="000000"/>
          <w:kern w:val="0"/>
          <w:szCs w:val="21"/>
        </w:rPr>
        <w:t>3.</w:t>
      </w:r>
      <w:r>
        <w:rPr>
          <w:rFonts w:hint="eastAsia"/>
          <w:color w:val="000000"/>
          <w:kern w:val="0"/>
          <w:szCs w:val="21"/>
        </w:rPr>
        <w:t>1.处理能力≥20个/批；控温方式：PID 控温；嵌入式软件控温技术,控温范围：室温+5℃～450℃；控温精度：±1℃；</w:t>
      </w:r>
    </w:p>
    <w:p>
      <w:pPr>
        <w:spacing w:line="360" w:lineRule="auto"/>
        <w:rPr>
          <w:color w:val="000000"/>
          <w:kern w:val="0"/>
          <w:szCs w:val="21"/>
        </w:rPr>
      </w:pPr>
      <w:r>
        <w:rPr>
          <w:color w:val="000000"/>
          <w:kern w:val="0"/>
          <w:szCs w:val="21"/>
        </w:rPr>
        <w:t>3.</w:t>
      </w:r>
      <w:r>
        <w:rPr>
          <w:rFonts w:hint="eastAsia"/>
          <w:color w:val="000000"/>
          <w:kern w:val="0"/>
          <w:szCs w:val="21"/>
        </w:rPr>
        <w:t>2.设备采用显示屏≥5寸真彩液晶，实时显示消解状态；加热方式：采用红外一体式加热及高纯石墨传导；</w:t>
      </w:r>
    </w:p>
    <w:p>
      <w:pPr>
        <w:spacing w:line="360" w:lineRule="auto"/>
        <w:rPr>
          <w:color w:val="000000"/>
          <w:kern w:val="0"/>
          <w:szCs w:val="21"/>
        </w:rPr>
      </w:pPr>
      <w:r>
        <w:rPr>
          <w:color w:val="000000"/>
          <w:kern w:val="0"/>
          <w:szCs w:val="21"/>
        </w:rPr>
        <w:t>3.</w:t>
      </w:r>
      <w:r>
        <w:rPr>
          <w:rFonts w:hint="eastAsia"/>
          <w:color w:val="000000"/>
          <w:kern w:val="0"/>
          <w:szCs w:val="21"/>
        </w:rPr>
        <w:t>3.隔热方式：采用陶瓷及风道隔热；</w:t>
      </w:r>
    </w:p>
    <w:p>
      <w:pPr>
        <w:spacing w:line="360" w:lineRule="auto"/>
        <w:rPr>
          <w:color w:val="000000"/>
          <w:kern w:val="0"/>
          <w:szCs w:val="21"/>
        </w:rPr>
      </w:pPr>
      <w:r>
        <w:rPr>
          <w:color w:val="000000"/>
          <w:kern w:val="0"/>
          <w:szCs w:val="21"/>
        </w:rPr>
        <w:t>3.</w:t>
      </w:r>
      <w:r>
        <w:rPr>
          <w:rFonts w:hint="eastAsia"/>
          <w:color w:val="000000"/>
          <w:kern w:val="0"/>
          <w:szCs w:val="21"/>
        </w:rPr>
        <w:t>4.石墨表面处理方式：采用气相沉积技术，防止石墨高温氧化；</w:t>
      </w:r>
    </w:p>
    <w:p>
      <w:pPr>
        <w:spacing w:line="360" w:lineRule="auto"/>
        <w:rPr>
          <w:color w:val="000000"/>
          <w:kern w:val="0"/>
          <w:szCs w:val="21"/>
        </w:rPr>
      </w:pPr>
      <w:r>
        <w:rPr>
          <w:color w:val="000000"/>
          <w:kern w:val="0"/>
          <w:szCs w:val="21"/>
        </w:rPr>
        <w:t>3.</w:t>
      </w:r>
      <w:r>
        <w:rPr>
          <w:rFonts w:hint="eastAsia"/>
          <w:color w:val="000000"/>
          <w:kern w:val="0"/>
          <w:szCs w:val="21"/>
        </w:rPr>
        <w:t>5.自动检测加热单元工作故障并可判断出故障模块，便于维护；具备过压、过流、过热报警，故障自动报警功能；</w:t>
      </w:r>
    </w:p>
    <w:p>
      <w:pPr>
        <w:spacing w:line="360" w:lineRule="auto"/>
        <w:rPr>
          <w:color w:val="000000"/>
          <w:kern w:val="0"/>
          <w:szCs w:val="21"/>
        </w:rPr>
      </w:pPr>
      <w:r>
        <w:rPr>
          <w:color w:val="000000"/>
          <w:kern w:val="0"/>
          <w:szCs w:val="21"/>
        </w:rPr>
        <w:t>3.</w:t>
      </w:r>
      <w:r>
        <w:rPr>
          <w:rFonts w:hint="eastAsia"/>
          <w:color w:val="000000"/>
          <w:kern w:val="0"/>
          <w:szCs w:val="21"/>
        </w:rPr>
        <w:t>6.可存贮：要求可存贮500组以上消解方法；</w:t>
      </w:r>
    </w:p>
    <w:p>
      <w:pPr>
        <w:spacing w:line="360" w:lineRule="auto"/>
        <w:rPr>
          <w:color w:val="000000"/>
          <w:kern w:val="0"/>
          <w:szCs w:val="21"/>
        </w:rPr>
      </w:pPr>
      <w:r>
        <w:rPr>
          <w:color w:val="000000"/>
          <w:kern w:val="0"/>
          <w:szCs w:val="21"/>
        </w:rPr>
        <w:t>3.</w:t>
      </w:r>
      <w:r>
        <w:rPr>
          <w:rFonts w:hint="eastAsia"/>
          <w:color w:val="000000"/>
          <w:kern w:val="0"/>
          <w:szCs w:val="21"/>
        </w:rPr>
        <w:t>7.仪器配置消解排废系统，避免消解酸雾外泄。</w:t>
      </w:r>
    </w:p>
    <w:p>
      <w:pPr>
        <w:spacing w:line="360" w:lineRule="auto"/>
        <w:rPr>
          <w:b/>
          <w:bCs/>
          <w:color w:val="000000"/>
          <w:kern w:val="0"/>
          <w:szCs w:val="21"/>
        </w:rPr>
      </w:pPr>
      <w:r>
        <w:rPr>
          <w:b/>
          <w:bCs/>
          <w:color w:val="000000"/>
          <w:kern w:val="0"/>
          <w:szCs w:val="21"/>
        </w:rPr>
        <w:t>4</w:t>
      </w:r>
      <w:r>
        <w:rPr>
          <w:rFonts w:hint="eastAsia"/>
          <w:b/>
          <w:bCs/>
          <w:color w:val="000000"/>
          <w:kern w:val="0"/>
          <w:szCs w:val="21"/>
        </w:rPr>
        <w:t>.配置要求:</w:t>
      </w:r>
    </w:p>
    <w:p>
      <w:pPr>
        <w:spacing w:line="360" w:lineRule="auto"/>
        <w:rPr>
          <w:color w:val="000000"/>
          <w:kern w:val="0"/>
          <w:szCs w:val="21"/>
        </w:rPr>
      </w:pPr>
      <w:r>
        <w:rPr>
          <w:color w:val="000000"/>
          <w:kern w:val="0"/>
          <w:szCs w:val="21"/>
        </w:rPr>
        <w:t>4.</w:t>
      </w:r>
      <w:r>
        <w:rPr>
          <w:rFonts w:hint="eastAsia"/>
          <w:color w:val="000000"/>
          <w:kern w:val="0"/>
          <w:szCs w:val="21"/>
        </w:rPr>
        <w:t>1. 全自动凯氏定氮仪(含蒸馏系统、滴定系统、冷凝系统、软件系统)   1台</w:t>
      </w:r>
    </w:p>
    <w:p>
      <w:pPr>
        <w:spacing w:line="360" w:lineRule="auto"/>
        <w:rPr>
          <w:color w:val="000000"/>
          <w:kern w:val="0"/>
          <w:szCs w:val="21"/>
        </w:rPr>
      </w:pPr>
      <w:r>
        <w:rPr>
          <w:color w:val="000000"/>
          <w:kern w:val="0"/>
          <w:szCs w:val="21"/>
        </w:rPr>
        <w:t>4.</w:t>
      </w:r>
      <w:r>
        <w:rPr>
          <w:rFonts w:hint="eastAsia"/>
          <w:color w:val="000000"/>
          <w:kern w:val="0"/>
          <w:szCs w:val="21"/>
        </w:rPr>
        <w:t>2. 石墨消解仪                                                   1台</w:t>
      </w:r>
    </w:p>
    <w:p>
      <w:pPr>
        <w:spacing w:line="360" w:lineRule="auto"/>
        <w:rPr>
          <w:color w:val="000000"/>
          <w:kern w:val="0"/>
          <w:szCs w:val="21"/>
        </w:rPr>
      </w:pPr>
      <w:r>
        <w:rPr>
          <w:color w:val="000000"/>
          <w:kern w:val="0"/>
          <w:szCs w:val="21"/>
        </w:rPr>
        <w:t>4.</w:t>
      </w:r>
      <w:r>
        <w:rPr>
          <w:rFonts w:hint="eastAsia"/>
          <w:color w:val="000000"/>
          <w:kern w:val="0"/>
          <w:szCs w:val="21"/>
        </w:rPr>
        <w:t>3. 排废系统                                                     1套</w:t>
      </w:r>
    </w:p>
    <w:p>
      <w:pPr>
        <w:spacing w:line="360" w:lineRule="auto"/>
        <w:rPr>
          <w:color w:val="000000"/>
          <w:kern w:val="0"/>
          <w:szCs w:val="21"/>
        </w:rPr>
      </w:pPr>
      <w:r>
        <w:rPr>
          <w:color w:val="000000"/>
          <w:kern w:val="0"/>
          <w:szCs w:val="21"/>
        </w:rPr>
        <w:t>4.</w:t>
      </w:r>
      <w:r>
        <w:rPr>
          <w:rFonts w:hint="eastAsia"/>
          <w:color w:val="000000"/>
          <w:kern w:val="0"/>
          <w:szCs w:val="21"/>
        </w:rPr>
        <w:t>4. 消化管                                                       40只</w:t>
      </w:r>
    </w:p>
    <w:p>
      <w:pPr>
        <w:spacing w:line="360" w:lineRule="auto"/>
        <w:rPr>
          <w:color w:val="000000"/>
          <w:kern w:val="0"/>
          <w:szCs w:val="21"/>
        </w:rPr>
      </w:pPr>
      <w:r>
        <w:rPr>
          <w:color w:val="000000"/>
          <w:kern w:val="0"/>
          <w:szCs w:val="21"/>
        </w:rPr>
        <w:t>4.</w:t>
      </w:r>
      <w:r>
        <w:rPr>
          <w:rFonts w:hint="eastAsia"/>
          <w:color w:val="000000"/>
          <w:kern w:val="0"/>
          <w:szCs w:val="21"/>
        </w:rPr>
        <w:t>5. 溶液桶                                                       3个</w:t>
      </w:r>
    </w:p>
    <w:p>
      <w:pPr>
        <w:spacing w:line="360" w:lineRule="auto"/>
        <w:rPr>
          <w:color w:val="000000"/>
          <w:kern w:val="0"/>
          <w:szCs w:val="21"/>
        </w:rPr>
      </w:pPr>
      <w:r>
        <w:rPr>
          <w:color w:val="000000"/>
          <w:kern w:val="0"/>
          <w:szCs w:val="21"/>
        </w:rPr>
        <w:t>4.</w:t>
      </w:r>
      <w:r>
        <w:rPr>
          <w:rFonts w:hint="eastAsia"/>
          <w:color w:val="000000"/>
          <w:kern w:val="0"/>
          <w:szCs w:val="21"/>
        </w:rPr>
        <w:t>6. 消化管架                                                     1个</w:t>
      </w:r>
    </w:p>
    <w:p>
      <w:pPr>
        <w:spacing w:line="360" w:lineRule="auto"/>
        <w:rPr>
          <w:color w:val="000000"/>
          <w:kern w:val="0"/>
          <w:szCs w:val="21"/>
        </w:rPr>
      </w:pPr>
      <w:r>
        <w:rPr>
          <w:rFonts w:hint="eastAsia"/>
          <w:color w:val="000000"/>
          <w:kern w:val="0"/>
          <w:szCs w:val="21"/>
        </w:rPr>
        <w:t>7. 定氮催化剂                                                1000片</w:t>
      </w:r>
    </w:p>
    <w:p>
      <w:pPr>
        <w:pStyle w:val="532"/>
        <w:rPr>
          <w:rFonts w:ascii="Times New Roman" w:hAnsi="Times New Roman" w:cs="Times New Roman"/>
          <w:b/>
          <w:bCs/>
        </w:rPr>
      </w:pPr>
    </w:p>
    <w:p>
      <w:pPr>
        <w:pStyle w:val="532"/>
        <w:rPr>
          <w:rFonts w:ascii="Times New Roman" w:hAnsi="Times New Roman" w:cs="Times New Roman"/>
          <w:b/>
          <w:bCs/>
        </w:rPr>
      </w:pPr>
      <w:r>
        <w:rPr>
          <w:rFonts w:hint="eastAsia" w:ascii="Times New Roman" w:hAnsi="Times New Roman" w:cs="Times New Roman"/>
          <w:b/>
          <w:bCs/>
        </w:rPr>
        <w:t>三</w:t>
      </w:r>
      <w:r>
        <w:rPr>
          <w:rFonts w:ascii="Times New Roman" w:hAnsi="Times New Roman" w:cs="Times New Roman"/>
          <w:b/>
          <w:bCs/>
        </w:rPr>
        <w:t>、颗粒分析自控吸液仪</w:t>
      </w:r>
      <w:r>
        <w:rPr>
          <w:rFonts w:hint="eastAsia" w:ascii="Times New Roman" w:hAnsi="Times New Roman" w:cs="Times New Roman"/>
          <w:b/>
          <w:bCs/>
        </w:rPr>
        <w:t>（数量：3套）</w:t>
      </w:r>
    </w:p>
    <w:p>
      <w:pPr>
        <w:spacing w:line="360" w:lineRule="auto"/>
        <w:ind w:firstLine="420" w:firstLineChars="200"/>
        <w:rPr>
          <w:rFonts w:ascii="宋体" w:hAnsi="宋体"/>
          <w:szCs w:val="21"/>
        </w:rPr>
      </w:pPr>
      <w:r>
        <w:rPr>
          <w:rFonts w:hint="eastAsia" w:ascii="宋体" w:hAnsi="宋体"/>
          <w:szCs w:val="21"/>
        </w:rPr>
        <w:t>满足标准：《土壤分析技术规范》第二版，5.1节吸管法</w:t>
      </w:r>
    </w:p>
    <w:p>
      <w:pPr>
        <w:spacing w:line="360" w:lineRule="auto"/>
        <w:ind w:firstLine="420" w:firstLineChars="200"/>
        <w:rPr>
          <w:rFonts w:ascii="宋体" w:hAnsi="宋体"/>
          <w:szCs w:val="21"/>
        </w:rPr>
      </w:pPr>
      <w:r>
        <w:rPr>
          <w:rFonts w:hint="eastAsia" w:ascii="宋体" w:hAnsi="宋体"/>
          <w:szCs w:val="21"/>
        </w:rPr>
        <w:t>用途：测定土壤机械组成</w:t>
      </w:r>
    </w:p>
    <w:p>
      <w:pPr>
        <w:spacing w:line="360" w:lineRule="auto"/>
        <w:rPr>
          <w:rFonts w:ascii="宋体" w:hAnsi="宋体"/>
          <w:szCs w:val="21"/>
        </w:rPr>
      </w:pPr>
      <w:r>
        <w:rPr>
          <w:rFonts w:hint="eastAsia" w:ascii="宋体" w:hAnsi="宋体"/>
          <w:szCs w:val="21"/>
        </w:rPr>
        <w:t>一、该装置要满足一下结构：</w:t>
      </w:r>
    </w:p>
    <w:p>
      <w:pPr>
        <w:spacing w:line="360" w:lineRule="auto"/>
        <w:rPr>
          <w:rFonts w:ascii="宋体" w:hAnsi="宋体"/>
          <w:szCs w:val="21"/>
        </w:rPr>
      </w:pPr>
      <w:r>
        <w:rPr>
          <w:rFonts w:hint="eastAsia" w:ascii="宋体" w:hAnsi="宋体"/>
          <w:szCs w:val="21"/>
        </w:rPr>
        <w:t>▲1、25ml特种吸管，底部实心，底部周围有45度朝下小孔5个，孔径1mm，带3、5、10cm深刻度线，和25ml体积刻度线；</w:t>
      </w:r>
    </w:p>
    <w:p>
      <w:pPr>
        <w:spacing w:line="360" w:lineRule="auto"/>
        <w:rPr>
          <w:rFonts w:ascii="宋体" w:hAnsi="宋体"/>
          <w:szCs w:val="21"/>
        </w:rPr>
      </w:pPr>
      <w:r>
        <w:rPr>
          <w:rFonts w:hint="eastAsia" w:ascii="宋体" w:hAnsi="宋体"/>
          <w:szCs w:val="21"/>
        </w:rPr>
        <w:t>2、50ml大肚吸管；</w:t>
      </w:r>
    </w:p>
    <w:p>
      <w:pPr>
        <w:spacing w:line="360" w:lineRule="auto"/>
        <w:rPr>
          <w:rFonts w:ascii="宋体" w:hAnsi="宋体"/>
          <w:szCs w:val="21"/>
        </w:rPr>
      </w:pPr>
      <w:r>
        <w:rPr>
          <w:rFonts w:hint="eastAsia" w:ascii="宋体" w:hAnsi="宋体"/>
          <w:szCs w:val="21"/>
        </w:rPr>
        <w:t>3、三通活塞；</w:t>
      </w:r>
    </w:p>
    <w:p>
      <w:pPr>
        <w:spacing w:line="360" w:lineRule="auto"/>
        <w:rPr>
          <w:rFonts w:ascii="宋体" w:hAnsi="宋体"/>
          <w:szCs w:val="21"/>
        </w:rPr>
      </w:pPr>
      <w:r>
        <w:rPr>
          <w:rFonts w:hint="eastAsia" w:ascii="宋体" w:hAnsi="宋体"/>
          <w:szCs w:val="21"/>
        </w:rPr>
        <w:t>4、胶管；</w:t>
      </w:r>
    </w:p>
    <w:p>
      <w:pPr>
        <w:spacing w:line="360" w:lineRule="auto"/>
        <w:rPr>
          <w:rFonts w:ascii="宋体" w:hAnsi="宋体"/>
          <w:szCs w:val="21"/>
        </w:rPr>
      </w:pPr>
      <w:r>
        <w:rPr>
          <w:rFonts w:hint="eastAsia" w:ascii="宋体" w:hAnsi="宋体"/>
          <w:szCs w:val="21"/>
        </w:rPr>
        <w:t>5、自控吸液器，至少可以吸纳60ml液体，固定在底座上不滑动；</w:t>
      </w:r>
    </w:p>
    <w:p>
      <w:pPr>
        <w:spacing w:line="360" w:lineRule="auto"/>
        <w:rPr>
          <w:rFonts w:ascii="宋体" w:hAnsi="宋体"/>
          <w:szCs w:val="21"/>
        </w:rPr>
      </w:pPr>
      <w:r>
        <w:rPr>
          <w:rFonts w:hint="eastAsia" w:ascii="宋体" w:hAnsi="宋体"/>
          <w:szCs w:val="21"/>
        </w:rPr>
        <w:t>6、螺纹杆支架，中间带M8螺纹孔；</w:t>
      </w:r>
    </w:p>
    <w:p>
      <w:pPr>
        <w:spacing w:line="360" w:lineRule="auto"/>
        <w:rPr>
          <w:rFonts w:ascii="宋体" w:hAnsi="宋体"/>
          <w:szCs w:val="21"/>
        </w:rPr>
      </w:pPr>
      <w:r>
        <w:rPr>
          <w:rFonts w:hint="eastAsia" w:ascii="宋体" w:hAnsi="宋体"/>
          <w:szCs w:val="21"/>
        </w:rPr>
        <w:t>7、M8的螺纹杆，在支架上纵向方向上可调；</w:t>
      </w:r>
    </w:p>
    <w:p>
      <w:pPr>
        <w:spacing w:line="360" w:lineRule="auto"/>
        <w:rPr>
          <w:rFonts w:ascii="宋体" w:hAnsi="宋体"/>
          <w:szCs w:val="21"/>
        </w:rPr>
      </w:pPr>
      <w:r>
        <w:rPr>
          <w:rFonts w:hint="eastAsia" w:ascii="宋体" w:hAnsi="宋体"/>
          <w:szCs w:val="21"/>
        </w:rPr>
        <w:t>8、吸液器底座尺寸应大于或等于200*240*80mm；</w:t>
      </w:r>
    </w:p>
    <w:p>
      <w:pPr>
        <w:spacing w:line="360" w:lineRule="auto"/>
        <w:rPr>
          <w:rFonts w:ascii="宋体" w:hAnsi="宋体"/>
          <w:szCs w:val="21"/>
        </w:rPr>
      </w:pPr>
      <w:r>
        <w:rPr>
          <w:rFonts w:hint="eastAsia" w:ascii="宋体" w:hAnsi="宋体"/>
          <w:szCs w:val="21"/>
        </w:rPr>
        <w:t>二、带说明书，含三种试验方法：悬浮土粒法、直接测定重量法和减差法。</w:t>
      </w:r>
    </w:p>
    <w:p>
      <w:pPr>
        <w:spacing w:line="360" w:lineRule="auto"/>
        <w:rPr>
          <w:rFonts w:ascii="宋体" w:hAnsi="宋体"/>
          <w:szCs w:val="21"/>
        </w:rPr>
      </w:pPr>
      <w:r>
        <w:rPr>
          <w:rFonts w:hint="eastAsia" w:ascii="宋体" w:hAnsi="宋体"/>
          <w:szCs w:val="21"/>
        </w:rPr>
        <w:t>三、提供该试验方法的操作视频或技术指导。</w:t>
      </w:r>
    </w:p>
    <w:p>
      <w:pPr>
        <w:spacing w:line="360" w:lineRule="auto"/>
        <w:rPr>
          <w:b/>
          <w:bCs/>
          <w:sz w:val="24"/>
        </w:rPr>
      </w:pPr>
      <w:r>
        <w:rPr>
          <w:rFonts w:hint="eastAsia"/>
          <w:b/>
          <w:bCs/>
          <w:sz w:val="24"/>
        </w:rPr>
        <w:t>四、</w:t>
      </w:r>
      <w:r>
        <w:rPr>
          <w:b/>
          <w:bCs/>
          <w:sz w:val="24"/>
        </w:rPr>
        <w:t>水浴振荡器</w:t>
      </w:r>
      <w:r>
        <w:rPr>
          <w:rFonts w:hint="eastAsia"/>
          <w:b/>
          <w:bCs/>
          <w:sz w:val="24"/>
        </w:rPr>
        <w:t>（数量：1套）</w:t>
      </w:r>
    </w:p>
    <w:p>
      <w:pPr>
        <w:spacing w:line="360" w:lineRule="auto"/>
        <w:rPr>
          <w:color w:val="333333"/>
          <w:szCs w:val="21"/>
        </w:rPr>
      </w:pPr>
      <w:r>
        <w:rPr>
          <w:rStyle w:val="18"/>
          <w:color w:val="333333"/>
          <w:szCs w:val="21"/>
          <w:shd w:val="clear" w:color="auto" w:fill="FFFFFF"/>
        </w:rPr>
        <w:t>应用范围:</w:t>
      </w:r>
      <w:r>
        <w:rPr>
          <w:rFonts w:hint="eastAsia"/>
          <w:color w:val="333333"/>
          <w:szCs w:val="21"/>
          <w:shd w:val="clear" w:color="auto" w:fill="FFFFFF"/>
        </w:rPr>
        <w:t xml:space="preserve"> </w:t>
      </w:r>
      <w:r>
        <w:rPr>
          <w:color w:val="333333"/>
          <w:szCs w:val="21"/>
          <w:shd w:val="clear" w:color="auto" w:fill="FFFFFF"/>
        </w:rPr>
        <w:t>广泛应用于对温度和震荡频率有较高要求的细菌培养，发酵杂交，生物化学反应以及酶和组织研究等。在医学，生物学，分子学，制药，食品，环保等研究应用领域有着广泛而重要的应用。</w:t>
      </w:r>
    </w:p>
    <w:p>
      <w:pPr>
        <w:spacing w:line="360" w:lineRule="auto"/>
        <w:rPr>
          <w:rFonts w:ascii="宋体" w:hAnsi="宋体"/>
          <w:szCs w:val="21"/>
        </w:rPr>
      </w:pPr>
      <w:r>
        <w:rPr>
          <w:rStyle w:val="18"/>
          <w:color w:val="333333"/>
          <w:szCs w:val="21"/>
          <w:shd w:val="clear" w:color="auto" w:fill="FFFFFF"/>
        </w:rPr>
        <w:t>主要技术参数：</w:t>
      </w:r>
      <w:r>
        <w:rPr>
          <w:rStyle w:val="18"/>
          <w:color w:val="333333"/>
          <w:szCs w:val="21"/>
          <w:shd w:val="clear" w:color="auto" w:fill="FFFFFF"/>
        </w:rPr>
        <w:br w:type="textWrapping"/>
      </w:r>
      <w:r>
        <w:rPr>
          <w:rFonts w:hint="eastAsia" w:ascii="宋体" w:hAnsi="宋体"/>
          <w:szCs w:val="21"/>
        </w:rPr>
        <w:t>1.采用微电脑温度和频率控制器，并带有定时和调速功能；</w:t>
      </w:r>
    </w:p>
    <w:p>
      <w:pPr>
        <w:spacing w:line="360" w:lineRule="auto"/>
        <w:rPr>
          <w:rFonts w:ascii="宋体" w:hAnsi="宋体"/>
          <w:szCs w:val="21"/>
        </w:rPr>
      </w:pPr>
      <w:r>
        <w:rPr>
          <w:rFonts w:hint="eastAsia" w:ascii="宋体" w:hAnsi="宋体"/>
          <w:szCs w:val="21"/>
        </w:rPr>
        <w:t>2.箱体采用不锈钢材料便于清洁；夹具采用国内先进的弹簧万用夹具。</w:t>
      </w:r>
    </w:p>
    <w:p>
      <w:pPr>
        <w:spacing w:line="360" w:lineRule="auto"/>
        <w:rPr>
          <w:rFonts w:ascii="宋体" w:hAnsi="宋体"/>
          <w:szCs w:val="21"/>
        </w:rPr>
      </w:pPr>
      <w:r>
        <w:rPr>
          <w:rFonts w:hint="eastAsia" w:ascii="宋体" w:hAnsi="宋体"/>
          <w:szCs w:val="21"/>
        </w:rPr>
        <w:t>3.控温范围：RT+5～99.9℃；</w:t>
      </w:r>
    </w:p>
    <w:p>
      <w:pPr>
        <w:spacing w:line="360" w:lineRule="auto"/>
        <w:rPr>
          <w:rFonts w:ascii="宋体" w:hAnsi="宋体"/>
          <w:szCs w:val="21"/>
        </w:rPr>
      </w:pPr>
      <w:r>
        <w:rPr>
          <w:rFonts w:hint="eastAsia" w:ascii="宋体" w:hAnsi="宋体"/>
          <w:szCs w:val="21"/>
        </w:rPr>
        <w:t>4.旋转方式：回旋式或往返式；</w:t>
      </w:r>
    </w:p>
    <w:p>
      <w:pPr>
        <w:spacing w:line="360" w:lineRule="auto"/>
        <w:rPr>
          <w:rFonts w:ascii="宋体" w:hAnsi="宋体"/>
          <w:szCs w:val="21"/>
        </w:rPr>
      </w:pPr>
      <w:r>
        <w:rPr>
          <w:rFonts w:hint="eastAsia" w:ascii="宋体" w:hAnsi="宋体"/>
          <w:color w:val="000000"/>
          <w:szCs w:val="21"/>
        </w:rPr>
        <w:t>▲</w:t>
      </w:r>
      <w:r>
        <w:rPr>
          <w:rFonts w:hint="eastAsia" w:ascii="宋体" w:hAnsi="宋体"/>
          <w:szCs w:val="21"/>
        </w:rPr>
        <w:t>5.转速（次/分）：0～220转/分（回旋式）或0～300次/分(往返式)；</w:t>
      </w:r>
    </w:p>
    <w:p>
      <w:pPr>
        <w:spacing w:line="360" w:lineRule="auto"/>
        <w:rPr>
          <w:rFonts w:ascii="宋体" w:hAnsi="宋体"/>
          <w:szCs w:val="21"/>
        </w:rPr>
      </w:pPr>
      <w:r>
        <w:rPr>
          <w:rFonts w:hint="eastAsia" w:ascii="宋体" w:hAnsi="宋体"/>
          <w:color w:val="000000"/>
          <w:szCs w:val="21"/>
        </w:rPr>
        <w:t>▲</w:t>
      </w:r>
      <w:r>
        <w:rPr>
          <w:rFonts w:hint="eastAsia" w:ascii="宋体" w:hAnsi="宋体"/>
          <w:szCs w:val="21"/>
        </w:rPr>
        <w:t>6.振幅：20mm（回旋式）或30mm（往返式）；</w:t>
      </w:r>
    </w:p>
    <w:p>
      <w:pPr>
        <w:spacing w:line="360" w:lineRule="auto"/>
        <w:rPr>
          <w:rFonts w:ascii="宋体" w:hAnsi="宋体"/>
          <w:szCs w:val="21"/>
        </w:rPr>
      </w:pPr>
      <w:r>
        <w:rPr>
          <w:rFonts w:hint="eastAsia" w:ascii="宋体" w:hAnsi="宋体"/>
          <w:szCs w:val="21"/>
        </w:rPr>
        <w:t>7.外形尺寸(mm)：≥705×515×470mm；摇床面积(mm)：≥380×300mm；最大配置：6×500mL或3-4×1000mL；</w:t>
      </w:r>
    </w:p>
    <w:p>
      <w:pPr>
        <w:spacing w:line="360" w:lineRule="auto"/>
        <w:rPr>
          <w:rFonts w:ascii="宋体" w:hAnsi="宋体"/>
          <w:szCs w:val="21"/>
        </w:rPr>
      </w:pPr>
      <w:r>
        <w:rPr>
          <w:rFonts w:hint="eastAsia" w:ascii="宋体" w:hAnsi="宋体"/>
          <w:szCs w:val="21"/>
        </w:rPr>
        <w:t>8.定时范围：0～999小时；</w:t>
      </w:r>
    </w:p>
    <w:p>
      <w:pPr>
        <w:spacing w:line="360" w:lineRule="auto"/>
        <w:rPr>
          <w:rFonts w:ascii="宋体" w:hAnsi="宋体"/>
          <w:szCs w:val="21"/>
        </w:rPr>
      </w:pPr>
      <w:r>
        <w:rPr>
          <w:rFonts w:hint="eastAsia" w:ascii="宋体" w:hAnsi="宋体"/>
          <w:szCs w:val="21"/>
        </w:rPr>
        <w:t>9.电源：220V；额定功率：≤1600W。</w:t>
      </w:r>
    </w:p>
    <w:p>
      <w:pPr>
        <w:pStyle w:val="2"/>
        <w:rPr>
          <w:color w:val="333333"/>
          <w:sz w:val="21"/>
          <w:szCs w:val="21"/>
          <w:shd w:val="clear" w:color="auto" w:fill="FFFFFF"/>
        </w:rPr>
      </w:pPr>
    </w:p>
    <w:p>
      <w:pPr>
        <w:rPr>
          <w:b/>
          <w:bCs/>
          <w:sz w:val="24"/>
        </w:rPr>
      </w:pPr>
      <w:r>
        <w:rPr>
          <w:rFonts w:hint="eastAsia"/>
          <w:b/>
          <w:bCs/>
          <w:sz w:val="24"/>
        </w:rPr>
        <w:t>五、土壤团聚体分析仪（数量：1套）</w:t>
      </w:r>
    </w:p>
    <w:p>
      <w:pPr>
        <w:tabs>
          <w:tab w:val="left" w:pos="2144"/>
          <w:tab w:val="right" w:pos="9309"/>
        </w:tabs>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土壤团粒结构分析仪适用于土壤，环境，地遥，地质水土流失等实验室对团聚体的分析。团粒结构是肥力的基础，团粒结构与土壤肥力的关系主要表现在调节土壤水分与空气的矛盾协调土壤养分的消耗和积累的矛盾；稳定土温；改善土壤耕性，有利于作物根系伸展低噪音，可调速；带有定时设置功能，运行时间数码管显示，无级调速功能；同时带有应急暂停开关，方便试验中出现异常及时断电，停止工作。具有漏电保护功能。</w:t>
      </w:r>
    </w:p>
    <w:p>
      <w:pPr>
        <w:spacing w:line="360" w:lineRule="auto"/>
        <w:rPr>
          <w:rFonts w:ascii="宋体" w:hAnsi="宋体"/>
          <w:b/>
          <w:bCs/>
          <w:color w:val="000000"/>
          <w:szCs w:val="21"/>
        </w:rPr>
      </w:pPr>
      <w:r>
        <w:rPr>
          <w:rFonts w:hint="eastAsia" w:ascii="宋体" w:hAnsi="宋体"/>
          <w:b/>
          <w:bCs/>
          <w:color w:val="000000"/>
          <w:szCs w:val="21"/>
        </w:rPr>
        <w:t>系统主机</w:t>
      </w:r>
    </w:p>
    <w:p>
      <w:pPr>
        <w:spacing w:line="360" w:lineRule="auto"/>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土壤团粒分析系统完全遵照农业标准（NY/T 1121.19-2008）设计</w:t>
      </w:r>
    </w:p>
    <w:p>
      <w:pPr>
        <w:spacing w:line="360" w:lineRule="auto"/>
        <w:rPr>
          <w:rFonts w:ascii="宋体" w:hAnsi="宋体"/>
          <w:color w:val="000000"/>
          <w:szCs w:val="21"/>
        </w:rPr>
      </w:pP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系统设计：整机结构布局合理，方便操作，符合人体工程学设计，采用土壤水稳性大团聚体组成的检测原理，可有效分析土壤中含有钙、镁、有机质、菌丝等胶结起来的土粒，确保分析后仍维持土壤原来结构。</w:t>
      </w:r>
    </w:p>
    <w:p>
      <w:pPr>
        <w:spacing w:line="360" w:lineRule="auto"/>
        <w:rPr>
          <w:rFonts w:ascii="宋体" w:hAnsi="宋体"/>
          <w:color w:val="000000"/>
          <w:szCs w:val="21"/>
        </w:rPr>
      </w:pPr>
      <w:r>
        <w:rPr>
          <w:rFonts w:hint="eastAsia" w:ascii="宋体" w:hAnsi="宋体"/>
          <w:color w:val="000000"/>
          <w:szCs w:val="21"/>
        </w:rPr>
        <w:t>3)</w:t>
      </w:r>
      <w:r>
        <w:rPr>
          <w:rFonts w:hint="eastAsia" w:ascii="宋体" w:hAnsi="宋体"/>
          <w:color w:val="000000"/>
          <w:szCs w:val="21"/>
        </w:rPr>
        <w:tab/>
      </w:r>
      <w:r>
        <w:rPr>
          <w:rFonts w:hint="eastAsia" w:ascii="宋体" w:hAnsi="宋体"/>
          <w:color w:val="000000"/>
          <w:szCs w:val="21"/>
        </w:rPr>
        <w:t>控制系统：采用按键调频，旋钮定时。高精度数码显示时间和频率，数据精准，操作快捷。</w:t>
      </w:r>
    </w:p>
    <w:p>
      <w:pPr>
        <w:spacing w:line="360" w:lineRule="auto"/>
        <w:rPr>
          <w:rFonts w:ascii="宋体" w:hAnsi="宋体"/>
          <w:color w:val="000000"/>
          <w:szCs w:val="21"/>
        </w:rPr>
      </w:pPr>
      <w:r>
        <w:rPr>
          <w:rFonts w:hint="eastAsia" w:ascii="宋体" w:hAnsi="宋体"/>
          <w:color w:val="000000"/>
          <w:szCs w:val="21"/>
        </w:rPr>
        <w:t>4)</w:t>
      </w:r>
      <w:r>
        <w:rPr>
          <w:rFonts w:hint="eastAsia" w:ascii="宋体" w:hAnsi="宋体"/>
          <w:color w:val="000000"/>
          <w:szCs w:val="21"/>
        </w:rPr>
        <w:tab/>
      </w:r>
      <w:r>
        <w:rPr>
          <w:rFonts w:hint="eastAsia" w:ascii="宋体" w:hAnsi="宋体"/>
          <w:color w:val="000000"/>
          <w:szCs w:val="21"/>
        </w:rPr>
        <w:t>可靠性：系统整机性能稳定、自带漏电保护设计、自带接地保护线设计、产品低能耗、低噪音，符合环境保护标准。</w:t>
      </w:r>
    </w:p>
    <w:p>
      <w:pPr>
        <w:spacing w:line="360" w:lineRule="auto"/>
        <w:rPr>
          <w:rFonts w:ascii="宋体" w:hAnsi="宋体"/>
          <w:color w:val="000000"/>
          <w:szCs w:val="21"/>
        </w:rPr>
      </w:pPr>
      <w:r>
        <w:rPr>
          <w:rFonts w:hint="eastAsia" w:ascii="宋体" w:hAnsi="宋体"/>
          <w:color w:val="000000"/>
          <w:szCs w:val="21"/>
        </w:rPr>
        <w:t>5)</w:t>
      </w:r>
      <w:r>
        <w:rPr>
          <w:rFonts w:hint="eastAsia" w:ascii="宋体" w:hAnsi="宋体"/>
          <w:color w:val="000000"/>
          <w:szCs w:val="21"/>
        </w:rPr>
        <w:tab/>
      </w:r>
      <w:r>
        <w:rPr>
          <w:rFonts w:hint="eastAsia" w:ascii="宋体" w:hAnsi="宋体"/>
          <w:color w:val="000000"/>
          <w:szCs w:val="21"/>
        </w:rPr>
        <w:t>保护方式：系统采用急停按钮设计方式，确保仪器在运行中可随时暂时停止土壤团粒检测分析工作。</w:t>
      </w:r>
    </w:p>
    <w:p>
      <w:pPr>
        <w:spacing w:line="360" w:lineRule="auto"/>
        <w:rPr>
          <w:rFonts w:ascii="宋体" w:hAnsi="宋体"/>
          <w:color w:val="000000"/>
          <w:szCs w:val="21"/>
        </w:rPr>
      </w:pPr>
      <w:r>
        <w:rPr>
          <w:rFonts w:hint="eastAsia" w:ascii="宋体" w:hAnsi="宋体"/>
          <w:color w:val="000000"/>
          <w:szCs w:val="21"/>
        </w:rPr>
        <w:t>6)</w:t>
      </w:r>
      <w:r>
        <w:rPr>
          <w:rFonts w:hint="eastAsia" w:ascii="宋体" w:hAnsi="宋体"/>
          <w:color w:val="000000"/>
          <w:szCs w:val="21"/>
        </w:rPr>
        <w:tab/>
      </w:r>
      <w:r>
        <w:rPr>
          <w:rFonts w:hint="eastAsia" w:ascii="宋体" w:hAnsi="宋体"/>
          <w:color w:val="000000"/>
          <w:szCs w:val="21"/>
        </w:rPr>
        <w:t xml:space="preserve">主机尺寸：≥500mm*500mm*740mm（长*宽*高） </w:t>
      </w:r>
    </w:p>
    <w:p>
      <w:pPr>
        <w:spacing w:line="360" w:lineRule="auto"/>
        <w:rPr>
          <w:rFonts w:ascii="宋体" w:hAnsi="宋体"/>
          <w:color w:val="000000"/>
          <w:szCs w:val="21"/>
        </w:rPr>
      </w:pPr>
      <w:r>
        <w:rPr>
          <w:rFonts w:hint="eastAsia" w:ascii="宋体" w:hAnsi="宋体"/>
          <w:color w:val="000000"/>
          <w:szCs w:val="21"/>
        </w:rPr>
        <w:t>7)</w:t>
      </w:r>
      <w:r>
        <w:rPr>
          <w:rFonts w:hint="eastAsia" w:ascii="宋体" w:hAnsi="宋体"/>
          <w:color w:val="000000"/>
          <w:szCs w:val="21"/>
        </w:rPr>
        <w:tab/>
      </w:r>
      <w:r>
        <w:rPr>
          <w:rFonts w:hint="eastAsia" w:ascii="宋体" w:hAnsi="宋体"/>
          <w:color w:val="000000"/>
          <w:szCs w:val="21"/>
        </w:rPr>
        <w:t>运行方式：垂直运动，行程≥50mm，确保被检测土壤团粒按土壤筛标准规格进行样品标准留样。</w:t>
      </w:r>
    </w:p>
    <w:p>
      <w:pPr>
        <w:spacing w:line="360" w:lineRule="auto"/>
        <w:rPr>
          <w:rFonts w:ascii="宋体" w:hAnsi="宋体"/>
          <w:color w:val="000000"/>
          <w:szCs w:val="21"/>
        </w:rPr>
      </w:pPr>
      <w:r>
        <w:rPr>
          <w:rFonts w:hint="eastAsia" w:ascii="宋体" w:hAnsi="宋体"/>
          <w:color w:val="000000"/>
          <w:szCs w:val="21"/>
        </w:rPr>
        <w:t>8)</w:t>
      </w:r>
      <w:r>
        <w:rPr>
          <w:rFonts w:hint="eastAsia" w:ascii="宋体" w:hAnsi="宋体"/>
          <w:color w:val="000000"/>
          <w:szCs w:val="21"/>
        </w:rPr>
        <w:tab/>
      </w:r>
      <w:r>
        <w:rPr>
          <w:rFonts w:hint="eastAsia" w:ascii="宋体" w:hAnsi="宋体"/>
          <w:color w:val="000000"/>
          <w:szCs w:val="21"/>
        </w:rPr>
        <w:t>定时范围：在0~60分钟时间段内，根据检测样品质地所需，可通过调节旋钮进行任意时间及速度设置，到达设定时间后系统自动发出提示音，提示操作完毕。</w:t>
      </w:r>
    </w:p>
    <w:p>
      <w:pPr>
        <w:spacing w:line="360" w:lineRule="auto"/>
        <w:rPr>
          <w:rFonts w:ascii="宋体" w:hAnsi="宋体"/>
          <w:color w:val="000000"/>
          <w:szCs w:val="21"/>
        </w:rPr>
      </w:pPr>
      <w:r>
        <w:rPr>
          <w:rFonts w:hint="eastAsia" w:ascii="宋体" w:hAnsi="宋体"/>
          <w:color w:val="000000"/>
          <w:szCs w:val="21"/>
        </w:rPr>
        <w:t>▲9)</w:t>
      </w:r>
      <w:r>
        <w:rPr>
          <w:rFonts w:hint="eastAsia" w:ascii="宋体" w:hAnsi="宋体"/>
          <w:color w:val="000000"/>
          <w:szCs w:val="21"/>
        </w:rPr>
        <w:tab/>
      </w:r>
      <w:r>
        <w:rPr>
          <w:rFonts w:hint="eastAsia" w:ascii="宋体" w:hAnsi="宋体"/>
          <w:color w:val="000000"/>
          <w:szCs w:val="21"/>
        </w:rPr>
        <w:t>电机转速：≥1350 转/分钟，采用高精度调速电机，确保转速与土壤团聚体组成分析完全匹配。</w:t>
      </w:r>
    </w:p>
    <w:p>
      <w:pPr>
        <w:spacing w:line="360" w:lineRule="auto"/>
        <w:rPr>
          <w:rFonts w:ascii="宋体" w:hAnsi="宋体"/>
          <w:color w:val="000000"/>
          <w:szCs w:val="21"/>
        </w:rPr>
      </w:pPr>
      <w:r>
        <w:rPr>
          <w:rFonts w:hint="eastAsia" w:ascii="宋体" w:hAnsi="宋体"/>
          <w:color w:val="000000"/>
          <w:szCs w:val="21"/>
        </w:rPr>
        <w:t>10)</w:t>
      </w:r>
      <w:r>
        <w:rPr>
          <w:rFonts w:hint="eastAsia" w:ascii="宋体" w:hAnsi="宋体"/>
          <w:color w:val="000000"/>
          <w:szCs w:val="21"/>
        </w:rPr>
        <w:tab/>
      </w:r>
      <w:r>
        <w:rPr>
          <w:rFonts w:hint="eastAsia" w:ascii="宋体" w:hAnsi="宋体"/>
          <w:color w:val="000000"/>
          <w:szCs w:val="21"/>
        </w:rPr>
        <w:t>振荡频率：1-45次/分钟可任意设置，快慢可调，确保样品有序稳定检测。</w:t>
      </w:r>
    </w:p>
    <w:p>
      <w:pPr>
        <w:spacing w:line="360" w:lineRule="auto"/>
        <w:rPr>
          <w:rFonts w:ascii="宋体" w:hAnsi="宋体"/>
          <w:color w:val="000000"/>
          <w:szCs w:val="21"/>
        </w:rPr>
      </w:pPr>
      <w:r>
        <w:rPr>
          <w:rFonts w:hint="eastAsia" w:ascii="宋体" w:hAnsi="宋体"/>
          <w:color w:val="000000"/>
          <w:szCs w:val="21"/>
        </w:rPr>
        <w:t>11)</w:t>
      </w:r>
      <w:r>
        <w:rPr>
          <w:rFonts w:hint="eastAsia" w:ascii="宋体" w:hAnsi="宋体"/>
          <w:color w:val="000000"/>
          <w:szCs w:val="21"/>
        </w:rPr>
        <w:tab/>
      </w:r>
      <w:r>
        <w:rPr>
          <w:rFonts w:hint="eastAsia" w:ascii="宋体" w:hAnsi="宋体"/>
          <w:color w:val="000000"/>
          <w:szCs w:val="21"/>
        </w:rPr>
        <w:t>工作电压：采用安全市电AC220V ，50HZ频率，确保在实验室等任意场合都可正常使用。</w:t>
      </w:r>
    </w:p>
    <w:p>
      <w:pPr>
        <w:spacing w:line="360" w:lineRule="auto"/>
        <w:rPr>
          <w:rFonts w:ascii="宋体" w:hAnsi="宋体"/>
          <w:color w:val="000000"/>
          <w:szCs w:val="21"/>
        </w:rPr>
      </w:pPr>
      <w:r>
        <w:rPr>
          <w:rFonts w:hint="eastAsia" w:ascii="宋体" w:hAnsi="宋体"/>
          <w:color w:val="000000"/>
          <w:szCs w:val="21"/>
        </w:rPr>
        <w:t>12)</w:t>
      </w:r>
      <w:r>
        <w:rPr>
          <w:rFonts w:hint="eastAsia" w:ascii="宋体" w:hAnsi="宋体"/>
          <w:color w:val="000000"/>
          <w:szCs w:val="21"/>
        </w:rPr>
        <w:tab/>
      </w:r>
      <w:r>
        <w:rPr>
          <w:rFonts w:hint="eastAsia" w:ascii="宋体" w:hAnsi="宋体"/>
          <w:color w:val="000000"/>
          <w:szCs w:val="21"/>
        </w:rPr>
        <w:t>最大功率：120W大功率设计，确保系统在此功率下稳定运行。</w:t>
      </w:r>
    </w:p>
    <w:p>
      <w:pPr>
        <w:spacing w:line="360" w:lineRule="auto"/>
        <w:rPr>
          <w:rFonts w:ascii="宋体" w:hAnsi="宋体"/>
          <w:color w:val="000000"/>
          <w:szCs w:val="21"/>
        </w:rPr>
      </w:pPr>
      <w:r>
        <w:rPr>
          <w:rFonts w:hint="eastAsia" w:ascii="宋体" w:hAnsi="宋体"/>
          <w:color w:val="000000"/>
          <w:szCs w:val="21"/>
        </w:rPr>
        <w:t>土壤筛及相关组件（完全遵照农业标准（NY/T 1121.19-2008）标准配备）</w:t>
      </w:r>
    </w:p>
    <w:p>
      <w:pPr>
        <w:spacing w:line="360" w:lineRule="auto"/>
        <w:rPr>
          <w:rFonts w:ascii="宋体" w:hAnsi="宋体"/>
          <w:color w:val="000000"/>
          <w:szCs w:val="21"/>
        </w:rPr>
      </w:pPr>
      <w:r>
        <w:rPr>
          <w:rFonts w:hint="eastAsia" w:ascii="宋体" w:hAnsi="宋体"/>
          <w:color w:val="000000"/>
          <w:szCs w:val="21"/>
        </w:rPr>
        <w:t>1)</w:t>
      </w:r>
      <w:r>
        <w:rPr>
          <w:rFonts w:hint="eastAsia" w:ascii="宋体" w:hAnsi="宋体"/>
          <w:color w:val="000000"/>
          <w:szCs w:val="21"/>
        </w:rPr>
        <w:tab/>
      </w:r>
      <w:r>
        <w:rPr>
          <w:rFonts w:hint="eastAsia" w:ascii="宋体" w:hAnsi="宋体"/>
          <w:color w:val="000000"/>
          <w:szCs w:val="21"/>
        </w:rPr>
        <w:t>尺寸：每一个土壤筛的直径是20cm ，高5cm，易标准排布、叠加。</w:t>
      </w:r>
    </w:p>
    <w:p>
      <w:pPr>
        <w:spacing w:line="360" w:lineRule="auto"/>
        <w:rPr>
          <w:rFonts w:ascii="宋体" w:hAnsi="宋体"/>
          <w:color w:val="000000"/>
          <w:szCs w:val="21"/>
        </w:rPr>
      </w:pPr>
      <w:r>
        <w:rPr>
          <w:rFonts w:hint="eastAsia" w:ascii="宋体" w:hAnsi="宋体"/>
          <w:color w:val="000000"/>
          <w:szCs w:val="21"/>
        </w:rPr>
        <w:t>2)</w:t>
      </w:r>
      <w:r>
        <w:rPr>
          <w:rFonts w:hint="eastAsia" w:ascii="宋体" w:hAnsi="宋体"/>
          <w:color w:val="000000"/>
          <w:szCs w:val="21"/>
        </w:rPr>
        <w:tab/>
      </w:r>
      <w:r>
        <w:rPr>
          <w:rFonts w:hint="eastAsia" w:ascii="宋体" w:hAnsi="宋体"/>
          <w:color w:val="000000"/>
          <w:szCs w:val="21"/>
        </w:rPr>
        <w:t>规格：系统配备不少于</w:t>
      </w:r>
      <w:r>
        <w:rPr>
          <w:rFonts w:ascii="宋体" w:hAnsi="宋体"/>
          <w:color w:val="000000"/>
          <w:szCs w:val="21"/>
        </w:rPr>
        <w:t>8</w:t>
      </w:r>
      <w:r>
        <w:rPr>
          <w:rFonts w:hint="eastAsia" w:ascii="宋体" w:hAnsi="宋体"/>
          <w:color w:val="000000"/>
          <w:szCs w:val="21"/>
        </w:rPr>
        <w:t>个规格的土壤筛，大小规格参考以下几个规格：10mm、7mm、5mm、3mm、2mm、1mm、0.5mm 、0.25mm，可以支持干筛和湿筛的分开操作，确保对风干样品进行干筛后确定一定机械稳定下的团粒分布，亦可在将干筛后得到的团粒分布按相应比例混合并在水中进行湿筛，用以确定水稳性大团聚体的数量及分布。</w:t>
      </w:r>
    </w:p>
    <w:p>
      <w:pPr>
        <w:spacing w:line="360" w:lineRule="auto"/>
        <w:rPr>
          <w:rFonts w:ascii="宋体" w:hAnsi="宋体"/>
          <w:color w:val="000000"/>
          <w:szCs w:val="21"/>
        </w:rPr>
      </w:pPr>
      <w:r>
        <w:rPr>
          <w:rFonts w:hint="eastAsia" w:ascii="宋体" w:hAnsi="宋体"/>
          <w:color w:val="000000"/>
          <w:szCs w:val="21"/>
        </w:rPr>
        <w:t>3)</w:t>
      </w:r>
      <w:r>
        <w:rPr>
          <w:rFonts w:hint="eastAsia" w:ascii="宋体" w:hAnsi="宋体"/>
          <w:color w:val="000000"/>
          <w:szCs w:val="21"/>
        </w:rPr>
        <w:tab/>
      </w:r>
      <w:r>
        <w:rPr>
          <w:rFonts w:hint="eastAsia" w:ascii="宋体" w:hAnsi="宋体"/>
          <w:color w:val="000000"/>
          <w:szCs w:val="21"/>
        </w:rPr>
        <w:t>材质：采用不锈钢框、不锈钢网，保证材质在常年采集土样使用后不生锈、不腐蚀、不粘连土壤，易于清理 。</w:t>
      </w:r>
    </w:p>
    <w:p>
      <w:pPr>
        <w:spacing w:line="360" w:lineRule="auto"/>
        <w:rPr>
          <w:rFonts w:ascii="宋体" w:hAnsi="宋体"/>
          <w:color w:val="000000"/>
          <w:szCs w:val="21"/>
        </w:rPr>
      </w:pPr>
      <w:r>
        <w:rPr>
          <w:rFonts w:hint="eastAsia" w:ascii="宋体" w:hAnsi="宋体"/>
          <w:color w:val="000000"/>
          <w:szCs w:val="21"/>
        </w:rPr>
        <w:t>4)</w:t>
      </w:r>
      <w:r>
        <w:rPr>
          <w:rFonts w:hint="eastAsia" w:ascii="宋体" w:hAnsi="宋体"/>
          <w:color w:val="000000"/>
          <w:szCs w:val="21"/>
        </w:rPr>
        <w:tab/>
      </w:r>
      <w:r>
        <w:rPr>
          <w:rFonts w:hint="eastAsia" w:ascii="宋体" w:hAnsi="宋体"/>
          <w:color w:val="000000"/>
          <w:szCs w:val="21"/>
        </w:rPr>
        <w:t>水桶：采用不锈钢材质，配置4套直径大于等于25cm高度大于等于40cm。</w:t>
      </w:r>
    </w:p>
    <w:p>
      <w:pPr>
        <w:spacing w:line="360" w:lineRule="auto"/>
        <w:rPr>
          <w:rFonts w:ascii="宋体" w:hAnsi="宋体"/>
          <w:color w:val="000000"/>
          <w:szCs w:val="21"/>
        </w:rPr>
      </w:pPr>
      <w:r>
        <w:rPr>
          <w:rFonts w:hint="eastAsia" w:ascii="宋体" w:hAnsi="宋体"/>
          <w:color w:val="000000"/>
          <w:szCs w:val="21"/>
        </w:rPr>
        <w:t>5)</w:t>
      </w:r>
      <w:r>
        <w:rPr>
          <w:rFonts w:hint="eastAsia" w:ascii="宋体" w:hAnsi="宋体"/>
          <w:color w:val="000000"/>
          <w:szCs w:val="21"/>
        </w:rPr>
        <w:tab/>
      </w:r>
      <w:r>
        <w:rPr>
          <w:rFonts w:hint="eastAsia" w:ascii="宋体" w:hAnsi="宋体"/>
          <w:color w:val="000000"/>
          <w:szCs w:val="21"/>
        </w:rPr>
        <w:t>振荡架采用品字型设计，使系统可同时放置4套土壤振荡架，支持同时测定4个样品，大大提高工作效率。</w:t>
      </w:r>
    </w:p>
    <w:p>
      <w:pPr>
        <w:spacing w:line="360" w:lineRule="auto"/>
        <w:rPr>
          <w:rFonts w:ascii="宋体" w:hAnsi="宋体"/>
          <w:color w:val="000000"/>
          <w:szCs w:val="21"/>
        </w:rPr>
      </w:pPr>
      <w:r>
        <w:rPr>
          <w:rFonts w:hint="eastAsia" w:ascii="宋体" w:hAnsi="宋体"/>
          <w:color w:val="000000"/>
          <w:szCs w:val="21"/>
        </w:rPr>
        <w:t>6)</w:t>
      </w:r>
      <w:r>
        <w:rPr>
          <w:rFonts w:hint="eastAsia" w:ascii="宋体" w:hAnsi="宋体"/>
          <w:color w:val="000000"/>
          <w:szCs w:val="21"/>
        </w:rPr>
        <w:tab/>
      </w:r>
      <w:r>
        <w:rPr>
          <w:rFonts w:hint="eastAsia" w:ascii="宋体" w:hAnsi="宋体"/>
          <w:color w:val="000000"/>
          <w:szCs w:val="21"/>
        </w:rPr>
        <w:t>筛架：采用不锈钢材质，便于安装固定筛组，结构设计组件化，可快速安装与拆卸。</w:t>
      </w:r>
    </w:p>
    <w:p>
      <w:pPr>
        <w:spacing w:line="360" w:lineRule="auto"/>
        <w:rPr>
          <w:b/>
          <w:bCs/>
          <w:sz w:val="24"/>
        </w:rPr>
      </w:pPr>
      <w:r>
        <w:rPr>
          <w:rFonts w:hint="eastAsia" w:ascii="宋体" w:hAnsi="宋体"/>
          <w:color w:val="000000"/>
          <w:szCs w:val="21"/>
        </w:rPr>
        <w:t>7)</w:t>
      </w:r>
      <w:r>
        <w:rPr>
          <w:rFonts w:hint="eastAsia" w:ascii="宋体" w:hAnsi="宋体"/>
          <w:color w:val="000000"/>
          <w:szCs w:val="21"/>
        </w:rPr>
        <w:tab/>
      </w:r>
      <w:r>
        <w:rPr>
          <w:rFonts w:hint="eastAsia" w:ascii="宋体" w:hAnsi="宋体"/>
          <w:color w:val="000000"/>
          <w:szCs w:val="21"/>
        </w:rPr>
        <w:t>系统配置：主机一台、挂架4个、挡杆4根、不锈钢水桶4个、铝盒20个、取样盘2个、筛网4套（每套8个规格）、说明书1份、保修卡1份、合格证1份。</w:t>
      </w:r>
    </w:p>
    <w:p>
      <w:pPr>
        <w:spacing w:line="360" w:lineRule="auto"/>
        <w:rPr>
          <w:b/>
          <w:bCs/>
          <w:sz w:val="24"/>
        </w:rPr>
      </w:pPr>
      <w:r>
        <w:rPr>
          <w:rFonts w:hint="eastAsia"/>
          <w:b/>
          <w:bCs/>
          <w:sz w:val="24"/>
        </w:rPr>
        <w:t>注：</w:t>
      </w:r>
    </w:p>
    <w:p>
      <w:pPr>
        <w:numPr>
          <w:ilvl w:val="0"/>
          <w:numId w:val="19"/>
        </w:numPr>
        <w:spacing w:line="360" w:lineRule="auto"/>
        <w:rPr>
          <w:b/>
          <w:bCs/>
          <w:sz w:val="24"/>
        </w:rPr>
      </w:pPr>
      <w:r>
        <w:rPr>
          <w:rFonts w:hint="eastAsia"/>
          <w:b/>
          <w:bCs/>
          <w:sz w:val="24"/>
        </w:rPr>
        <w:t>投标人投标总价，包括项目所需产品、人工、运费、安装至设备能正常使用、培训、税费等所有费用。</w:t>
      </w:r>
    </w:p>
    <w:p>
      <w:pPr>
        <w:numPr>
          <w:ilvl w:val="0"/>
          <w:numId w:val="19"/>
        </w:numPr>
        <w:spacing w:line="360" w:lineRule="auto"/>
        <w:rPr>
          <w:b/>
          <w:bCs/>
          <w:sz w:val="24"/>
        </w:rPr>
      </w:pPr>
      <w:r>
        <w:rPr>
          <w:rFonts w:hint="eastAsia"/>
          <w:b/>
          <w:bCs/>
          <w:sz w:val="24"/>
        </w:rPr>
        <w:t xml:space="preserve">交货期：合同签订后30个日历天内完成 </w:t>
      </w:r>
    </w:p>
    <w:p>
      <w:pPr>
        <w:pStyle w:val="2"/>
        <w:rPr>
          <w:b/>
          <w:bCs/>
        </w:rPr>
      </w:pPr>
      <w:r>
        <w:rPr>
          <w:rFonts w:hint="eastAsia"/>
          <w:b/>
          <w:bCs/>
          <w:szCs w:val="24"/>
        </w:rPr>
        <w:t>3、交货地点：西藏自治区农牧科学院农业质量标准与检测研究所</w:t>
      </w:r>
    </w:p>
    <w:p>
      <w:pPr>
        <w:pStyle w:val="2"/>
        <w:rPr>
          <w:b/>
          <w:bCs/>
          <w:szCs w:val="24"/>
        </w:rPr>
      </w:pPr>
      <w:r>
        <w:rPr>
          <w:rFonts w:hint="eastAsia"/>
          <w:b/>
          <w:bCs/>
          <w:szCs w:val="24"/>
        </w:rPr>
        <w:t>5、质量要求：满足招标文件要求</w:t>
      </w:r>
    </w:p>
    <w:p>
      <w:pPr>
        <w:pStyle w:val="4"/>
        <w:keepNext w:val="0"/>
        <w:numPr>
          <w:ilvl w:val="1"/>
          <w:numId w:val="0"/>
        </w:numPr>
        <w:spacing w:before="120" w:line="372" w:lineRule="atLeast"/>
        <w:rPr>
          <w:rFonts w:ascii="Times New Roman" w:hAnsi="Times New Roman"/>
          <w:i w:val="0"/>
          <w:iCs w:val="0"/>
          <w:sz w:val="24"/>
          <w:szCs w:val="24"/>
        </w:rPr>
      </w:pPr>
      <w:r>
        <w:rPr>
          <w:rFonts w:hint="eastAsia"/>
          <w:i w:val="0"/>
          <w:iCs w:val="0"/>
          <w:sz w:val="24"/>
          <w:szCs w:val="24"/>
        </w:rPr>
        <w:t>6、</w:t>
      </w:r>
      <w:r>
        <w:rPr>
          <w:rFonts w:hint="eastAsia" w:ascii="Times New Roman" w:hAnsi="Times New Roman"/>
          <w:i w:val="0"/>
          <w:iCs w:val="0"/>
          <w:sz w:val="24"/>
          <w:szCs w:val="24"/>
        </w:rPr>
        <w:t>验收标准：按西藏自治区政府采购履约验收管理办法规定的程序及要求组织实施验收。</w:t>
      </w:r>
    </w:p>
    <w:p>
      <w:pPr>
        <w:pStyle w:val="3"/>
      </w:pPr>
    </w:p>
    <w:p>
      <w:pPr>
        <w:sectPr>
          <w:pgSz w:w="11906" w:h="16838"/>
          <w:pgMar w:top="1440" w:right="1247" w:bottom="1361" w:left="1247" w:header="851" w:footer="992" w:gutter="0"/>
          <w:cols w:space="720" w:num="1"/>
          <w:docGrid w:type="lines" w:linePitch="312" w:charSpace="0"/>
        </w:sectPr>
      </w:pPr>
    </w:p>
    <w:p/>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rPr>
          <w:rStyle w:val="39"/>
          <w:sz w:val="44"/>
          <w:szCs w:val="44"/>
        </w:rPr>
      </w:pPr>
    </w:p>
    <w:p>
      <w:pPr>
        <w:snapToGrid w:val="0"/>
        <w:spacing w:after="156"/>
        <w:jc w:val="center"/>
        <w:outlineLvl w:val="0"/>
        <w:rPr>
          <w:rStyle w:val="39"/>
          <w:sz w:val="44"/>
          <w:szCs w:val="44"/>
        </w:rPr>
      </w:pPr>
      <w:bookmarkStart w:id="204" w:name="_Toc8438"/>
      <w:r>
        <w:rPr>
          <w:rStyle w:val="39"/>
          <w:sz w:val="44"/>
          <w:szCs w:val="44"/>
        </w:rPr>
        <w:t>第六章投标文件格式</w:t>
      </w:r>
      <w:bookmarkEnd w:id="204"/>
    </w:p>
    <w:p>
      <w:pPr>
        <w:snapToGrid w:val="0"/>
        <w:spacing w:after="156"/>
        <w:rPr>
          <w:rStyle w:val="39"/>
        </w:rPr>
      </w:pPr>
    </w:p>
    <w:p>
      <w:pPr>
        <w:spacing w:line="360" w:lineRule="auto"/>
        <w:jc w:val="center"/>
        <w:rPr>
          <w:rStyle w:val="39"/>
        </w:rPr>
      </w:pPr>
      <w:r>
        <w:rPr>
          <w:rStyle w:val="39"/>
          <w:sz w:val="24"/>
        </w:rPr>
        <w:t>（投标人可根据项目实际情况编制投标文件）</w:t>
      </w:r>
      <w:r>
        <w:rPr>
          <w:rStyle w:val="39"/>
        </w:rPr>
        <w:br w:type="page"/>
      </w:r>
    </w:p>
    <w:p>
      <w:pPr>
        <w:spacing w:line="360" w:lineRule="auto"/>
        <w:jc w:val="center"/>
        <w:rPr>
          <w:rStyle w:val="39"/>
          <w:b/>
          <w:sz w:val="30"/>
          <w:szCs w:val="30"/>
        </w:rPr>
      </w:pPr>
      <w:r>
        <w:rPr>
          <w:rStyle w:val="39"/>
          <w:b/>
          <w:sz w:val="30"/>
          <w:szCs w:val="30"/>
        </w:rPr>
        <w:t>评标索引</w:t>
      </w:r>
    </w:p>
    <w:tbl>
      <w:tblPr>
        <w:tblStyle w:val="15"/>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序号</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评标办法条款号</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评标办法要求</w:t>
            </w: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投标文件对应内容的册及页码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一</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资格审查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二</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符合性审查</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三</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商务评审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四</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技术评审</w:t>
            </w: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1</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2</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76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r>
              <w:rPr>
                <w:rStyle w:val="39"/>
                <w:rFonts w:ascii="宋体"/>
                <w:szCs w:val="21"/>
              </w:rPr>
              <w:t>...</w:t>
            </w:r>
          </w:p>
        </w:tc>
        <w:tc>
          <w:tcPr>
            <w:tcW w:w="172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45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宋体"/>
                <w:szCs w:val="21"/>
              </w:rPr>
            </w:pPr>
          </w:p>
        </w:tc>
        <w:tc>
          <w:tcPr>
            <w:tcW w:w="1843" w:type="dxa"/>
            <w:tcBorders>
              <w:top w:val="single" w:color="000000" w:sz="4" w:space="0"/>
              <w:left w:val="single" w:color="000000" w:sz="4" w:space="0"/>
              <w:bottom w:val="single" w:color="000000" w:sz="4" w:space="0"/>
              <w:right w:val="single" w:color="000000" w:sz="4" w:space="0"/>
            </w:tcBorders>
            <w:vAlign w:val="center"/>
          </w:tcPr>
          <w:p>
            <w:pPr>
              <w:snapToGrid w:val="0"/>
              <w:ind w:firstLine="480"/>
              <w:jc w:val="center"/>
              <w:rPr>
                <w:rStyle w:val="39"/>
                <w:rFonts w:ascii="宋体"/>
                <w:szCs w:val="21"/>
              </w:rPr>
            </w:pPr>
          </w:p>
        </w:tc>
      </w:tr>
    </w:tbl>
    <w:p>
      <w:pPr>
        <w:spacing w:line="360" w:lineRule="auto"/>
        <w:ind w:firstLine="480"/>
        <w:jc w:val="left"/>
        <w:rPr>
          <w:rStyle w:val="39"/>
          <w:rFonts w:ascii="宋体"/>
          <w:szCs w:val="21"/>
        </w:rPr>
      </w:pPr>
    </w:p>
    <w:p>
      <w:pPr>
        <w:rPr>
          <w:rStyle w:val="39"/>
          <w:rFonts w:ascii="宋体"/>
          <w:szCs w:val="21"/>
        </w:rPr>
      </w:pPr>
      <w:r>
        <w:rPr>
          <w:rStyle w:val="39"/>
          <w:rFonts w:ascii="宋体"/>
          <w:szCs w:val="21"/>
        </w:rPr>
        <w:t>注：该评标索引表格放在投标文件目录后，正文的第一页。</w:t>
      </w:r>
    </w:p>
    <w:p>
      <w:pPr>
        <w:spacing w:line="360" w:lineRule="auto"/>
        <w:rPr>
          <w:rStyle w:val="39"/>
          <w:sz w:val="24"/>
        </w:rPr>
      </w:pPr>
    </w:p>
    <w:p>
      <w:pPr>
        <w:pStyle w:val="2"/>
        <w:rPr>
          <w:rStyle w:val="39"/>
          <w:szCs w:val="24"/>
        </w:rPr>
      </w:pPr>
    </w:p>
    <w:p>
      <w:pPr>
        <w:rPr>
          <w:rStyle w:val="39"/>
          <w:sz w:val="24"/>
        </w:rPr>
      </w:pPr>
    </w:p>
    <w:p>
      <w:pPr>
        <w:pStyle w:val="2"/>
        <w:rPr>
          <w:rStyle w:val="39"/>
          <w:szCs w:val="24"/>
        </w:rPr>
      </w:pPr>
    </w:p>
    <w:p>
      <w:pPr>
        <w:rPr>
          <w:rStyle w:val="39"/>
          <w:sz w:val="24"/>
        </w:rPr>
      </w:pPr>
    </w:p>
    <w:p>
      <w:pPr>
        <w:pStyle w:val="2"/>
        <w:rPr>
          <w:rStyle w:val="39"/>
          <w:szCs w:val="24"/>
        </w:rPr>
      </w:pPr>
    </w:p>
    <w:p>
      <w:pPr>
        <w:rPr>
          <w:rStyle w:val="39"/>
          <w:sz w:val="24"/>
        </w:rPr>
      </w:pPr>
    </w:p>
    <w:p>
      <w:pPr>
        <w:pStyle w:val="2"/>
        <w:rPr>
          <w:rStyle w:val="39"/>
          <w:szCs w:val="24"/>
        </w:rPr>
      </w:pPr>
    </w:p>
    <w:p/>
    <w:p>
      <w:pPr>
        <w:spacing w:line="360" w:lineRule="auto"/>
        <w:rPr>
          <w:rStyle w:val="39"/>
          <w:b/>
          <w:sz w:val="24"/>
        </w:rPr>
      </w:pPr>
    </w:p>
    <w:p>
      <w:pPr>
        <w:spacing w:line="360" w:lineRule="auto"/>
        <w:rPr>
          <w:rStyle w:val="39"/>
          <w:b/>
          <w:sz w:val="24"/>
        </w:rPr>
      </w:pPr>
      <w:r>
        <w:rPr>
          <w:rStyle w:val="39"/>
          <w:b/>
          <w:sz w:val="24"/>
        </w:rPr>
        <w:t>附件1  投标书</w:t>
      </w:r>
    </w:p>
    <w:p>
      <w:pPr>
        <w:jc w:val="center"/>
        <w:rPr>
          <w:rStyle w:val="39"/>
          <w:rFonts w:ascii="宋体" w:hAnsi="宋体"/>
          <w:kern w:val="0"/>
          <w:sz w:val="24"/>
        </w:rPr>
      </w:pPr>
    </w:p>
    <w:p>
      <w:pPr>
        <w:jc w:val="center"/>
        <w:rPr>
          <w:rStyle w:val="39"/>
          <w:rFonts w:ascii="宋体" w:hAnsi="宋体"/>
          <w:kern w:val="0"/>
          <w:sz w:val="24"/>
        </w:rPr>
      </w:pPr>
      <w:r>
        <w:rPr>
          <w:rStyle w:val="39"/>
          <w:rFonts w:ascii="宋体" w:hAnsi="宋体"/>
          <w:kern w:val="0"/>
          <w:sz w:val="24"/>
        </w:rPr>
        <w:t>投标书</w:t>
      </w:r>
    </w:p>
    <w:p>
      <w:pPr>
        <w:jc w:val="center"/>
        <w:rPr>
          <w:rStyle w:val="39"/>
          <w:rFonts w:ascii="宋体" w:hAnsi="宋体"/>
          <w:kern w:val="0"/>
          <w:sz w:val="24"/>
        </w:rPr>
      </w:pPr>
    </w:p>
    <w:p>
      <w:pPr>
        <w:jc w:val="center"/>
        <w:rPr>
          <w:rStyle w:val="39"/>
          <w:rFonts w:ascii="宋体" w:hAnsi="宋体"/>
          <w:kern w:val="0"/>
          <w:sz w:val="24"/>
        </w:rPr>
      </w:pPr>
    </w:p>
    <w:p>
      <w:pPr>
        <w:snapToGrid w:val="0"/>
        <w:spacing w:line="360" w:lineRule="auto"/>
        <w:jc w:val="left"/>
        <w:rPr>
          <w:rStyle w:val="39"/>
          <w:rFonts w:ascii="宋体" w:hAnsi="宋体"/>
          <w:kern w:val="0"/>
          <w:sz w:val="24"/>
        </w:rPr>
      </w:pPr>
      <w:r>
        <w:rPr>
          <w:rStyle w:val="39"/>
          <w:rFonts w:ascii="宋体" w:hAnsi="宋体"/>
          <w:kern w:val="0"/>
          <w:sz w:val="24"/>
          <w:u w:val="single"/>
        </w:rPr>
        <w:t xml:space="preserve">                </w:t>
      </w:r>
      <w:r>
        <w:rPr>
          <w:rStyle w:val="39"/>
          <w:rFonts w:ascii="宋体" w:hAnsi="宋体"/>
          <w:kern w:val="0"/>
          <w:sz w:val="24"/>
        </w:rPr>
        <w:t>（采购人名称）：</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1.我方已仔细研究了</w:t>
      </w:r>
      <w:r>
        <w:rPr>
          <w:rStyle w:val="39"/>
          <w:rFonts w:ascii="宋体" w:hAnsi="宋体"/>
          <w:kern w:val="0"/>
          <w:sz w:val="24"/>
          <w:u w:val="single"/>
        </w:rPr>
        <w:t xml:space="preserve">  （项目名称）   </w:t>
      </w:r>
      <w:r>
        <w:rPr>
          <w:rStyle w:val="39"/>
          <w:rFonts w:ascii="宋体" w:hAnsi="宋体"/>
          <w:kern w:val="0"/>
          <w:sz w:val="24"/>
        </w:rPr>
        <w:t>招标文件（包括修改、澄清文件）的全部内容，且对招标文件无任何异议，并愿意以“报价表”所填写的投标总价、交货期（/服务期）及交货地点（/服务地点），向你方</w:t>
      </w:r>
      <w:r>
        <w:rPr>
          <w:rStyle w:val="39"/>
          <w:rFonts w:ascii="宋体" w:hAnsi="宋体"/>
          <w:sz w:val="24"/>
        </w:rPr>
        <w:t>提供招标文件要求的货物和服务</w:t>
      </w:r>
      <w:r>
        <w:rPr>
          <w:rStyle w:val="39"/>
          <w:rFonts w:ascii="宋体" w:hAnsi="宋体"/>
          <w:kern w:val="0"/>
          <w:sz w:val="24"/>
        </w:rPr>
        <w:t>。</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2.我方承诺在投标有效期内不修改或撤销投标文件。否则，你方可不予退还我方的投标保证金。</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3.随同本投标函提交投标保证金一份，金额见“报价表”。</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4.本投标的投标有效期为自投标截止之日起</w:t>
      </w:r>
      <w:r>
        <w:rPr>
          <w:rStyle w:val="39"/>
          <w:rFonts w:ascii="宋体" w:hAnsi="宋体"/>
          <w:kern w:val="0"/>
          <w:sz w:val="24"/>
          <w:u w:val="single"/>
        </w:rPr>
        <w:t xml:space="preserve">    </w:t>
      </w:r>
      <w:r>
        <w:rPr>
          <w:rStyle w:val="39"/>
          <w:rFonts w:ascii="宋体" w:hAnsi="宋体"/>
          <w:kern w:val="0"/>
          <w:sz w:val="24"/>
        </w:rPr>
        <w:t>个日历天。</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5.我方承诺所提交的投标文件及有关资料是完整的、真实的和准确的，否则，我方承担由此造成的任何损失及引起的任何后果。若我方已经收到中标通知书，我方将无条件的承认该中标通知书无效，对采购人不具有任何法律约束力。</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6．如我方中标：</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（1）我方承诺在收到中标通知书后，在中标通知书规定的期限内与你方签订合同。</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（2）我方承诺按照招标文件规定向你方递交履约保证金。</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（3）我方承诺按合同约定的期限和地点，提供符合招标文件要求的全部的招标货物（/或服务）。</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（4）我方将按招标文件规定提交履约保证金，作为履行合同的担保。</w:t>
      </w:r>
    </w:p>
    <w:p>
      <w:pPr>
        <w:snapToGrid w:val="0"/>
        <w:spacing w:line="360" w:lineRule="auto"/>
        <w:ind w:left="359" w:leftChars="171"/>
        <w:jc w:val="left"/>
        <w:rPr>
          <w:rStyle w:val="39"/>
          <w:rFonts w:ascii="宋体" w:hAnsi="宋体"/>
          <w:kern w:val="0"/>
          <w:sz w:val="24"/>
        </w:rPr>
      </w:pPr>
      <w:r>
        <w:rPr>
          <w:rStyle w:val="39"/>
          <w:rFonts w:ascii="宋体" w:hAnsi="宋体"/>
          <w:kern w:val="0"/>
          <w:sz w:val="24"/>
        </w:rPr>
        <w:t>（5）我方保证在收到中标通知书后五个工作日内按要求支付招标服务费。</w:t>
      </w:r>
    </w:p>
    <w:p>
      <w:pPr>
        <w:snapToGrid w:val="0"/>
        <w:spacing w:line="360" w:lineRule="auto"/>
        <w:ind w:firstLine="480" w:firstLineChars="200"/>
        <w:jc w:val="left"/>
        <w:rPr>
          <w:rStyle w:val="39"/>
          <w:rFonts w:ascii="宋体" w:hAnsi="宋体"/>
          <w:kern w:val="0"/>
          <w:sz w:val="24"/>
        </w:rPr>
      </w:pPr>
      <w:r>
        <w:rPr>
          <w:rStyle w:val="39"/>
          <w:rFonts w:ascii="宋体" w:hAnsi="宋体"/>
          <w:kern w:val="0"/>
          <w:sz w:val="24"/>
        </w:rPr>
        <w:t>7．</w:t>
      </w:r>
      <w:r>
        <w:rPr>
          <w:rStyle w:val="39"/>
          <w:rFonts w:ascii="宋体" w:hAnsi="宋体"/>
          <w:kern w:val="0"/>
          <w:sz w:val="24"/>
          <w:u w:val="single"/>
        </w:rPr>
        <w:t xml:space="preserve">                </w:t>
      </w:r>
      <w:r>
        <w:rPr>
          <w:rStyle w:val="39"/>
          <w:rFonts w:ascii="宋体" w:hAnsi="宋体"/>
          <w:kern w:val="0"/>
          <w:sz w:val="24"/>
        </w:rPr>
        <w:t>（其他补充说明）。</w:t>
      </w:r>
    </w:p>
    <w:p>
      <w:pPr>
        <w:snapToGrid w:val="0"/>
        <w:spacing w:line="360" w:lineRule="auto"/>
        <w:jc w:val="left"/>
        <w:rPr>
          <w:rStyle w:val="39"/>
          <w:rFonts w:ascii="宋体" w:hAnsi="宋体"/>
          <w:kern w:val="0"/>
          <w:sz w:val="24"/>
        </w:rPr>
      </w:pP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投 标 人： （盖单位章）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法定代表人或其委托代理人：（签字或加盖人名章）</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地址：</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电话：</w:t>
      </w:r>
    </w:p>
    <w:p>
      <w:pPr>
        <w:snapToGrid w:val="0"/>
        <w:spacing w:line="360" w:lineRule="auto"/>
        <w:ind w:left="3780" w:leftChars="1800"/>
        <w:jc w:val="left"/>
        <w:rPr>
          <w:rStyle w:val="39"/>
          <w:rFonts w:ascii="宋体" w:hAnsi="宋体"/>
          <w:kern w:val="0"/>
          <w:sz w:val="24"/>
        </w:rPr>
      </w:pPr>
      <w:r>
        <w:rPr>
          <w:rStyle w:val="39"/>
          <w:rFonts w:ascii="宋体" w:hAnsi="宋体"/>
          <w:kern w:val="0"/>
          <w:sz w:val="24"/>
        </w:rPr>
        <w:t>传真：</w:t>
      </w:r>
    </w:p>
    <w:p>
      <w:pPr>
        <w:snapToGrid w:val="0"/>
        <w:spacing w:line="360" w:lineRule="auto"/>
        <w:ind w:left="5939" w:leftChars="2828"/>
        <w:jc w:val="left"/>
        <w:rPr>
          <w:rStyle w:val="39"/>
          <w:rFonts w:ascii="宋体" w:hAnsi="宋体"/>
          <w:kern w:val="0"/>
          <w:sz w:val="24"/>
        </w:rPr>
      </w:pPr>
      <w:r>
        <w:rPr>
          <w:rStyle w:val="39"/>
          <w:rFonts w:ascii="宋体" w:hAnsi="宋体"/>
          <w:kern w:val="0"/>
          <w:sz w:val="24"/>
        </w:rPr>
        <w:t>年 月 日</w:t>
      </w:r>
    </w:p>
    <w:p>
      <w:pPr>
        <w:spacing w:line="360" w:lineRule="auto"/>
        <w:rPr>
          <w:rStyle w:val="39"/>
        </w:rPr>
      </w:pPr>
      <w:r>
        <w:rPr>
          <w:rStyle w:val="39"/>
        </w:rPr>
        <w:br w:type="page"/>
      </w:r>
    </w:p>
    <w:p>
      <w:pPr>
        <w:spacing w:line="360" w:lineRule="auto"/>
        <w:rPr>
          <w:rStyle w:val="39"/>
          <w:b/>
          <w:sz w:val="24"/>
        </w:rPr>
      </w:pPr>
      <w:r>
        <w:rPr>
          <w:rStyle w:val="39"/>
          <w:b/>
          <w:sz w:val="24"/>
        </w:rPr>
        <w:t>附件2　报价表</w:t>
      </w:r>
    </w:p>
    <w:p>
      <w:pPr>
        <w:spacing w:line="360" w:lineRule="auto"/>
        <w:rPr>
          <w:rStyle w:val="39"/>
          <w:rFonts w:ascii="宋体" w:hAnsi="宋体"/>
          <w:sz w:val="24"/>
        </w:rPr>
      </w:pPr>
    </w:p>
    <w:p>
      <w:pPr>
        <w:spacing w:line="360" w:lineRule="auto"/>
        <w:jc w:val="center"/>
        <w:rPr>
          <w:rStyle w:val="39"/>
          <w:rFonts w:ascii="宋体" w:hAnsi="宋体"/>
          <w:sz w:val="24"/>
        </w:rPr>
      </w:pPr>
      <w:r>
        <w:rPr>
          <w:rStyle w:val="39"/>
          <w:rFonts w:ascii="宋体" w:hAnsi="宋体"/>
          <w:sz w:val="24"/>
        </w:rPr>
        <w:t>报价表</w:t>
      </w:r>
    </w:p>
    <w:tbl>
      <w:tblPr>
        <w:tblStyle w:val="15"/>
        <w:tblW w:w="8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6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项目编号</w:t>
            </w:r>
          </w:p>
          <w:p>
            <w:pPr>
              <w:ind w:left="141" w:leftChars="67" w:right="103" w:rightChars="49"/>
              <w:jc w:val="center"/>
              <w:rPr>
                <w:rStyle w:val="39"/>
                <w:rFonts w:ascii="仿宋_GB2312" w:hAnsi="宋体" w:eastAsia="仿宋_GB2312"/>
                <w:b/>
                <w:sz w:val="24"/>
              </w:rPr>
            </w:pPr>
            <w:r>
              <w:rPr>
                <w:rStyle w:val="39"/>
                <w:rFonts w:ascii="仿宋_GB2312" w:hAnsi="宋体" w:eastAsia="仿宋_GB2312"/>
                <w:b/>
                <w:sz w:val="24"/>
              </w:rPr>
              <w:t>及投标项目名称</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项目编号：</w:t>
            </w:r>
          </w:p>
          <w:p>
            <w:pPr>
              <w:ind w:left="189" w:leftChars="90" w:firstLine="1"/>
              <w:rPr>
                <w:rStyle w:val="39"/>
                <w:rFonts w:ascii="仿宋_GB2312" w:hAnsi="宋体" w:eastAsia="仿宋_GB2312"/>
                <w:sz w:val="24"/>
              </w:rPr>
            </w:pPr>
          </w:p>
          <w:p>
            <w:pPr>
              <w:ind w:left="189" w:leftChars="90" w:firstLine="1"/>
              <w:rPr>
                <w:rStyle w:val="39"/>
                <w:rFonts w:ascii="仿宋_GB2312" w:hAnsi="宋体" w:eastAsia="仿宋_GB2312"/>
                <w:sz w:val="24"/>
              </w:rPr>
            </w:pPr>
            <w:r>
              <w:rPr>
                <w:rStyle w:val="39"/>
                <w:rFonts w:ascii="仿宋_GB2312" w:hAnsi="宋体" w:eastAsia="仿宋_GB2312"/>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w:t>
            </w:r>
            <w:r>
              <w:rPr>
                <w:rStyle w:val="39"/>
                <w:rFonts w:hint="eastAsia" w:ascii="仿宋_GB2312" w:hAnsi="宋体" w:eastAsia="仿宋_GB2312"/>
                <w:b/>
                <w:sz w:val="24"/>
              </w:rPr>
              <w:t>报价</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Fonts w:ascii="仿宋_GB2312" w:hAnsi="宋体" w:eastAsia="仿宋_GB2312"/>
                <w:sz w:val="24"/>
              </w:rPr>
            </w:pPr>
            <w:r>
              <w:rPr>
                <w:rFonts w:hint="eastAsia" w:ascii="仿宋_GB2312" w:hAnsi="宋体" w:eastAsia="仿宋_GB2312"/>
                <w:sz w:val="24"/>
              </w:rPr>
              <w:t>人民币（小写金额）：</w:t>
            </w:r>
            <w:r>
              <w:rPr>
                <w:rFonts w:hint="eastAsia" w:ascii="仿宋_GB2312" w:hAnsi="宋体" w:eastAsia="仿宋_GB2312"/>
                <w:sz w:val="24"/>
                <w:u w:val="single"/>
              </w:rPr>
              <w:t xml:space="preserve">         </w:t>
            </w:r>
            <w:r>
              <w:rPr>
                <w:rFonts w:hint="eastAsia" w:ascii="仿宋_GB2312" w:hAnsi="宋体" w:eastAsia="仿宋_GB2312"/>
                <w:sz w:val="24"/>
              </w:rPr>
              <w:t>元</w:t>
            </w:r>
          </w:p>
          <w:p>
            <w:pPr>
              <w:ind w:left="189" w:leftChars="90" w:firstLine="1"/>
              <w:rPr>
                <w:rFonts w:ascii="仿宋_GB2312" w:hAnsi="宋体" w:eastAsia="仿宋_GB2312"/>
                <w:sz w:val="24"/>
                <w:u w:val="single"/>
              </w:rPr>
            </w:pPr>
            <w:r>
              <w:rPr>
                <w:rFonts w:hint="eastAsia" w:ascii="仿宋_GB2312" w:hAnsi="宋体" w:eastAsia="仿宋_GB2312"/>
                <w:sz w:val="24"/>
              </w:rPr>
              <w:t>人民币（大写金额）：</w:t>
            </w:r>
            <w:r>
              <w:rPr>
                <w:rFonts w:hint="eastAsia" w:ascii="仿宋_GB2312" w:hAnsi="宋体" w:eastAsia="仿宋_GB2312"/>
                <w:sz w:val="24"/>
                <w:u w:val="single"/>
              </w:rPr>
              <w:t xml:space="preserve">                        整</w:t>
            </w:r>
          </w:p>
          <w:p>
            <w:pPr>
              <w:ind w:left="189" w:leftChars="90" w:firstLine="1"/>
            </w:pPr>
            <w:r>
              <w:rPr>
                <w:rFonts w:hint="eastAsia" w:ascii="仿宋_GB2312" w:hAnsi="宋体" w:eastAsia="仿宋_GB2312"/>
                <w:sz w:val="24"/>
              </w:rPr>
              <w:t>注：如有不一致，以大写为准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投标保证金</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r>
              <w:rPr>
                <w:rStyle w:val="39"/>
                <w:rFonts w:ascii="仿宋_GB2312" w:hAnsi="宋体" w:eastAsia="仿宋_GB2312"/>
                <w:sz w:val="24"/>
              </w:rPr>
              <w:t>人民币</w:t>
            </w:r>
            <w:r>
              <w:rPr>
                <w:rStyle w:val="39"/>
                <w:rFonts w:hint="eastAsia" w:ascii="仿宋_GB2312" w:hAnsi="宋体" w:eastAsia="仿宋_GB2312"/>
                <w:sz w:val="24"/>
                <w:u w:val="single"/>
              </w:rPr>
              <w:t xml:space="preserve">      </w:t>
            </w:r>
            <w:r>
              <w:rPr>
                <w:rStyle w:val="39"/>
                <w:rFonts w:ascii="仿宋_GB2312" w:hAnsi="宋体"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交货期/服务期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189" w:leftChars="90"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hint="eastAsia" w:ascii="仿宋_GB2312" w:hAnsi="宋体" w:eastAsia="仿宋_GB2312"/>
                <w:b/>
                <w:sz w:val="24"/>
              </w:rPr>
              <w:t>质保期</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ind w:left="-13" w:leftChars="-6"/>
              <w:jc w:val="center"/>
              <w:rPr>
                <w:rStyle w:val="39"/>
                <w:rFonts w:ascii="仿宋_GB2312" w:hAnsi="宋体" w:eastAsia="仿宋_GB2312"/>
                <w:b/>
                <w:sz w:val="24"/>
              </w:rPr>
            </w:pPr>
            <w:r>
              <w:rPr>
                <w:rStyle w:val="39"/>
                <w:rFonts w:ascii="仿宋_GB2312" w:hAnsi="宋体" w:eastAsia="仿宋_GB2312"/>
                <w:b/>
                <w:sz w:val="24"/>
              </w:rPr>
              <w:t>交货/服务地点</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atLeast"/>
          <w:jc w:val="center"/>
        </w:trPr>
        <w:tc>
          <w:tcPr>
            <w:tcW w:w="1946" w:type="dxa"/>
            <w:tcBorders>
              <w:top w:val="single" w:color="000000" w:sz="4" w:space="0"/>
              <w:left w:val="single" w:color="000000" w:sz="4" w:space="0"/>
              <w:bottom w:val="single" w:color="000000" w:sz="4" w:space="0"/>
              <w:right w:val="single" w:color="000000" w:sz="4" w:space="0"/>
            </w:tcBorders>
            <w:vAlign w:val="center"/>
          </w:tcPr>
          <w:p>
            <w:pPr>
              <w:jc w:val="center"/>
              <w:rPr>
                <w:rStyle w:val="39"/>
                <w:rFonts w:ascii="仿宋_GB2312" w:hAnsi="宋体" w:eastAsia="仿宋_GB2312"/>
                <w:b/>
                <w:sz w:val="24"/>
              </w:rPr>
            </w:pPr>
            <w:r>
              <w:rPr>
                <w:rStyle w:val="39"/>
                <w:rFonts w:ascii="仿宋_GB2312" w:hAnsi="宋体" w:eastAsia="仿宋_GB2312"/>
                <w:b/>
                <w:sz w:val="24"/>
              </w:rPr>
              <w:t>其他声明（如有）</w:t>
            </w:r>
          </w:p>
        </w:tc>
        <w:tc>
          <w:tcPr>
            <w:tcW w:w="6329" w:type="dxa"/>
            <w:tcBorders>
              <w:top w:val="single" w:color="000000" w:sz="4" w:space="0"/>
              <w:left w:val="single" w:color="000000" w:sz="4" w:space="0"/>
              <w:bottom w:val="single" w:color="000000" w:sz="4" w:space="0"/>
              <w:right w:val="single" w:color="000000" w:sz="4" w:space="0"/>
            </w:tcBorders>
            <w:vAlign w:val="center"/>
          </w:tcPr>
          <w:p>
            <w:pPr>
              <w:ind w:left="899" w:leftChars="428" w:firstLine="1"/>
              <w:rPr>
                <w:rStyle w:val="39"/>
                <w:rFonts w:ascii="仿宋_GB2312" w:hAnsi="宋体" w:eastAsia="仿宋_GB2312"/>
                <w:sz w:val="24"/>
              </w:rPr>
            </w:pPr>
          </w:p>
        </w:tc>
      </w:tr>
    </w:tbl>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投标人名称（盖章）：</w:t>
      </w:r>
    </w:p>
    <w:p>
      <w:pPr>
        <w:pStyle w:val="66"/>
        <w:tabs>
          <w:tab w:val="left" w:pos="5340"/>
        </w:tabs>
        <w:spacing w:before="120"/>
        <w:ind w:firstLine="720" w:firstLineChars="300"/>
        <w:rPr>
          <w:rStyle w:val="39"/>
          <w:rFonts w:ascii="仿宋_GB2312" w:hAnsi="宋体" w:eastAsia="仿宋_GB2312"/>
          <w:sz w:val="24"/>
          <w:u w:val="single"/>
        </w:rPr>
      </w:pPr>
      <w:r>
        <w:rPr>
          <w:rStyle w:val="39"/>
          <w:rFonts w:hAnsi="宋体"/>
          <w:kern w:val="0"/>
          <w:sz w:val="24"/>
        </w:rPr>
        <w:t>法定代表人或其委托代理人</w:t>
      </w:r>
      <w:r>
        <w:rPr>
          <w:rStyle w:val="39"/>
          <w:rFonts w:ascii="仿宋_GB2312" w:hAnsi="宋体" w:eastAsia="仿宋_GB2312"/>
          <w:sz w:val="24"/>
        </w:rPr>
        <w:t>(</w:t>
      </w:r>
      <w:r>
        <w:rPr>
          <w:rStyle w:val="39"/>
        </w:rPr>
        <w:t>签字或加盖人名章</w:t>
      </w:r>
      <w:r>
        <w:rPr>
          <w:rStyle w:val="39"/>
          <w:rFonts w:ascii="仿宋_GB2312" w:hAnsi="宋体" w:eastAsia="仿宋_GB2312"/>
          <w:sz w:val="24"/>
        </w:rPr>
        <w:t>)：</w:t>
      </w:r>
      <w:r>
        <w:rPr>
          <w:rStyle w:val="39"/>
          <w:rFonts w:ascii="仿宋_GB2312" w:hAnsi="宋体" w:eastAsia="仿宋_GB2312"/>
          <w:sz w:val="24"/>
          <w:u w:val="single"/>
        </w:rPr>
        <w:tab/>
      </w:r>
    </w:p>
    <w:p>
      <w:pPr>
        <w:pStyle w:val="66"/>
        <w:tabs>
          <w:tab w:val="left" w:pos="5580"/>
        </w:tabs>
        <w:spacing w:before="120"/>
        <w:ind w:firstLine="720" w:firstLineChars="300"/>
        <w:rPr>
          <w:rStyle w:val="39"/>
          <w:rFonts w:ascii="仿宋_GB2312" w:hAnsi="宋体" w:eastAsia="仿宋_GB2312"/>
          <w:sz w:val="24"/>
          <w:u w:val="single"/>
        </w:rPr>
      </w:pPr>
      <w:r>
        <w:rPr>
          <w:rStyle w:val="39"/>
          <w:rFonts w:ascii="仿宋_GB2312" w:hAnsi="宋体" w:eastAsia="仿宋_GB2312"/>
          <w:sz w:val="24"/>
        </w:rPr>
        <w:t>日期：</w:t>
      </w:r>
    </w:p>
    <w:p>
      <w:pPr>
        <w:pStyle w:val="66"/>
        <w:tabs>
          <w:tab w:val="left" w:pos="5580"/>
        </w:tabs>
        <w:spacing w:before="120"/>
        <w:ind w:firstLine="720" w:firstLineChars="300"/>
        <w:rPr>
          <w:rStyle w:val="39"/>
          <w:rFonts w:ascii="仿宋_GB2312" w:hAnsi="宋体" w:eastAsia="仿宋_GB2312"/>
          <w:sz w:val="24"/>
          <w:u w:val="single"/>
        </w:rPr>
      </w:pPr>
    </w:p>
    <w:p>
      <w:pPr>
        <w:pStyle w:val="66"/>
        <w:tabs>
          <w:tab w:val="left" w:pos="5580"/>
        </w:tabs>
        <w:spacing w:before="120"/>
        <w:ind w:firstLine="720" w:firstLineChars="300"/>
        <w:rPr>
          <w:rStyle w:val="39"/>
          <w:rFonts w:ascii="仿宋_GB2312" w:hAnsi="宋体" w:eastAsia="仿宋_GB2312"/>
          <w:sz w:val="24"/>
        </w:rPr>
      </w:pPr>
    </w:p>
    <w:p>
      <w:pPr>
        <w:pStyle w:val="66"/>
        <w:tabs>
          <w:tab w:val="left" w:pos="5580"/>
        </w:tabs>
        <w:spacing w:before="120"/>
        <w:ind w:firstLine="720" w:firstLineChars="300"/>
        <w:rPr>
          <w:rStyle w:val="39"/>
          <w:rFonts w:ascii="仿宋_GB2312" w:hAnsi="宋体" w:eastAsia="仿宋_GB2312"/>
          <w:sz w:val="24"/>
        </w:rPr>
      </w:pPr>
      <w:r>
        <w:rPr>
          <w:rStyle w:val="39"/>
          <w:rFonts w:ascii="仿宋_GB2312" w:hAnsi="宋体" w:eastAsia="仿宋_GB2312"/>
          <w:sz w:val="24"/>
        </w:rPr>
        <w:t>注:此表中投标总价应与附件6中的总价相一致。</w:t>
      </w:r>
    </w:p>
    <w:p>
      <w:pPr>
        <w:pStyle w:val="66"/>
        <w:tabs>
          <w:tab w:val="left" w:pos="5580"/>
        </w:tabs>
        <w:spacing w:before="120"/>
        <w:ind w:firstLine="720" w:firstLineChars="300"/>
        <w:rPr>
          <w:rStyle w:val="39"/>
          <w:rFonts w:hAnsi="宋体"/>
          <w:sz w:val="24"/>
        </w:rPr>
      </w:pPr>
      <w:r>
        <w:rPr>
          <w:rStyle w:val="39"/>
          <w:rFonts w:hAnsi="宋体"/>
          <w:sz w:val="24"/>
        </w:rPr>
        <w:br w:type="page"/>
      </w:r>
    </w:p>
    <w:p>
      <w:pPr>
        <w:pStyle w:val="66"/>
        <w:tabs>
          <w:tab w:val="left" w:pos="5580"/>
        </w:tabs>
        <w:spacing w:before="120"/>
        <w:ind w:firstLine="720" w:firstLineChars="300"/>
        <w:rPr>
          <w:rStyle w:val="39"/>
          <w:rFonts w:ascii="仿宋_GB2312" w:hAnsi="宋体" w:eastAsia="仿宋_GB2312"/>
          <w:sz w:val="24"/>
        </w:rPr>
      </w:pPr>
    </w:p>
    <w:p>
      <w:pPr>
        <w:spacing w:line="360" w:lineRule="auto"/>
        <w:rPr>
          <w:rStyle w:val="39"/>
          <w:b/>
          <w:sz w:val="24"/>
        </w:rPr>
      </w:pPr>
      <w:r>
        <w:rPr>
          <w:rStyle w:val="39"/>
          <w:b/>
          <w:sz w:val="24"/>
        </w:rPr>
        <w:t>附件3  法定代表人身份证明</w:t>
      </w:r>
    </w:p>
    <w:p>
      <w:pPr>
        <w:spacing w:before="156" w:line="288" w:lineRule="auto"/>
        <w:ind w:hanging="104"/>
        <w:jc w:val="center"/>
        <w:rPr>
          <w:rStyle w:val="39"/>
          <w:rFonts w:ascii="宋体" w:hAnsi="宋体"/>
          <w:szCs w:val="21"/>
        </w:rPr>
      </w:pPr>
    </w:p>
    <w:p>
      <w:pPr>
        <w:jc w:val="center"/>
        <w:rPr>
          <w:rStyle w:val="39"/>
          <w:rFonts w:ascii="宋体" w:hAnsi="宋体"/>
          <w:kern w:val="0"/>
          <w:sz w:val="28"/>
          <w:szCs w:val="28"/>
        </w:rPr>
      </w:pPr>
      <w:r>
        <w:rPr>
          <w:rStyle w:val="39"/>
          <w:rFonts w:ascii="宋体" w:hAnsi="宋体"/>
          <w:kern w:val="0"/>
          <w:sz w:val="28"/>
          <w:szCs w:val="28"/>
        </w:rPr>
        <w:t>法定代表人身份证明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投标人名称：</w:t>
      </w:r>
    </w:p>
    <w:p>
      <w:pPr>
        <w:spacing w:line="360" w:lineRule="auto"/>
        <w:jc w:val="left"/>
        <w:rPr>
          <w:rStyle w:val="39"/>
          <w:rFonts w:ascii="宋体" w:hAnsi="宋体"/>
          <w:kern w:val="0"/>
          <w:sz w:val="24"/>
        </w:rPr>
      </w:pPr>
      <w:r>
        <w:rPr>
          <w:rStyle w:val="39"/>
          <w:rFonts w:ascii="宋体" w:hAnsi="宋体"/>
          <w:kern w:val="0"/>
          <w:sz w:val="24"/>
        </w:rPr>
        <w:t xml:space="preserve">单位性质： </w:t>
      </w:r>
    </w:p>
    <w:p>
      <w:pPr>
        <w:spacing w:line="360" w:lineRule="auto"/>
        <w:jc w:val="left"/>
        <w:rPr>
          <w:rStyle w:val="39"/>
          <w:rFonts w:ascii="宋体" w:hAnsi="宋体"/>
          <w:kern w:val="0"/>
          <w:sz w:val="24"/>
        </w:rPr>
      </w:pPr>
      <w:r>
        <w:rPr>
          <w:rStyle w:val="39"/>
          <w:rFonts w:ascii="宋体" w:hAnsi="宋体"/>
          <w:kern w:val="0"/>
          <w:sz w:val="24"/>
        </w:rPr>
        <w:t xml:space="preserve">地    址： </w:t>
      </w:r>
    </w:p>
    <w:p>
      <w:pPr>
        <w:spacing w:line="360" w:lineRule="auto"/>
        <w:jc w:val="left"/>
        <w:rPr>
          <w:rStyle w:val="39"/>
          <w:rFonts w:ascii="宋体" w:hAnsi="宋体"/>
          <w:kern w:val="0"/>
          <w:sz w:val="24"/>
        </w:rPr>
      </w:pPr>
      <w:r>
        <w:rPr>
          <w:rStyle w:val="39"/>
          <w:rFonts w:ascii="宋体" w:hAnsi="宋体"/>
          <w:kern w:val="0"/>
          <w:sz w:val="24"/>
        </w:rPr>
        <w:t>成立时间：年月日</w:t>
      </w:r>
    </w:p>
    <w:p>
      <w:pPr>
        <w:spacing w:line="360" w:lineRule="auto"/>
        <w:jc w:val="left"/>
        <w:rPr>
          <w:rStyle w:val="39"/>
          <w:rFonts w:ascii="宋体" w:hAnsi="宋体"/>
          <w:kern w:val="0"/>
          <w:sz w:val="24"/>
        </w:rPr>
      </w:pPr>
      <w:r>
        <w:rPr>
          <w:rStyle w:val="39"/>
          <w:rFonts w:ascii="宋体" w:hAnsi="宋体"/>
          <w:kern w:val="0"/>
          <w:sz w:val="24"/>
        </w:rPr>
        <w:t>经营期限：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姓名：性别：年龄： 职务：系（投标人名称）的法定代表人。</w:t>
      </w:r>
    </w:p>
    <w:p>
      <w:pPr>
        <w:spacing w:line="360" w:lineRule="auto"/>
        <w:jc w:val="left"/>
        <w:rPr>
          <w:rStyle w:val="39"/>
          <w:rFonts w:ascii="宋体" w:hAnsi="宋体"/>
          <w:kern w:val="0"/>
          <w:sz w:val="24"/>
        </w:rPr>
      </w:pPr>
      <w:r>
        <w:rPr>
          <w:rStyle w:val="39"/>
          <w:rFonts w:ascii="宋体" w:hAnsi="宋体"/>
          <w:kern w:val="0"/>
          <w:sz w:val="24"/>
        </w:rPr>
        <w:t>特此证明。</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5399" w:leftChars="2571"/>
        <w:jc w:val="left"/>
        <w:rPr>
          <w:rStyle w:val="39"/>
          <w:rFonts w:ascii="宋体" w:hAnsi="宋体"/>
          <w:kern w:val="0"/>
          <w:sz w:val="24"/>
        </w:rPr>
      </w:pPr>
      <w:r>
        <w:rPr>
          <w:rStyle w:val="39"/>
          <w:rFonts w:ascii="宋体" w:hAnsi="宋体"/>
          <w:kern w:val="0"/>
          <w:sz w:val="24"/>
        </w:rPr>
        <w:t>投标人：          （盖单位章）</w:t>
      </w:r>
    </w:p>
    <w:p>
      <w:pPr>
        <w:spacing w:line="360" w:lineRule="auto"/>
        <w:ind w:left="5399" w:leftChars="2571"/>
        <w:jc w:val="left"/>
        <w:rPr>
          <w:rStyle w:val="39"/>
          <w:rFonts w:ascii="宋体" w:hAnsi="宋体"/>
          <w:kern w:val="0"/>
          <w:sz w:val="24"/>
        </w:rPr>
      </w:pPr>
    </w:p>
    <w:p>
      <w:pPr>
        <w:spacing w:line="360" w:lineRule="auto"/>
        <w:ind w:left="6659" w:leftChars="3171"/>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宋体" w:hAnsi="宋体"/>
          <w:kern w:val="0"/>
          <w:sz w:val="18"/>
          <w:szCs w:val="18"/>
        </w:rPr>
      </w:pPr>
      <w:r>
        <w:rPr>
          <w:rStyle w:val="39"/>
          <w:rFonts w:ascii="宋体" w:hAnsi="宋体"/>
          <w:kern w:val="0"/>
          <w:sz w:val="18"/>
          <w:szCs w:val="18"/>
        </w:rPr>
        <w:br w:type="page"/>
      </w:r>
    </w:p>
    <w:p>
      <w:pPr>
        <w:spacing w:line="360" w:lineRule="auto"/>
        <w:rPr>
          <w:rStyle w:val="39"/>
          <w:b/>
          <w:sz w:val="24"/>
        </w:rPr>
      </w:pPr>
      <w:r>
        <w:rPr>
          <w:rStyle w:val="39"/>
          <w:b/>
          <w:sz w:val="24"/>
        </w:rPr>
        <w:t>附件4  授权委托书</w:t>
      </w:r>
    </w:p>
    <w:p>
      <w:pPr>
        <w:jc w:val="center"/>
        <w:rPr>
          <w:rStyle w:val="39"/>
          <w:rFonts w:ascii="宋体" w:hAnsi="宋体"/>
          <w:kern w:val="0"/>
          <w:sz w:val="18"/>
          <w:szCs w:val="18"/>
        </w:rPr>
      </w:pPr>
    </w:p>
    <w:p>
      <w:pPr>
        <w:jc w:val="center"/>
        <w:rPr>
          <w:rStyle w:val="39"/>
          <w:rFonts w:ascii="宋体" w:hAnsi="宋体"/>
          <w:kern w:val="0"/>
          <w:sz w:val="28"/>
          <w:szCs w:val="28"/>
        </w:rPr>
      </w:pPr>
      <w:r>
        <w:rPr>
          <w:rStyle w:val="39"/>
          <w:rFonts w:ascii="宋体" w:hAnsi="宋体"/>
          <w:kern w:val="0"/>
          <w:sz w:val="28"/>
          <w:szCs w:val="28"/>
        </w:rPr>
        <w:t>授权委托书</w:t>
      </w:r>
    </w:p>
    <w:p>
      <w:pPr>
        <w:jc w:val="center"/>
        <w:rPr>
          <w:rStyle w:val="39"/>
          <w:rFonts w:ascii="宋体" w:hAnsi="宋体"/>
          <w:kern w:val="0"/>
          <w:sz w:val="28"/>
          <w:szCs w:val="28"/>
        </w:rPr>
      </w:pPr>
    </w:p>
    <w:p>
      <w:pPr>
        <w:jc w:val="left"/>
        <w:rPr>
          <w:rStyle w:val="39"/>
          <w:rFonts w:ascii="宋体" w:hAnsi="宋体"/>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pPr>
        <w:spacing w:line="360" w:lineRule="auto"/>
        <w:jc w:val="left"/>
        <w:rPr>
          <w:rStyle w:val="39"/>
          <w:rFonts w:ascii="宋体" w:hAnsi="宋体"/>
          <w:kern w:val="0"/>
          <w:sz w:val="24"/>
        </w:rPr>
      </w:pPr>
      <w:r>
        <w:rPr>
          <w:rStyle w:val="39"/>
          <w:rFonts w:ascii="宋体" w:hAnsi="宋体"/>
          <w:kern w:val="0"/>
          <w:sz w:val="24"/>
        </w:rPr>
        <w:t>委托期限：。</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代理人无转委托权。</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r>
        <w:rPr>
          <w:rStyle w:val="39"/>
          <w:rFonts w:ascii="宋体" w:hAnsi="宋体"/>
          <w:kern w:val="0"/>
          <w:sz w:val="24"/>
        </w:rPr>
        <w:t>附：法定代表人身份证明</w:t>
      </w:r>
    </w:p>
    <w:p>
      <w:pPr>
        <w:spacing w:line="360" w:lineRule="auto"/>
        <w:ind w:firstLine="480"/>
        <w:jc w:val="left"/>
        <w:rPr>
          <w:rStyle w:val="39"/>
          <w:rFonts w:ascii="宋体" w:hAnsi="宋体"/>
          <w:kern w:val="0"/>
          <w:sz w:val="24"/>
        </w:rPr>
      </w:pPr>
      <w:r>
        <w:rPr>
          <w:rStyle w:val="39"/>
          <w:rFonts w:ascii="宋体" w:hAnsi="宋体"/>
          <w:kern w:val="0"/>
          <w:sz w:val="24"/>
        </w:rPr>
        <w:t>委托代理人身份证复印件</w:t>
      </w: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jc w:val="left"/>
        <w:rPr>
          <w:rStyle w:val="39"/>
          <w:rFonts w:ascii="宋体" w:hAnsi="宋体"/>
          <w:kern w:val="0"/>
          <w:sz w:val="24"/>
        </w:rPr>
      </w:pPr>
    </w:p>
    <w:p>
      <w:pPr>
        <w:spacing w:line="360" w:lineRule="auto"/>
        <w:ind w:left="3958" w:leftChars="1885"/>
        <w:jc w:val="left"/>
        <w:rPr>
          <w:rStyle w:val="39"/>
          <w:rFonts w:ascii="宋体" w:hAnsi="宋体"/>
          <w:kern w:val="0"/>
          <w:sz w:val="24"/>
        </w:rPr>
      </w:pPr>
      <w:r>
        <w:rPr>
          <w:rStyle w:val="39"/>
          <w:rFonts w:ascii="宋体" w:hAnsi="宋体"/>
          <w:kern w:val="0"/>
          <w:sz w:val="24"/>
        </w:rPr>
        <w:t>投标人：           （盖单位章）</w:t>
      </w:r>
    </w:p>
    <w:p>
      <w:pPr>
        <w:spacing w:line="360" w:lineRule="auto"/>
        <w:ind w:left="3958" w:leftChars="1885"/>
        <w:jc w:val="left"/>
        <w:rPr>
          <w:rStyle w:val="39"/>
          <w:rFonts w:ascii="宋体" w:hAnsi="宋体"/>
          <w:kern w:val="0"/>
          <w:sz w:val="24"/>
        </w:rPr>
      </w:pPr>
      <w:r>
        <w:rPr>
          <w:rStyle w:val="39"/>
          <w:rFonts w:ascii="宋体" w:hAnsi="宋体"/>
          <w:kern w:val="0"/>
          <w:sz w:val="24"/>
        </w:rPr>
        <w:t>法定代表人：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委托代理人：             （签字或加盖人名章）</w:t>
      </w:r>
    </w:p>
    <w:p>
      <w:pPr>
        <w:spacing w:line="360" w:lineRule="auto"/>
        <w:ind w:left="3958" w:leftChars="1885"/>
        <w:jc w:val="left"/>
        <w:rPr>
          <w:rStyle w:val="39"/>
          <w:rFonts w:ascii="宋体" w:hAnsi="宋体"/>
          <w:kern w:val="0"/>
          <w:sz w:val="24"/>
        </w:rPr>
      </w:pPr>
      <w:r>
        <w:rPr>
          <w:rStyle w:val="39"/>
          <w:rFonts w:ascii="宋体" w:hAnsi="宋体"/>
          <w:kern w:val="0"/>
          <w:sz w:val="24"/>
        </w:rPr>
        <w:t>身份证号码：</w:t>
      </w:r>
    </w:p>
    <w:p>
      <w:pPr>
        <w:spacing w:line="360" w:lineRule="auto"/>
        <w:ind w:left="3958" w:leftChars="1885"/>
        <w:jc w:val="left"/>
        <w:rPr>
          <w:rStyle w:val="39"/>
          <w:rFonts w:ascii="宋体" w:hAnsi="宋体"/>
          <w:kern w:val="0"/>
          <w:sz w:val="24"/>
        </w:rPr>
      </w:pPr>
      <w:r>
        <w:rPr>
          <w:rStyle w:val="39"/>
          <w:rFonts w:ascii="宋体" w:hAnsi="宋体"/>
          <w:kern w:val="0"/>
          <w:sz w:val="24"/>
        </w:rPr>
        <w:t>年月日</w:t>
      </w:r>
    </w:p>
    <w:p>
      <w:pPr>
        <w:spacing w:line="360" w:lineRule="auto"/>
        <w:rPr>
          <w:rStyle w:val="39"/>
          <w:rFonts w:ascii="Arial" w:hAnsi="宋体"/>
          <w:sz w:val="28"/>
          <w:szCs w:val="28"/>
        </w:rPr>
      </w:pPr>
      <w:r>
        <w:rPr>
          <w:rStyle w:val="39"/>
          <w:rFonts w:ascii="Arial" w:hAnsi="宋体"/>
          <w:sz w:val="28"/>
          <w:szCs w:val="28"/>
        </w:rPr>
        <w:br w:type="page"/>
      </w:r>
    </w:p>
    <w:p>
      <w:pPr>
        <w:spacing w:line="360" w:lineRule="auto"/>
        <w:rPr>
          <w:rStyle w:val="39"/>
          <w:rFonts w:ascii="宋体" w:hAnsi="宋体"/>
          <w:b/>
          <w:sz w:val="24"/>
        </w:rPr>
      </w:pPr>
      <w:r>
        <w:rPr>
          <w:rStyle w:val="39"/>
          <w:b/>
          <w:sz w:val="24"/>
        </w:rPr>
        <w:t>附件5　投标保证金</w:t>
      </w:r>
      <w:r>
        <w:rPr>
          <w:rStyle w:val="39"/>
          <w:rFonts w:ascii="宋体" w:hAnsi="宋体"/>
          <w:b/>
          <w:sz w:val="24"/>
        </w:rPr>
        <w:t>（</w:t>
      </w:r>
      <w:r>
        <w:rPr>
          <w:rStyle w:val="39"/>
          <w:rFonts w:ascii="宋体" w:hAnsi="宋体"/>
          <w:sz w:val="24"/>
        </w:rPr>
        <w:t>支票、汇票或本票的复印件，或采用汇款、网银等方式提交的保证金的汇款底单复印件</w:t>
      </w:r>
      <w:r>
        <w:rPr>
          <w:rStyle w:val="39"/>
          <w:rFonts w:ascii="宋体" w:hAnsi="宋体"/>
          <w:b/>
          <w:sz w:val="24"/>
        </w:rPr>
        <w:t>）</w:t>
      </w:r>
    </w:p>
    <w:p>
      <w:pPr>
        <w:jc w:val="center"/>
        <w:rPr>
          <w:rStyle w:val="39"/>
          <w:b/>
          <w:sz w:val="24"/>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ind w:firstLine="422"/>
        <w:rPr>
          <w:rStyle w:val="39"/>
          <w:rFonts w:ascii="宋体"/>
          <w:b/>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p>
    <w:p>
      <w:pPr>
        <w:spacing w:before="120" w:after="120" w:line="360" w:lineRule="auto"/>
        <w:ind w:firstLine="420" w:firstLineChars="200"/>
        <w:rPr>
          <w:rStyle w:val="39"/>
          <w:rFonts w:ascii="宋体"/>
          <w:szCs w:val="21"/>
        </w:rPr>
      </w:pPr>
      <w:r>
        <w:rPr>
          <w:rStyle w:val="39"/>
          <w:rFonts w:ascii="宋体"/>
          <w:szCs w:val="21"/>
        </w:rPr>
        <w:t xml:space="preserve">投标人名称（公章）： </w:t>
      </w:r>
    </w:p>
    <w:p>
      <w:pPr>
        <w:spacing w:before="120" w:after="120" w:line="360" w:lineRule="auto"/>
        <w:ind w:firstLine="420" w:firstLineChars="200"/>
        <w:rPr>
          <w:rStyle w:val="39"/>
          <w:rFonts w:ascii="宋体"/>
          <w:szCs w:val="21"/>
        </w:rPr>
      </w:pPr>
      <w:r>
        <w:rPr>
          <w:rStyle w:val="39"/>
          <w:rFonts w:ascii="宋体"/>
          <w:szCs w:val="21"/>
        </w:rPr>
        <w:t>法定代表人或其委托代理人（签字或加盖人名章）：</w:t>
      </w:r>
    </w:p>
    <w:p>
      <w:pPr>
        <w:spacing w:before="120" w:after="120" w:line="360" w:lineRule="auto"/>
        <w:ind w:firstLine="420" w:firstLineChars="200"/>
        <w:rPr>
          <w:rStyle w:val="39"/>
          <w:rFonts w:ascii="宋体"/>
          <w:szCs w:val="21"/>
        </w:rPr>
      </w:pPr>
      <w:r>
        <w:rPr>
          <w:rStyle w:val="39"/>
          <w:rFonts w:ascii="宋体"/>
          <w:szCs w:val="21"/>
        </w:rPr>
        <w:t>日    期：     年   月    日</w:t>
      </w:r>
    </w:p>
    <w:p>
      <w:pPr>
        <w:spacing w:before="156" w:line="440" w:lineRule="exact"/>
        <w:ind w:firstLine="422"/>
        <w:rPr>
          <w:rStyle w:val="39"/>
          <w:rFonts w:ascii="宋体"/>
          <w:b/>
          <w:szCs w:val="21"/>
        </w:rPr>
      </w:pPr>
    </w:p>
    <w:p>
      <w:pPr>
        <w:spacing w:line="480" w:lineRule="exact"/>
        <w:ind w:firstLine="482" w:firstLineChars="200"/>
        <w:rPr>
          <w:rStyle w:val="39"/>
          <w:rFonts w:ascii="仿宋_GB2312" w:hAnsi="仿宋_GB2312" w:eastAsia="仿宋_GB2312"/>
          <w:b/>
          <w:kern w:val="0"/>
          <w:sz w:val="24"/>
          <w:szCs w:val="28"/>
        </w:rPr>
      </w:pPr>
    </w:p>
    <w:p>
      <w:pPr>
        <w:spacing w:line="480" w:lineRule="exact"/>
        <w:ind w:firstLine="420" w:firstLineChars="200"/>
        <w:rPr>
          <w:rStyle w:val="39"/>
        </w:rPr>
        <w:sectPr>
          <w:pgSz w:w="11906" w:h="16838"/>
          <w:pgMar w:top="1440" w:right="1247" w:bottom="1361" w:left="1247" w:header="851" w:footer="992" w:gutter="0"/>
          <w:cols w:space="425" w:num="1"/>
          <w:docGrid w:type="lines" w:linePitch="312" w:charSpace="0"/>
        </w:sectPr>
      </w:pPr>
    </w:p>
    <w:p>
      <w:pPr>
        <w:spacing w:line="360" w:lineRule="auto"/>
        <w:ind w:firstLine="482" w:firstLineChars="200"/>
        <w:rPr>
          <w:rStyle w:val="39"/>
          <w:b/>
          <w:sz w:val="24"/>
        </w:rPr>
      </w:pPr>
      <w:r>
        <w:rPr>
          <w:rStyle w:val="39"/>
          <w:b/>
          <w:sz w:val="24"/>
        </w:rPr>
        <w:t>附件6    投标分项报价表</w:t>
      </w:r>
    </w:p>
    <w:p>
      <w:pPr>
        <w:spacing w:line="360" w:lineRule="auto"/>
        <w:rPr>
          <w:rStyle w:val="39"/>
          <w:rFonts w:ascii="宋体" w:hAnsi="宋体"/>
          <w:sz w:val="24"/>
        </w:rPr>
      </w:pPr>
      <w:r>
        <w:rPr>
          <w:rStyle w:val="39"/>
          <w:rFonts w:ascii="宋体" w:hAnsi="宋体"/>
          <w:sz w:val="24"/>
        </w:rPr>
        <w:t>附件6-1   投标货物分项报价表</w:t>
      </w:r>
    </w:p>
    <w:p>
      <w:pPr>
        <w:spacing w:line="480" w:lineRule="exact"/>
        <w:ind w:firstLine="482" w:firstLineChars="200"/>
        <w:jc w:val="center"/>
        <w:rPr>
          <w:rStyle w:val="39"/>
          <w:rFonts w:ascii="仿宋_GB2312" w:hAnsi="仿宋_GB2312" w:eastAsia="仿宋_GB2312"/>
          <w:b/>
          <w:kern w:val="0"/>
          <w:sz w:val="24"/>
          <w:szCs w:val="28"/>
        </w:rPr>
      </w:pPr>
      <w:r>
        <w:rPr>
          <w:rStyle w:val="39"/>
          <w:rFonts w:ascii="仿宋_GB2312" w:hAnsi="仿宋_GB2312" w:eastAsia="仿宋_GB2312"/>
          <w:b/>
          <w:kern w:val="0"/>
          <w:sz w:val="24"/>
          <w:szCs w:val="28"/>
        </w:rPr>
        <w:t>投标货物分项报价表</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货物名称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p>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注：1、此表为报价表之设备分项报价表。</w:t>
      </w:r>
    </w:p>
    <w:p>
      <w:pPr>
        <w:spacing w:line="288" w:lineRule="auto"/>
        <w:ind w:firstLine="420" w:firstLineChars="200"/>
        <w:rPr>
          <w:rStyle w:val="39"/>
          <w:rFonts w:ascii="宋体" w:hAnsi="宋体"/>
          <w:szCs w:val="21"/>
        </w:rPr>
      </w:pPr>
      <w:r>
        <w:rPr>
          <w:rStyle w:val="39"/>
          <w:rFonts w:ascii="宋体" w:hAnsi="宋体"/>
          <w:bCs/>
          <w:szCs w:val="21"/>
        </w:rPr>
        <w:t>2、所报内容需参照招标文件及采购需求相关条款的要求。</w:t>
      </w:r>
    </w:p>
    <w:p>
      <w:pPr>
        <w:spacing w:line="360" w:lineRule="auto"/>
        <w:rPr>
          <w:rStyle w:val="39"/>
          <w:rFonts w:ascii="宋体" w:hAnsi="宋体"/>
          <w:szCs w:val="21"/>
        </w:rPr>
      </w:pPr>
      <w:r>
        <w:rPr>
          <w:rStyle w:val="39"/>
          <w:rFonts w:ascii="宋体" w:hAnsi="宋体"/>
          <w:szCs w:val="21"/>
        </w:rPr>
        <w:br w:type="page"/>
      </w:r>
    </w:p>
    <w:p>
      <w:pPr>
        <w:spacing w:line="360" w:lineRule="auto"/>
        <w:rPr>
          <w:rStyle w:val="39"/>
          <w:rFonts w:ascii="宋体" w:hAnsi="宋体"/>
          <w:sz w:val="24"/>
        </w:rPr>
      </w:pPr>
      <w:r>
        <w:rPr>
          <w:rStyle w:val="39"/>
          <w:rFonts w:ascii="宋体" w:hAnsi="宋体"/>
          <w:sz w:val="24"/>
        </w:rPr>
        <w:t>附件6-2：</w:t>
      </w:r>
      <w:r>
        <w:rPr>
          <w:rStyle w:val="39"/>
          <w:rFonts w:ascii="宋体" w:hAnsi="宋体"/>
          <w:szCs w:val="21"/>
        </w:rPr>
        <w:t>备品备件、专用工具和专用试验仪器分项报价表</w:t>
      </w:r>
    </w:p>
    <w:p>
      <w:pPr>
        <w:spacing w:before="156" w:line="288" w:lineRule="auto"/>
        <w:ind w:hanging="104"/>
        <w:jc w:val="center"/>
        <w:rPr>
          <w:rStyle w:val="39"/>
          <w:rFonts w:ascii="宋体" w:hAnsi="宋体"/>
          <w:szCs w:val="21"/>
        </w:rPr>
      </w:pPr>
      <w:r>
        <w:rPr>
          <w:rStyle w:val="39"/>
          <w:rFonts w:ascii="宋体" w:hAnsi="宋体"/>
          <w:szCs w:val="21"/>
        </w:rPr>
        <w:t>备品备件、专用工具和专用试验仪器分项报价表</w:t>
      </w:r>
    </w:p>
    <w:p>
      <w:pPr>
        <w:spacing w:line="288" w:lineRule="auto"/>
        <w:ind w:right="420"/>
        <w:rPr>
          <w:rStyle w:val="39"/>
          <w:rFonts w:ascii="宋体" w:hAnsi="宋体"/>
          <w:szCs w:val="21"/>
        </w:rPr>
      </w:pPr>
      <w:r>
        <w:rPr>
          <w:rStyle w:val="39"/>
          <w:rFonts w:ascii="宋体" w:hAnsi="宋体"/>
          <w:szCs w:val="21"/>
        </w:rPr>
        <w:t>招标编号：[货币单位：人民币元]</w:t>
      </w:r>
    </w:p>
    <w:tbl>
      <w:tblPr>
        <w:tblStyle w:val="15"/>
        <w:tblW w:w="1369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9"/>
        <w:gridCol w:w="1233"/>
        <w:gridCol w:w="1041"/>
        <w:gridCol w:w="1088"/>
        <w:gridCol w:w="957"/>
        <w:gridCol w:w="851"/>
        <w:gridCol w:w="851"/>
        <w:gridCol w:w="850"/>
        <w:gridCol w:w="1843"/>
        <w:gridCol w:w="850"/>
        <w:gridCol w:w="992"/>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doub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w:t>
            </w:r>
          </w:p>
        </w:tc>
        <w:tc>
          <w:tcPr>
            <w:tcW w:w="123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2</w:t>
            </w:r>
          </w:p>
        </w:tc>
        <w:tc>
          <w:tcPr>
            <w:tcW w:w="104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3</w:t>
            </w:r>
          </w:p>
        </w:tc>
        <w:tc>
          <w:tcPr>
            <w:tcW w:w="1088"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4</w:t>
            </w:r>
          </w:p>
        </w:tc>
        <w:tc>
          <w:tcPr>
            <w:tcW w:w="957"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5</w:t>
            </w:r>
          </w:p>
        </w:tc>
        <w:tc>
          <w:tcPr>
            <w:tcW w:w="851"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6</w:t>
            </w:r>
          </w:p>
        </w:tc>
        <w:tc>
          <w:tcPr>
            <w:tcW w:w="851" w:type="dxa"/>
            <w:tcBorders>
              <w:top w:val="doub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7</w:t>
            </w:r>
          </w:p>
        </w:tc>
        <w:tc>
          <w:tcPr>
            <w:tcW w:w="850" w:type="dxa"/>
            <w:tcBorders>
              <w:top w:val="doub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8</w:t>
            </w:r>
          </w:p>
        </w:tc>
        <w:tc>
          <w:tcPr>
            <w:tcW w:w="1843"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9</w:t>
            </w:r>
          </w:p>
        </w:tc>
        <w:tc>
          <w:tcPr>
            <w:tcW w:w="850"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10</w:t>
            </w:r>
          </w:p>
        </w:tc>
        <w:tc>
          <w:tcPr>
            <w:tcW w:w="992" w:type="dxa"/>
            <w:tcBorders>
              <w:top w:val="doub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11</w:t>
            </w:r>
          </w:p>
        </w:tc>
        <w:tc>
          <w:tcPr>
            <w:tcW w:w="1701" w:type="dxa"/>
            <w:tcBorders>
              <w:top w:val="doub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12</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名称</w:t>
            </w: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规格型号</w:t>
            </w: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制造商</w:t>
            </w: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出厂价</w:t>
            </w: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运输费</w:t>
            </w: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保险费</w:t>
            </w: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b/>
                <w:szCs w:val="21"/>
              </w:rPr>
            </w:pPr>
            <w:r>
              <w:rPr>
                <w:rStyle w:val="39"/>
                <w:rFonts w:ascii="宋体" w:hAnsi="宋体"/>
                <w:b/>
                <w:szCs w:val="21"/>
              </w:rPr>
              <w:t>装卸费</w:t>
            </w: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其他费用</w:t>
            </w: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设备单价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9=4+5+6+7+8</w:t>
            </w: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单位</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b/>
                <w:szCs w:val="21"/>
              </w:rPr>
            </w:pPr>
            <w:r>
              <w:rPr>
                <w:rStyle w:val="39"/>
                <w:rFonts w:ascii="宋体" w:hAnsi="宋体"/>
                <w:b/>
                <w:szCs w:val="21"/>
              </w:rPr>
              <w:t>数量</w:t>
            </w: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b/>
                <w:szCs w:val="21"/>
              </w:rPr>
            </w:pPr>
            <w:r>
              <w:rPr>
                <w:rStyle w:val="39"/>
                <w:rFonts w:ascii="宋体" w:hAnsi="宋体"/>
                <w:b/>
                <w:szCs w:val="21"/>
              </w:rPr>
              <w:t>设备总价</w:t>
            </w:r>
          </w:p>
          <w:p>
            <w:pPr>
              <w:snapToGrid w:val="0"/>
              <w:jc w:val="center"/>
              <w:rPr>
                <w:rStyle w:val="39"/>
                <w:rFonts w:ascii="宋体" w:hAnsi="宋体"/>
                <w:b/>
                <w:szCs w:val="21"/>
              </w:rPr>
            </w:pPr>
            <w:r>
              <w:rPr>
                <w:rStyle w:val="39"/>
                <w:rFonts w:ascii="宋体" w:hAnsi="宋体"/>
                <w:b/>
                <w:szCs w:val="21"/>
              </w:rPr>
              <w:t>（现场</w:t>
            </w:r>
            <w:r>
              <w:rPr>
                <w:rStyle w:val="39"/>
                <w:rFonts w:ascii="宋体" w:hAnsi="宋体"/>
                <w:b/>
                <w:i/>
                <w:szCs w:val="21"/>
              </w:rPr>
              <w:t>落地/车板</w:t>
            </w:r>
            <w:r>
              <w:rPr>
                <w:rStyle w:val="39"/>
                <w:rFonts w:ascii="宋体" w:hAnsi="宋体"/>
                <w:b/>
                <w:szCs w:val="21"/>
              </w:rPr>
              <w:t>价）</w:t>
            </w:r>
          </w:p>
          <w:p>
            <w:pPr>
              <w:snapToGrid w:val="0"/>
              <w:jc w:val="center"/>
              <w:rPr>
                <w:rStyle w:val="39"/>
                <w:rFonts w:ascii="宋体" w:hAnsi="宋体"/>
                <w:b/>
                <w:szCs w:val="21"/>
              </w:rPr>
            </w:pPr>
            <w:r>
              <w:rPr>
                <w:rStyle w:val="39"/>
                <w:rFonts w:ascii="宋体" w:hAnsi="宋体"/>
                <w:b/>
                <w:szCs w:val="21"/>
              </w:rPr>
              <w:t>12=11×9</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23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sing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sing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6" w:space="0"/>
              <w:bottom w:val="single" w:color="000000" w:sz="6" w:space="0"/>
              <w:right w:val="double" w:color="000000" w:sz="6" w:space="0"/>
            </w:tcBorders>
            <w:vAlign w:val="center"/>
          </w:tcPr>
          <w:p>
            <w:pPr>
              <w:snapToGrid w:val="0"/>
              <w:jc w:val="center"/>
              <w:rPr>
                <w:rStyle w:val="39"/>
                <w:rFonts w:ascii="宋体" w:hAnsi="宋体"/>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439" w:type="dxa"/>
            <w:tcBorders>
              <w:top w:val="single" w:color="000000" w:sz="6" w:space="0"/>
              <w:left w:val="double" w:color="000000" w:sz="6" w:space="0"/>
              <w:bottom w:val="double" w:color="000000" w:sz="6" w:space="0"/>
              <w:right w:val="single" w:color="000000" w:sz="6" w:space="0"/>
            </w:tcBorders>
            <w:vAlign w:val="center"/>
          </w:tcPr>
          <w:p>
            <w:pPr>
              <w:snapToGrid w:val="0"/>
              <w:jc w:val="center"/>
              <w:rPr>
                <w:rStyle w:val="39"/>
                <w:rFonts w:ascii="宋体" w:hAnsi="宋体"/>
                <w:szCs w:val="21"/>
              </w:rPr>
            </w:pPr>
            <w:r>
              <w:rPr>
                <w:rStyle w:val="39"/>
                <w:rFonts w:ascii="宋体" w:hAnsi="宋体"/>
                <w:szCs w:val="21"/>
              </w:rPr>
              <w:t>……</w:t>
            </w:r>
          </w:p>
        </w:tc>
        <w:tc>
          <w:tcPr>
            <w:tcW w:w="123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4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1088"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57"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1"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4" w:space="0"/>
              <w:bottom w:val="double" w:color="000000" w:sz="6" w:space="0"/>
              <w:right w:val="single" w:color="000000" w:sz="6" w:space="0"/>
            </w:tcBorders>
            <w:vAlign w:val="center"/>
          </w:tcPr>
          <w:p>
            <w:pPr>
              <w:snapToGrid w:val="0"/>
              <w:jc w:val="center"/>
              <w:rPr>
                <w:rStyle w:val="39"/>
                <w:rFonts w:ascii="宋体" w:hAnsi="宋体"/>
                <w:szCs w:val="21"/>
              </w:rPr>
            </w:pPr>
          </w:p>
        </w:tc>
        <w:tc>
          <w:tcPr>
            <w:tcW w:w="1843"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850" w:type="dxa"/>
            <w:tcBorders>
              <w:top w:val="single" w:color="000000" w:sz="6" w:space="0"/>
              <w:left w:val="single" w:color="000000" w:sz="6" w:space="0"/>
              <w:bottom w:val="double" w:color="000000" w:sz="6" w:space="0"/>
              <w:right w:val="single" w:color="000000" w:sz="6" w:space="0"/>
            </w:tcBorders>
            <w:vAlign w:val="center"/>
          </w:tcPr>
          <w:p>
            <w:pPr>
              <w:snapToGrid w:val="0"/>
              <w:jc w:val="center"/>
              <w:rPr>
                <w:rStyle w:val="39"/>
                <w:rFonts w:ascii="宋体" w:hAnsi="宋体"/>
                <w:szCs w:val="21"/>
              </w:rPr>
            </w:pPr>
          </w:p>
        </w:tc>
        <w:tc>
          <w:tcPr>
            <w:tcW w:w="992" w:type="dxa"/>
            <w:tcBorders>
              <w:top w:val="single" w:color="000000" w:sz="6" w:space="0"/>
              <w:left w:val="single" w:color="000000" w:sz="6" w:space="0"/>
              <w:bottom w:val="double" w:color="000000" w:sz="6" w:space="0"/>
              <w:right w:val="single" w:color="000000" w:sz="4" w:space="0"/>
            </w:tcBorders>
            <w:vAlign w:val="center"/>
          </w:tcPr>
          <w:p>
            <w:pPr>
              <w:snapToGrid w:val="0"/>
              <w:jc w:val="center"/>
              <w:rPr>
                <w:rStyle w:val="39"/>
                <w:rFonts w:ascii="宋体" w:hAnsi="宋体"/>
                <w:szCs w:val="21"/>
              </w:rPr>
            </w:pPr>
          </w:p>
        </w:tc>
        <w:tc>
          <w:tcPr>
            <w:tcW w:w="1701" w:type="dxa"/>
            <w:tcBorders>
              <w:top w:val="single" w:color="000000" w:sz="6" w:space="0"/>
              <w:left w:val="single" w:color="000000" w:sz="4" w:space="0"/>
              <w:bottom w:val="double" w:color="000000" w:sz="6" w:space="0"/>
              <w:right w:val="double" w:color="000000" w:sz="6" w:space="0"/>
            </w:tcBorders>
            <w:vAlign w:val="center"/>
          </w:tcPr>
          <w:p>
            <w:pPr>
              <w:snapToGrid w:val="0"/>
              <w:jc w:val="center"/>
              <w:rPr>
                <w:rStyle w:val="39"/>
                <w:rFonts w:ascii="宋体" w:hAnsi="宋体"/>
                <w:szCs w:val="21"/>
              </w:rPr>
            </w:pPr>
          </w:p>
        </w:tc>
      </w:tr>
    </w:tbl>
    <w:p>
      <w:pPr>
        <w:spacing w:before="156" w:line="288" w:lineRule="auto"/>
        <w:ind w:left="-122" w:leftChars="-58"/>
        <w:rPr>
          <w:rStyle w:val="39"/>
          <w:rFonts w:ascii="宋体" w:hAnsi="宋体"/>
          <w:szCs w:val="21"/>
        </w:rPr>
      </w:pPr>
      <w:r>
        <w:rPr>
          <w:rStyle w:val="39"/>
          <w:rFonts w:ascii="宋体" w:hAnsi="宋体"/>
          <w:szCs w:val="21"/>
        </w:rPr>
        <w:t>投标人名称（公章）：</w:t>
      </w:r>
    </w:p>
    <w:p>
      <w:pPr>
        <w:spacing w:before="156" w:line="288" w:lineRule="auto"/>
        <w:ind w:left="-122" w:leftChars="-58"/>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56" w:line="288" w:lineRule="auto"/>
        <w:ind w:left="-122" w:leftChars="-58"/>
        <w:rPr>
          <w:rStyle w:val="39"/>
          <w:rFonts w:ascii="宋体" w:hAnsi="宋体"/>
          <w:szCs w:val="21"/>
        </w:rPr>
      </w:pPr>
      <w:r>
        <w:rPr>
          <w:rStyle w:val="39"/>
          <w:rFonts w:ascii="宋体" w:hAnsi="宋体"/>
          <w:szCs w:val="21"/>
        </w:rPr>
        <w:t>日期：</w:t>
      </w:r>
    </w:p>
    <w:p>
      <w:pPr>
        <w:spacing w:line="288" w:lineRule="auto"/>
        <w:rPr>
          <w:rStyle w:val="39"/>
          <w:rFonts w:ascii="宋体" w:hAnsi="宋体"/>
          <w:bCs/>
          <w:szCs w:val="21"/>
        </w:rPr>
      </w:pPr>
      <w:r>
        <w:rPr>
          <w:rStyle w:val="39"/>
          <w:rFonts w:ascii="宋体" w:hAnsi="宋体"/>
          <w:bCs/>
          <w:szCs w:val="21"/>
        </w:rPr>
        <w:t>注：1、此表为报价汇总表之备品备件、专用工具和专用试验仪器分项报价表。</w:t>
      </w:r>
    </w:p>
    <w:p>
      <w:pPr>
        <w:spacing w:line="288" w:lineRule="auto"/>
        <w:ind w:left="424" w:leftChars="202"/>
        <w:rPr>
          <w:rStyle w:val="39"/>
          <w:rFonts w:ascii="宋体" w:hAnsi="宋体"/>
          <w:bCs/>
          <w:szCs w:val="21"/>
        </w:rPr>
      </w:pPr>
      <w:r>
        <w:rPr>
          <w:rStyle w:val="39"/>
          <w:rFonts w:ascii="宋体" w:hAnsi="宋体"/>
          <w:bCs/>
          <w:szCs w:val="21"/>
        </w:rPr>
        <w:t>2、所报内容详见采购需求相关条款的要求。</w:t>
      </w:r>
    </w:p>
    <w:p>
      <w:pPr>
        <w:spacing w:line="288" w:lineRule="auto"/>
        <w:ind w:firstLine="420" w:firstLineChars="200"/>
        <w:rPr>
          <w:rStyle w:val="39"/>
          <w:rFonts w:ascii="宋体" w:hAnsi="宋体"/>
          <w:bCs/>
          <w:szCs w:val="21"/>
        </w:rPr>
      </w:pPr>
      <w:r>
        <w:rPr>
          <w:rStyle w:val="39"/>
          <w:rFonts w:ascii="宋体" w:hAnsi="宋体"/>
          <w:bCs/>
          <w:szCs w:val="21"/>
        </w:rPr>
        <w:t>3、本表费用均需报出，不可填“已含”或“已包括”</w:t>
      </w:r>
    </w:p>
    <w:p>
      <w:pPr>
        <w:spacing w:line="288" w:lineRule="auto"/>
        <w:ind w:firstLine="420" w:firstLineChars="200"/>
        <w:rPr>
          <w:rStyle w:val="39"/>
          <w:rFonts w:ascii="宋体" w:hAnsi="宋体"/>
          <w:bCs/>
          <w:szCs w:val="21"/>
        </w:rPr>
      </w:pPr>
    </w:p>
    <w:p>
      <w:pPr>
        <w:spacing w:line="288" w:lineRule="auto"/>
        <w:rPr>
          <w:rStyle w:val="39"/>
        </w:rPr>
        <w:sectPr>
          <w:pgSz w:w="16838" w:h="11906"/>
          <w:pgMar w:top="1247" w:right="1361" w:bottom="1247" w:left="1440" w:header="851" w:footer="992" w:gutter="0"/>
          <w:cols w:space="425" w:num="1"/>
          <w:docGrid w:type="lines" w:linePitch="312" w:charSpace="0"/>
        </w:sectPr>
      </w:pPr>
    </w:p>
    <w:p>
      <w:pPr>
        <w:spacing w:line="360" w:lineRule="auto"/>
        <w:rPr>
          <w:rStyle w:val="39"/>
          <w:rFonts w:ascii="宋体" w:hAnsi="宋体"/>
          <w:sz w:val="24"/>
        </w:rPr>
      </w:pPr>
      <w:r>
        <w:rPr>
          <w:rStyle w:val="39"/>
          <w:rFonts w:ascii="宋体" w:hAnsi="宋体"/>
          <w:sz w:val="24"/>
        </w:rPr>
        <w:t>附件6-3：</w:t>
      </w:r>
      <w:r>
        <w:rPr>
          <w:rStyle w:val="39"/>
          <w:rFonts w:ascii="宋体" w:hAnsi="宋体"/>
          <w:szCs w:val="21"/>
        </w:rPr>
        <w:t>服务费分项报价表</w:t>
      </w:r>
    </w:p>
    <w:p>
      <w:pPr>
        <w:spacing w:before="120" w:line="288" w:lineRule="auto"/>
        <w:ind w:hanging="104"/>
        <w:jc w:val="center"/>
        <w:rPr>
          <w:rStyle w:val="39"/>
          <w:rFonts w:ascii="宋体" w:hAnsi="宋体"/>
          <w:szCs w:val="21"/>
        </w:rPr>
      </w:pPr>
      <w:r>
        <w:rPr>
          <w:rStyle w:val="39"/>
          <w:rFonts w:ascii="宋体" w:hAnsi="宋体"/>
          <w:szCs w:val="21"/>
        </w:rPr>
        <w:t>服务费分项报价表</w:t>
      </w:r>
    </w:p>
    <w:p>
      <w:pPr>
        <w:spacing w:line="288" w:lineRule="auto"/>
        <w:jc w:val="center"/>
        <w:rPr>
          <w:rStyle w:val="39"/>
          <w:rFonts w:ascii="宋体" w:hAnsi="宋体"/>
          <w:b/>
          <w:szCs w:val="21"/>
        </w:rPr>
      </w:pPr>
    </w:p>
    <w:p>
      <w:pPr>
        <w:spacing w:line="288" w:lineRule="auto"/>
        <w:rPr>
          <w:rStyle w:val="39"/>
          <w:rFonts w:ascii="宋体" w:hAnsi="宋体"/>
          <w:szCs w:val="21"/>
        </w:rPr>
      </w:pPr>
      <w:r>
        <w:rPr>
          <w:rStyle w:val="39"/>
          <w:rFonts w:ascii="宋体" w:hAnsi="宋体"/>
          <w:szCs w:val="21"/>
        </w:rPr>
        <w:t>招标编号： [货币单位：人民币元]</w:t>
      </w:r>
    </w:p>
    <w:tbl>
      <w:tblPr>
        <w:tblStyle w:val="15"/>
        <w:tblW w:w="912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0"/>
        <w:gridCol w:w="4594"/>
        <w:gridCol w:w="720"/>
        <w:gridCol w:w="720"/>
        <w:gridCol w:w="1080"/>
        <w:gridCol w:w="135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50" w:type="dxa"/>
            <w:tcBorders>
              <w:top w:val="doub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项号</w:t>
            </w:r>
          </w:p>
        </w:tc>
        <w:tc>
          <w:tcPr>
            <w:tcW w:w="4594"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服务</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数量</w:t>
            </w:r>
          </w:p>
        </w:tc>
        <w:tc>
          <w:tcPr>
            <w:tcW w:w="72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单价</w:t>
            </w:r>
          </w:p>
        </w:tc>
        <w:tc>
          <w:tcPr>
            <w:tcW w:w="1080" w:type="dxa"/>
            <w:tcBorders>
              <w:top w:val="double" w:color="000000" w:sz="4" w:space="0"/>
              <w:left w:val="sing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总价</w:t>
            </w:r>
          </w:p>
        </w:tc>
        <w:tc>
          <w:tcPr>
            <w:tcW w:w="1359" w:type="dxa"/>
            <w:tcBorders>
              <w:top w:val="double" w:color="000000" w:sz="4" w:space="0"/>
              <w:left w:val="single" w:color="000000" w:sz="4" w:space="0"/>
              <w:bottom w:val="single" w:color="000000" w:sz="4" w:space="0"/>
              <w:right w:val="double" w:color="000000" w:sz="4" w:space="0"/>
            </w:tcBorders>
            <w:vAlign w:val="center"/>
          </w:tcPr>
          <w:p>
            <w:pPr>
              <w:spacing w:line="288" w:lineRule="auto"/>
              <w:jc w:val="center"/>
              <w:rPr>
                <w:rStyle w:val="39"/>
                <w:rFonts w:ascii="宋体" w:hAnsi="宋体"/>
                <w:szCs w:val="21"/>
              </w:rPr>
            </w:pPr>
            <w:r>
              <w:rPr>
                <w:rStyle w:val="39"/>
                <w:rFonts w:ascii="宋体" w:hAnsi="宋体"/>
                <w:szCs w:val="21"/>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1</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设计联络</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2</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相关验收</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3</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安装调试（或安装督导）</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4</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培训</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5</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配合费用</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w:t>
            </w: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r>
              <w:rPr>
                <w:rStyle w:val="39"/>
                <w:rFonts w:ascii="宋体" w:hAnsi="宋体"/>
                <w:szCs w:val="21"/>
              </w:rPr>
              <w:t>……</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650" w:type="dxa"/>
            <w:tcBorders>
              <w:top w:val="single" w:color="000000" w:sz="4" w:space="0"/>
              <w:left w:val="doub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4594"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288" w:lineRule="auto"/>
              <w:rPr>
                <w:rStyle w:val="39"/>
                <w:rFonts w:ascii="宋体" w:hAnsi="宋体"/>
                <w:szCs w:val="21"/>
              </w:rPr>
            </w:pPr>
          </w:p>
        </w:tc>
        <w:tc>
          <w:tcPr>
            <w:tcW w:w="1359" w:type="dxa"/>
            <w:tcBorders>
              <w:top w:val="single" w:color="000000" w:sz="4" w:space="0"/>
              <w:left w:val="single" w:color="000000" w:sz="4" w:space="0"/>
              <w:bottom w:val="single" w:color="000000" w:sz="4" w:space="0"/>
              <w:right w:val="double" w:color="000000" w:sz="4" w:space="0"/>
            </w:tcBorders>
            <w:vAlign w:val="center"/>
          </w:tcPr>
          <w:p>
            <w:pPr>
              <w:spacing w:line="288" w:lineRule="auto"/>
              <w:rPr>
                <w:rStyle w:val="39"/>
                <w:rFonts w:ascii="宋体" w:hAnsi="宋体"/>
                <w:szCs w:val="21"/>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4" w:type="dxa"/>
            <w:gridSpan w:val="4"/>
            <w:tcBorders>
              <w:top w:val="single" w:color="000000" w:sz="4" w:space="0"/>
              <w:left w:val="double" w:color="000000" w:sz="4" w:space="0"/>
              <w:bottom w:val="double" w:color="000000" w:sz="4" w:space="0"/>
              <w:right w:val="single" w:color="000000" w:sz="4" w:space="0"/>
            </w:tcBorders>
            <w:vAlign w:val="center"/>
          </w:tcPr>
          <w:p>
            <w:pPr>
              <w:spacing w:line="288" w:lineRule="auto"/>
              <w:jc w:val="center"/>
              <w:rPr>
                <w:rStyle w:val="39"/>
                <w:rFonts w:ascii="宋体" w:hAnsi="宋体"/>
                <w:szCs w:val="21"/>
              </w:rPr>
            </w:pPr>
            <w:r>
              <w:rPr>
                <w:rStyle w:val="39"/>
                <w:rFonts w:ascii="宋体" w:hAnsi="宋体"/>
                <w:szCs w:val="21"/>
              </w:rPr>
              <w:t>合计</w:t>
            </w:r>
          </w:p>
        </w:tc>
        <w:tc>
          <w:tcPr>
            <w:tcW w:w="1080" w:type="dxa"/>
            <w:tcBorders>
              <w:top w:val="single" w:color="000000" w:sz="4" w:space="0"/>
              <w:left w:val="single" w:color="000000" w:sz="4" w:space="0"/>
              <w:bottom w:val="double" w:color="000000" w:sz="4" w:space="0"/>
              <w:right w:val="single" w:color="000000" w:sz="4" w:space="0"/>
            </w:tcBorders>
          </w:tcPr>
          <w:p>
            <w:pPr>
              <w:spacing w:line="288" w:lineRule="auto"/>
              <w:rPr>
                <w:rStyle w:val="39"/>
                <w:rFonts w:ascii="宋体" w:hAnsi="宋体"/>
                <w:szCs w:val="21"/>
              </w:rPr>
            </w:pPr>
          </w:p>
        </w:tc>
        <w:tc>
          <w:tcPr>
            <w:tcW w:w="1359" w:type="dxa"/>
            <w:tcBorders>
              <w:top w:val="single" w:color="000000" w:sz="4" w:space="0"/>
              <w:left w:val="single" w:color="000000" w:sz="4" w:space="0"/>
              <w:bottom w:val="double" w:color="000000" w:sz="4" w:space="0"/>
              <w:right w:val="double" w:color="000000" w:sz="4" w:space="0"/>
            </w:tcBorders>
          </w:tcPr>
          <w:p>
            <w:pPr>
              <w:spacing w:line="288" w:lineRule="auto"/>
              <w:rPr>
                <w:rStyle w:val="39"/>
                <w:rFonts w:ascii="宋体" w:hAnsi="宋体"/>
                <w:szCs w:val="21"/>
              </w:rPr>
            </w:pPr>
          </w:p>
        </w:tc>
      </w:tr>
    </w:tbl>
    <w:p>
      <w:pPr>
        <w:spacing w:before="120" w:line="288" w:lineRule="auto"/>
        <w:ind w:left="-103" w:leftChars="-49" w:firstLine="15"/>
        <w:rPr>
          <w:rStyle w:val="39"/>
          <w:rFonts w:ascii="宋体" w:hAnsi="宋体"/>
          <w:szCs w:val="21"/>
        </w:rPr>
      </w:pPr>
      <w:r>
        <w:rPr>
          <w:rStyle w:val="39"/>
          <w:rFonts w:ascii="宋体" w:hAnsi="宋体"/>
          <w:szCs w:val="21"/>
        </w:rPr>
        <w:t>投标人名称（公章）：</w:t>
      </w:r>
    </w:p>
    <w:p>
      <w:pPr>
        <w:spacing w:before="120" w:line="288" w:lineRule="auto"/>
        <w:ind w:left="-103" w:leftChars="-49"/>
        <w:rPr>
          <w:rStyle w:val="39"/>
          <w:rFonts w:ascii="宋体" w:hAnsi="宋体"/>
          <w:szCs w:val="21"/>
        </w:rPr>
      </w:pPr>
      <w:r>
        <w:rPr>
          <w:rStyle w:val="39"/>
          <w:rFonts w:ascii="宋体" w:hAnsi="宋体"/>
          <w:szCs w:val="21"/>
        </w:rPr>
        <w:t>法定代表人或其</w:t>
      </w:r>
      <w:r>
        <w:rPr>
          <w:rStyle w:val="39"/>
          <w:rFonts w:ascii="宋体"/>
          <w:szCs w:val="21"/>
        </w:rPr>
        <w:t>委托代理人</w:t>
      </w:r>
      <w:r>
        <w:rPr>
          <w:rStyle w:val="39"/>
          <w:rFonts w:ascii="宋体" w:hAnsi="宋体"/>
          <w:szCs w:val="21"/>
        </w:rPr>
        <w:t>（签字或加盖人名章）：</w:t>
      </w:r>
    </w:p>
    <w:p>
      <w:pPr>
        <w:spacing w:before="120" w:line="288" w:lineRule="auto"/>
        <w:ind w:left="-103" w:leftChars="-49"/>
        <w:rPr>
          <w:rStyle w:val="39"/>
          <w:rFonts w:ascii="宋体" w:hAnsi="宋体"/>
          <w:szCs w:val="21"/>
        </w:rPr>
      </w:pPr>
      <w:r>
        <w:rPr>
          <w:rStyle w:val="39"/>
          <w:rFonts w:ascii="宋体" w:hAnsi="宋体"/>
          <w:szCs w:val="21"/>
        </w:rPr>
        <w:t>日期：</w:t>
      </w:r>
    </w:p>
    <w:p>
      <w:pPr>
        <w:snapToGrid w:val="0"/>
        <w:spacing w:after="120" w:line="288" w:lineRule="auto"/>
        <w:ind w:left="708" w:hanging="707" w:hangingChars="337"/>
        <w:rPr>
          <w:rStyle w:val="39"/>
          <w:rFonts w:ascii="宋体" w:hAnsi="宋体"/>
          <w:szCs w:val="21"/>
        </w:rPr>
      </w:pPr>
      <w:r>
        <w:rPr>
          <w:rStyle w:val="39"/>
          <w:rFonts w:ascii="宋体" w:hAnsi="宋体"/>
          <w:bCs/>
          <w:szCs w:val="21"/>
        </w:rPr>
        <w:t>注：1、</w:t>
      </w:r>
      <w:r>
        <w:rPr>
          <w:rStyle w:val="39"/>
          <w:rFonts w:ascii="宋体" w:hAnsi="宋体"/>
          <w:szCs w:val="21"/>
        </w:rPr>
        <w:t>此表为报价汇总表之服务费分项报价表。上述服务项目应由投标人根据投标人的经验及本招标项目的特点进行合理报价，上述服务项目的报价基准，参见“采购需求”的要求。</w:t>
      </w:r>
    </w:p>
    <w:p>
      <w:pPr>
        <w:spacing w:line="288" w:lineRule="auto"/>
        <w:ind w:left="424" w:leftChars="202"/>
        <w:rPr>
          <w:rStyle w:val="39"/>
          <w:rFonts w:ascii="宋体" w:hAnsi="宋体"/>
          <w:bCs/>
          <w:szCs w:val="21"/>
        </w:rPr>
      </w:pPr>
      <w:r>
        <w:rPr>
          <w:rStyle w:val="39"/>
          <w:rFonts w:ascii="宋体" w:hAnsi="宋体"/>
          <w:bCs/>
          <w:szCs w:val="21"/>
        </w:rPr>
        <w:t>2、投标人所涉及的所有服务费用均应含在此报价表中。</w:t>
      </w:r>
    </w:p>
    <w:p>
      <w:pPr>
        <w:spacing w:line="288" w:lineRule="auto"/>
        <w:rPr>
          <w:rStyle w:val="39"/>
          <w:rFonts w:ascii="宋体" w:hAnsi="宋体"/>
          <w:szCs w:val="21"/>
        </w:rPr>
      </w:pPr>
      <w:r>
        <w:rPr>
          <w:rStyle w:val="39"/>
          <w:rFonts w:ascii="宋体" w:hAnsi="宋体"/>
          <w:szCs w:val="21"/>
        </w:rPr>
        <w:br w:type="page"/>
      </w:r>
    </w:p>
    <w:p>
      <w:pPr>
        <w:spacing w:line="288" w:lineRule="auto"/>
        <w:rPr>
          <w:rStyle w:val="39"/>
          <w:b/>
          <w:sz w:val="24"/>
        </w:rPr>
      </w:pPr>
      <w:r>
        <w:rPr>
          <w:rStyle w:val="39"/>
          <w:b/>
          <w:sz w:val="24"/>
        </w:rPr>
        <w:t>附件7  商务、合同条款偏差表</w:t>
      </w:r>
    </w:p>
    <w:p>
      <w:pPr>
        <w:spacing w:after="240"/>
        <w:ind w:hanging="119"/>
        <w:rPr>
          <w:rStyle w:val="39"/>
        </w:rPr>
      </w:pPr>
    </w:p>
    <w:p>
      <w:pPr>
        <w:spacing w:after="240"/>
        <w:ind w:hanging="119"/>
        <w:rPr>
          <w:rStyle w:val="39"/>
          <w:u w:val="single"/>
        </w:rPr>
      </w:pPr>
      <w:r>
        <w:rPr>
          <w:rStyle w:val="39"/>
        </w:rPr>
        <w:t>投标人名称：</w:t>
      </w:r>
    </w:p>
    <w:tbl>
      <w:tblPr>
        <w:tblStyle w:val="15"/>
        <w:tblW w:w="90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3"/>
        <w:gridCol w:w="1134"/>
        <w:gridCol w:w="85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1"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招标文件条目号</w:t>
            </w: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招标文件的商务、合同条款</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完全响应</w:t>
            </w: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有偏离</w:t>
            </w: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09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3623" w:type="dxa"/>
            <w:tcBorders>
              <w:top w:val="single" w:color="000000" w:sz="6" w:space="0"/>
              <w:left w:val="single" w:color="000000" w:sz="6" w:space="0"/>
              <w:bottom w:val="single" w:color="000000" w:sz="6" w:space="0"/>
              <w:right w:val="single" w:color="000000" w:sz="6" w:space="0"/>
            </w:tcBorders>
            <w:vAlign w:val="center"/>
          </w:tcPr>
          <w:p>
            <w:pPr>
              <w:spacing w:line="440" w:lineRule="atLeast"/>
              <w:rPr>
                <w:rStyle w:val="39"/>
                <w:szCs w:val="21"/>
              </w:rPr>
            </w:pPr>
            <w:r>
              <w:rPr>
                <w:rStyle w:val="39"/>
                <w:szCs w:val="21"/>
              </w:rPr>
              <w:t>……</w:t>
            </w:r>
          </w:p>
        </w:tc>
        <w:tc>
          <w:tcPr>
            <w:tcW w:w="1134"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851"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c>
          <w:tcPr>
            <w:tcW w:w="1310" w:type="dxa"/>
            <w:tcBorders>
              <w:top w:val="single" w:color="000000" w:sz="6" w:space="0"/>
              <w:left w:val="single" w:color="000000" w:sz="6" w:space="0"/>
              <w:bottom w:val="single" w:color="000000" w:sz="6" w:space="0"/>
              <w:right w:val="single" w:color="000000" w:sz="6" w:space="0"/>
            </w:tcBorders>
          </w:tcPr>
          <w:p>
            <w:pPr>
              <w:spacing w:line="440" w:lineRule="atLeast"/>
              <w:rPr>
                <w:rStyle w:val="39"/>
              </w:rPr>
            </w:pPr>
          </w:p>
        </w:tc>
      </w:tr>
    </w:tbl>
    <w:p>
      <w:pPr>
        <w:spacing w:before="120" w:line="440" w:lineRule="exact"/>
        <w:ind w:left="-103" w:leftChars="-49" w:firstLine="15"/>
        <w:rPr>
          <w:rStyle w:val="39"/>
        </w:rPr>
      </w:pPr>
      <w:r>
        <w:rPr>
          <w:rStyle w:val="39"/>
        </w:rPr>
        <w:t>投标人：（公章）</w:t>
      </w:r>
    </w:p>
    <w:p>
      <w:pPr>
        <w:spacing w:before="120" w:line="440" w:lineRule="exact"/>
        <w:ind w:left="-103" w:leftChars="-4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103" w:leftChars="-49"/>
        <w:rPr>
          <w:rStyle w:val="39"/>
        </w:rPr>
      </w:pPr>
      <w:r>
        <w:rPr>
          <w:rStyle w:val="39"/>
        </w:rPr>
        <w:t>日期：</w:t>
      </w:r>
    </w:p>
    <w:p>
      <w:pPr>
        <w:rPr>
          <w:rStyle w:val="39"/>
        </w:rPr>
      </w:pPr>
    </w:p>
    <w:p>
      <w:pPr>
        <w:snapToGrid w:val="0"/>
        <w:spacing w:after="120"/>
        <w:ind w:left="850" w:leftChars="203" w:hanging="424" w:hangingChars="202"/>
        <w:rPr>
          <w:rStyle w:val="39"/>
          <w:rFonts w:ascii="宋体" w:hAnsi="宋体"/>
        </w:rPr>
      </w:pPr>
      <w:r>
        <w:rPr>
          <w:rStyle w:val="39"/>
          <w:rFonts w:ascii="宋体" w:hAnsi="宋体"/>
        </w:rPr>
        <w:t>注：</w:t>
      </w:r>
      <w:r>
        <w:rPr>
          <w:rFonts w:hint="eastAsia"/>
        </w:rPr>
        <w:t>投标人递交的投标文件中与招标文件的技术部分的要求有不同时，应逐条列在商务、合同偏差表中，否则将认为投标人接受招标文件的要求</w:t>
      </w:r>
      <w:r>
        <w:t>。</w:t>
      </w:r>
    </w:p>
    <w:p>
      <w:pPr>
        <w:rPr>
          <w:rStyle w:val="39"/>
          <w:rFonts w:ascii="宋体" w:hAnsi="宋体"/>
          <w:b/>
          <w:sz w:val="24"/>
        </w:rPr>
      </w:pPr>
      <w:r>
        <w:rPr>
          <w:rStyle w:val="39"/>
          <w:rFonts w:ascii="宋体" w:hAnsi="宋体"/>
          <w:b/>
          <w:sz w:val="24"/>
        </w:rPr>
        <w:br w:type="page"/>
      </w:r>
    </w:p>
    <w:p>
      <w:pPr>
        <w:rPr>
          <w:rStyle w:val="39"/>
          <w:rFonts w:ascii="宋体" w:hAnsi="宋体"/>
          <w:b/>
          <w:sz w:val="24"/>
        </w:rPr>
      </w:pPr>
    </w:p>
    <w:p>
      <w:pPr>
        <w:spacing w:line="360" w:lineRule="auto"/>
        <w:rPr>
          <w:rStyle w:val="39"/>
          <w:b/>
          <w:sz w:val="24"/>
        </w:rPr>
      </w:pPr>
      <w:r>
        <w:rPr>
          <w:rStyle w:val="39"/>
          <w:b/>
          <w:sz w:val="24"/>
        </w:rPr>
        <w:t>附件8    投标人基本情况表</w:t>
      </w:r>
    </w:p>
    <w:p>
      <w:pPr>
        <w:rPr>
          <w:rStyle w:val="39"/>
        </w:rPr>
      </w:pPr>
    </w:p>
    <w:p>
      <w:pPr>
        <w:spacing w:line="440" w:lineRule="exact"/>
        <w:ind w:firstLine="420" w:firstLineChars="200"/>
        <w:rPr>
          <w:rStyle w:val="39"/>
        </w:rPr>
      </w:pPr>
    </w:p>
    <w:tbl>
      <w:tblPr>
        <w:tblStyle w:val="15"/>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40"/>
        <w:gridCol w:w="1238"/>
        <w:gridCol w:w="197"/>
        <w:gridCol w:w="2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企业名称</w:t>
            </w:r>
          </w:p>
        </w:tc>
        <w:tc>
          <w:tcPr>
            <w:tcW w:w="3181"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成立日期</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24" w:type="dxa"/>
            <w:gridSpan w:val="4"/>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企业法人统一社会信用代码</w:t>
            </w:r>
          </w:p>
        </w:tc>
        <w:tc>
          <w:tcPr>
            <w:tcW w:w="3798" w:type="dxa"/>
            <w:gridSpan w:val="3"/>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注册资本</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企业类型</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批准登记机关</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组织代码</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法定代表人</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营业期限</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资质类型</w:t>
            </w:r>
          </w:p>
        </w:tc>
        <w:tc>
          <w:tcPr>
            <w:tcW w:w="302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435"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资质等级</w:t>
            </w:r>
          </w:p>
        </w:tc>
        <w:tc>
          <w:tcPr>
            <w:tcW w:w="2363"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主营业务</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地  址</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开户银行</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开户行号</w:t>
            </w:r>
          </w:p>
          <w:p>
            <w:pPr>
              <w:rPr>
                <w:rStyle w:val="39"/>
                <w:rFonts w:ascii="仿宋_GB2312" w:eastAsia="仿宋_GB2312"/>
                <w:sz w:val="24"/>
              </w:rPr>
            </w:pPr>
            <w:r>
              <w:rPr>
                <w:rStyle w:val="39"/>
                <w:rFonts w:ascii="仿宋_GB2312" w:eastAsia="仿宋_GB2312"/>
                <w:sz w:val="24"/>
              </w:rPr>
              <w:t>（如有）</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银行账号</w:t>
            </w:r>
          </w:p>
        </w:tc>
        <w:tc>
          <w:tcPr>
            <w:tcW w:w="6825" w:type="dxa"/>
            <w:gridSpan w:val="5"/>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电  话</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传  真</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箱</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邮  编</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联系人</w:t>
            </w:r>
          </w:p>
        </w:tc>
        <w:tc>
          <w:tcPr>
            <w:tcW w:w="2887" w:type="dxa"/>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c>
          <w:tcPr>
            <w:tcW w:w="1378"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r>
              <w:rPr>
                <w:rStyle w:val="39"/>
                <w:rFonts w:ascii="仿宋_GB2312" w:eastAsia="仿宋_GB2312"/>
                <w:sz w:val="24"/>
              </w:rPr>
              <w:t>联系方式</w:t>
            </w:r>
          </w:p>
        </w:tc>
        <w:tc>
          <w:tcPr>
            <w:tcW w:w="2560" w:type="dxa"/>
            <w:gridSpan w:val="2"/>
            <w:tcBorders>
              <w:top w:val="single" w:color="000000" w:sz="4" w:space="0"/>
              <w:left w:val="single" w:color="000000" w:sz="4" w:space="0"/>
              <w:bottom w:val="single" w:color="000000" w:sz="4" w:space="0"/>
              <w:right w:val="single" w:color="000000" w:sz="4" w:space="0"/>
            </w:tcBorders>
            <w:vAlign w:val="center"/>
          </w:tcPr>
          <w:p>
            <w:pPr>
              <w:rPr>
                <w:rStyle w:val="39"/>
                <w:rFonts w:ascii="仿宋_GB2312" w:eastAsia="仿宋_GB2312"/>
                <w:sz w:val="24"/>
              </w:rPr>
            </w:pPr>
          </w:p>
        </w:tc>
      </w:tr>
    </w:tbl>
    <w:p>
      <w:pPr>
        <w:spacing w:line="440" w:lineRule="exact"/>
        <w:ind w:firstLine="420" w:firstLineChars="200"/>
        <w:rPr>
          <w:rStyle w:val="39"/>
        </w:rPr>
      </w:pPr>
    </w:p>
    <w:p>
      <w:pPr>
        <w:spacing w:line="440" w:lineRule="exact"/>
        <w:ind w:firstLine="420" w:firstLineChars="200"/>
        <w:rPr>
          <w:rStyle w:val="39"/>
        </w:rPr>
      </w:pPr>
      <w:r>
        <w:rPr>
          <w:rStyle w:val="39"/>
        </w:rPr>
        <w:t>兹声明上述信息是真实、正确的，并提供了全部能提供的资料和数据；如我方提供的证明材料有虚假情况，愿承担相应后果。</w:t>
      </w:r>
    </w:p>
    <w:p>
      <w:pPr>
        <w:rPr>
          <w:rStyle w:val="39"/>
        </w:rPr>
      </w:pPr>
    </w:p>
    <w:p>
      <w:pPr>
        <w:rPr>
          <w:rStyle w:val="39"/>
        </w:rPr>
      </w:pPr>
    </w:p>
    <w:p>
      <w:pPr>
        <w:rPr>
          <w:rStyle w:val="39"/>
        </w:rPr>
      </w:pPr>
    </w:p>
    <w:p>
      <w:pPr>
        <w:spacing w:before="120" w:line="440" w:lineRule="exact"/>
        <w:ind w:left="-103" w:leftChars="-49" w:firstLine="539" w:firstLineChars="257"/>
        <w:rPr>
          <w:rStyle w:val="39"/>
        </w:rPr>
      </w:pPr>
      <w:r>
        <w:rPr>
          <w:rStyle w:val="39"/>
        </w:rPr>
        <w:t>投标人：（公章）</w:t>
      </w:r>
    </w:p>
    <w:p>
      <w:pPr>
        <w:spacing w:before="120" w:line="440" w:lineRule="exact"/>
        <w:ind w:left="460" w:leftChars="219"/>
        <w:rPr>
          <w:rStyle w:val="39"/>
        </w:rPr>
      </w:pPr>
      <w:r>
        <w:rPr>
          <w:rStyle w:val="39"/>
        </w:rPr>
        <w:t>法定代表人或其</w:t>
      </w:r>
      <w:r>
        <w:rPr>
          <w:rStyle w:val="39"/>
          <w:rFonts w:ascii="宋体"/>
          <w:szCs w:val="21"/>
        </w:rPr>
        <w:t>委托代理人</w:t>
      </w:r>
      <w:r>
        <w:rPr>
          <w:rStyle w:val="39"/>
        </w:rPr>
        <w:t>：（签字或加盖人名章）</w:t>
      </w:r>
    </w:p>
    <w:p>
      <w:pPr>
        <w:spacing w:before="120" w:line="440" w:lineRule="exact"/>
        <w:ind w:left="460" w:leftChars="219"/>
        <w:rPr>
          <w:rStyle w:val="39"/>
          <w:b/>
          <w:sz w:val="24"/>
        </w:rPr>
      </w:pPr>
      <w:r>
        <w:rPr>
          <w:rStyle w:val="39"/>
        </w:rPr>
        <w:t>日期：</w:t>
      </w:r>
      <w:r>
        <w:rPr>
          <w:rStyle w:val="39"/>
          <w:b/>
          <w:sz w:val="24"/>
        </w:rPr>
        <w:br w:type="page"/>
      </w:r>
    </w:p>
    <w:p>
      <w:pPr>
        <w:spacing w:before="120" w:line="440" w:lineRule="exact"/>
        <w:ind w:left="460" w:leftChars="219"/>
        <w:rPr>
          <w:rStyle w:val="39"/>
          <w:b/>
          <w:sz w:val="24"/>
        </w:rPr>
      </w:pPr>
    </w:p>
    <w:p>
      <w:pPr>
        <w:spacing w:line="360" w:lineRule="auto"/>
        <w:rPr>
          <w:rStyle w:val="39"/>
          <w:b/>
          <w:sz w:val="24"/>
        </w:rPr>
      </w:pPr>
      <w:r>
        <w:rPr>
          <w:rStyle w:val="39"/>
          <w:b/>
          <w:sz w:val="24"/>
        </w:rPr>
        <w:t>附件9资格证明文件</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1.</w:t>
      </w:r>
      <w:r>
        <w:rPr>
          <w:rStyle w:val="39"/>
          <w:rFonts w:ascii="宋体" w:hAnsi="宋体"/>
          <w:sz w:val="24"/>
        </w:rPr>
        <w:t>投标人“三证合一”的企业法人营业执照副本复印件；</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2.</w:t>
      </w:r>
      <w:r>
        <w:rPr>
          <w:rStyle w:val="39"/>
          <w:rFonts w:ascii="宋体" w:hAnsi="宋体"/>
          <w:sz w:val="24"/>
        </w:rPr>
        <w:t>投标人</w:t>
      </w:r>
      <w:r>
        <w:rPr>
          <w:rStyle w:val="39"/>
          <w:rFonts w:hint="eastAsia" w:ascii="宋体" w:hAnsi="宋体"/>
          <w:sz w:val="24"/>
        </w:rPr>
        <w:t>上一</w:t>
      </w:r>
      <w:r>
        <w:rPr>
          <w:rStyle w:val="39"/>
          <w:rFonts w:ascii="宋体" w:hAnsi="宋体"/>
          <w:sz w:val="24"/>
        </w:rPr>
        <w:t>年度经审计的财务报告复印件（包括资产负债表、现金流量表、利润表、所有者权益变动表及其附注）或其基本开户银行出具的资信证明原件（格式要求见附件9-2）；</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3.</w:t>
      </w:r>
      <w:r>
        <w:rPr>
          <w:rStyle w:val="39"/>
          <w:rFonts w:ascii="宋体" w:hAnsi="宋体"/>
          <w:sz w:val="24"/>
        </w:rPr>
        <w:t>依法缴纳税收和社会保障资金的证明材料复印件（格式见附件9-3、9-4）</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4.</w:t>
      </w:r>
      <w:r>
        <w:rPr>
          <w:rStyle w:val="39"/>
          <w:rFonts w:ascii="宋体" w:hAnsi="宋体"/>
          <w:sz w:val="24"/>
        </w:rPr>
        <w:t>具备履行合同所必需的设备和专业技术能力的承诺原件（格式见附件9-5）；</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5.</w:t>
      </w:r>
      <w:r>
        <w:rPr>
          <w:rStyle w:val="39"/>
          <w:rFonts w:ascii="宋体" w:hAnsi="宋体"/>
          <w:sz w:val="24"/>
        </w:rPr>
        <w:t>投标人参加政府采购活动前3年内在经营活动中没有重大违法记录的书面声明原件（格式见附件9-6）</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6.</w:t>
      </w:r>
      <w:r>
        <w:rPr>
          <w:rStyle w:val="39"/>
          <w:rFonts w:ascii="宋体" w:hAnsi="宋体"/>
          <w:sz w:val="24"/>
        </w:rPr>
        <w:t>投标人控股股东名称、控股公司的名称和存在管理、被管理关系的单位名称说明（格式见附件9-7)</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7.</w:t>
      </w:r>
      <w:r>
        <w:rPr>
          <w:rStyle w:val="39"/>
          <w:rFonts w:ascii="宋体" w:hAnsi="宋体"/>
          <w:sz w:val="24"/>
        </w:rPr>
        <w:t>投标人是否属于为本项目提供整体设计、规范编制或者项目管理、监理、检测等服务的投标人声明原件（格式见附件9-8)</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8.</w:t>
      </w:r>
      <w:r>
        <w:rPr>
          <w:rStyle w:val="39"/>
          <w:rFonts w:ascii="宋体" w:hAnsi="宋体"/>
          <w:sz w:val="24"/>
        </w:rPr>
        <w:t>联合体协议书原件（联合体投标时提供）（格式见附件9-9)</w:t>
      </w:r>
    </w:p>
    <w:p>
      <w:pPr>
        <w:tabs>
          <w:tab w:val="left" w:pos="993"/>
          <w:tab w:val="left" w:pos="1030"/>
          <w:tab w:val="left" w:pos="8364"/>
        </w:tabs>
        <w:snapToGrid w:val="0"/>
        <w:spacing w:after="120"/>
        <w:ind w:left="420" w:right="-57" w:rightChars="-27"/>
        <w:jc w:val="left"/>
        <w:rPr>
          <w:rStyle w:val="39"/>
          <w:rFonts w:ascii="宋体" w:hAnsi="宋体"/>
          <w:sz w:val="24"/>
        </w:rPr>
      </w:pPr>
      <w:r>
        <w:rPr>
          <w:rStyle w:val="39"/>
          <w:rFonts w:hint="eastAsia" w:ascii="宋体" w:hAnsi="宋体"/>
          <w:sz w:val="24"/>
        </w:rPr>
        <w:t>9.</w:t>
      </w:r>
      <w:r>
        <w:rPr>
          <w:rStyle w:val="39"/>
          <w:rFonts w:ascii="宋体" w:hAnsi="宋体"/>
          <w:sz w:val="24"/>
        </w:rPr>
        <w:t>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格式见附件9-10)</w:t>
      </w:r>
    </w:p>
    <w:p>
      <w:pPr>
        <w:spacing w:line="360" w:lineRule="auto"/>
        <w:jc w:val="left"/>
        <w:rPr>
          <w:rStyle w:val="39"/>
          <w:rFonts w:ascii="宋体" w:hAnsi="宋体"/>
          <w:sz w:val="24"/>
        </w:rPr>
      </w:pPr>
      <w:r>
        <w:rPr>
          <w:rStyle w:val="39"/>
          <w:rFonts w:ascii="宋体" w:hAnsi="宋体"/>
          <w:sz w:val="24"/>
        </w:rPr>
        <w:t>以上提供的原件、扫描件、复印件必须加盖投标人公章。</w:t>
      </w:r>
    </w:p>
    <w:p>
      <w:pPr>
        <w:jc w:val="center"/>
        <w:rPr>
          <w:rStyle w:val="39"/>
        </w:rPr>
      </w:pPr>
      <w:r>
        <w:rPr>
          <w:rStyle w:val="39"/>
        </w:rPr>
        <w:br w:type="page"/>
      </w:r>
    </w:p>
    <w:p>
      <w:pPr>
        <w:jc w:val="center"/>
        <w:rPr>
          <w:rStyle w:val="39"/>
          <w:spacing w:val="20"/>
          <w:sz w:val="30"/>
          <w:szCs w:val="30"/>
        </w:rPr>
      </w:pPr>
    </w:p>
    <w:p>
      <w:pPr>
        <w:jc w:val="left"/>
        <w:rPr>
          <w:rStyle w:val="39"/>
          <w:rFonts w:ascii="仿宋_GB2312" w:hAnsi="宋体" w:eastAsia="仿宋_GB2312"/>
          <w:b/>
          <w:sz w:val="24"/>
        </w:rPr>
      </w:pPr>
      <w:r>
        <w:rPr>
          <w:rStyle w:val="39"/>
          <w:rFonts w:ascii="仿宋_GB2312" w:hAnsi="宋体" w:eastAsia="仿宋_GB2312"/>
          <w:b/>
          <w:sz w:val="24"/>
        </w:rPr>
        <w:t>9-1 投标人“三证合一”的企业法人营业执照副本复印件（加盖公章）</w:t>
      </w:r>
    </w:p>
    <w:p>
      <w:pPr>
        <w:jc w:val="left"/>
        <w:rPr>
          <w:rStyle w:val="39"/>
          <w:rFonts w:ascii="仿宋" w:hAnsi="仿宋" w:eastAsia="仿宋"/>
          <w:sz w:val="24"/>
        </w:rPr>
      </w:pPr>
    </w:p>
    <w:p>
      <w:pPr>
        <w:snapToGrid w:val="0"/>
        <w:spacing w:line="380" w:lineRule="exact"/>
        <w:rPr>
          <w:rStyle w:val="39"/>
        </w:rPr>
      </w:pPr>
      <w:r>
        <w:rPr>
          <w:rStyle w:val="39"/>
        </w:rPr>
        <w:t>说明：</w:t>
      </w:r>
    </w:p>
    <w:p>
      <w:pPr>
        <w:snapToGrid w:val="0"/>
        <w:spacing w:line="380" w:lineRule="exact"/>
        <w:ind w:firstLine="420" w:firstLineChars="200"/>
        <w:rPr>
          <w:rStyle w:val="39"/>
        </w:rPr>
      </w:pPr>
      <w:r>
        <w:rPr>
          <w:rStyle w:val="39"/>
          <w:rFonts w:hint="eastAsia"/>
        </w:rPr>
        <w:t>投标人</w:t>
      </w:r>
      <w:r>
        <w:rPr>
          <w:rStyle w:val="39"/>
        </w:rPr>
        <w:t>是企业（包括合伙企业）的，应提供其在工商部门注册的有效“企业法人营业执照”或“营业执照”的复印件；</w:t>
      </w:r>
    </w:p>
    <w:p>
      <w:pPr>
        <w:snapToGrid w:val="0"/>
        <w:spacing w:line="380" w:lineRule="exact"/>
        <w:ind w:firstLine="420" w:firstLineChars="200"/>
        <w:rPr>
          <w:rStyle w:val="39"/>
        </w:rPr>
      </w:pPr>
      <w:r>
        <w:rPr>
          <w:rStyle w:val="39"/>
          <w:rFonts w:hint="eastAsia"/>
        </w:rPr>
        <w:t>投标人</w:t>
      </w:r>
      <w:r>
        <w:rPr>
          <w:rStyle w:val="39"/>
        </w:rPr>
        <w:t>是事业单位的，应提供其有效的“事业单位法人证书”复印件；</w:t>
      </w:r>
    </w:p>
    <w:p>
      <w:pPr>
        <w:snapToGrid w:val="0"/>
        <w:spacing w:line="380" w:lineRule="exact"/>
        <w:ind w:firstLine="420" w:firstLineChars="200"/>
        <w:rPr>
          <w:rStyle w:val="39"/>
        </w:rPr>
      </w:pPr>
      <w:r>
        <w:rPr>
          <w:rStyle w:val="39"/>
          <w:rFonts w:hint="eastAsia"/>
        </w:rPr>
        <w:t>投标人</w:t>
      </w:r>
      <w:r>
        <w:rPr>
          <w:rStyle w:val="39"/>
        </w:rPr>
        <w:t>是非企业专业服务机构的，应提供其有效的“执业许可证”复印件；</w:t>
      </w:r>
    </w:p>
    <w:p>
      <w:pPr>
        <w:snapToGrid w:val="0"/>
        <w:spacing w:line="380" w:lineRule="exact"/>
        <w:ind w:firstLine="420" w:firstLineChars="200"/>
        <w:rPr>
          <w:rStyle w:val="39"/>
        </w:rPr>
      </w:pPr>
      <w:r>
        <w:rPr>
          <w:rStyle w:val="39"/>
          <w:rFonts w:hint="eastAsia"/>
        </w:rPr>
        <w:t>投标人</w:t>
      </w:r>
      <w:r>
        <w:rPr>
          <w:rStyle w:val="39"/>
        </w:rPr>
        <w:t>是个体工商户的，应提供其有效的“个体工商户营业执照”复印件；</w:t>
      </w:r>
    </w:p>
    <w:p>
      <w:pPr>
        <w:snapToGrid w:val="0"/>
        <w:spacing w:line="380" w:lineRule="exact"/>
        <w:ind w:firstLine="420" w:firstLineChars="200"/>
        <w:rPr>
          <w:rStyle w:val="39"/>
        </w:rPr>
      </w:pPr>
      <w:r>
        <w:rPr>
          <w:rStyle w:val="39"/>
          <w:rFonts w:hint="eastAsia"/>
        </w:rPr>
        <w:t>投标人</w:t>
      </w:r>
      <w:r>
        <w:rPr>
          <w:rStyle w:val="39"/>
        </w:rPr>
        <w:t>是自然人的，应提供其有效的自然人身份证明复印件。</w:t>
      </w:r>
    </w:p>
    <w:p>
      <w:pPr>
        <w:jc w:val="left"/>
        <w:rPr>
          <w:rStyle w:val="39"/>
          <w:rFonts w:ascii="仿宋_GB2312" w:hAnsi="宋体" w:eastAsia="仿宋_GB2312"/>
          <w:sz w:val="24"/>
        </w:rPr>
      </w:pPr>
    </w:p>
    <w:p>
      <w:pPr>
        <w:jc w:val="left"/>
        <w:rPr>
          <w:rStyle w:val="39"/>
          <w:rFonts w:ascii="仿宋_GB2312" w:hAnsi="宋体" w:eastAsia="仿宋_GB2312"/>
          <w:sz w:val="24"/>
        </w:rPr>
      </w:pPr>
    </w:p>
    <w:p>
      <w:pPr>
        <w:spacing w:line="360" w:lineRule="atLeast"/>
        <w:jc w:val="left"/>
        <w:rPr>
          <w:rStyle w:val="39"/>
          <w:b/>
        </w:rPr>
      </w:pPr>
      <w:r>
        <w:rPr>
          <w:rStyle w:val="39"/>
          <w:b/>
        </w:rPr>
        <w:br w:type="page"/>
      </w:r>
    </w:p>
    <w:p>
      <w:pPr>
        <w:spacing w:line="360" w:lineRule="atLeast"/>
        <w:jc w:val="left"/>
        <w:rPr>
          <w:rStyle w:val="39"/>
          <w:b/>
          <w:sz w:val="28"/>
        </w:rPr>
      </w:pPr>
    </w:p>
    <w:p>
      <w:pPr>
        <w:jc w:val="center"/>
        <w:rPr>
          <w:rStyle w:val="39"/>
          <w:rFonts w:ascii="仿宋_GB2312" w:hAnsi="宋体" w:eastAsia="仿宋_GB2312"/>
          <w:b/>
          <w:sz w:val="24"/>
        </w:rPr>
      </w:pPr>
      <w:r>
        <w:rPr>
          <w:rStyle w:val="39"/>
          <w:rFonts w:ascii="仿宋_GB2312" w:hAnsi="宋体" w:eastAsia="仿宋_GB2312"/>
          <w:b/>
          <w:sz w:val="24"/>
        </w:rPr>
        <w:t xml:space="preserve">9-2  </w:t>
      </w:r>
      <w:r>
        <w:rPr>
          <w:rStyle w:val="39"/>
          <w:rFonts w:hint="eastAsia" w:ascii="仿宋_GB2312" w:hAnsi="宋体" w:eastAsia="仿宋_GB2312"/>
          <w:b/>
          <w:sz w:val="24"/>
        </w:rPr>
        <w:t>上一</w:t>
      </w:r>
      <w:r>
        <w:rPr>
          <w:rStyle w:val="39"/>
          <w:rFonts w:ascii="仿宋_GB2312" w:hAnsi="宋体" w:eastAsia="仿宋_GB2312"/>
          <w:b/>
          <w:sz w:val="24"/>
        </w:rPr>
        <w:t>年度经审计的财务报告</w:t>
      </w:r>
    </w:p>
    <w:p>
      <w:pPr>
        <w:spacing w:line="360" w:lineRule="auto"/>
        <w:rPr>
          <w:rStyle w:val="39"/>
          <w:szCs w:val="21"/>
        </w:rPr>
      </w:pPr>
    </w:p>
    <w:p>
      <w:pPr>
        <w:snapToGrid w:val="0"/>
        <w:spacing w:line="380" w:lineRule="exact"/>
        <w:rPr>
          <w:rStyle w:val="39"/>
        </w:rPr>
      </w:pPr>
      <w:r>
        <w:rPr>
          <w:rStyle w:val="39"/>
        </w:rPr>
        <w:t>说明：</w:t>
      </w:r>
    </w:p>
    <w:p>
      <w:pPr>
        <w:spacing w:line="360" w:lineRule="auto"/>
        <w:ind w:right="155"/>
        <w:rPr>
          <w:rStyle w:val="39"/>
          <w:szCs w:val="21"/>
        </w:rPr>
      </w:pPr>
    </w:p>
    <w:p>
      <w:pPr>
        <w:snapToGrid w:val="0"/>
        <w:spacing w:line="380" w:lineRule="exact"/>
        <w:ind w:left="105" w:leftChars="50" w:firstLine="420" w:firstLineChars="200"/>
        <w:rPr>
          <w:rStyle w:val="39"/>
          <w:rFonts w:hAnsi="宋体"/>
          <w:szCs w:val="21"/>
        </w:rPr>
      </w:pPr>
      <w:r>
        <w:rPr>
          <w:rStyle w:val="39"/>
          <w:szCs w:val="21"/>
        </w:rPr>
        <w:t>提供投标人</w:t>
      </w:r>
      <w:r>
        <w:rPr>
          <w:rStyle w:val="39"/>
          <w:rFonts w:hint="eastAsia"/>
          <w:szCs w:val="21"/>
        </w:rPr>
        <w:t>上一</w:t>
      </w:r>
      <w:r>
        <w:rPr>
          <w:rStyle w:val="39"/>
          <w:szCs w:val="21"/>
        </w:rPr>
        <w:t>年度经审计的财务报告（包括资产负债表、现金流量表、利润表、所有者权益变动表及其附注）复印件或扫描件，</w:t>
      </w:r>
      <w:r>
        <w:rPr>
          <w:rStyle w:val="39"/>
        </w:rPr>
        <w:t>所有复印件或扫描件需加盖单位公章</w:t>
      </w:r>
      <w:r>
        <w:rPr>
          <w:rStyle w:val="39"/>
          <w:szCs w:val="21"/>
        </w:rPr>
        <w:t>。</w:t>
      </w:r>
    </w:p>
    <w:p>
      <w:pPr>
        <w:spacing w:line="360" w:lineRule="auto"/>
        <w:rPr>
          <w:rStyle w:val="39"/>
          <w:szCs w:val="21"/>
        </w:rPr>
      </w:pPr>
    </w:p>
    <w:p>
      <w:pPr>
        <w:spacing w:before="120" w:line="440" w:lineRule="exact"/>
        <w:ind w:left="687" w:leftChars="327"/>
        <w:rPr>
          <w:rStyle w:val="39"/>
          <w:rFonts w:ascii="仿宋_GB2312" w:hAnsi="宋体" w:eastAsia="仿宋_GB2312"/>
          <w:sz w:val="24"/>
        </w:rPr>
      </w:pPr>
    </w:p>
    <w:p>
      <w:pPr>
        <w:tabs>
          <w:tab w:val="left" w:pos="993"/>
          <w:tab w:val="left" w:pos="1030"/>
          <w:tab w:val="left" w:pos="8364"/>
        </w:tabs>
        <w:snapToGrid w:val="0"/>
        <w:spacing w:after="120"/>
        <w:ind w:left="420" w:right="-57" w:rightChars="-27"/>
        <w:jc w:val="left"/>
        <w:rPr>
          <w:rStyle w:val="39"/>
          <w:b/>
          <w:spacing w:val="20"/>
          <w:sz w:val="24"/>
        </w:rPr>
      </w:pPr>
      <w:r>
        <w:rPr>
          <w:rStyle w:val="39"/>
          <w:b/>
          <w:spacing w:val="20"/>
          <w:sz w:val="24"/>
        </w:rPr>
        <w:br w:type="page"/>
      </w:r>
    </w:p>
    <w:p>
      <w:pPr>
        <w:tabs>
          <w:tab w:val="left" w:pos="993"/>
          <w:tab w:val="left" w:pos="1030"/>
          <w:tab w:val="left" w:pos="8364"/>
        </w:tabs>
        <w:snapToGrid w:val="0"/>
        <w:spacing w:after="120"/>
        <w:ind w:left="420" w:right="-57" w:rightChars="-27"/>
        <w:jc w:val="left"/>
        <w:rPr>
          <w:rStyle w:val="39"/>
          <w:b/>
          <w:spacing w:val="20"/>
          <w:sz w:val="24"/>
        </w:rPr>
      </w:pPr>
    </w:p>
    <w:p>
      <w:pPr>
        <w:tabs>
          <w:tab w:val="left" w:pos="993"/>
          <w:tab w:val="left" w:pos="1030"/>
          <w:tab w:val="left" w:pos="8364"/>
        </w:tabs>
        <w:snapToGrid w:val="0"/>
        <w:spacing w:after="120"/>
        <w:ind w:left="420" w:right="-57" w:rightChars="-27"/>
        <w:jc w:val="left"/>
        <w:rPr>
          <w:rStyle w:val="39"/>
          <w:b/>
          <w:spacing w:val="20"/>
          <w:sz w:val="24"/>
        </w:rPr>
      </w:pPr>
    </w:p>
    <w:p>
      <w:pPr>
        <w:jc w:val="center"/>
        <w:rPr>
          <w:rStyle w:val="39"/>
          <w:rFonts w:ascii="仿宋_GB2312" w:hAnsi="宋体" w:eastAsia="仿宋_GB2312"/>
          <w:b/>
          <w:sz w:val="24"/>
        </w:rPr>
      </w:pPr>
      <w:r>
        <w:rPr>
          <w:rStyle w:val="39"/>
          <w:rFonts w:ascii="仿宋_GB2312" w:hAnsi="宋体" w:eastAsia="仿宋_GB2312"/>
          <w:b/>
          <w:sz w:val="24"/>
        </w:rPr>
        <w:t>9-2 本年度基本开户银行出具的资信证明</w:t>
      </w:r>
    </w:p>
    <w:p>
      <w:pPr>
        <w:jc w:val="center"/>
        <w:rPr>
          <w:rStyle w:val="39"/>
          <w:rFonts w:ascii="仿宋_GB2312" w:hAnsi="宋体" w:eastAsia="仿宋_GB2312"/>
          <w:b/>
          <w:sz w:val="24"/>
        </w:rPr>
      </w:pPr>
    </w:p>
    <w:p>
      <w:pPr>
        <w:pStyle w:val="80"/>
        <w:spacing w:after="120" w:line="360" w:lineRule="auto"/>
        <w:rPr>
          <w:rStyle w:val="39"/>
          <w:szCs w:val="21"/>
        </w:rPr>
      </w:pPr>
      <w:r>
        <w:rPr>
          <w:rStyle w:val="39"/>
          <w:szCs w:val="21"/>
        </w:rPr>
        <w:t>1.</w:t>
      </w:r>
      <w:r>
        <w:rPr>
          <w:rStyle w:val="39"/>
          <w:rFonts w:hAnsi="宋体"/>
          <w:szCs w:val="21"/>
        </w:rPr>
        <w:t>基本开户银行情况</w:t>
      </w:r>
    </w:p>
    <w:tbl>
      <w:tblPr>
        <w:tblStyle w:val="15"/>
        <w:tblW w:w="838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3480"/>
        <w:gridCol w:w="3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restart"/>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r>
              <w:rPr>
                <w:rStyle w:val="39"/>
                <w:rFonts w:hAnsi="宋体"/>
                <w:b/>
                <w:szCs w:val="21"/>
              </w:rPr>
              <w:t>开户银行</w:t>
            </w: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7273" w:type="dxa"/>
            <w:gridSpan w:val="2"/>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地址：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电话：</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联系人及职务：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jc w:val="center"/>
        </w:trPr>
        <w:tc>
          <w:tcPr>
            <w:tcW w:w="1108" w:type="dxa"/>
            <w:vMerge w:val="continue"/>
            <w:tcBorders>
              <w:top w:val="single" w:color="000000" w:sz="6" w:space="0"/>
              <w:left w:val="single" w:color="000000" w:sz="6" w:space="0"/>
              <w:bottom w:val="single" w:color="000000" w:sz="6" w:space="0"/>
              <w:right w:val="single" w:color="000000" w:sz="6" w:space="0"/>
            </w:tcBorders>
            <w:vAlign w:val="center"/>
          </w:tcPr>
          <w:p>
            <w:pPr>
              <w:snapToGrid w:val="0"/>
              <w:rPr>
                <w:rStyle w:val="39"/>
                <w:szCs w:val="21"/>
              </w:rPr>
            </w:pPr>
          </w:p>
        </w:tc>
        <w:tc>
          <w:tcPr>
            <w:tcW w:w="3480"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传真：</w:t>
            </w:r>
          </w:p>
        </w:tc>
        <w:tc>
          <w:tcPr>
            <w:tcW w:w="3793" w:type="dxa"/>
            <w:tcBorders>
              <w:top w:val="single" w:color="000000" w:sz="6" w:space="0"/>
              <w:left w:val="single" w:color="000000" w:sz="6" w:space="0"/>
              <w:bottom w:val="single" w:color="000000" w:sz="6" w:space="0"/>
              <w:right w:val="single" w:color="000000" w:sz="6" w:space="0"/>
            </w:tcBorders>
            <w:vAlign w:val="center"/>
          </w:tcPr>
          <w:p>
            <w:pPr>
              <w:snapToGrid w:val="0"/>
              <w:ind w:left="92" w:firstLine="8"/>
              <w:rPr>
                <w:rStyle w:val="39"/>
                <w:szCs w:val="21"/>
              </w:rPr>
            </w:pPr>
            <w:r>
              <w:rPr>
                <w:rStyle w:val="39"/>
                <w:rFonts w:hAnsi="宋体"/>
                <w:szCs w:val="21"/>
              </w:rPr>
              <w:t>电传：</w:t>
            </w:r>
          </w:p>
        </w:tc>
      </w:tr>
    </w:tbl>
    <w:p>
      <w:pPr>
        <w:spacing w:line="360" w:lineRule="auto"/>
        <w:rPr>
          <w:rStyle w:val="39"/>
          <w:szCs w:val="21"/>
        </w:rPr>
      </w:pPr>
      <w:r>
        <w:rPr>
          <w:rStyle w:val="39"/>
          <w:szCs w:val="21"/>
        </w:rPr>
        <w:t>注：</w:t>
      </w:r>
      <w:r>
        <w:rPr>
          <w:rStyle w:val="39"/>
          <w:rFonts w:ascii="宋体"/>
          <w:bCs/>
          <w:szCs w:val="21"/>
        </w:rPr>
        <w:t>附基本帐户的“银行开户许可证”的复印件。</w:t>
      </w:r>
    </w:p>
    <w:p>
      <w:pPr>
        <w:jc w:val="center"/>
        <w:rPr>
          <w:rStyle w:val="39"/>
          <w:rFonts w:ascii="仿宋_GB2312" w:hAnsi="宋体" w:eastAsia="仿宋_GB2312"/>
          <w:b/>
          <w:sz w:val="24"/>
        </w:rPr>
      </w:pPr>
    </w:p>
    <w:p>
      <w:pPr>
        <w:jc w:val="center"/>
        <w:rPr>
          <w:rStyle w:val="39"/>
          <w:rFonts w:ascii="仿宋_GB2312" w:hAnsi="宋体" w:eastAsia="仿宋_GB2312"/>
          <w:b/>
          <w:sz w:val="24"/>
        </w:rPr>
      </w:pPr>
    </w:p>
    <w:p>
      <w:pPr>
        <w:jc w:val="center"/>
        <w:rPr>
          <w:rStyle w:val="39"/>
          <w:rFonts w:ascii="仿宋_GB2312" w:hAnsi="宋体" w:eastAsia="仿宋_GB2312"/>
          <w:b/>
          <w:sz w:val="24"/>
        </w:rPr>
      </w:pPr>
      <w:r>
        <w:rPr>
          <w:rStyle w:val="39"/>
          <w:rFonts w:ascii="仿宋_GB2312" w:hAnsi="宋体" w:eastAsia="仿宋_GB2312"/>
          <w:b/>
          <w:sz w:val="24"/>
        </w:rPr>
        <w:t>（注：银行资信证明与投标人财务状况表二选一）</w:t>
      </w:r>
    </w:p>
    <w:p>
      <w:pPr>
        <w:jc w:val="left"/>
        <w:rPr>
          <w:rStyle w:val="39"/>
          <w:b/>
          <w:spacing w:val="20"/>
          <w:sz w:val="24"/>
        </w:rPr>
      </w:pPr>
      <w:r>
        <w:rPr>
          <w:rStyle w:val="39"/>
          <w:b/>
          <w:spacing w:val="20"/>
          <w:sz w:val="24"/>
        </w:rPr>
        <w:br w:type="page"/>
      </w:r>
    </w:p>
    <w:p>
      <w:pPr>
        <w:jc w:val="left"/>
        <w:rPr>
          <w:rStyle w:val="39"/>
          <w:b/>
          <w:spacing w:val="20"/>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9-3  依法缴纳税收的证明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snapToGrid w:val="0"/>
        <w:spacing w:line="380" w:lineRule="exact"/>
        <w:ind w:firstLine="420"/>
        <w:rPr>
          <w:rStyle w:val="39"/>
        </w:rPr>
      </w:pPr>
      <w:r>
        <w:rPr>
          <w:rStyle w:val="39"/>
        </w:rPr>
        <w:t>1、</w:t>
      </w:r>
      <w:r>
        <w:rPr>
          <w:rStyle w:val="39"/>
          <w:rFonts w:hint="eastAsia"/>
        </w:rPr>
        <w:t>投标人</w:t>
      </w:r>
      <w:r>
        <w:rPr>
          <w:rStyle w:val="39"/>
        </w:rPr>
        <w:t>是法人的，应提供开标前六个月内任意一个月的缴税凭证</w:t>
      </w:r>
      <w:r>
        <w:rPr>
          <w:rStyle w:val="39"/>
          <w:rFonts w:ascii="宋体" w:hAnsi="宋体"/>
          <w:sz w:val="24"/>
        </w:rPr>
        <w:t>（银行出具的缴税凭证或税务机关出具的证明的复印件，并加盖本单位公章）；</w:t>
      </w:r>
      <w:r>
        <w:rPr>
          <w:rStyle w:val="39"/>
          <w:rFonts w:hint="eastAsia"/>
        </w:rPr>
        <w:t>投标人</w:t>
      </w:r>
      <w:r>
        <w:rPr>
          <w:rStyle w:val="39"/>
        </w:rPr>
        <w:t>是其他组织和自然人的，应提供开标前六个月内任意一个月的缴纳税收凭证。</w:t>
      </w:r>
    </w:p>
    <w:p>
      <w:pPr>
        <w:snapToGrid w:val="0"/>
        <w:spacing w:line="380" w:lineRule="exact"/>
        <w:ind w:firstLine="420"/>
        <w:rPr>
          <w:rStyle w:val="39"/>
          <w:rFonts w:ascii="宋体" w:hAnsi="宋体"/>
          <w:sz w:val="24"/>
        </w:rPr>
      </w:pPr>
      <w:r>
        <w:rPr>
          <w:rStyle w:val="39"/>
          <w:rFonts w:ascii="宋体" w:hAnsi="宋体"/>
          <w:sz w:val="24"/>
        </w:rPr>
        <w:t>2、依法免税的</w:t>
      </w:r>
      <w:r>
        <w:rPr>
          <w:rStyle w:val="39"/>
          <w:rFonts w:hint="eastAsia" w:ascii="宋体" w:hAnsi="宋体"/>
          <w:sz w:val="24"/>
        </w:rPr>
        <w:t>投标人</w:t>
      </w:r>
      <w:r>
        <w:rPr>
          <w:rStyle w:val="39"/>
          <w:rFonts w:ascii="宋体" w:hAnsi="宋体"/>
          <w:sz w:val="24"/>
        </w:rPr>
        <w:t>，应提供相应文件证明其依法免税。</w:t>
      </w: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firstLine="480" w:firstLineChars="200"/>
        <w:jc w:val="left"/>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宋体" w:hAnsi="宋体"/>
          <w:b/>
          <w:sz w:val="24"/>
        </w:rPr>
      </w:pPr>
      <w:r>
        <w:rPr>
          <w:rStyle w:val="39"/>
          <w:rFonts w:ascii="宋体" w:hAnsi="宋体"/>
          <w:b/>
          <w:sz w:val="24"/>
        </w:rPr>
        <w:t>9-4  社会保障资金缴纳记录</w:t>
      </w: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left="420" w:leftChars="200" w:right="-57" w:rightChars="-27"/>
        <w:jc w:val="left"/>
        <w:rPr>
          <w:rStyle w:val="39"/>
          <w:rFonts w:ascii="宋体" w:hAnsi="宋体"/>
          <w:sz w:val="24"/>
        </w:rPr>
      </w:pP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说明：</w:t>
      </w:r>
    </w:p>
    <w:p>
      <w:pPr>
        <w:tabs>
          <w:tab w:val="left" w:pos="993"/>
          <w:tab w:val="left" w:pos="1030"/>
          <w:tab w:val="left" w:pos="8364"/>
        </w:tabs>
        <w:snapToGrid w:val="0"/>
        <w:spacing w:after="120"/>
        <w:ind w:right="-57" w:rightChars="-27"/>
        <w:jc w:val="left"/>
        <w:rPr>
          <w:rStyle w:val="39"/>
          <w:rFonts w:ascii="宋体" w:hAnsi="宋体"/>
          <w:sz w:val="24"/>
        </w:rPr>
      </w:pPr>
      <w:r>
        <w:rPr>
          <w:rStyle w:val="39"/>
        </w:rPr>
        <w:t xml:space="preserve">    1、</w:t>
      </w:r>
      <w:r>
        <w:rPr>
          <w:rStyle w:val="39"/>
          <w:rFonts w:hint="eastAsia"/>
        </w:rPr>
        <w:t>投标人</w:t>
      </w:r>
      <w:r>
        <w:rPr>
          <w:rStyle w:val="39"/>
        </w:rPr>
        <w:t>是法人的，</w:t>
      </w:r>
      <w:r>
        <w:rPr>
          <w:rStyle w:val="39"/>
          <w:rFonts w:ascii="宋体" w:hAnsi="宋体"/>
          <w:sz w:val="24"/>
        </w:rPr>
        <w:t>应提供近六个月中至少一个月的缴纳社会保险的凭据（专用收据或社会保险缴纳清单），并加盖本单位公章；</w:t>
      </w:r>
      <w:r>
        <w:rPr>
          <w:rStyle w:val="39"/>
          <w:rFonts w:hint="eastAsia"/>
        </w:rPr>
        <w:t>投标人</w:t>
      </w:r>
      <w:r>
        <w:rPr>
          <w:rStyle w:val="39"/>
        </w:rPr>
        <w:t>是其他组织和自然人的，应提供开标前六个月内任意一个月的缴纳社会保险的凭据</w:t>
      </w:r>
      <w:r>
        <w:rPr>
          <w:rStyle w:val="39"/>
          <w:rFonts w:ascii="宋体" w:hAnsi="宋体"/>
          <w:sz w:val="24"/>
        </w:rPr>
        <w:t>。</w:t>
      </w:r>
    </w:p>
    <w:p>
      <w:pPr>
        <w:tabs>
          <w:tab w:val="left" w:pos="993"/>
          <w:tab w:val="left" w:pos="1030"/>
          <w:tab w:val="left" w:pos="8364"/>
        </w:tabs>
        <w:snapToGrid w:val="0"/>
        <w:spacing w:after="120"/>
        <w:ind w:right="-57" w:rightChars="-27"/>
        <w:jc w:val="left"/>
        <w:rPr>
          <w:rStyle w:val="39"/>
          <w:rFonts w:ascii="宋体" w:hAnsi="宋体"/>
          <w:sz w:val="24"/>
        </w:rPr>
      </w:pPr>
      <w:r>
        <w:rPr>
          <w:rStyle w:val="39"/>
          <w:rFonts w:ascii="宋体" w:hAnsi="宋体"/>
          <w:sz w:val="24"/>
        </w:rPr>
        <w:t xml:space="preserve">    2、不需要缴纳社会保障资金的</w:t>
      </w:r>
      <w:r>
        <w:rPr>
          <w:rStyle w:val="39"/>
          <w:rFonts w:hint="eastAsia" w:ascii="宋体" w:hAnsi="宋体"/>
          <w:sz w:val="24"/>
        </w:rPr>
        <w:t>投标人</w:t>
      </w:r>
      <w:r>
        <w:rPr>
          <w:rStyle w:val="39"/>
          <w:rFonts w:ascii="宋体" w:hAnsi="宋体"/>
          <w:sz w:val="24"/>
        </w:rPr>
        <w:t>，应提供相应文件证明其不需要缴纳社会保障资金。</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br w:type="page"/>
      </w:r>
    </w:p>
    <w:p>
      <w:pPr>
        <w:tabs>
          <w:tab w:val="left" w:pos="5580"/>
        </w:tabs>
        <w:spacing w:before="120" w:line="360" w:lineRule="auto"/>
        <w:ind w:firstLine="480" w:firstLineChars="200"/>
        <w:rPr>
          <w:rStyle w:val="39"/>
          <w:rFonts w:ascii="宋体" w:hAnsi="宋体"/>
          <w:sz w:val="24"/>
        </w:rPr>
      </w:pPr>
    </w:p>
    <w:p>
      <w:pPr>
        <w:tabs>
          <w:tab w:val="left" w:pos="993"/>
          <w:tab w:val="left" w:pos="1030"/>
          <w:tab w:val="left" w:pos="8364"/>
        </w:tabs>
        <w:snapToGrid w:val="0"/>
        <w:spacing w:after="120"/>
        <w:ind w:left="420" w:right="-57" w:rightChars="-27"/>
        <w:jc w:val="left"/>
        <w:rPr>
          <w:rStyle w:val="39"/>
          <w:rFonts w:ascii="仿宋_GB2312" w:eastAsia="仿宋_GB2312"/>
          <w:sz w:val="24"/>
        </w:rPr>
      </w:pPr>
    </w:p>
    <w:p>
      <w:pPr>
        <w:jc w:val="center"/>
        <w:rPr>
          <w:rStyle w:val="39"/>
          <w:rFonts w:ascii="宋体" w:hAnsi="宋体"/>
          <w:kern w:val="0"/>
          <w:sz w:val="24"/>
        </w:rPr>
      </w:pPr>
      <w:r>
        <w:rPr>
          <w:rStyle w:val="39"/>
          <w:rFonts w:ascii="宋体" w:hAnsi="宋体"/>
          <w:b/>
          <w:sz w:val="24"/>
        </w:rPr>
        <w:t xml:space="preserve">9-5  </w:t>
      </w:r>
      <w:r>
        <w:rPr>
          <w:rStyle w:val="39"/>
          <w:rFonts w:ascii="宋体" w:hAnsi="宋体"/>
          <w:sz w:val="24"/>
        </w:rPr>
        <w:t>具备履行合同所必需的设备和专业技术能力承诺书</w:t>
      </w:r>
    </w:p>
    <w:p>
      <w:pPr>
        <w:ind w:firstLine="480"/>
        <w:rPr>
          <w:rStyle w:val="39"/>
          <w:rFonts w:ascii="宋体" w:hAnsi="宋体"/>
          <w:kern w:val="0"/>
          <w:sz w:val="24"/>
        </w:rPr>
      </w:pPr>
    </w:p>
    <w:p>
      <w:pPr>
        <w:ind w:firstLine="480"/>
        <w:rPr>
          <w:rStyle w:val="39"/>
          <w:rFonts w:ascii="宋体" w:hAnsi="宋体"/>
          <w:kern w:val="0"/>
          <w:sz w:val="24"/>
        </w:rPr>
      </w:pPr>
    </w:p>
    <w:p>
      <w:pPr>
        <w:rPr>
          <w:rStyle w:val="39"/>
          <w:rFonts w:ascii="宋体" w:hAnsi="宋体"/>
          <w:kern w:val="0"/>
          <w:sz w:val="24"/>
          <w:u w:val="single"/>
        </w:rPr>
      </w:pPr>
      <w:r>
        <w:rPr>
          <w:rStyle w:val="39"/>
          <w:rFonts w:ascii="宋体" w:hAnsi="宋体"/>
          <w:kern w:val="0"/>
          <w:sz w:val="24"/>
          <w:u w:val="single"/>
        </w:rPr>
        <w:t xml:space="preserve">(采购人名称)      </w:t>
      </w:r>
    </w:p>
    <w:p>
      <w:pPr>
        <w:ind w:firstLine="480"/>
        <w:rPr>
          <w:rStyle w:val="39"/>
          <w:rFonts w:ascii="宋体" w:hAnsi="宋体"/>
          <w:kern w:val="0"/>
          <w:sz w:val="24"/>
        </w:rPr>
      </w:pPr>
    </w:p>
    <w:p>
      <w:pPr>
        <w:ind w:firstLine="480"/>
        <w:rPr>
          <w:rStyle w:val="39"/>
          <w:rFonts w:ascii="宋体" w:hAnsi="宋体"/>
          <w:kern w:val="0"/>
          <w:sz w:val="24"/>
        </w:rPr>
      </w:pPr>
      <w:r>
        <w:rPr>
          <w:rStyle w:val="39"/>
          <w:rFonts w:ascii="宋体" w:hAnsi="宋体"/>
          <w:kern w:val="0"/>
          <w:sz w:val="24"/>
        </w:rPr>
        <w:t>我公司承诺</w:t>
      </w:r>
      <w:r>
        <w:rPr>
          <w:rStyle w:val="39"/>
          <w:rFonts w:ascii="宋体" w:hAnsi="宋体"/>
          <w:sz w:val="24"/>
        </w:rPr>
        <w:t>具备履行合同所必需的设备和专业技术能力</w:t>
      </w:r>
      <w:r>
        <w:rPr>
          <w:rStyle w:val="39"/>
          <w:rFonts w:ascii="宋体" w:hAnsi="宋体"/>
          <w:kern w:val="0"/>
          <w:sz w:val="24"/>
        </w:rPr>
        <w:t>。</w:t>
      </w:r>
    </w:p>
    <w:p>
      <w:pPr>
        <w:ind w:firstLine="480"/>
        <w:rPr>
          <w:rStyle w:val="39"/>
          <w:rFonts w:ascii="宋体" w:hAnsi="宋体"/>
          <w:b/>
          <w:sz w:val="24"/>
        </w:rPr>
      </w:pPr>
    </w:p>
    <w:p>
      <w:pPr>
        <w:ind w:firstLine="480"/>
        <w:rPr>
          <w:rStyle w:val="39"/>
          <w:rFonts w:ascii="宋体" w:hAnsi="宋体"/>
          <w:b/>
          <w:sz w:val="24"/>
        </w:rPr>
      </w:pPr>
    </w:p>
    <w:p>
      <w:pPr>
        <w:ind w:firstLine="480"/>
        <w:rPr>
          <w:rStyle w:val="39"/>
          <w:rFonts w:ascii="宋体" w:hAnsi="宋体"/>
          <w:b/>
          <w:sz w:val="24"/>
        </w:rPr>
      </w:pPr>
    </w:p>
    <w:p>
      <w:pPr>
        <w:spacing w:before="120" w:line="440" w:lineRule="exact"/>
        <w:ind w:left="-103" w:leftChars="-49" w:firstLine="616" w:firstLineChars="257"/>
        <w:rPr>
          <w:rStyle w:val="39"/>
          <w:rFonts w:ascii="宋体" w:hAnsi="宋体"/>
          <w:sz w:val="24"/>
        </w:rPr>
      </w:pPr>
      <w:r>
        <w:rPr>
          <w:rStyle w:val="39"/>
          <w:rFonts w:ascii="宋体" w:hAnsi="宋体"/>
          <w:sz w:val="24"/>
        </w:rPr>
        <w:t>投标人：（公章）</w:t>
      </w:r>
    </w:p>
    <w:p>
      <w:pPr>
        <w:spacing w:before="120" w:line="440" w:lineRule="exact"/>
        <w:ind w:left="460" w:leftChars="219"/>
        <w:rPr>
          <w:rStyle w:val="39"/>
          <w:rFonts w:ascii="宋体" w:hAnsi="宋体"/>
          <w:sz w:val="24"/>
        </w:rPr>
      </w:pPr>
      <w:r>
        <w:rPr>
          <w:rStyle w:val="39"/>
          <w:rFonts w:ascii="宋体" w:hAnsi="宋体"/>
          <w:sz w:val="24"/>
        </w:rPr>
        <w:t>法定代表人或其委托代理人：（签字或加盖人名章）</w:t>
      </w:r>
    </w:p>
    <w:p>
      <w:pPr>
        <w:spacing w:before="120" w:line="440" w:lineRule="exact"/>
        <w:ind w:left="460" w:leftChars="219"/>
        <w:rPr>
          <w:rStyle w:val="39"/>
          <w:rFonts w:ascii="宋体" w:hAnsi="宋体"/>
          <w:sz w:val="24"/>
        </w:rPr>
      </w:pPr>
      <w:r>
        <w:rPr>
          <w:rStyle w:val="39"/>
          <w:rFonts w:ascii="宋体" w:hAnsi="宋体"/>
          <w:sz w:val="24"/>
        </w:rPr>
        <w:t>日期：</w:t>
      </w:r>
    </w:p>
    <w:p>
      <w:pPr>
        <w:ind w:right="280"/>
        <w:rPr>
          <w:rStyle w:val="39"/>
          <w:rFonts w:ascii="宋体" w:hAnsi="宋体"/>
          <w:sz w:val="24"/>
        </w:rPr>
      </w:pPr>
    </w:p>
    <w:p>
      <w:pPr>
        <w:tabs>
          <w:tab w:val="left" w:pos="5580"/>
        </w:tabs>
        <w:spacing w:before="120" w:line="360" w:lineRule="auto"/>
        <w:rPr>
          <w:rStyle w:val="39"/>
          <w:rFonts w:ascii="宋体" w:hAnsi="宋体"/>
          <w:sz w:val="24"/>
        </w:rPr>
      </w:pPr>
    </w:p>
    <w:p>
      <w:pPr>
        <w:tabs>
          <w:tab w:val="left" w:pos="5580"/>
        </w:tabs>
        <w:spacing w:before="120" w:line="360" w:lineRule="auto"/>
        <w:ind w:firstLine="480" w:firstLineChars="200"/>
        <w:rPr>
          <w:rStyle w:val="39"/>
          <w:rFonts w:ascii="仿宋_GB2312" w:eastAsia="仿宋_GB2312"/>
          <w:sz w:val="24"/>
        </w:rPr>
      </w:pPr>
    </w:p>
    <w:p>
      <w:pPr>
        <w:tabs>
          <w:tab w:val="left" w:pos="5580"/>
        </w:tabs>
        <w:spacing w:before="120" w:line="360" w:lineRule="auto"/>
        <w:ind w:firstLine="480" w:firstLineChars="200"/>
        <w:rPr>
          <w:rStyle w:val="39"/>
          <w:rFonts w:ascii="仿宋_GB2312" w:eastAsia="仿宋_GB2312"/>
          <w:sz w:val="24"/>
        </w:rPr>
      </w:pPr>
    </w:p>
    <w:p>
      <w:pPr>
        <w:tabs>
          <w:tab w:val="left" w:pos="993"/>
          <w:tab w:val="left" w:pos="1030"/>
          <w:tab w:val="left" w:pos="8364"/>
        </w:tabs>
        <w:snapToGrid w:val="0"/>
        <w:spacing w:after="120"/>
        <w:ind w:left="420" w:right="-57" w:rightChars="-27" w:firstLine="480" w:firstLineChars="200"/>
        <w:jc w:val="left"/>
        <w:rPr>
          <w:rStyle w:val="39"/>
          <w:rFonts w:ascii="仿宋_GB2312" w:eastAsia="仿宋_GB2312"/>
          <w:sz w:val="24"/>
        </w:rPr>
      </w:pPr>
    </w:p>
    <w:p>
      <w:pPr>
        <w:jc w:val="left"/>
        <w:rPr>
          <w:rStyle w:val="39"/>
          <w:rFonts w:ascii="仿宋_GB2312" w:hAnsi="宋体" w:eastAsia="仿宋_GB2312"/>
          <w:b/>
          <w:sz w:val="24"/>
        </w:rPr>
      </w:pPr>
      <w:r>
        <w:rPr>
          <w:rStyle w:val="39"/>
          <w:rFonts w:ascii="仿宋_GB2312" w:hAnsi="宋体" w:eastAsia="仿宋_GB2312"/>
          <w:b/>
          <w:sz w:val="24"/>
        </w:rPr>
        <w:br w:type="page"/>
      </w:r>
    </w:p>
    <w:p>
      <w:pPr>
        <w:jc w:val="left"/>
        <w:rPr>
          <w:rStyle w:val="39"/>
          <w:rFonts w:ascii="仿宋_GB2312" w:hAnsi="宋体" w:eastAsia="仿宋_GB2312"/>
          <w:b/>
          <w:sz w:val="24"/>
        </w:rPr>
      </w:pPr>
    </w:p>
    <w:p>
      <w:pPr>
        <w:tabs>
          <w:tab w:val="left" w:pos="993"/>
          <w:tab w:val="left" w:pos="1030"/>
          <w:tab w:val="left" w:pos="8364"/>
        </w:tabs>
        <w:snapToGrid w:val="0"/>
        <w:spacing w:after="120"/>
        <w:ind w:right="-57" w:rightChars="-27"/>
        <w:jc w:val="left"/>
        <w:rPr>
          <w:rStyle w:val="39"/>
          <w:rFonts w:ascii="宋体" w:hAnsi="宋体"/>
          <w:b/>
          <w:sz w:val="24"/>
        </w:rPr>
      </w:pPr>
      <w:r>
        <w:rPr>
          <w:rStyle w:val="39"/>
          <w:rFonts w:ascii="宋体" w:hAnsi="宋体"/>
          <w:b/>
          <w:sz w:val="24"/>
        </w:rPr>
        <w:t>9-6  投标人参加政府采购活动前3年内在经营活动中没有重大违法记录的书面声明（格式）</w:t>
      </w:r>
    </w:p>
    <w:p>
      <w:pPr>
        <w:jc w:val="center"/>
        <w:rPr>
          <w:rStyle w:val="39"/>
          <w:rFonts w:ascii="宋体" w:hAnsi="宋体"/>
          <w:sz w:val="24"/>
        </w:rPr>
      </w:pPr>
    </w:p>
    <w:p>
      <w:pPr>
        <w:jc w:val="center"/>
        <w:rPr>
          <w:rStyle w:val="39"/>
          <w:rFonts w:ascii="宋体" w:hAnsi="宋体"/>
          <w:b/>
          <w:sz w:val="24"/>
        </w:rPr>
      </w:pPr>
      <w:r>
        <w:rPr>
          <w:rStyle w:val="39"/>
          <w:rFonts w:ascii="宋体" w:hAnsi="宋体"/>
          <w:b/>
          <w:sz w:val="24"/>
        </w:rPr>
        <w:t>声明函</w:t>
      </w:r>
    </w:p>
    <w:p>
      <w:pPr>
        <w:jc w:val="center"/>
        <w:rPr>
          <w:rStyle w:val="39"/>
          <w:rFonts w:ascii="宋体" w:hAnsi="宋体"/>
          <w:sz w:val="24"/>
        </w:rPr>
      </w:pPr>
    </w:p>
    <w:p>
      <w:pPr>
        <w:tabs>
          <w:tab w:val="left" w:pos="5580"/>
        </w:tabs>
        <w:spacing w:before="120" w:line="360" w:lineRule="auto"/>
        <w:rPr>
          <w:rStyle w:val="39"/>
          <w:rFonts w:ascii="宋体" w:hAnsi="宋体"/>
          <w:sz w:val="24"/>
        </w:rPr>
      </w:pPr>
      <w:r>
        <w:rPr>
          <w:rStyle w:val="39"/>
          <w:rFonts w:ascii="宋体" w:hAnsi="宋体"/>
          <w:sz w:val="24"/>
        </w:rPr>
        <w:t>致：</w:t>
      </w:r>
      <w:r>
        <w:rPr>
          <w:rStyle w:val="39"/>
          <w:rFonts w:ascii="宋体" w:hAnsi="宋体"/>
          <w:sz w:val="24"/>
          <w:u w:val="single"/>
        </w:rPr>
        <w:t xml:space="preserve">   （采购人）  </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在本项目投标文件截止时间前，我公司郑重承诺在参加本项目政府采购活动前三年内，在经营活动中无重大违法记录。公司未受到刑事处罚或责令停业、吊销许可证（或执照）</w:t>
      </w:r>
      <w:r>
        <w:rPr>
          <w:rStyle w:val="39"/>
          <w:rFonts w:hAnsi="宋体"/>
          <w:sz w:val="24"/>
        </w:rPr>
        <w:t>、较大数额罚款等行政处罚</w:t>
      </w:r>
      <w:r>
        <w:rPr>
          <w:rStyle w:val="39"/>
          <w:rFonts w:ascii="宋体" w:hAnsi="宋体"/>
          <w:sz w:val="24"/>
        </w:rPr>
        <w:t>；未处于财产被接管、冻结、破产状况。</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如发现我单位提供的声明函不实时，我单位将按照《政府采购法》有关提供虚假材料的规定，接受处罚。</w:t>
      </w:r>
    </w:p>
    <w:p>
      <w:pPr>
        <w:tabs>
          <w:tab w:val="left" w:pos="5580"/>
        </w:tabs>
        <w:spacing w:before="120" w:line="360" w:lineRule="auto"/>
        <w:ind w:firstLine="480" w:firstLineChars="200"/>
        <w:rPr>
          <w:rStyle w:val="39"/>
          <w:rFonts w:ascii="宋体" w:hAnsi="宋体"/>
          <w:sz w:val="24"/>
        </w:rPr>
      </w:pPr>
      <w:r>
        <w:rPr>
          <w:rStyle w:val="39"/>
          <w:rFonts w:ascii="宋体" w:hAnsi="宋体"/>
          <w:sz w:val="24"/>
        </w:rPr>
        <w:t>特此声明。</w:t>
      </w: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tabs>
          <w:tab w:val="left" w:pos="5580"/>
        </w:tabs>
        <w:spacing w:before="120" w:line="360" w:lineRule="auto"/>
        <w:ind w:firstLine="480" w:firstLineChars="200"/>
        <w:rPr>
          <w:rStyle w:val="39"/>
          <w:rFonts w:ascii="宋体" w:hAnsi="宋体"/>
          <w:sz w:val="24"/>
        </w:rPr>
      </w:pPr>
    </w:p>
    <w:p>
      <w:pPr>
        <w:pStyle w:val="66"/>
        <w:spacing w:line="360" w:lineRule="auto"/>
        <w:rPr>
          <w:rStyle w:val="39"/>
          <w:rFonts w:hAnsi="宋体"/>
          <w:sz w:val="24"/>
        </w:rPr>
      </w:pPr>
      <w:r>
        <w:rPr>
          <w:rStyle w:val="39"/>
          <w:rFonts w:hAnsi="宋体"/>
          <w:sz w:val="24"/>
        </w:rPr>
        <w:t>法定代表人或其委托代理人（签字或加盖人名章</w:t>
      </w:r>
      <w:r>
        <w:rPr>
          <w:rStyle w:val="39"/>
          <w:rFonts w:hAnsi="宋体"/>
        </w:rPr>
        <w:t>）</w:t>
      </w:r>
      <w:r>
        <w:rPr>
          <w:rStyle w:val="39"/>
          <w:rFonts w:hAnsi="宋体"/>
          <w:sz w:val="24"/>
        </w:rPr>
        <w:t>：____________________________</w:t>
      </w:r>
    </w:p>
    <w:p>
      <w:pPr>
        <w:pStyle w:val="66"/>
        <w:spacing w:line="360" w:lineRule="auto"/>
        <w:rPr>
          <w:rStyle w:val="39"/>
          <w:rFonts w:hAnsi="宋体"/>
          <w:sz w:val="24"/>
          <w:u w:val="single"/>
        </w:rPr>
      </w:pPr>
      <w:r>
        <w:rPr>
          <w:rStyle w:val="39"/>
          <w:rFonts w:hAnsi="宋体"/>
          <w:sz w:val="24"/>
        </w:rPr>
        <w:t>投标人(盖章)：</w:t>
      </w:r>
      <w:r>
        <w:rPr>
          <w:rStyle w:val="39"/>
          <w:rFonts w:hAnsi="宋体"/>
          <w:sz w:val="24"/>
          <w:u w:val="single"/>
        </w:rPr>
        <w:tab/>
      </w:r>
      <w:r>
        <w:rPr>
          <w:rStyle w:val="39"/>
          <w:rFonts w:hAnsi="宋体"/>
          <w:sz w:val="24"/>
          <w:u w:val="single"/>
        </w:rPr>
        <w:tab/>
      </w:r>
    </w:p>
    <w:p>
      <w:pPr>
        <w:pStyle w:val="66"/>
        <w:spacing w:line="360" w:lineRule="auto"/>
        <w:rPr>
          <w:rStyle w:val="39"/>
          <w:rFonts w:hAnsi="宋体"/>
          <w:sz w:val="24"/>
          <w:u w:val="single"/>
        </w:rPr>
      </w:pPr>
      <w:r>
        <w:rPr>
          <w:rStyle w:val="39"/>
          <w:rFonts w:hAnsi="宋体"/>
          <w:sz w:val="24"/>
          <w:u w:val="single"/>
        </w:rPr>
        <w:br w:type="page"/>
      </w:r>
    </w:p>
    <w:p>
      <w:pPr>
        <w:pStyle w:val="66"/>
        <w:spacing w:line="360" w:lineRule="auto"/>
        <w:rPr>
          <w:rStyle w:val="39"/>
          <w:rFonts w:hAnsi="宋体"/>
          <w:sz w:val="24"/>
          <w:u w:val="single"/>
        </w:rPr>
      </w:pPr>
    </w:p>
    <w:p>
      <w:pPr>
        <w:jc w:val="center"/>
        <w:rPr>
          <w:rStyle w:val="39"/>
          <w:rFonts w:ascii="仿宋_GB2312" w:hAnsi="宋体" w:eastAsia="仿宋_GB2312"/>
          <w:b/>
          <w:sz w:val="24"/>
        </w:rPr>
      </w:pPr>
      <w:r>
        <w:rPr>
          <w:rStyle w:val="39"/>
          <w:rFonts w:hAnsi="宋体"/>
          <w:b/>
          <w:bCs/>
          <w:szCs w:val="21"/>
        </w:rPr>
        <w:t xml:space="preserve">9-7  </w:t>
      </w:r>
      <w:r>
        <w:rPr>
          <w:rStyle w:val="39"/>
          <w:rFonts w:ascii="仿宋_GB2312" w:hAnsi="宋体" w:eastAsia="仿宋_GB2312"/>
          <w:b/>
          <w:sz w:val="24"/>
        </w:rPr>
        <w:t>投标人控股股东名称、控股公司的名称和存在管理、被管理关系的单位名称说明</w:t>
      </w:r>
    </w:p>
    <w:p>
      <w:pPr>
        <w:ind w:firstLine="420"/>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与我方的法定代表人（单位负责人）为同一人的企业如下：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我方的控股股东如下：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我方直接控股的企业如下：</w:t>
      </w:r>
    </w:p>
    <w:p>
      <w:pPr>
        <w:ind w:firstLine="426"/>
        <w:rPr>
          <w:rStyle w:val="39"/>
          <w:rFonts w:ascii="宋体" w:hAnsi="Courier New"/>
          <w:sz w:val="24"/>
        </w:rPr>
      </w:pPr>
    </w:p>
    <w:p>
      <w:pPr>
        <w:ind w:firstLine="426"/>
        <w:rPr>
          <w:rStyle w:val="39"/>
          <w:rFonts w:ascii="宋体" w:hAnsi="Courier New"/>
          <w:sz w:val="24"/>
        </w:rPr>
      </w:pPr>
      <w:r>
        <w:rPr>
          <w:rStyle w:val="39"/>
          <w:rFonts w:ascii="宋体" w:hAnsi="Courier New"/>
          <w:sz w:val="24"/>
        </w:rPr>
        <w:t>与我方存在管理、被管理关系的单位名称如下：</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ind w:firstLine="420" w:firstLineChars="200"/>
        <w:rPr>
          <w:rStyle w:val="39"/>
          <w:rFonts w:ascii="宋体" w:hAnsi="宋体"/>
          <w:szCs w:val="21"/>
        </w:rPr>
      </w:pPr>
      <w:r>
        <w:rPr>
          <w:rStyle w:val="39"/>
          <w:rFonts w:ascii="宋体" w:hAnsi="宋体"/>
          <w:szCs w:val="21"/>
        </w:rPr>
        <w:br w:type="page"/>
      </w:r>
    </w:p>
    <w:p>
      <w:pPr>
        <w:ind w:firstLine="420" w:firstLineChars="200"/>
        <w:rPr>
          <w:rStyle w:val="39"/>
          <w:rFonts w:ascii="宋体" w:hAnsi="宋体"/>
          <w:szCs w:val="21"/>
        </w:rPr>
      </w:pPr>
    </w:p>
    <w:p>
      <w:pPr>
        <w:jc w:val="center"/>
        <w:rPr>
          <w:rStyle w:val="39"/>
          <w:rFonts w:ascii="仿宋_GB2312" w:hAnsi="宋体" w:eastAsia="仿宋_GB2312"/>
          <w:b/>
          <w:sz w:val="24"/>
        </w:rPr>
      </w:pPr>
      <w:r>
        <w:rPr>
          <w:rStyle w:val="39"/>
          <w:rFonts w:hAnsi="宋体"/>
          <w:b/>
          <w:bCs/>
          <w:szCs w:val="21"/>
        </w:rPr>
        <w:t xml:space="preserve">9-8  </w:t>
      </w:r>
      <w:r>
        <w:rPr>
          <w:rStyle w:val="39"/>
          <w:rFonts w:ascii="仿宋_GB2312" w:hAnsi="宋体" w:eastAsia="仿宋_GB2312"/>
          <w:b/>
          <w:sz w:val="24"/>
        </w:rPr>
        <w:t>投标人是否属于为本项目提供整体设计、规范编制或者项目管理、监理、检测等服务的投标人声明</w:t>
      </w:r>
    </w:p>
    <w:p>
      <w:pPr>
        <w:ind w:firstLine="420"/>
        <w:rPr>
          <w:rStyle w:val="39"/>
          <w:rFonts w:ascii="宋体" w:hAnsi="宋体"/>
          <w:szCs w:val="21"/>
        </w:rPr>
      </w:pPr>
    </w:p>
    <w:p>
      <w:pPr>
        <w:spacing w:line="360" w:lineRule="auto"/>
        <w:rPr>
          <w:rStyle w:val="39"/>
          <w:rFonts w:ascii="宋体" w:hAnsi="宋体"/>
          <w:szCs w:val="21"/>
        </w:rPr>
      </w:pPr>
    </w:p>
    <w:p>
      <w:pPr>
        <w:spacing w:line="360" w:lineRule="auto"/>
        <w:rPr>
          <w:rStyle w:val="39"/>
          <w:rFonts w:ascii="宋体" w:hAnsi="宋体"/>
          <w:szCs w:val="21"/>
        </w:rPr>
      </w:pPr>
      <w:r>
        <w:rPr>
          <w:rStyle w:val="39"/>
          <w:rFonts w:ascii="宋体" w:hAnsi="宋体"/>
          <w:szCs w:val="21"/>
        </w:rPr>
        <w:t>致：</w:t>
      </w:r>
    </w:p>
    <w:p>
      <w:pPr>
        <w:ind w:firstLine="426"/>
        <w:rPr>
          <w:rStyle w:val="39"/>
          <w:rFonts w:ascii="宋体" w:hAnsi="Courier New"/>
          <w:sz w:val="24"/>
        </w:rPr>
      </w:pPr>
      <w:r>
        <w:rPr>
          <w:rStyle w:val="39"/>
          <w:rFonts w:ascii="宋体" w:hAnsi="Courier New"/>
          <w:sz w:val="24"/>
        </w:rPr>
        <w:t xml:space="preserve">我方 </w:t>
      </w:r>
      <w:r>
        <w:rPr>
          <w:rStyle w:val="39"/>
          <w:rFonts w:ascii="宋体" w:hAnsi="Courier New"/>
          <w:i/>
          <w:iCs/>
          <w:sz w:val="24"/>
        </w:rPr>
        <w:t>属于/不属于</w:t>
      </w:r>
      <w:r>
        <w:rPr>
          <w:rStyle w:val="39"/>
          <w:rFonts w:ascii="宋体" w:hAnsi="Courier New"/>
          <w:sz w:val="24"/>
        </w:rPr>
        <w:t xml:space="preserve"> 为本项目提供整体设计、规范编制或者项目管理、监理、检测等服务的投标人。</w:t>
      </w:r>
    </w:p>
    <w:p>
      <w:pPr>
        <w:ind w:firstLine="426"/>
        <w:rPr>
          <w:rStyle w:val="39"/>
          <w:rFonts w:ascii="宋体" w:hAnsi="Courier New"/>
          <w:sz w:val="24"/>
        </w:rPr>
      </w:pPr>
    </w:p>
    <w:p>
      <w:pPr>
        <w:ind w:firstLine="426"/>
        <w:rPr>
          <w:rStyle w:val="39"/>
          <w:rFonts w:ascii="宋体" w:hAnsi="宋体"/>
          <w:szCs w:val="21"/>
        </w:rPr>
      </w:pPr>
    </w:p>
    <w:p>
      <w:pPr>
        <w:ind w:firstLine="426"/>
        <w:rPr>
          <w:rStyle w:val="39"/>
          <w:rFonts w:ascii="宋体" w:hAnsi="宋体"/>
          <w:szCs w:val="21"/>
        </w:rPr>
      </w:pPr>
      <w:r>
        <w:rPr>
          <w:rStyle w:val="39"/>
          <w:rFonts w:ascii="宋体" w:hAnsi="宋体"/>
          <w:szCs w:val="21"/>
        </w:rPr>
        <w:t xml:space="preserve">投标人名称（公章）： </w:t>
      </w:r>
    </w:p>
    <w:p>
      <w:pPr>
        <w:ind w:firstLine="420"/>
        <w:rPr>
          <w:rStyle w:val="39"/>
          <w:rFonts w:ascii="宋体" w:hAnsi="宋体"/>
          <w:szCs w:val="21"/>
        </w:rPr>
      </w:pPr>
      <w:r>
        <w:rPr>
          <w:rStyle w:val="39"/>
          <w:rFonts w:ascii="宋体" w:hAnsi="宋体"/>
          <w:szCs w:val="21"/>
        </w:rPr>
        <w:t>法定代表人或其委托代理人（签字或加盖人名章）：</w:t>
      </w:r>
    </w:p>
    <w:p>
      <w:pPr>
        <w:ind w:firstLine="420" w:firstLineChars="200"/>
        <w:rPr>
          <w:rStyle w:val="39"/>
          <w:rFonts w:ascii="宋体" w:hAnsi="宋体"/>
          <w:szCs w:val="21"/>
        </w:rPr>
      </w:pPr>
      <w:r>
        <w:rPr>
          <w:rStyle w:val="39"/>
          <w:rFonts w:ascii="宋体" w:hAnsi="宋体"/>
          <w:szCs w:val="21"/>
        </w:rPr>
        <w:t>日    期：     年   月    日</w:t>
      </w:r>
    </w:p>
    <w:p>
      <w:pPr>
        <w:rPr>
          <w:rStyle w:val="39"/>
          <w:rFonts w:ascii="宋体" w:hAnsi="宋体"/>
          <w:szCs w:val="21"/>
        </w:rPr>
      </w:pPr>
    </w:p>
    <w:p>
      <w:pPr>
        <w:jc w:val="left"/>
        <w:rPr>
          <w:rStyle w:val="39"/>
          <w:rFonts w:ascii="宋体" w:hAnsi="宋体"/>
          <w:sz w:val="24"/>
          <w:u w:val="single"/>
        </w:rPr>
      </w:pPr>
      <w:r>
        <w:rPr>
          <w:rStyle w:val="39"/>
          <w:rFonts w:ascii="宋体" w:hAnsi="宋体"/>
          <w:sz w:val="24"/>
          <w:u w:val="single"/>
        </w:rPr>
        <w:br w:type="page"/>
      </w:r>
    </w:p>
    <w:p>
      <w:pPr>
        <w:jc w:val="left"/>
        <w:rPr>
          <w:rStyle w:val="39"/>
          <w:rFonts w:ascii="宋体" w:hAnsi="宋体"/>
          <w:sz w:val="24"/>
          <w:szCs w:val="21"/>
          <w:u w:val="single"/>
        </w:rPr>
      </w:pPr>
    </w:p>
    <w:p>
      <w:pPr>
        <w:rPr>
          <w:rStyle w:val="39"/>
          <w:sz w:val="24"/>
        </w:rPr>
      </w:pPr>
    </w:p>
    <w:p>
      <w:pPr>
        <w:jc w:val="center"/>
        <w:rPr>
          <w:rStyle w:val="39"/>
          <w:rFonts w:hAnsi="宋体"/>
          <w:b/>
          <w:bCs/>
          <w:sz w:val="28"/>
          <w:szCs w:val="28"/>
        </w:rPr>
      </w:pPr>
      <w:r>
        <w:rPr>
          <w:rStyle w:val="39"/>
          <w:rFonts w:hAnsi="宋体"/>
          <w:b/>
          <w:bCs/>
          <w:sz w:val="28"/>
          <w:szCs w:val="28"/>
        </w:rPr>
        <w:t>9-9  联合体协议书</w:t>
      </w:r>
    </w:p>
    <w:p>
      <w:pPr>
        <w:jc w:val="center"/>
        <w:rPr>
          <w:rStyle w:val="39"/>
          <w:rFonts w:ascii="宋体" w:hAnsi="宋体"/>
          <w:kern w:val="0"/>
          <w:sz w:val="28"/>
          <w:szCs w:val="28"/>
        </w:rPr>
      </w:pPr>
    </w:p>
    <w:p>
      <w:pPr>
        <w:jc w:val="center"/>
        <w:rPr>
          <w:rStyle w:val="39"/>
          <w:rFonts w:ascii="宋体" w:hAnsi="宋体"/>
          <w:kern w:val="0"/>
          <w:sz w:val="28"/>
          <w:szCs w:val="28"/>
        </w:rPr>
      </w:pPr>
      <w:r>
        <w:rPr>
          <w:rStyle w:val="39"/>
          <w:rFonts w:ascii="宋体" w:hAnsi="宋体"/>
          <w:kern w:val="0"/>
          <w:sz w:val="28"/>
          <w:szCs w:val="28"/>
        </w:rPr>
        <w:t>联合体协议书</w:t>
      </w:r>
    </w:p>
    <w:p>
      <w:pPr>
        <w:jc w:val="center"/>
        <w:rPr>
          <w:rStyle w:val="39"/>
          <w:rFonts w:ascii="宋体" w:hAnsi="宋体"/>
          <w:i/>
          <w:iCs/>
          <w:kern w:val="0"/>
          <w:szCs w:val="21"/>
        </w:rPr>
      </w:pPr>
      <w:r>
        <w:rPr>
          <w:rStyle w:val="39"/>
          <w:rFonts w:ascii="宋体" w:hAnsi="宋体"/>
          <w:i/>
          <w:iCs/>
          <w:kern w:val="0"/>
          <w:szCs w:val="21"/>
        </w:rPr>
        <w:t>（注：本协议书供参考使用，具体文本内容与采购人商定）</w:t>
      </w:r>
    </w:p>
    <w:p>
      <w:pPr>
        <w:jc w:val="center"/>
        <w:rPr>
          <w:rStyle w:val="39"/>
          <w:rFonts w:ascii="宋体" w:hAnsi="宋体"/>
          <w:i/>
          <w:iCs/>
          <w:kern w:val="0"/>
          <w:szCs w:val="21"/>
        </w:rPr>
      </w:pPr>
    </w:p>
    <w:p>
      <w:pPr>
        <w:spacing w:line="360" w:lineRule="auto"/>
        <w:ind w:firstLine="480" w:firstLineChars="200"/>
        <w:jc w:val="left"/>
        <w:rPr>
          <w:rStyle w:val="39"/>
          <w:rFonts w:ascii="宋体" w:hAnsi="宋体"/>
          <w:kern w:val="0"/>
          <w:sz w:val="24"/>
        </w:rPr>
      </w:pPr>
      <w:r>
        <w:rPr>
          <w:rStyle w:val="39"/>
          <w:rFonts w:ascii="宋体" w:hAnsi="宋体"/>
          <w:kern w:val="0"/>
          <w:sz w:val="24"/>
        </w:rPr>
        <w:t>（所有成员单位名称）自愿组成（联合体名称）联合体，共同参加（项目名称）  投标。现就联合体投标事宜订立如下协议。</w:t>
      </w:r>
    </w:p>
    <w:p>
      <w:pPr>
        <w:spacing w:line="360" w:lineRule="auto"/>
        <w:ind w:firstLine="480" w:firstLineChars="200"/>
        <w:jc w:val="left"/>
        <w:rPr>
          <w:rStyle w:val="39"/>
          <w:rFonts w:ascii="宋体" w:hAnsi="宋体"/>
          <w:kern w:val="0"/>
          <w:sz w:val="24"/>
        </w:rPr>
      </w:pPr>
      <w:r>
        <w:rPr>
          <w:rStyle w:val="39"/>
          <w:rFonts w:ascii="宋体" w:hAnsi="宋体"/>
          <w:kern w:val="0"/>
          <w:sz w:val="24"/>
        </w:rPr>
        <w:t>1、（某成员单位名称）为（联合体名称）牵头人。</w:t>
      </w:r>
    </w:p>
    <w:p>
      <w:pPr>
        <w:spacing w:line="360" w:lineRule="auto"/>
        <w:ind w:firstLine="480" w:firstLineChars="200"/>
        <w:jc w:val="left"/>
        <w:rPr>
          <w:rStyle w:val="39"/>
          <w:rFonts w:ascii="宋体" w:hAnsi="宋体"/>
          <w:kern w:val="0"/>
          <w:sz w:val="24"/>
        </w:rPr>
      </w:pPr>
      <w:r>
        <w:rPr>
          <w:rStyle w:val="39"/>
          <w:rFonts w:ascii="宋体" w:hAnsi="宋体"/>
          <w:kern w:val="0"/>
          <w:sz w:val="24"/>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pacing w:line="360" w:lineRule="auto"/>
        <w:ind w:firstLine="480" w:firstLineChars="200"/>
        <w:jc w:val="left"/>
        <w:rPr>
          <w:rStyle w:val="39"/>
          <w:rFonts w:ascii="宋体" w:hAnsi="宋体"/>
          <w:kern w:val="0"/>
          <w:sz w:val="24"/>
        </w:rPr>
      </w:pPr>
      <w:r>
        <w:rPr>
          <w:rStyle w:val="39"/>
          <w:rFonts w:ascii="宋体" w:hAnsi="宋体"/>
          <w:kern w:val="0"/>
          <w:sz w:val="24"/>
        </w:rPr>
        <w:t>3、联合体将严格按照招标文件的各项要求，递交投标文件，履行合同，并对外承担连带责任。</w:t>
      </w:r>
    </w:p>
    <w:p>
      <w:pPr>
        <w:spacing w:line="360" w:lineRule="auto"/>
        <w:ind w:firstLine="480" w:firstLineChars="200"/>
        <w:jc w:val="left"/>
        <w:rPr>
          <w:rStyle w:val="39"/>
          <w:rFonts w:ascii="宋体" w:hAnsi="宋体"/>
          <w:kern w:val="0"/>
          <w:sz w:val="24"/>
        </w:rPr>
      </w:pPr>
      <w:r>
        <w:rPr>
          <w:rStyle w:val="39"/>
          <w:rFonts w:ascii="宋体" w:hAnsi="宋体"/>
          <w:kern w:val="0"/>
          <w:sz w:val="24"/>
        </w:rPr>
        <w:t>4、联合体各成员单位内部的职责分工如下：</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（成员单位名称及职责分工）</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5、本协议书自签署之日起生效，合同履行完毕后自动失效。</w:t>
      </w:r>
    </w:p>
    <w:p>
      <w:pPr>
        <w:spacing w:line="360" w:lineRule="auto"/>
        <w:ind w:firstLine="480" w:firstLineChars="200"/>
        <w:jc w:val="left"/>
        <w:rPr>
          <w:rStyle w:val="39"/>
          <w:rFonts w:ascii="宋体" w:hAnsi="宋体"/>
          <w:kern w:val="0"/>
          <w:sz w:val="24"/>
        </w:rPr>
      </w:pPr>
      <w:r>
        <w:rPr>
          <w:rStyle w:val="39"/>
          <w:rFonts w:ascii="宋体" w:hAnsi="宋体"/>
          <w:kern w:val="0"/>
          <w:sz w:val="24"/>
        </w:rPr>
        <w:t>6、本协议书一式  份，联合体成员和采购人各执一份。</w:t>
      </w:r>
    </w:p>
    <w:p>
      <w:pPr>
        <w:spacing w:line="360" w:lineRule="auto"/>
        <w:ind w:firstLine="480" w:firstLineChars="200"/>
        <w:jc w:val="left"/>
        <w:rPr>
          <w:rStyle w:val="39"/>
          <w:rFonts w:ascii="宋体" w:hAnsi="宋体"/>
          <w:kern w:val="0"/>
          <w:sz w:val="24"/>
        </w:rPr>
      </w:pPr>
      <w:r>
        <w:rPr>
          <w:rStyle w:val="39"/>
          <w:rFonts w:ascii="宋体" w:hAnsi="宋体"/>
          <w:kern w:val="0"/>
          <w:sz w:val="24"/>
        </w:rPr>
        <w:t>注：本协议书由委托代理人签字的，应附法定代表人签字的授权委托书。</w:t>
      </w: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p>
    <w:p>
      <w:pPr>
        <w:spacing w:line="360" w:lineRule="auto"/>
        <w:ind w:firstLine="480" w:firstLineChars="200"/>
        <w:jc w:val="left"/>
        <w:rPr>
          <w:rStyle w:val="39"/>
          <w:rFonts w:ascii="宋体" w:hAnsi="宋体"/>
          <w:kern w:val="0"/>
          <w:sz w:val="24"/>
        </w:rPr>
      </w:pPr>
      <w:r>
        <w:rPr>
          <w:rStyle w:val="39"/>
          <w:rFonts w:ascii="宋体" w:hAnsi="宋体"/>
          <w:kern w:val="0"/>
          <w:sz w:val="24"/>
        </w:rPr>
        <w:t>牵头人名称：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成员一名称：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成员二名称：                   （盖单位章）</w:t>
      </w:r>
    </w:p>
    <w:p>
      <w:pPr>
        <w:spacing w:line="360" w:lineRule="auto"/>
        <w:ind w:firstLine="480" w:firstLineChars="200"/>
        <w:jc w:val="left"/>
        <w:rPr>
          <w:rStyle w:val="39"/>
          <w:rFonts w:ascii="宋体" w:hAnsi="宋体"/>
          <w:kern w:val="0"/>
          <w:sz w:val="24"/>
        </w:rPr>
      </w:pPr>
      <w:r>
        <w:rPr>
          <w:rStyle w:val="39"/>
          <w:rFonts w:ascii="宋体" w:hAnsi="宋体"/>
          <w:kern w:val="0"/>
          <w:sz w:val="24"/>
        </w:rPr>
        <w:t>法定代表人或其委托代理人：      （签字）</w:t>
      </w:r>
    </w:p>
    <w:p>
      <w:pPr>
        <w:spacing w:line="360" w:lineRule="auto"/>
        <w:ind w:firstLine="480" w:firstLineChars="200"/>
        <w:jc w:val="left"/>
        <w:rPr>
          <w:rStyle w:val="39"/>
          <w:rFonts w:ascii="宋体" w:hAnsi="宋体"/>
          <w:kern w:val="0"/>
          <w:sz w:val="24"/>
        </w:rPr>
      </w:pPr>
      <w:r>
        <w:rPr>
          <w:rStyle w:val="39"/>
          <w:rFonts w:ascii="宋体" w:hAnsi="宋体"/>
          <w:kern w:val="0"/>
          <w:sz w:val="24"/>
        </w:rPr>
        <w:t>……</w:t>
      </w:r>
    </w:p>
    <w:p>
      <w:pPr>
        <w:spacing w:line="360" w:lineRule="auto"/>
        <w:ind w:firstLine="480" w:firstLineChars="200"/>
        <w:jc w:val="left"/>
        <w:rPr>
          <w:rStyle w:val="39"/>
          <w:rFonts w:ascii="宋体" w:hAnsi="宋体"/>
          <w:kern w:val="0"/>
          <w:sz w:val="24"/>
        </w:rPr>
      </w:pPr>
      <w:r>
        <w:rPr>
          <w:rStyle w:val="39"/>
          <w:rFonts w:ascii="宋体" w:hAnsi="宋体"/>
          <w:kern w:val="0"/>
          <w:sz w:val="24"/>
        </w:rPr>
        <w:t>年月日</w:t>
      </w:r>
    </w:p>
    <w:p>
      <w:pPr>
        <w:spacing w:line="360" w:lineRule="auto"/>
        <w:ind w:firstLine="480" w:firstLineChars="200"/>
        <w:jc w:val="left"/>
        <w:rPr>
          <w:rStyle w:val="39"/>
          <w:rFonts w:ascii="宋体" w:hAnsi="宋体"/>
          <w:kern w:val="0"/>
          <w:sz w:val="24"/>
        </w:rPr>
      </w:pPr>
      <w:r>
        <w:rPr>
          <w:rStyle w:val="39"/>
          <w:rFonts w:ascii="宋体" w:hAnsi="宋体"/>
          <w:kern w:val="0"/>
          <w:sz w:val="24"/>
        </w:rPr>
        <w:br w:type="page"/>
      </w:r>
    </w:p>
    <w:p>
      <w:pPr>
        <w:spacing w:line="360" w:lineRule="auto"/>
        <w:ind w:firstLine="480" w:firstLineChars="200"/>
        <w:jc w:val="left"/>
        <w:rPr>
          <w:rStyle w:val="39"/>
          <w:rFonts w:ascii="宋体" w:hAnsi="宋体"/>
          <w:kern w:val="0"/>
          <w:sz w:val="24"/>
        </w:rPr>
      </w:pPr>
    </w:p>
    <w:p>
      <w:pPr>
        <w:tabs>
          <w:tab w:val="left" w:pos="993"/>
          <w:tab w:val="left" w:pos="1030"/>
          <w:tab w:val="left" w:pos="8364"/>
        </w:tabs>
        <w:snapToGrid w:val="0"/>
        <w:spacing w:after="120"/>
        <w:ind w:right="-57" w:rightChars="-27"/>
        <w:jc w:val="left"/>
        <w:rPr>
          <w:rStyle w:val="39"/>
          <w:b/>
          <w:sz w:val="24"/>
        </w:rPr>
      </w:pPr>
      <w:r>
        <w:rPr>
          <w:rStyle w:val="39"/>
          <w:b/>
          <w:sz w:val="24"/>
        </w:rPr>
        <w:t>9-10  证明投标人符合特定资格条件的证明材料；（如“生产许可证”、“经营许可证”或3C认证复印件，权威机构出具的投标人所投货物有效的型式试验报告复印件（如投标货物根据适用法律、法规要求，需有此类认证时或招标文件要求提供型式试验报告时提供）</w:t>
      </w:r>
    </w:p>
    <w:p>
      <w:pPr>
        <w:tabs>
          <w:tab w:val="left" w:pos="993"/>
          <w:tab w:val="left" w:pos="1030"/>
          <w:tab w:val="left" w:pos="8364"/>
        </w:tabs>
        <w:snapToGrid w:val="0"/>
        <w:spacing w:after="120"/>
        <w:ind w:right="-57" w:rightChars="-27"/>
        <w:jc w:val="left"/>
        <w:rPr>
          <w:rStyle w:val="39"/>
          <w:rFonts w:ascii="宋体" w:hAnsi="宋体"/>
          <w:sz w:val="24"/>
        </w:rPr>
      </w:pPr>
    </w:p>
    <w:p>
      <w:pPr>
        <w:spacing w:line="360" w:lineRule="auto"/>
        <w:jc w:val="left"/>
        <w:rPr>
          <w:rStyle w:val="39"/>
          <w:rFonts w:ascii="宋体" w:hAnsi="宋体"/>
          <w:kern w:val="0"/>
          <w:sz w:val="24"/>
        </w:rPr>
      </w:pPr>
    </w:p>
    <w:p>
      <w:pPr>
        <w:rPr>
          <w:rStyle w:val="39"/>
        </w:rPr>
        <w:sectPr>
          <w:headerReference r:id="rId4" w:type="default"/>
          <w:footerReference r:id="rId5" w:type="default"/>
          <w:pgSz w:w="11906" w:h="16838"/>
          <w:pgMar w:top="1247" w:right="1247" w:bottom="1247" w:left="1701" w:header="851" w:footer="992" w:gutter="0"/>
          <w:cols w:space="425" w:num="1"/>
          <w:docGrid w:linePitch="312" w:charSpace="0"/>
        </w:sectPr>
      </w:pPr>
    </w:p>
    <w:p>
      <w:pPr>
        <w:jc w:val="center"/>
        <w:rPr>
          <w:rStyle w:val="39"/>
          <w:rFonts w:ascii="宋体" w:hAnsi="宋体"/>
          <w:b/>
          <w:sz w:val="24"/>
        </w:rPr>
      </w:pPr>
      <w:r>
        <w:rPr>
          <w:rStyle w:val="39"/>
          <w:rFonts w:ascii="宋体" w:hAnsi="宋体"/>
          <w:b/>
          <w:sz w:val="24"/>
        </w:rPr>
        <w:t>附件10  投标人供货业绩一览表</w:t>
      </w:r>
    </w:p>
    <w:p>
      <w:pPr>
        <w:rPr>
          <w:rStyle w:val="39"/>
        </w:rPr>
      </w:pPr>
    </w:p>
    <w:tbl>
      <w:tblPr>
        <w:tblStyle w:val="15"/>
        <w:tblW w:w="1419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2271"/>
        <w:gridCol w:w="1701"/>
        <w:gridCol w:w="1170"/>
        <w:gridCol w:w="1454"/>
        <w:gridCol w:w="2234"/>
        <w:gridCol w:w="2104"/>
        <w:gridCol w:w="1004"/>
        <w:gridCol w:w="12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25" w:hRule="atLeast"/>
          <w:jc w:val="center"/>
        </w:trPr>
        <w:tc>
          <w:tcPr>
            <w:tcW w:w="1008" w:type="dxa"/>
            <w:tcBorders>
              <w:top w:val="single" w:color="000000" w:sz="12"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年份</w:t>
            </w:r>
          </w:p>
        </w:tc>
        <w:tc>
          <w:tcPr>
            <w:tcW w:w="227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设备名称</w:t>
            </w:r>
          </w:p>
        </w:tc>
        <w:tc>
          <w:tcPr>
            <w:tcW w:w="1701"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规格型号</w:t>
            </w:r>
          </w:p>
        </w:tc>
        <w:tc>
          <w:tcPr>
            <w:tcW w:w="1170"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数量</w:t>
            </w:r>
          </w:p>
        </w:tc>
        <w:tc>
          <w:tcPr>
            <w:tcW w:w="145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合同总价</w:t>
            </w:r>
          </w:p>
        </w:tc>
        <w:tc>
          <w:tcPr>
            <w:tcW w:w="223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使用单位名称</w:t>
            </w:r>
          </w:p>
        </w:tc>
        <w:tc>
          <w:tcPr>
            <w:tcW w:w="21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使用单位联系人及电话</w:t>
            </w:r>
          </w:p>
        </w:tc>
        <w:tc>
          <w:tcPr>
            <w:tcW w:w="1004" w:type="dxa"/>
            <w:tcBorders>
              <w:top w:val="single" w:color="000000" w:sz="12" w:space="0"/>
              <w:left w:val="single" w:color="000000" w:sz="6"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是否投入使用</w:t>
            </w:r>
          </w:p>
        </w:tc>
        <w:tc>
          <w:tcPr>
            <w:tcW w:w="1245" w:type="dxa"/>
            <w:tcBorders>
              <w:top w:val="single" w:color="000000" w:sz="12" w:space="0"/>
              <w:left w:val="single" w:color="000000" w:sz="6" w:space="0"/>
              <w:bottom w:val="single" w:color="000000" w:sz="6" w:space="0"/>
              <w:right w:val="single" w:color="000000" w:sz="12" w:space="0"/>
            </w:tcBorders>
            <w:vAlign w:val="center"/>
          </w:tcPr>
          <w:p>
            <w:pPr>
              <w:jc w:val="center"/>
              <w:rPr>
                <w:rStyle w:val="39"/>
                <w:rFonts w:ascii="宋体" w:hAnsi="宋体"/>
                <w:sz w:val="24"/>
              </w:rPr>
            </w:pPr>
            <w:r>
              <w:rPr>
                <w:rStyle w:val="39"/>
                <w:rFonts w:ascii="宋体" w:hAnsi="宋体"/>
                <w:sz w:val="24"/>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6" w:space="0"/>
              <w:right w:val="single" w:color="000000" w:sz="6" w:space="0"/>
            </w:tcBorders>
            <w:vAlign w:val="center"/>
          </w:tcPr>
          <w:p>
            <w:pPr>
              <w:jc w:val="center"/>
              <w:rPr>
                <w:rStyle w:val="39"/>
                <w:rFonts w:ascii="宋体" w:hAnsi="宋体"/>
                <w:sz w:val="24"/>
              </w:rPr>
            </w:pPr>
            <w:r>
              <w:rPr>
                <w:rStyle w:val="39"/>
                <w:rFonts w:ascii="宋体" w:hAnsi="宋体"/>
                <w:sz w:val="24"/>
              </w:rPr>
              <w:t>20  年</w:t>
            </w:r>
          </w:p>
        </w:tc>
        <w:tc>
          <w:tcPr>
            <w:tcW w:w="227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6"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6" w:space="0"/>
              <w:right w:val="single" w:color="000000" w:sz="12" w:space="0"/>
            </w:tcBorders>
            <w:vAlign w:val="center"/>
          </w:tcPr>
          <w:p>
            <w:pPr>
              <w:jc w:val="center"/>
              <w:rPr>
                <w:rStyle w:val="39"/>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1008" w:type="dxa"/>
            <w:tcBorders>
              <w:top w:val="single" w:color="000000" w:sz="6" w:space="0"/>
              <w:left w:val="single" w:color="000000" w:sz="12" w:space="0"/>
              <w:bottom w:val="single" w:color="000000" w:sz="12" w:space="0"/>
              <w:right w:val="single" w:color="000000" w:sz="6" w:space="0"/>
            </w:tcBorders>
            <w:vAlign w:val="center"/>
          </w:tcPr>
          <w:p>
            <w:pPr>
              <w:jc w:val="center"/>
              <w:rPr>
                <w:rStyle w:val="39"/>
                <w:rFonts w:ascii="宋体" w:hAnsi="宋体"/>
                <w:sz w:val="24"/>
              </w:rPr>
            </w:pPr>
          </w:p>
        </w:tc>
        <w:tc>
          <w:tcPr>
            <w:tcW w:w="227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701"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170"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45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23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21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004" w:type="dxa"/>
            <w:tcBorders>
              <w:top w:val="single" w:color="000000" w:sz="6" w:space="0"/>
              <w:left w:val="single" w:color="000000" w:sz="6" w:space="0"/>
              <w:bottom w:val="single" w:color="000000" w:sz="12" w:space="0"/>
              <w:right w:val="single" w:color="000000" w:sz="6" w:space="0"/>
            </w:tcBorders>
            <w:vAlign w:val="center"/>
          </w:tcPr>
          <w:p>
            <w:pPr>
              <w:jc w:val="center"/>
              <w:rPr>
                <w:rStyle w:val="39"/>
                <w:rFonts w:ascii="宋体" w:hAnsi="宋体"/>
                <w:sz w:val="24"/>
              </w:rPr>
            </w:pPr>
          </w:p>
        </w:tc>
        <w:tc>
          <w:tcPr>
            <w:tcW w:w="1245" w:type="dxa"/>
            <w:tcBorders>
              <w:top w:val="single" w:color="000000" w:sz="6" w:space="0"/>
              <w:left w:val="single" w:color="000000" w:sz="6" w:space="0"/>
              <w:bottom w:val="single" w:color="000000" w:sz="12" w:space="0"/>
              <w:right w:val="single" w:color="000000" w:sz="12" w:space="0"/>
            </w:tcBorders>
            <w:vAlign w:val="center"/>
          </w:tcPr>
          <w:p>
            <w:pPr>
              <w:jc w:val="center"/>
              <w:rPr>
                <w:rStyle w:val="39"/>
                <w:rFonts w:ascii="宋体" w:hAnsi="宋体"/>
                <w:sz w:val="24"/>
              </w:rPr>
            </w:pPr>
          </w:p>
        </w:tc>
      </w:tr>
    </w:tbl>
    <w:p>
      <w:pPr>
        <w:ind w:left="700" w:hanging="700" w:hangingChars="332"/>
        <w:rPr>
          <w:rStyle w:val="39"/>
          <w:rFonts w:ascii="宋体" w:hAnsi="宋体"/>
          <w:sz w:val="24"/>
        </w:rPr>
      </w:pPr>
      <w:r>
        <w:rPr>
          <w:rStyle w:val="39"/>
          <w:rFonts w:hAnsi="宋体"/>
          <w:b/>
          <w:szCs w:val="21"/>
        </w:rPr>
        <w:t>注：</w:t>
      </w:r>
    </w:p>
    <w:p>
      <w:pPr>
        <w:numPr>
          <w:ilvl w:val="0"/>
          <w:numId w:val="20"/>
        </w:numPr>
        <w:spacing w:line="360" w:lineRule="auto"/>
        <w:rPr>
          <w:rStyle w:val="39"/>
          <w:rFonts w:hAnsi="宋体"/>
          <w:szCs w:val="21"/>
        </w:rPr>
      </w:pPr>
      <w:r>
        <w:rPr>
          <w:rStyle w:val="39"/>
          <w:rFonts w:hAnsi="宋体"/>
          <w:szCs w:val="21"/>
        </w:rPr>
        <w:t>投标人须提供相应的证明文件（投标人需提供供货合同复印件）</w:t>
      </w:r>
    </w:p>
    <w:p>
      <w:pPr>
        <w:numPr>
          <w:ilvl w:val="0"/>
          <w:numId w:val="20"/>
        </w:numPr>
        <w:spacing w:line="360" w:lineRule="auto"/>
        <w:rPr>
          <w:rStyle w:val="39"/>
          <w:szCs w:val="21"/>
        </w:rPr>
      </w:pPr>
      <w:r>
        <w:rPr>
          <w:rStyle w:val="39"/>
          <w:szCs w:val="21"/>
        </w:rPr>
        <w:t>正在执行的</w:t>
      </w:r>
      <w:r>
        <w:rPr>
          <w:rStyle w:val="39"/>
          <w:rFonts w:hAnsi="宋体"/>
          <w:szCs w:val="21"/>
        </w:rPr>
        <w:t>类似业绩需标明执行状态，</w:t>
      </w:r>
      <w:r>
        <w:rPr>
          <w:rStyle w:val="39"/>
          <w:szCs w:val="21"/>
        </w:rPr>
        <w:t>投标人需在备注栏填写合同执行的状态，如：设计联络阶段、供货阶段、供货完毕阶段、联调联试阶段等。</w:t>
      </w:r>
    </w:p>
    <w:p>
      <w:pPr>
        <w:spacing w:before="120" w:line="440" w:lineRule="exact"/>
        <w:ind w:left="-103" w:leftChars="-49" w:firstLine="119" w:firstLineChars="57"/>
        <w:rPr>
          <w:rStyle w:val="39"/>
        </w:rPr>
      </w:pPr>
      <w:r>
        <w:rPr>
          <w:rStyle w:val="39"/>
        </w:rPr>
        <w:t>投标人：（公章）</w:t>
      </w:r>
    </w:p>
    <w:p>
      <w:pPr>
        <w:pStyle w:val="122"/>
        <w:spacing w:before="120"/>
        <w:rPr>
          <w:rStyle w:val="39"/>
          <w:rFonts w:hAnsi="宋体"/>
          <w:sz w:val="21"/>
          <w:szCs w:val="21"/>
        </w:rPr>
      </w:pPr>
      <w:r>
        <w:rPr>
          <w:rStyle w:val="39"/>
          <w:rFonts w:hAnsi="宋体"/>
          <w:sz w:val="21"/>
          <w:szCs w:val="21"/>
        </w:rPr>
        <w:t>法定代表人或其委托代理人：（签字或加盖人名章）</w:t>
      </w:r>
    </w:p>
    <w:p>
      <w:pPr>
        <w:rPr>
          <w:rStyle w:val="39"/>
          <w:sz w:val="24"/>
        </w:rPr>
      </w:pPr>
      <w:r>
        <w:rPr>
          <w:rStyle w:val="39"/>
          <w:rFonts w:hAnsi="宋体"/>
          <w:szCs w:val="21"/>
        </w:rPr>
        <w:t>日期：年月日</w:t>
      </w:r>
    </w:p>
    <w:p>
      <w:pPr>
        <w:pStyle w:val="122"/>
        <w:spacing w:before="120"/>
        <w:rPr>
          <w:rStyle w:val="39"/>
          <w:rFonts w:hAnsi="宋体"/>
          <w:sz w:val="21"/>
          <w:szCs w:val="21"/>
        </w:rPr>
      </w:pPr>
    </w:p>
    <w:p>
      <w:pPr>
        <w:pStyle w:val="122"/>
        <w:spacing w:before="120"/>
        <w:rPr>
          <w:rStyle w:val="39"/>
          <w:rFonts w:hAnsi="宋体"/>
          <w:sz w:val="21"/>
          <w:szCs w:val="21"/>
        </w:rPr>
      </w:pPr>
    </w:p>
    <w:p>
      <w:pPr>
        <w:spacing w:before="120"/>
        <w:ind w:left="-84" w:leftChars="-40" w:firstLine="525" w:firstLineChars="250"/>
        <w:rPr>
          <w:rStyle w:val="39"/>
        </w:rPr>
        <w:sectPr>
          <w:headerReference r:id="rId6" w:type="default"/>
          <w:footerReference r:id="rId7" w:type="default"/>
          <w:pgSz w:w="16838" w:h="11906"/>
          <w:pgMar w:top="1701" w:right="1247" w:bottom="1247" w:left="1247" w:header="851" w:footer="992" w:gutter="0"/>
          <w:cols w:space="425" w:num="1"/>
          <w:docGrid w:linePitch="312" w:charSpace="0"/>
        </w:sectPr>
      </w:pPr>
    </w:p>
    <w:p>
      <w:pPr>
        <w:snapToGrid w:val="0"/>
        <w:spacing w:before="156"/>
        <w:ind w:left="-84" w:leftChars="-40" w:firstLine="600" w:firstLineChars="250"/>
        <w:jc w:val="center"/>
        <w:rPr>
          <w:rStyle w:val="39"/>
          <w:rFonts w:hAnsi="宋体"/>
          <w:sz w:val="24"/>
        </w:rPr>
      </w:pPr>
    </w:p>
    <w:p>
      <w:pPr>
        <w:jc w:val="left"/>
        <w:outlineLvl w:val="0"/>
        <w:rPr>
          <w:rFonts w:ascii="宋体" w:hAnsi="宋体" w:cs="宋体"/>
          <w:b/>
          <w:sz w:val="24"/>
        </w:rPr>
      </w:pPr>
      <w:bookmarkStart w:id="205" w:name="_Toc20890"/>
      <w:bookmarkStart w:id="206" w:name="_Toc30474"/>
      <w:bookmarkStart w:id="207" w:name="_Toc19279"/>
      <w:bookmarkStart w:id="208" w:name="_Toc9094"/>
      <w:r>
        <w:rPr>
          <w:rFonts w:hint="eastAsia" w:ascii="宋体" w:hAnsi="宋体" w:cs="宋体"/>
          <w:b/>
          <w:sz w:val="24"/>
        </w:rPr>
        <w:t xml:space="preserve">附件11  </w:t>
      </w:r>
      <w:r>
        <w:rPr>
          <w:rFonts w:hint="eastAsia" w:ascii="宋体" w:hAnsi="宋体" w:cs="宋体"/>
          <w:b/>
          <w:kern w:val="0"/>
          <w:sz w:val="24"/>
        </w:rPr>
        <w:t>小微企业、监狱企业、残疾人福利单位的声明函或证明材料</w:t>
      </w:r>
      <w:bookmarkEnd w:id="205"/>
      <w:bookmarkEnd w:id="206"/>
      <w:bookmarkEnd w:id="207"/>
      <w:bookmarkEnd w:id="208"/>
    </w:p>
    <w:p>
      <w:pPr>
        <w:pStyle w:val="472"/>
        <w:snapToGrid w:val="0"/>
        <w:spacing w:before="156" w:beforeLines="50"/>
        <w:rPr>
          <w:rFonts w:hAnsi="宋体" w:cs="宋体"/>
          <w:sz w:val="24"/>
          <w:szCs w:val="24"/>
        </w:rPr>
      </w:pPr>
    </w:p>
    <w:p>
      <w:pPr>
        <w:spacing w:after="508" w:line="277" w:lineRule="auto"/>
        <w:ind w:left="10" w:right="302" w:hanging="10"/>
        <w:jc w:val="center"/>
      </w:pPr>
      <w:r>
        <w:rPr>
          <w:rFonts w:ascii="宋体" w:hAnsi="宋体" w:cs="宋体"/>
          <w:sz w:val="36"/>
        </w:rPr>
        <w:t>中小企业声明函（货物）</w:t>
      </w:r>
    </w:p>
    <w:p>
      <w:pPr>
        <w:ind w:left="-1" w:firstLine="641"/>
        <w:rPr>
          <w:sz w:val="24"/>
        </w:rPr>
      </w:pPr>
      <w:r>
        <w:rPr>
          <w:sz w:val="24"/>
        </w:rPr>
        <w:t>本公司（联合体）郑重声明，根据《政府采购促进中小企业发展管理办法》（财库</w:t>
      </w:r>
      <w:r>
        <w:rPr>
          <w:rFonts w:ascii="宋体" w:hAnsi="宋体" w:cs="宋体"/>
          <w:sz w:val="24"/>
        </w:rPr>
        <w:t>﹝</w:t>
      </w:r>
      <w:r>
        <w:rPr>
          <w:sz w:val="24"/>
        </w:rPr>
        <w:t>2020</w:t>
      </w:r>
      <w:r>
        <w:rPr>
          <w:rFonts w:ascii="宋体" w:hAnsi="宋体" w:cs="宋体"/>
          <w:sz w:val="24"/>
        </w:rPr>
        <w:t>﹞</w:t>
      </w:r>
      <w:r>
        <w:rPr>
          <w:sz w:val="24"/>
        </w:rPr>
        <w:t>46号）的规定，本公司（联合体）参加</w:t>
      </w:r>
      <w:r>
        <w:rPr>
          <w:sz w:val="24"/>
          <w:u w:val="single" w:color="000000"/>
        </w:rPr>
        <w:t>（单位名称）</w:t>
      </w:r>
      <w:r>
        <w:rPr>
          <w:sz w:val="24"/>
        </w:rPr>
        <w:t>的</w:t>
      </w:r>
      <w:r>
        <w:rPr>
          <w:sz w:val="24"/>
          <w:u w:val="single" w:color="000000"/>
        </w:rPr>
        <w:t>（项目名称）</w:t>
      </w:r>
      <w:r>
        <w:rPr>
          <w:sz w:val="24"/>
        </w:rPr>
        <w:t>采购活动，提供的货物全部由符合政策要求的中小企业制造。相关企业（含联合体中的中小企业、签订分包意向协议的中小企业）的具体情况如下：</w:t>
      </w:r>
    </w:p>
    <w:p>
      <w:pPr>
        <w:spacing w:after="50" w:line="259" w:lineRule="auto"/>
        <w:ind w:left="-15" w:right="56" w:firstLine="655"/>
        <w:rPr>
          <w:sz w:val="24"/>
        </w:rPr>
      </w:pPr>
      <w:r>
        <w:rPr>
          <w:sz w:val="24"/>
        </w:rPr>
        <w:t>1.</w:t>
      </w:r>
      <w:r>
        <w:rPr>
          <w:sz w:val="24"/>
          <w:u w:val="single" w:color="000000"/>
        </w:rPr>
        <w:t>（标的名称）</w:t>
      </w:r>
      <w:r>
        <w:rPr>
          <w:sz w:val="24"/>
        </w:rPr>
        <w:t>，属于</w:t>
      </w:r>
      <w:r>
        <w:rPr>
          <w:sz w:val="24"/>
          <w:u w:val="single" w:color="000000"/>
        </w:rPr>
        <w:t>（采购文件中明确的所属行业</w:t>
      </w:r>
      <w:r>
        <w:rPr>
          <w:sz w:val="24"/>
        </w:rPr>
        <w:t>）</w:t>
      </w:r>
      <w:r>
        <w:rPr>
          <w:sz w:val="24"/>
          <w:u w:val="single" w:color="000000"/>
        </w:rPr>
        <w:t>行业</w:t>
      </w:r>
      <w:r>
        <w:rPr>
          <w:sz w:val="24"/>
        </w:rPr>
        <w:t>；制造商为</w:t>
      </w:r>
      <w:r>
        <w:rPr>
          <w:sz w:val="24"/>
          <w:u w:val="single" w:color="000000"/>
        </w:rPr>
        <w:t>（企业名称</w:t>
      </w:r>
      <w:r>
        <w:rPr>
          <w:sz w:val="24"/>
        </w:rPr>
        <w:t xml:space="preserve">），从业人员 人，营业收入为 </w:t>
      </w:r>
      <w:r>
        <w:rPr>
          <w:sz w:val="24"/>
        </w:rPr>
        <mc:AlternateContent>
          <mc:Choice Requires="wpg">
            <w:drawing>
              <wp:inline distT="0" distB="0" distL="114300" distR="114300">
                <wp:extent cx="405765" cy="8890"/>
                <wp:effectExtent l="0" t="0" r="0" b="0"/>
                <wp:docPr id="3" name="Group 7731"/>
                <wp:cNvGraphicFramePr/>
                <a:graphic xmlns:a="http://schemas.openxmlformats.org/drawingml/2006/main">
                  <a:graphicData uri="http://schemas.microsoft.com/office/word/2010/wordprocessingGroup">
                    <wpg:wgp>
                      <wpg:cNvGrpSpPr/>
                      <wpg:grpSpPr>
                        <a:xfrm>
                          <a:off x="0" y="0"/>
                          <a:ext cx="405765" cy="8890"/>
                          <a:chOff x="0" y="0"/>
                          <a:chExt cx="405765" cy="9144"/>
                        </a:xfrm>
                      </wpg:grpSpPr>
                      <wps:wsp>
                        <wps:cNvPr id="2" name="Shape 757"/>
                        <wps:cNvSpPr/>
                        <wps:spPr>
                          <a:xfrm>
                            <a:off x="0" y="0"/>
                            <a:ext cx="405765" cy="0"/>
                          </a:xfrm>
                          <a:custGeom>
                            <a:avLst/>
                            <a:gdLst>
                              <a:gd name="txL" fmla="*/ 0 w 405765"/>
                              <a:gd name="txT" fmla="*/ 0 h 0"/>
                              <a:gd name="txR" fmla="*/ 405765 w 405765"/>
                              <a:gd name="txB" fmla="*/ 0 h 0"/>
                            </a:gdLst>
                            <a:ahLst/>
                            <a:cxnLst/>
                            <a:rect l="txL" t="txT" r="txR" b="txB"/>
                            <a:pathLst>
                              <a:path w="405765">
                                <a:moveTo>
                                  <a:pt x="0" y="0"/>
                                </a:moveTo>
                                <a:lnTo>
                                  <a:pt x="405765"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1" o:spid="_x0000_s1026" o:spt="203" style="height:0.7pt;width:31.95pt;" coordsize="405765,9144" o:gfxdata="UEsDBAoAAAAAAIdO4kAAAAAAAAAAAAAAAAAEAAAAZHJzL1BLAwQUAAAACACHTuJA0m8p29MAAAAC&#10;AQAADwAAAGRycy9kb3ducmV2LnhtbE2PQUvDQBCF74L/YRnBm93EarExmyJFPRWhrSC9TbPTJDQ7&#10;G7LbpP33jl708mB4j/e+yRdn16qB+tB4NpBOElDEpbcNVwY+t293T6BCRLbYeiYDFwqwKK6vcsys&#10;H3lNwyZWSko4ZGigjrHLtA5lTQ7DxHfE4h187zDK2Vfa9jhKuWv1fZLMtMOGZaHGjpY1lcfNyRl4&#10;H3F8maavw+p4WF5228ePr1VKxtzepMkzqEjn+BeGH3xBh0KY9v7ENqjWgDwSf1W82XQOai+ZB9BF&#10;rv+jF99QSwMEFAAAAAgAh07iQMLUxaqwAgAAewYAAA4AAABkcnMvZTJvRG9jLnhtbKVV204bMRB9&#10;r9R/sPxYqeyGSwMrEiQa4AW1qNAPcGzvRfJNtpPd/H3Hs5eE0EqI5iHx2mdnzhyfmVzfdFqRrfSh&#10;sWZBZyc5JdJwKxpTLejvl/uvl5SEyIxgyhq5oDsZ6M3y86fr1hXy1NZWCekJBDGhaN2C1jG6IssC&#10;r6Vm4cQ6aeCwtF6zCI++yoRnLUTXKjvN829Za71w3nIZAuyu+kM6RPTvCWjLsuFyZflGSxP7qF4q&#10;FqGkUDcu0CWyLUvJ48+yDDIStaBQacRvSALrdfrOltesqDxzdcMHCuw9FI5q0qwxkHQKtWKRkY1v&#10;3oTSDfc22DKecKuzvhBUBKqY5UfaPHi7cVhLVbSVm0SHizpS/cNh+Y/tkyeNWNAzSgzTcOGYlczn&#10;Z7OkTuuqAkAP3j27Jz9sVP1TKrgrvU6/UArpUNfdpKvsIuGweZ5fzL9dUMLh6PLyalCd13A1b97h&#10;9d1f3rqanZ8nNtmYMEu8JhqtAy+GvUDh/wR6rpmTqHtItQ8CnY4C4TGZX8x7fRAziROKADp9RBmU&#10;ZSqQFXwT4oO0qC7bPobYe1XACp0mhvuK3SMlpVbg2y8ZyUlLBr0H/AR7eQWryej+faBfB4g+yL+j&#10;3R5gczJEA/rVSJDVI2femXHpoSNTLyJp6MbYASvox9hBbujI2N0mVVnhWEzvj0vSTjZKW9pu5YvF&#10;w3hkIaCwP1XmEDX6cHQoQHsALFI+9NeUGDYPr8DY+0Yp5KZMooOeJJzBDCxh9oC9tYM+CqbCSRCs&#10;akR6JbEMvlp/V55sWZpD+Bns/ArmfIgrFuoeh0e9Gmu5lX3uWjJxZwSJOwe9amBE00RGS0GJkjDR&#10;0wpZRtao9yBRBSg9NVHv3bRaW7ED42+cb6oaLgqHAWKg0RCNMwklG+ZnGnqHz4ja/2c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Sbynb0wAAAAIBAAAPAAAAAAAAAAEAIAAAACIAAABkcnMvZG93&#10;bnJldi54bWxQSwECFAAUAAAACACHTuJAwtTFqrACAAB7BgAADgAAAAAAAAABACAAAAAiAQAAZHJz&#10;L2Uyb0RvYy54bWxQSwUGAAAAAAYABgBZAQAARAYAAAAA&#10;">
                <o:lock v:ext="edit" aspectratio="f"/>
                <v:shape id="Shape 757" o:spid="_x0000_s1026" o:spt="100" style="position:absolute;left:0;top:0;height:0;width:405765;" filled="f" stroked="t" coordsize="405765,1" o:gfxdata="UEsDBAoAAAAAAIdO4kAAAAAAAAAAAAAAAAAEAAAAZHJzL1BLAwQUAAAACACHTuJAFhUkS70AAADa&#10;AAAADwAAAGRycy9kb3ducmV2LnhtbEWPT2vCQBTE7wW/w/IEL0U38VBKdM3BYCm9+adFb8/sMwlm&#10;34bdrYnf3i0IPQ4z8xtmmQ+mFTdyvrGsIJ0lIIhLqxuuFBz2m+k7CB+QNbaWScGdPOSr0csSM217&#10;3tJtFyoRIewzVFCH0GVS+rImg35mO+LoXawzGKJ0ldQO+wg3rZwnyZs02HBcqLGjdU3ldfdrFLiP&#10;7x/Z3C+H4+DP8qt6LU5uWyg1GafJAkSgIfyHn+1PrWAOf1fiD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SRLvQAA&#10;ANoAAAAPAAAAAAAAAAEAIAAAACIAAABkcnMvZG93bnJldi54bWxQSwECFAAUAAAACACHTuJAMy8F&#10;njsAAAA5AAAAEAAAAAAAAAABACAAAAAMAQAAZHJzL3NoYXBleG1sLnhtbFBLBQYAAAAABgAGAFsB&#10;AAC2AwAAAAA=&#10;" path="m0,0l405765,0e">
                  <v:fill on="f" focussize="0,0"/>
                  <v:stroke weight="0.72pt" color="#000000" joinstyle="bevel"/>
                  <v:imagedata o:title=""/>
                  <o:lock v:ext="edit" aspectratio="f"/>
                </v:shape>
                <w10:wrap type="none"/>
                <w10:anchorlock/>
              </v:group>
            </w:pict>
          </mc:Fallback>
        </mc:AlternateContent>
      </w:r>
      <w:r>
        <w:rPr>
          <w:sz w:val="24"/>
        </w:rPr>
        <w:t xml:space="preserve">万元，资产总额为 </w:t>
      </w:r>
      <w:r>
        <w:rPr>
          <w:sz w:val="24"/>
        </w:rPr>
        <mc:AlternateContent>
          <mc:Choice Requires="wpg">
            <w:drawing>
              <wp:inline distT="0" distB="0" distL="114300" distR="114300">
                <wp:extent cx="406400" cy="8890"/>
                <wp:effectExtent l="0" t="0" r="0" b="0"/>
                <wp:docPr id="5" name="Group 7732"/>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4" name="Shape 761"/>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2"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nlT8fK8CAAB7BgAADgAAAGRycy9lMm9Eb2MueG1spVXbThsxEH2v&#10;1H+w/Fip7IamXFYkSDTACyqo0A9wbO9F8k22k938fcezl4TQSojmIfHaZ2fOHJ+ZXF13WpGt9KGx&#10;ZkFnJzkl0nArGlMt6O+Xu68XlITIjGDKGrmgOxno9fLzp6vWFfLU1lYJ6QkEMaFo3YLWMboiywKv&#10;pWbhxDpp4LC0XrMIj77KhGctRNcqO83zs6y1XjhvuQwBdlf9IR0i+vcEtGXZcLmyfKOliX1ULxWL&#10;UFKoGxfoEtmWpeTxsSyDjEQtKFQa8RuSwHqdvrPlFSsqz1zd8IECew+Fo5o0awwknUKtWGRk45s3&#10;oXTDvQ22jCfc6qwvBBWBKmb5kTb33m4c1lIVbeUm0eGijlT/cFj+c/vkSSMW9Dslhmm4cMxKzs+/&#10;nSZ1WlcVALr37tk9+WGj6p9SwV3pdfqFUkiHuu4mXWUXCYfNeX42z0FxDkcXF5eD6ryGq3nzDq9v&#10;//LW5Ww+T2yyMWGWeE00WgdeDHuBwv8J9FwzJ1H3kGofBJqPAuExOT+b9fogZhInFAF0+ogyKMtU&#10;ICv4JsR7aVFdtn0IsfeqgBU6TQz3FbsHSkqtwLdfMpKTlgx6D/gJ9vIKVpPR/ftAvw4QfZB/R7s5&#10;wOZkiAb0q5Egq0fOvDPj0kNHpl5E0tCNsQNW0I+xg9zQkbG7SaqywrGY3h+XpJ1slLa03coXi4fx&#10;yEJAYX+qzCFq9OHoUID2AFikfOivKTFsHl6BsXeNUshNmUQHPUk4gxlYwuwBe2sHfRRMhZMgWNWI&#10;9EpiGXy1/qE82bI0h/Az2PkVzPkQVyzUPQ6PejXWciv73LVk4tYIEncOetXAiKaJjJaCEiVhoqcV&#10;soysUe9BogpQemqi3rtptbZiB8bfON9UNVwUmh0x0GiIxpmEkg3zMw29w2dE7f8z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f6LIu9IAAAACAQAADwAAAAAAAAABACAAAAAiAAAAZHJzL2Rvd25y&#10;ZXYueG1sUEsBAhQAFAAAAAgAh07iQJ5U/HyvAgAAewYAAA4AAAAAAAAAAQAgAAAAIQEAAGRycy9l&#10;Mm9Eb2MueG1sUEsFBgAAAAAGAAYAWQEAAEIGAAAAAA==&#10;">
                <o:lock v:ext="edit" aspectratio="f"/>
                <v:shape id="Shape 761" o:spid="_x0000_s1026" o:spt="100" style="position:absolute;left:0;top:0;height:0;width:406400;" filled="f" stroked="t" coordsize="406400,1" o:gfxdata="UEsDBAoAAAAAAIdO4kAAAAAAAAAAAAAAAAAEAAAAZHJzL1BLAwQUAAAACACHTuJA/uSHtLoAAADa&#10;AAAADwAAAGRycy9kb3ducmV2LnhtbEWPQYvCMBSE74L/ITzBm6YVEa1GwYVVr7pSPD6aZ1tsXkoT&#10;a/vvjSDscZiZb5jNrjOVaKlxpWUF8TQCQZxZXXKu4Pr3O1mCcB5ZY2WZFPTkYLcdDjaYaPviM7UX&#10;n4sAYZeggsL7OpHSZQUZdFNbEwfvbhuDPsgml7rBV4CbSs6iaCENlhwWCqzpp6DscXkaBffbIz+e&#10;4z7N0tbNZ8tTtzr0e6XGozhag/DU+f/wt33SCubwuRJugN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Ie0ugAAANoA&#10;AAAPAAAAAAAAAAEAIAAAACIAAABkcnMvZG93bnJldi54bWxQSwECFAAUAAAACACHTuJAMy8FnjsA&#10;AAA5AAAAEAAAAAAAAAABACAAAAAJAQAAZHJzL3NoYXBleG1sLnhtbFBLBQYAAAAABgAGAFsBAACz&#10;Aw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50" w:line="259" w:lineRule="auto"/>
        <w:ind w:left="665" w:right="56" w:hanging="10"/>
        <w:rPr>
          <w:sz w:val="24"/>
        </w:rPr>
      </w:pPr>
      <w:r>
        <w:rPr>
          <w:sz w:val="24"/>
        </w:rPr>
        <w:t>2.</w:t>
      </w:r>
      <w:r>
        <w:rPr>
          <w:sz w:val="24"/>
          <w:u w:val="single" w:color="000000"/>
        </w:rPr>
        <w:t>（标的名称）</w:t>
      </w:r>
      <w:r>
        <w:rPr>
          <w:sz w:val="24"/>
        </w:rPr>
        <w:t>，属于</w:t>
      </w:r>
      <w:r>
        <w:rPr>
          <w:sz w:val="24"/>
          <w:u w:val="single" w:color="000000"/>
        </w:rPr>
        <w:t>（采购文件中明确的所属行业</w:t>
      </w:r>
      <w:r>
        <w:rPr>
          <w:sz w:val="24"/>
        </w:rPr>
        <w:t>）</w:t>
      </w:r>
    </w:p>
    <w:p>
      <w:pPr>
        <w:spacing w:after="2" w:line="301" w:lineRule="auto"/>
        <w:ind w:left="-1" w:right="231"/>
        <w:rPr>
          <w:sz w:val="24"/>
        </w:rPr>
      </w:pPr>
      <w:r>
        <w:rPr>
          <w:sz w:val="24"/>
          <w:u w:val="single" w:color="000000"/>
        </w:rPr>
        <w:t>行业</w:t>
      </w:r>
      <w:r>
        <w:rPr>
          <w:sz w:val="24"/>
        </w:rPr>
        <w:t>；制造商为</w:t>
      </w:r>
      <w:r>
        <w:rPr>
          <w:sz w:val="24"/>
          <w:u w:val="single" w:color="000000"/>
        </w:rPr>
        <w:t>（企业名称</w:t>
      </w:r>
      <w:r>
        <w:rPr>
          <w:sz w:val="24"/>
        </w:rPr>
        <w:t xml:space="preserve">），从业人员 </w:t>
      </w:r>
      <w:r>
        <w:rPr>
          <w:sz w:val="24"/>
        </w:rPr>
        <mc:AlternateContent>
          <mc:Choice Requires="wpg">
            <w:drawing>
              <wp:inline distT="0" distB="0" distL="114300" distR="114300">
                <wp:extent cx="419100" cy="8890"/>
                <wp:effectExtent l="0" t="0" r="0" b="0"/>
                <wp:docPr id="7" name="Group 7733"/>
                <wp:cNvGraphicFramePr/>
                <a:graphic xmlns:a="http://schemas.openxmlformats.org/drawingml/2006/main">
                  <a:graphicData uri="http://schemas.microsoft.com/office/word/2010/wordprocessingGroup">
                    <wpg:wgp>
                      <wpg:cNvGrpSpPr/>
                      <wpg:grpSpPr>
                        <a:xfrm>
                          <a:off x="0" y="0"/>
                          <a:ext cx="419100" cy="8890"/>
                          <a:chOff x="0" y="0"/>
                          <a:chExt cx="419100" cy="9144"/>
                        </a:xfrm>
                      </wpg:grpSpPr>
                      <wps:wsp>
                        <wps:cNvPr id="6" name="Shape 823"/>
                        <wps:cNvSpPr/>
                        <wps:spPr>
                          <a:xfrm>
                            <a:off x="0" y="0"/>
                            <a:ext cx="419100" cy="0"/>
                          </a:xfrm>
                          <a:custGeom>
                            <a:avLst/>
                            <a:gdLst>
                              <a:gd name="txL" fmla="*/ 0 w 419100"/>
                              <a:gd name="txT" fmla="*/ 0 h 0"/>
                              <a:gd name="txR" fmla="*/ 419100 w 419100"/>
                              <a:gd name="txB" fmla="*/ 0 h 0"/>
                            </a:gdLst>
                            <a:ahLst/>
                            <a:cxnLst/>
                            <a:rect l="txL" t="txT" r="txR" b="txB"/>
                            <a:pathLst>
                              <a:path w="419100">
                                <a:moveTo>
                                  <a:pt x="0" y="0"/>
                                </a:moveTo>
                                <a:lnTo>
                                  <a:pt x="4191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3" o:spid="_x0000_s1026" o:spt="203" style="height:0.7pt;width:33pt;" coordsize="419100,9144" o:gfxdata="UEsDBAoAAAAAAIdO4kAAAAAAAAAAAAAAAAAEAAAAZHJzL1BLAwQUAAAACACHTuJA/ZTQZtMAAAAC&#10;AQAADwAAAGRycy9kb3ducmV2LnhtbE2PT0vDQBDF74LfYRnBm93EP0HSbIoU9VQEW0F6m2anSWh2&#10;NmS3SfvtHb3Uy8DjPd78XrE4uU6NNITWs4F0loAirrxtuTbwtXm7ewYVIrLFzjMZOFOARXl9VWBu&#10;/cSfNK5jraSEQ44Gmhj7XOtQNeQwzHxPLN7eDw6jyKHWdsBJyl2n75Mk0w5blg8N9rRsqDqsj87A&#10;+4TTy0P6Oq4O++V5u3n6+F6lZMztTZrMQUU6xUsYfvEFHUph2vkj26A6AzIk/l3xskzUTjKPoMtC&#10;/0cvfwBQSwMEFAAAAAgAh07iQH1V4tauAgAAewYAAA4AAABkcnMvZTJvRG9jLnhtbKVV204bMRB9&#10;r9R/sPxYqewGEIQVCRIN8IJaBPQDHNt7kXyT7WQ3f9/x7CUhtBKieUi89tmZM8dnJtc3nVZkK31o&#10;rFnQ2UlOiTTcisZUC/r79f77nJIQmRFMWSMXdCcDvVl+/XLdukKe2toqIT2BICYUrVvQOkZXZFng&#10;tdQsnFgnDRyW1msW4dFXmfCshehaZad5fpG11gvnLZchwO6qP6RDRP+RgLYsGy5Xlm+0NLGP6qVi&#10;EUoKdeMCXSLbspQ8/irLICNRCwqVRvyGJLBep+9sec2KyjNXN3ygwD5C4agmzRoDSadQKxYZ2fjm&#10;XSjdcG+DLeMJtzrrC0FFoIpZfqTNg7cbh7VURVu5SXS4qCPVPx2W/9w+edKIBb2kxDANF45ZyeXl&#10;2VlSp3VVAaAH717ckx82qv4pFdyVXqdfKIV0qOtu0lV2kXDYPJ9dzXJQnMPRfH41qM5ruJp37/D6&#10;7i9vXc3OzxObbEyYJV4TjdaBF8NeoPB/Ar3UzEnUPaTaB4EuRoHwmMxPB30QM4kTigA6fUYZlGUq&#10;kBV8E+KDtKgu2z6G2HtVwAqdJob7it0jJaVW4NtvGclJSwa9B/wEe30Dq8no/n2g5wNEH+Tf0W4P&#10;sDkZogH9aiTI6pEz78y49NCRqReRNHRj7IAV9GPsIDd0ZOxu+550LKb3U6VpSdrJRmlL2618tXgY&#10;jywEFPanyhyiRh+ODgVoD4BFSoL+mhLD5uEVGHvfKIWaKpPooCcJZzADS5g9YG/toI+CqXASBKsa&#10;kV5JLIOv1j+UJ1uW5hB+Bju/gTkf4oqFusfhUa/GWm5ln7uWTNwZQeLOQa8aGNE0kdFSUKIkTPS0&#10;QpaRNeojSFQBSk9N1Hs3rdZW7MD4G+ebqoaLmiHfodEQjTMJJRvmZxp6h8+I2v9nL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ZTQZtMAAAACAQAADwAAAAAAAAABACAAAAAiAAAAZHJzL2Rvd25y&#10;ZXYueG1sUEsBAhQAFAAAAAgAh07iQH1V4tauAgAAewYAAA4AAAAAAAAAAQAgAAAAIgEAAGRycy9l&#10;Mm9Eb2MueG1sUEsFBgAAAAAGAAYAWQEAAEIGAAAAAA==&#10;">
                <o:lock v:ext="edit" aspectratio="f"/>
                <v:shape id="Shape 823" o:spid="_x0000_s1026" o:spt="100" style="position:absolute;left:0;top:0;height:0;width:419100;" filled="f" stroked="t" coordsize="419100,1" o:gfxdata="UEsDBAoAAAAAAIdO4kAAAAAAAAAAAAAAAAAEAAAAZHJzL1BLAwQUAAAACACHTuJAJ/qh5r0AAADa&#10;AAAADwAAAGRycy9kb3ducmV2LnhtbEWPT2sCMRTE70K/Q3iCN00sssrWuNhCQS9S/xw8Pjav2WU3&#10;L8sm1W0/vSkUehxm5jfMuhhcK27Uh9qzhvlMgSAuvanZaric36crECEiG2w9k4ZvClBsnkZrzI2/&#10;85Fup2hFgnDIUUMVY5dLGcqKHIaZ74iT9+l7hzHJ3krT4z3BXSuflcqkw5rTQoUdvVVUNqcvp2G5&#10;Xx4/9tdtPOxeh0tmf5TlRaP1ZDxXLyAiDfE//NfeGQ0Z/F5JN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qHmvQAA&#10;ANoAAAAPAAAAAAAAAAEAIAAAACIAAABkcnMvZG93bnJldi54bWxQSwECFAAUAAAACACHTuJAMy8F&#10;njsAAAA5AAAAEAAAAAAAAAABACAAAAAMAQAAZHJzL3NoYXBleG1sLnhtbFBLBQYAAAAABgAGAFsB&#10;AAC2AwAAAAA=&#10;" path="m0,0l419100,0e">
                  <v:fill on="f" focussize="0,0"/>
                  <v:stroke weight="0.72pt" color="#000000" joinstyle="bevel"/>
                  <v:imagedata o:title=""/>
                  <o:lock v:ext="edit" aspectratio="f"/>
                </v:shape>
                <w10:wrap type="none"/>
                <w10:anchorlock/>
              </v:group>
            </w:pict>
          </mc:Fallback>
        </mc:AlternateContent>
      </w:r>
      <w:r>
        <w:rPr>
          <w:sz w:val="24"/>
        </w:rPr>
        <w:t>人，营业收入为</w:t>
      </w:r>
      <w:r>
        <w:rPr>
          <w:sz w:val="24"/>
          <w:u w:val="single"/>
        </w:rPr>
        <w:t xml:space="preserve">   </w:t>
      </w:r>
      <w:r>
        <w:rPr>
          <w:sz w:val="24"/>
        </w:rPr>
        <w:t xml:space="preserve">万元，资产总额为 </w:t>
      </w:r>
      <w:r>
        <w:rPr>
          <w:sz w:val="24"/>
        </w:rPr>
        <mc:AlternateContent>
          <mc:Choice Requires="wpg">
            <w:drawing>
              <wp:inline distT="0" distB="0" distL="114300" distR="114300">
                <wp:extent cx="406400" cy="8890"/>
                <wp:effectExtent l="0" t="0" r="0" b="0"/>
                <wp:docPr id="9" name="Group 7734"/>
                <wp:cNvGraphicFramePr/>
                <a:graphic xmlns:a="http://schemas.openxmlformats.org/drawingml/2006/main">
                  <a:graphicData uri="http://schemas.microsoft.com/office/word/2010/wordprocessingGroup">
                    <wpg:wgp>
                      <wpg:cNvGrpSpPr/>
                      <wpg:grpSpPr>
                        <a:xfrm>
                          <a:off x="0" y="0"/>
                          <a:ext cx="406400" cy="8890"/>
                          <a:chOff x="0" y="0"/>
                          <a:chExt cx="406400" cy="9144"/>
                        </a:xfrm>
                      </wpg:grpSpPr>
                      <wps:wsp>
                        <wps:cNvPr id="8" name="Shape 830"/>
                        <wps:cNvSpPr/>
                        <wps:spPr>
                          <a:xfrm>
                            <a:off x="0" y="0"/>
                            <a:ext cx="406400" cy="0"/>
                          </a:xfrm>
                          <a:custGeom>
                            <a:avLst/>
                            <a:gdLst>
                              <a:gd name="txL" fmla="*/ 0 w 406400"/>
                              <a:gd name="txT" fmla="*/ 0 h 0"/>
                              <a:gd name="txR" fmla="*/ 406400 w 406400"/>
                              <a:gd name="txB" fmla="*/ 0 h 0"/>
                            </a:gdLst>
                            <a:ahLst/>
                            <a:cxnLst/>
                            <a:rect l="txL" t="txT" r="txR" b="txB"/>
                            <a:pathLst>
                              <a:path w="406400">
                                <a:moveTo>
                                  <a:pt x="0" y="0"/>
                                </a:moveTo>
                                <a:lnTo>
                                  <a:pt x="406400" y="0"/>
                                </a:lnTo>
                              </a:path>
                            </a:pathLst>
                          </a:custGeom>
                          <a:noFill/>
                          <a:ln w="9144" cap="flat" cmpd="sng">
                            <a:solidFill>
                              <a:srgbClr val="000000"/>
                            </a:solidFill>
                            <a:prstDash val="solid"/>
                            <a:bevel/>
                            <a:headEnd type="none" w="med" len="med"/>
                            <a:tailEnd type="none" w="med" len="med"/>
                          </a:ln>
                        </wps:spPr>
                        <wps:bodyPr upright="1"/>
                      </wps:wsp>
                    </wpg:wgp>
                  </a:graphicData>
                </a:graphic>
              </wp:inline>
            </w:drawing>
          </mc:Choice>
          <mc:Fallback>
            <w:pict>
              <v:group id="Group 7734" o:spid="_x0000_s1026" o:spt="203" style="height:0.7pt;width:32pt;" coordsize="406400,9144" o:gfxdata="UEsDBAoAAAAAAIdO4kAAAAAAAAAAAAAAAAAEAAAAZHJzL1BLAwQUAAAACACHTuJAf6LIu9IAAAAC&#10;AQAADwAAAGRycy9kb3ducmV2LnhtbE2PQUvDQBCF74L/YRnBm93E1iIxmyLFeiqCbaF4m2anSWh2&#10;NmS3SfvvHb3oZeDxHm++ly8urlUD9aHxbCCdJKCIS28brgzstquHZ1AhIltsPZOBKwVYFLc3OWbW&#10;j/xJwyZWSko4ZGigjrHLtA5lTQ7DxHfE4h197zCK7Cttexyl3LX6MUnm2mHD8qHGjpY1lafN2Rl4&#10;H3F8naZvw/p0XF6/tk8f+3VKxtzfpckLqEiX+BeGH3xBh0KYDv7MNqjWgAyJv1e8+UzUQTIz0EWu&#10;/6MX31BLAwQUAAAACACHTuJAJRoYSLICAAB7BgAADgAAAGRycy9lMm9Eb2MueG1spVXbbtswDH0f&#10;sH8Q9DhgtdMGbWokKdClzUuxFW33AYosXwDdICmx8/ej6EvSdAOCLg8OLR2Rh0ckPb9rlSQ74Xxt&#10;9IJOLlJKhOYmr3W5oL/fHr/PKPGB6ZxJo8WC7oWnd8uvX+aNzcSlqYzMhSPgRPussQtahWCzJPG8&#10;Eor5C2OFhs3COMUCvLoyyR1rwLuSyWWaXieNcbl1hgvvYXXVbdLeozvHoSmKmouV4VsldOi8OiFZ&#10;gJR8VVtPl8i2KAQPv4rCi0DkgkKmAZ8QBOxNfCbLOctKx2xV854CO4fCSU6K1RqCjq5WLDCydfUH&#10;V6rmznhThAtuVNIlgopAFpP0RJu1M1uLuZRZU9pRdLioE9U/7Zb/3D07UucLekuJZgouHKOSm5ur&#10;aVSnsWUGoLWzr/bZ9Qtl9xYTbgun4j+kQlrUdT/qKtpAOCxO0+tpCopz2JrNbnvVeQVX8+EMrx7+&#10;cup2MkU2yRAwibxGGo2FWvQHgfz/CfRaMStQdx9z7wWCvugEwm0yu8I8YmjAjOL4zINOn1EG3Y0J&#10;soxvfVgLg+qy3ZMPXa3mYGGl5T2d0D5RUigJdfstISlpSK93jx9hb+9gFRmq/+Do5QjROfm3t/sj&#10;bEp6b0C/HAiyauDMWz2YDjoy9iKShm4MLbCCfgwtxIaODO1915OWhXg+ZhpN0oxlFJeU2Yk3g5vh&#10;pISAwmFX6mPUUIdDhQK0A4ARgyznvYGBwT6+Am0eaylRU6kjHaxJwhnMwAJmD5S3stBHXpc4CbyR&#10;dR6PRJbelZsf0pEdi3MIfzFNCPEOZp0PK+arDodbnRobsRNd7Eqw/EHnJOwt9KqGEU0jGSVySqSA&#10;iR4tZBlYLc9BAgmpgUus5K52o7Ux+R4Kf2tdXVZwURPk2zcaonEmYQ79/IxD7/gdUYdvxvI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f6LIu9IAAAACAQAADwAAAAAAAAABACAAAAAiAAAAZHJzL2Rv&#10;d25yZXYueG1sUEsBAhQAFAAAAAgAh07iQCUaGEiyAgAAewYAAA4AAAAAAAAAAQAgAAAAIQEAAGRy&#10;cy9lMm9Eb2MueG1sUEsFBgAAAAAGAAYAWQEAAEUGAAAAAA==&#10;">
                <o:lock v:ext="edit" aspectratio="f"/>
                <v:shape id="Shape 830" o:spid="_x0000_s1026" o:spt="100" style="position:absolute;left:0;top:0;height:0;width:406400;" filled="f" stroked="t" coordsize="406400,1" o:gfxdata="UEsDBAoAAAAAAIdO4kAAAAAAAAAAAAAAAAAEAAAAZHJzL1BLAwQUAAAACACHTuJAf6mNsbUAAADa&#10;AAAADwAAAGRycy9kb3ducmV2LnhtbEVPyQrCMBC9C/5DGMGbphURrUZBweXqgngcmrEtNpPSxNr+&#10;vTkIHh9vX21aU4qGaldYVhCPIxDEqdUFZwpu1/1oDsJ5ZI2lZVLQkYPNut9bYaLth8/UXHwmQgi7&#10;BBXk3leJlC7NyaAb24o4cE9bG/QB1pnUNX5CuCnlJIpm0mDBoSHHinY5pa/L2yh4Pl7Z8Rx39/Te&#10;uOlkfmoXh26r1HAQR0sQnlr/F//cJ60gbA1Xwg2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6mNsbUAAADaAAAADwAA&#10;AAAAAAABACAAAAAiAAAAZHJzL2Rvd25yZXYueG1sUEsBAhQAFAAAAAgAh07iQDMvBZ47AAAAOQAA&#10;ABAAAAAAAAAAAQAgAAAABAEAAGRycy9zaGFwZXhtbC54bWxQSwUGAAAAAAYABgBbAQAArgMAAAAA&#10;" path="m0,0l406400,0e">
                  <v:fill on="f" focussize="0,0"/>
                  <v:stroke weight="0.72pt" color="#000000" joinstyle="bevel"/>
                  <v:imagedata o:title=""/>
                  <o:lock v:ext="edit" aspectratio="f"/>
                </v:shape>
                <w10:wrap type="none"/>
                <w10:anchorlock/>
              </v:group>
            </w:pict>
          </mc:Fallback>
        </mc:AlternateContent>
      </w:r>
      <w:r>
        <w:rPr>
          <w:sz w:val="24"/>
        </w:rPr>
        <w:t>万元，属于</w:t>
      </w:r>
      <w:r>
        <w:rPr>
          <w:sz w:val="24"/>
          <w:u w:val="single" w:color="000000"/>
        </w:rPr>
        <w:t>（中型企业、小型企业、微型企业</w:t>
      </w:r>
      <w:r>
        <w:rPr>
          <w:sz w:val="24"/>
        </w:rPr>
        <w:t>）；</w:t>
      </w:r>
    </w:p>
    <w:p>
      <w:pPr>
        <w:spacing w:after="73" w:line="259" w:lineRule="auto"/>
        <w:ind w:left="655"/>
        <w:rPr>
          <w:sz w:val="24"/>
        </w:rPr>
      </w:pPr>
      <w:r>
        <w:rPr>
          <w:sz w:val="24"/>
        </w:rPr>
        <w:t>……</w:t>
      </w:r>
    </w:p>
    <w:p>
      <w:pPr>
        <w:ind w:left="-1" w:firstLine="646"/>
        <w:rPr>
          <w:sz w:val="24"/>
        </w:rPr>
      </w:pPr>
      <w:r>
        <w:rPr>
          <w:sz w:val="24"/>
        </w:rPr>
        <w:t>以上企业，不属于大企业的分支机构，不存在控股股东为大企业的情形，也不存在与大企业的负责人为同一人的情形。</w:t>
      </w:r>
    </w:p>
    <w:p>
      <w:pPr>
        <w:ind w:left="-1" w:firstLine="646"/>
        <w:rPr>
          <w:sz w:val="24"/>
        </w:rPr>
      </w:pPr>
      <w:r>
        <w:rPr>
          <w:sz w:val="24"/>
        </w:rPr>
        <w:t>本企业对上述声明内容的真实性负责。如有虚假，将依法承担相应责任。</w:t>
      </w: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left="3854" w:right="1037"/>
        <w:rPr>
          <w:sz w:val="24"/>
        </w:rPr>
      </w:pPr>
    </w:p>
    <w:p>
      <w:pPr>
        <w:ind w:right="1037"/>
        <w:rPr>
          <w:sz w:val="28"/>
          <w:szCs w:val="28"/>
        </w:rPr>
      </w:pPr>
      <w:r>
        <w:rPr>
          <w:sz w:val="28"/>
          <w:szCs w:val="28"/>
        </w:rPr>
        <w:t>企业名称（盖章）：</w:t>
      </w:r>
    </w:p>
    <w:p>
      <w:pPr>
        <w:ind w:right="1037"/>
        <w:rPr>
          <w:sz w:val="28"/>
          <w:szCs w:val="28"/>
        </w:rPr>
      </w:pPr>
    </w:p>
    <w:p>
      <w:pPr>
        <w:ind w:right="1037"/>
        <w:rPr>
          <w:sz w:val="28"/>
          <w:szCs w:val="28"/>
        </w:rPr>
      </w:pPr>
      <w:r>
        <w:rPr>
          <w:sz w:val="28"/>
          <w:szCs w:val="28"/>
        </w:rPr>
        <w:t>日期：</w:t>
      </w:r>
    </w:p>
    <w:p>
      <w:pPr>
        <w:pStyle w:val="2"/>
      </w:pPr>
    </w:p>
    <w:p/>
    <w:p>
      <w:pPr>
        <w:pStyle w:val="2"/>
      </w:pPr>
    </w:p>
    <w:p/>
    <w:p>
      <w:pPr>
        <w:pStyle w:val="2"/>
      </w:pPr>
    </w:p>
    <w:p/>
    <w:p>
      <w:pPr>
        <w:pStyle w:val="2"/>
      </w:pPr>
    </w:p>
    <w:p>
      <w:r>
        <w:rPr>
          <w:rFonts w:hint="eastAsia"/>
        </w:rPr>
        <w:t>注：</w:t>
      </w:r>
      <w:r>
        <w:t>从业人员、营业收入、资产总额填报上一年度数据，无上一年度数据的新成立企业可不填报</w:t>
      </w:r>
    </w:p>
    <w:p>
      <w:pPr>
        <w:jc w:val="left"/>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（二）监狱企业证明</w:t>
      </w:r>
    </w:p>
    <w:p>
      <w:pPr>
        <w:jc w:val="center"/>
        <w:rPr>
          <w:rStyle w:val="39"/>
          <w:sz w:val="24"/>
        </w:rPr>
      </w:pPr>
      <w:r>
        <w:rPr>
          <w:rStyle w:val="39"/>
          <w:sz w:val="24"/>
        </w:rPr>
        <w:t>（注：符合条件的监狱企业请提供本函，不符合的不提供本函）</w:t>
      </w:r>
    </w:p>
    <w:p>
      <w:pPr>
        <w:pStyle w:val="66"/>
        <w:snapToGrid w:val="0"/>
        <w:spacing w:before="156"/>
        <w:rPr>
          <w:rStyle w:val="39"/>
          <w:rFonts w:hAnsi="宋体"/>
          <w:sz w:val="24"/>
          <w:szCs w:val="24"/>
        </w:rPr>
      </w:pPr>
    </w:p>
    <w:p>
      <w:pPr>
        <w:pStyle w:val="66"/>
        <w:snapToGrid w:val="0"/>
        <w:spacing w:before="156"/>
        <w:rPr>
          <w:rStyle w:val="39"/>
          <w:rFonts w:hAnsi="宋体"/>
          <w:sz w:val="24"/>
          <w:szCs w:val="24"/>
        </w:rPr>
      </w:pPr>
      <w:r>
        <w:rPr>
          <w:rStyle w:val="39"/>
          <w:rFonts w:hAnsi="宋体"/>
          <w:sz w:val="24"/>
          <w:szCs w:val="24"/>
        </w:rPr>
        <w:t>省级以上监狱管理局、戒毒管理局（含新疆生产建设兵团）出具的属于监狱企业的证明文件。</w:t>
      </w:r>
    </w:p>
    <w:p>
      <w:pPr>
        <w:pStyle w:val="66"/>
        <w:snapToGrid w:val="0"/>
        <w:spacing w:before="156"/>
        <w:rPr>
          <w:rStyle w:val="39"/>
          <w:rFonts w:hAnsi="宋体"/>
          <w:sz w:val="24"/>
          <w:szCs w:val="24"/>
        </w:rPr>
      </w:pPr>
    </w:p>
    <w:p>
      <w:pPr>
        <w:jc w:val="center"/>
        <w:rPr>
          <w:rStyle w:val="39"/>
          <w:rFonts w:hAnsi="宋体"/>
          <w:sz w:val="24"/>
        </w:rPr>
      </w:pPr>
      <w:r>
        <w:rPr>
          <w:rStyle w:val="39"/>
          <w:rFonts w:hAnsi="宋体"/>
          <w:sz w:val="24"/>
        </w:rPr>
        <w:br w:type="page"/>
      </w:r>
    </w:p>
    <w:p>
      <w:pPr>
        <w:jc w:val="center"/>
        <w:rPr>
          <w:rStyle w:val="39"/>
          <w:rFonts w:hAnsi="宋体"/>
          <w:sz w:val="32"/>
          <w:szCs w:val="32"/>
        </w:rPr>
      </w:pPr>
      <w:r>
        <w:rPr>
          <w:rStyle w:val="39"/>
          <w:rFonts w:hAnsi="宋体"/>
          <w:sz w:val="32"/>
          <w:szCs w:val="32"/>
        </w:rPr>
        <w:t>（三）残疾人福利性单位声明函</w:t>
      </w:r>
    </w:p>
    <w:p>
      <w:pPr>
        <w:jc w:val="center"/>
        <w:rPr>
          <w:rStyle w:val="39"/>
          <w:sz w:val="24"/>
        </w:rPr>
      </w:pPr>
      <w:r>
        <w:rPr>
          <w:rStyle w:val="39"/>
          <w:sz w:val="24"/>
        </w:rPr>
        <w:t>（注：符合条件的残疾人福利性单位请提供本函，不符合的不提供本函）</w:t>
      </w:r>
    </w:p>
    <w:p>
      <w:pPr>
        <w:rPr>
          <w:rStyle w:val="39"/>
          <w:sz w:val="24"/>
        </w:rPr>
      </w:pPr>
    </w:p>
    <w:p>
      <w:pPr>
        <w:rPr>
          <w:rStyle w:val="39"/>
          <w:sz w:val="24"/>
        </w:rPr>
      </w:pPr>
    </w:p>
    <w:p>
      <w:pPr>
        <w:rPr>
          <w:rStyle w:val="39"/>
          <w:sz w:val="24"/>
        </w:rPr>
      </w:pPr>
      <w:r>
        <w:rPr>
          <w:rStyle w:val="39"/>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rPr>
          <w:rStyle w:val="39"/>
          <w:sz w:val="24"/>
        </w:rPr>
      </w:pPr>
    </w:p>
    <w:p>
      <w:pPr>
        <w:rPr>
          <w:rStyle w:val="39"/>
          <w:sz w:val="24"/>
        </w:rPr>
      </w:pPr>
      <w:r>
        <w:rPr>
          <w:rStyle w:val="39"/>
          <w:sz w:val="24"/>
        </w:rPr>
        <w:t>本单位对上述声明的真实性负责。如有虚假，将依法承担相应责任。</w:t>
      </w:r>
    </w:p>
    <w:p>
      <w:pPr>
        <w:rPr>
          <w:rStyle w:val="39"/>
          <w:sz w:val="24"/>
        </w:rPr>
      </w:pPr>
    </w:p>
    <w:p>
      <w:pPr>
        <w:rPr>
          <w:rStyle w:val="39"/>
          <w:sz w:val="24"/>
        </w:rPr>
      </w:pPr>
    </w:p>
    <w:p>
      <w:pPr>
        <w:rPr>
          <w:rStyle w:val="39"/>
          <w:sz w:val="24"/>
        </w:rPr>
      </w:pPr>
    </w:p>
    <w:p>
      <w:pPr>
        <w:rPr>
          <w:rStyle w:val="39"/>
          <w:sz w:val="24"/>
        </w:rPr>
      </w:pPr>
    </w:p>
    <w:p>
      <w:pPr>
        <w:rPr>
          <w:rStyle w:val="39"/>
          <w:sz w:val="24"/>
        </w:rPr>
      </w:pPr>
    </w:p>
    <w:p>
      <w:pPr>
        <w:rPr>
          <w:rStyle w:val="39"/>
          <w:sz w:val="24"/>
        </w:rPr>
      </w:pPr>
      <w:r>
        <w:rPr>
          <w:rStyle w:val="39"/>
          <w:sz w:val="24"/>
        </w:rPr>
        <w:t>单位名称（盖章）：</w:t>
      </w:r>
    </w:p>
    <w:p>
      <w:pPr>
        <w:rPr>
          <w:rStyle w:val="39"/>
          <w:sz w:val="24"/>
        </w:rPr>
      </w:pPr>
    </w:p>
    <w:p>
      <w:pPr>
        <w:rPr>
          <w:rStyle w:val="39"/>
          <w:sz w:val="24"/>
        </w:rPr>
      </w:pPr>
      <w:r>
        <w:rPr>
          <w:rStyle w:val="39"/>
          <w:sz w:val="24"/>
        </w:rPr>
        <w:t>日  期：</w:t>
      </w:r>
    </w:p>
    <w:p>
      <w:pPr>
        <w:rPr>
          <w:rStyle w:val="39"/>
          <w:sz w:val="24"/>
        </w:rPr>
      </w:pPr>
    </w:p>
    <w:p>
      <w:pPr>
        <w:pStyle w:val="66"/>
        <w:snapToGrid w:val="0"/>
        <w:spacing w:before="156"/>
        <w:jc w:val="center"/>
        <w:rPr>
          <w:rStyle w:val="39"/>
          <w:rFonts w:ascii="仿宋_GB2312" w:hAnsi="宋体" w:eastAsia="仿宋_GB2312"/>
          <w:b/>
          <w:sz w:val="24"/>
        </w:rPr>
      </w:pPr>
    </w:p>
    <w:p>
      <w:pPr>
        <w:jc w:val="left"/>
        <w:rPr>
          <w:rStyle w:val="39"/>
          <w:rFonts w:ascii="宋体" w:hAnsi="宋体"/>
          <w:sz w:val="24"/>
        </w:rPr>
      </w:pPr>
      <w:r>
        <w:rPr>
          <w:rStyle w:val="39"/>
          <w:rFonts w:ascii="宋体" w:hAnsi="宋体"/>
          <w:sz w:val="24"/>
        </w:rPr>
        <w:br w:type="page"/>
      </w:r>
    </w:p>
    <w:p>
      <w:pPr>
        <w:jc w:val="left"/>
        <w:rPr>
          <w:rStyle w:val="39"/>
          <w:rFonts w:ascii="宋体" w:hAnsi="宋体"/>
          <w:sz w:val="24"/>
        </w:rPr>
      </w:pPr>
    </w:p>
    <w:p>
      <w:pPr>
        <w:spacing w:line="360" w:lineRule="auto"/>
        <w:rPr>
          <w:rStyle w:val="39"/>
          <w:b/>
          <w:bCs/>
          <w:sz w:val="24"/>
        </w:rPr>
      </w:pPr>
      <w:r>
        <w:rPr>
          <w:rStyle w:val="39"/>
          <w:b/>
          <w:bCs/>
          <w:sz w:val="24"/>
        </w:rPr>
        <w:t>附件12  投标承诺书</w:t>
      </w:r>
    </w:p>
    <w:p>
      <w:pPr>
        <w:rPr>
          <w:rStyle w:val="39"/>
          <w:rFonts w:ascii="宋体" w:hAnsi="宋体"/>
          <w:szCs w:val="21"/>
        </w:rPr>
      </w:pPr>
    </w:p>
    <w:p>
      <w:pPr>
        <w:jc w:val="center"/>
        <w:rPr>
          <w:rStyle w:val="39"/>
          <w:rFonts w:ascii="宋体" w:hAnsi="宋体"/>
          <w:sz w:val="32"/>
          <w:szCs w:val="32"/>
        </w:rPr>
      </w:pPr>
      <w:r>
        <w:rPr>
          <w:rStyle w:val="39"/>
          <w:rFonts w:ascii="宋体" w:hAnsi="宋体"/>
          <w:sz w:val="32"/>
          <w:szCs w:val="32"/>
        </w:rPr>
        <w:t>投标承诺书</w:t>
      </w:r>
    </w:p>
    <w:p>
      <w:pPr>
        <w:spacing w:line="360" w:lineRule="auto"/>
        <w:rPr>
          <w:rStyle w:val="39"/>
          <w:rFonts w:ascii="宋体" w:hAnsi="宋体"/>
          <w:sz w:val="24"/>
        </w:rPr>
      </w:pPr>
      <w:r>
        <w:rPr>
          <w:rStyle w:val="39"/>
          <w:rFonts w:ascii="宋体" w:hAnsi="宋体"/>
          <w:sz w:val="24"/>
        </w:rPr>
        <w:t>致：</w:t>
      </w:r>
    </w:p>
    <w:p>
      <w:pPr>
        <w:spacing w:line="360" w:lineRule="auto"/>
        <w:ind w:firstLine="480" w:firstLineChars="200"/>
        <w:rPr>
          <w:rStyle w:val="39"/>
          <w:rFonts w:ascii="宋体" w:hAnsi="宋体"/>
          <w:sz w:val="24"/>
        </w:rPr>
      </w:pPr>
      <w:r>
        <w:rPr>
          <w:rStyle w:val="39"/>
          <w:rFonts w:ascii="宋体" w:hAnsi="宋体"/>
          <w:sz w:val="24"/>
        </w:rPr>
        <w:t>我方在此声明，我方以下事项进行承诺：</w:t>
      </w:r>
    </w:p>
    <w:p>
      <w:pPr>
        <w:spacing w:line="360" w:lineRule="auto"/>
        <w:ind w:firstLine="480" w:firstLineChars="200"/>
        <w:rPr>
          <w:rStyle w:val="39"/>
          <w:rFonts w:ascii="宋体" w:hAnsi="宋体"/>
          <w:sz w:val="24"/>
        </w:rPr>
      </w:pPr>
      <w:r>
        <w:rPr>
          <w:rStyle w:val="39"/>
          <w:rFonts w:ascii="宋体" w:hAnsi="宋体"/>
          <w:sz w:val="24"/>
        </w:rPr>
        <w:t>（1） 在本次投标中我公司无与其他投标人相互串通投标，或与采购人串通投标的行为；</w:t>
      </w:r>
    </w:p>
    <w:p>
      <w:pPr>
        <w:spacing w:line="360" w:lineRule="auto"/>
        <w:ind w:firstLine="480" w:firstLineChars="200"/>
        <w:rPr>
          <w:rStyle w:val="39"/>
          <w:rFonts w:ascii="宋体" w:hAnsi="宋体"/>
          <w:sz w:val="24"/>
        </w:rPr>
      </w:pPr>
      <w:r>
        <w:rPr>
          <w:rStyle w:val="39"/>
          <w:rFonts w:ascii="宋体" w:hAnsi="宋体"/>
          <w:sz w:val="24"/>
        </w:rPr>
        <w:t>（2） 在本次投标中我公司无向采购人或评标委员会成员行贿的手段谋取中标的行为；</w:t>
      </w:r>
    </w:p>
    <w:p>
      <w:pPr>
        <w:spacing w:line="360" w:lineRule="auto"/>
        <w:ind w:firstLine="480" w:firstLineChars="200"/>
        <w:rPr>
          <w:rStyle w:val="39"/>
          <w:rFonts w:ascii="宋体" w:hAnsi="宋体"/>
          <w:sz w:val="24"/>
        </w:rPr>
      </w:pPr>
      <w:r>
        <w:rPr>
          <w:rStyle w:val="39"/>
          <w:rFonts w:ascii="宋体" w:hAnsi="宋体"/>
          <w:sz w:val="24"/>
        </w:rPr>
        <w:t>（3） 在本次投标中我公司无出借或借用资质行为、在投标文件中所附资料（业绩、项目负责人资料等）无弄虚作假；</w:t>
      </w:r>
    </w:p>
    <w:p>
      <w:pPr>
        <w:spacing w:line="360" w:lineRule="auto"/>
        <w:ind w:firstLine="480" w:firstLineChars="200"/>
        <w:rPr>
          <w:rStyle w:val="39"/>
          <w:rFonts w:ascii="宋体" w:hAnsi="宋体"/>
          <w:sz w:val="24"/>
        </w:rPr>
      </w:pPr>
      <w:r>
        <w:rPr>
          <w:rStyle w:val="39"/>
          <w:rFonts w:ascii="宋体" w:hAnsi="宋体"/>
          <w:sz w:val="24"/>
        </w:rPr>
        <w:t>（4） 我公司没有处于被责令停产、停业、投标资格被取消状态；</w:t>
      </w:r>
    </w:p>
    <w:p>
      <w:pPr>
        <w:spacing w:line="360" w:lineRule="auto"/>
        <w:ind w:firstLine="480" w:firstLineChars="200"/>
        <w:rPr>
          <w:rStyle w:val="39"/>
          <w:rFonts w:ascii="宋体" w:hAnsi="宋体"/>
          <w:sz w:val="24"/>
        </w:rPr>
      </w:pPr>
      <w:r>
        <w:rPr>
          <w:rStyle w:val="39"/>
          <w:rFonts w:ascii="宋体" w:hAnsi="宋体"/>
          <w:sz w:val="24"/>
        </w:rPr>
        <w:t>（5）我公司不采用非法手段获取证据进行质疑、投诉，在质疑、投诉过程中不提供虚假情况或进行恶意质疑、投诉。</w:t>
      </w:r>
    </w:p>
    <w:p>
      <w:pPr>
        <w:spacing w:line="360" w:lineRule="auto"/>
        <w:ind w:firstLine="480" w:firstLineChars="200"/>
        <w:rPr>
          <w:rStyle w:val="39"/>
          <w:rFonts w:ascii="宋体" w:hAnsi="宋体"/>
          <w:sz w:val="24"/>
        </w:rPr>
      </w:pPr>
      <w:r>
        <w:rPr>
          <w:rStyle w:val="39"/>
          <w:rFonts w:ascii="宋体" w:hAnsi="宋体"/>
          <w:sz w:val="24"/>
        </w:rPr>
        <w:t>上述承诺内容如有不实，我公司愿意承担由此造成的一切法律责任，并承诺以投标保证金赔偿给采购人造成的损失。</w:t>
      </w:r>
    </w:p>
    <w:p>
      <w:pPr>
        <w:spacing w:line="360" w:lineRule="auto"/>
        <w:ind w:firstLine="480" w:firstLineChars="200"/>
        <w:rPr>
          <w:rStyle w:val="39"/>
          <w:rFonts w:ascii="宋体" w:hAnsi="宋体"/>
          <w:sz w:val="24"/>
        </w:rPr>
      </w:pPr>
      <w:r>
        <w:rPr>
          <w:rStyle w:val="39"/>
          <w:rFonts w:ascii="宋体" w:hAnsi="宋体"/>
          <w:sz w:val="24"/>
        </w:rPr>
        <w:t>特此承诺</w:t>
      </w:r>
    </w:p>
    <w:p>
      <w:pPr>
        <w:spacing w:line="360" w:lineRule="auto"/>
        <w:ind w:firstLine="480" w:firstLineChars="200"/>
        <w:rPr>
          <w:rStyle w:val="39"/>
          <w:rFonts w:ascii="宋体" w:hAnsi="宋体"/>
          <w:sz w:val="24"/>
        </w:rPr>
      </w:pPr>
    </w:p>
    <w:p>
      <w:pPr>
        <w:spacing w:line="360" w:lineRule="auto"/>
        <w:ind w:firstLine="480" w:firstLineChars="200"/>
        <w:rPr>
          <w:rStyle w:val="39"/>
          <w:rFonts w:ascii="宋体" w:hAnsi="宋体"/>
          <w:sz w:val="24"/>
        </w:rPr>
      </w:pPr>
      <w:r>
        <w:rPr>
          <w:rStyle w:val="39"/>
          <w:rFonts w:ascii="宋体" w:hAnsi="宋体"/>
          <w:sz w:val="24"/>
        </w:rPr>
        <w:t xml:space="preserve">投标人名称（公章）： </w:t>
      </w:r>
    </w:p>
    <w:p>
      <w:pPr>
        <w:spacing w:line="360" w:lineRule="auto"/>
        <w:ind w:firstLine="480" w:firstLineChars="200"/>
        <w:rPr>
          <w:rStyle w:val="39"/>
          <w:rFonts w:ascii="宋体" w:hAnsi="宋体"/>
          <w:sz w:val="24"/>
        </w:rPr>
      </w:pPr>
      <w:r>
        <w:rPr>
          <w:rStyle w:val="39"/>
          <w:rFonts w:ascii="宋体" w:hAnsi="宋体"/>
          <w:sz w:val="24"/>
        </w:rPr>
        <w:t>法定代表人或其委托代理人（签字或加盖人名章）：</w:t>
      </w:r>
    </w:p>
    <w:p>
      <w:pPr>
        <w:spacing w:line="360" w:lineRule="auto"/>
        <w:ind w:firstLine="480" w:firstLineChars="200"/>
        <w:rPr>
          <w:rStyle w:val="39"/>
          <w:rFonts w:ascii="宋体" w:hAnsi="宋体"/>
          <w:sz w:val="24"/>
        </w:rPr>
      </w:pPr>
      <w:r>
        <w:rPr>
          <w:rStyle w:val="39"/>
          <w:rFonts w:ascii="宋体" w:hAnsi="宋体"/>
          <w:sz w:val="24"/>
        </w:rPr>
        <w:t>日    期：     年   月    日</w:t>
      </w:r>
    </w:p>
    <w:p>
      <w:pPr>
        <w:jc w:val="left"/>
        <w:rPr>
          <w:rStyle w:val="39"/>
          <w:rFonts w:ascii="宋体" w:hAnsi="宋体"/>
          <w:sz w:val="24"/>
        </w:rPr>
      </w:pPr>
    </w:p>
    <w:p>
      <w:pPr>
        <w:pStyle w:val="66"/>
        <w:snapToGrid w:val="0"/>
        <w:spacing w:before="156"/>
        <w:rPr>
          <w:rStyle w:val="39"/>
          <w:rFonts w:hAnsi="宋体"/>
          <w:sz w:val="24"/>
          <w:szCs w:val="24"/>
        </w:rPr>
      </w:pPr>
    </w:p>
    <w:p>
      <w:pPr>
        <w:jc w:val="left"/>
        <w:rPr>
          <w:rStyle w:val="39"/>
          <w:rFonts w:ascii="宋体" w:hAnsi="宋体"/>
          <w:sz w:val="24"/>
        </w:rPr>
      </w:pPr>
    </w:p>
    <w:p>
      <w:pPr>
        <w:spacing w:line="360" w:lineRule="atLeast"/>
        <w:jc w:val="left"/>
        <w:rPr>
          <w:rStyle w:val="39"/>
          <w:b/>
          <w:spacing w:val="20"/>
          <w:sz w:val="24"/>
        </w:rPr>
      </w:pPr>
      <w:r>
        <w:rPr>
          <w:rStyle w:val="39"/>
          <w:b/>
          <w:spacing w:val="20"/>
          <w:sz w:val="24"/>
        </w:rPr>
        <w:br w:type="page"/>
      </w:r>
    </w:p>
    <w:p>
      <w:pPr>
        <w:spacing w:line="360" w:lineRule="atLeast"/>
        <w:jc w:val="left"/>
        <w:rPr>
          <w:rStyle w:val="39"/>
          <w:b/>
          <w:sz w:val="30"/>
          <w:szCs w:val="30"/>
        </w:rPr>
      </w:pPr>
    </w:p>
    <w:p>
      <w:pPr>
        <w:spacing w:line="360" w:lineRule="auto"/>
        <w:rPr>
          <w:rStyle w:val="39"/>
          <w:b/>
          <w:sz w:val="24"/>
        </w:rPr>
      </w:pPr>
      <w:r>
        <w:rPr>
          <w:rStyle w:val="39"/>
          <w:b/>
          <w:sz w:val="24"/>
        </w:rPr>
        <w:t>附件13技术偏离表</w:t>
      </w:r>
    </w:p>
    <w:p>
      <w:pPr>
        <w:spacing w:after="240"/>
        <w:ind w:hanging="119"/>
        <w:rPr>
          <w:rStyle w:val="39"/>
        </w:rPr>
      </w:pPr>
    </w:p>
    <w:p>
      <w:pPr>
        <w:spacing w:after="240"/>
        <w:ind w:hanging="119"/>
        <w:rPr>
          <w:rStyle w:val="39"/>
        </w:rPr>
      </w:pPr>
      <w:r>
        <w:rPr>
          <w:rStyle w:val="39"/>
        </w:rPr>
        <w:t>投标人名称：</w:t>
      </w:r>
    </w:p>
    <w:tbl>
      <w:tblPr>
        <w:tblStyle w:val="15"/>
        <w:tblW w:w="90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8"/>
        <w:gridCol w:w="1932"/>
        <w:gridCol w:w="1236"/>
        <w:gridCol w:w="1236"/>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招标文件条目号</w:t>
            </w: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技术条款要求</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完全响应</w:t>
            </w: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有偏离</w:t>
            </w: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jc w:val="center"/>
              <w:rPr>
                <w:rStyle w:val="39"/>
              </w:rPr>
            </w:pPr>
            <w:r>
              <w:rPr>
                <w:rStyle w:val="39"/>
              </w:rPr>
              <w:t>偏离描述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jc w:val="center"/>
        </w:trPr>
        <w:tc>
          <w:tcPr>
            <w:tcW w:w="2268"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932" w:type="dxa"/>
            <w:tcBorders>
              <w:top w:val="single" w:color="000000" w:sz="6" w:space="0"/>
              <w:left w:val="single" w:color="000000" w:sz="6" w:space="0"/>
              <w:bottom w:val="single" w:color="000000" w:sz="6" w:space="0"/>
              <w:right w:val="single" w:color="000000" w:sz="6" w:space="0"/>
            </w:tcBorders>
          </w:tcPr>
          <w:p>
            <w:pPr>
              <w:spacing w:line="400" w:lineRule="exact"/>
              <w:rPr>
                <w:rStyle w:val="39"/>
                <w:bCs/>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1236"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c>
          <w:tcPr>
            <w:tcW w:w="2394" w:type="dxa"/>
            <w:tcBorders>
              <w:top w:val="single" w:color="000000" w:sz="6" w:space="0"/>
              <w:left w:val="single" w:color="000000" w:sz="6" w:space="0"/>
              <w:bottom w:val="single" w:color="000000" w:sz="6" w:space="0"/>
              <w:right w:val="single" w:color="000000" w:sz="6" w:space="0"/>
            </w:tcBorders>
          </w:tcPr>
          <w:p>
            <w:pPr>
              <w:spacing w:line="400" w:lineRule="exact"/>
              <w:rPr>
                <w:rStyle w:val="39"/>
              </w:rPr>
            </w:pPr>
          </w:p>
        </w:tc>
      </w:tr>
    </w:tbl>
    <w:p>
      <w:pPr>
        <w:spacing w:before="156" w:line="440" w:lineRule="exact"/>
        <w:ind w:left="-103" w:leftChars="-49" w:firstLine="15"/>
        <w:rPr>
          <w:rStyle w:val="39"/>
        </w:rPr>
      </w:pPr>
      <w:r>
        <w:rPr>
          <w:rStyle w:val="39"/>
        </w:rPr>
        <w:t>投标人：（公章）</w:t>
      </w:r>
    </w:p>
    <w:p>
      <w:pPr>
        <w:spacing w:before="156"/>
        <w:ind w:left="-103" w:leftChars="-49" w:firstLine="15"/>
        <w:rPr>
          <w:rStyle w:val="39"/>
        </w:rPr>
      </w:pPr>
      <w:r>
        <w:rPr>
          <w:rStyle w:val="39"/>
        </w:rPr>
        <w:t>法定代表人或其委托代理人：（签字或加盖人名章）</w:t>
      </w:r>
    </w:p>
    <w:p>
      <w:pPr>
        <w:spacing w:before="156"/>
        <w:ind w:left="-103" w:leftChars="-49" w:firstLine="15"/>
        <w:rPr>
          <w:rStyle w:val="39"/>
        </w:rPr>
      </w:pPr>
      <w:r>
        <w:rPr>
          <w:rStyle w:val="39"/>
        </w:rPr>
        <w:t>日期：</w:t>
      </w:r>
    </w:p>
    <w:p>
      <w:pPr>
        <w:spacing w:line="360" w:lineRule="auto"/>
        <w:rPr>
          <w:rStyle w:val="39"/>
        </w:rPr>
      </w:pPr>
    </w:p>
    <w:p>
      <w:pPr>
        <w:tabs>
          <w:tab w:val="left" w:pos="1200"/>
        </w:tabs>
        <w:snapToGrid w:val="0"/>
        <w:spacing w:after="156"/>
        <w:ind w:left="850" w:leftChars="203" w:hanging="424" w:hangingChars="202"/>
        <w:rPr>
          <w:rStyle w:val="39"/>
        </w:rPr>
      </w:pPr>
      <w:r>
        <w:rPr>
          <w:rStyle w:val="39"/>
        </w:rPr>
        <w:t>注：</w:t>
      </w:r>
      <w:r>
        <w:rPr>
          <w:rFonts w:hint="eastAsia"/>
        </w:rPr>
        <w:t>投标人递交的投标文件中与招标文件的技术部分的要求有不同时，应逐条列在技术偏离表中，否则将认为投标人接受招标文件的要求</w:t>
      </w:r>
      <w:r>
        <w:t>。</w:t>
      </w:r>
    </w:p>
    <w:p>
      <w:pPr>
        <w:rPr>
          <w:rStyle w:val="39"/>
          <w:b/>
          <w:sz w:val="32"/>
          <w:szCs w:val="32"/>
        </w:rPr>
      </w:pPr>
      <w:r>
        <w:rPr>
          <w:rStyle w:val="39"/>
          <w:b/>
          <w:sz w:val="32"/>
          <w:szCs w:val="32"/>
        </w:rPr>
        <w:br w:type="page"/>
      </w:r>
    </w:p>
    <w:p>
      <w:pPr>
        <w:rPr>
          <w:rStyle w:val="39"/>
          <w:b/>
          <w:sz w:val="32"/>
          <w:szCs w:val="32"/>
        </w:rPr>
      </w:pPr>
    </w:p>
    <w:p>
      <w:pPr>
        <w:spacing w:line="360" w:lineRule="auto"/>
        <w:rPr>
          <w:rStyle w:val="39"/>
          <w:rFonts w:ascii="宋体" w:hAnsi="宋体"/>
          <w:b/>
          <w:bCs/>
          <w:sz w:val="24"/>
        </w:rPr>
      </w:pPr>
      <w:r>
        <w:rPr>
          <w:rStyle w:val="39"/>
          <w:rFonts w:ascii="宋体" w:hAnsi="宋体"/>
          <w:b/>
          <w:bCs/>
          <w:sz w:val="24"/>
        </w:rPr>
        <w:t>附件14  服务的技术要求、服务内容、服务标准、验收等要求的响应</w:t>
      </w:r>
    </w:p>
    <w:p>
      <w:pPr>
        <w:spacing w:line="360" w:lineRule="auto"/>
        <w:rPr>
          <w:rStyle w:val="39"/>
          <w:rFonts w:ascii="宋体" w:hAnsi="宋体"/>
          <w:sz w:val="24"/>
        </w:rPr>
      </w:pPr>
    </w:p>
    <w:p>
      <w:pPr>
        <w:spacing w:line="360" w:lineRule="auto"/>
        <w:rPr>
          <w:rStyle w:val="39"/>
          <w:rFonts w:ascii="宋体" w:hAnsi="宋体"/>
          <w:sz w:val="24"/>
        </w:rPr>
      </w:pPr>
      <w:r>
        <w:rPr>
          <w:rStyle w:val="39"/>
          <w:rFonts w:ascii="宋体" w:hAnsi="宋体"/>
          <w:sz w:val="24"/>
        </w:rPr>
        <w:t>包括：货物</w:t>
      </w:r>
      <w:r>
        <w:rPr>
          <w:rStyle w:val="39"/>
          <w:rFonts w:ascii="宋体" w:hAnsi="宋体"/>
          <w:kern w:val="0"/>
          <w:sz w:val="24"/>
        </w:rPr>
        <w:t>的先进性和可靠性、主要技术指标和性能、运行费和维护费，备品备件，运输、保险、安装、培训等服务的组织及保证措施等；或服务方案、服务措施及标准等</w:t>
      </w: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p>
    <w:p>
      <w:pPr>
        <w:spacing w:before="156" w:line="440" w:lineRule="exact"/>
        <w:ind w:left="-103" w:leftChars="-49" w:firstLine="1169" w:firstLineChars="557"/>
        <w:rPr>
          <w:rStyle w:val="39"/>
        </w:rPr>
      </w:pPr>
      <w:r>
        <w:rPr>
          <w:rStyle w:val="39"/>
        </w:rPr>
        <w:t>投标人：（公章）</w:t>
      </w:r>
    </w:p>
    <w:p>
      <w:pPr>
        <w:spacing w:before="156" w:line="440" w:lineRule="exact"/>
        <w:ind w:left="1105" w:leftChars="526" w:firstLine="15"/>
        <w:rPr>
          <w:rStyle w:val="39"/>
        </w:rPr>
      </w:pPr>
      <w:r>
        <w:rPr>
          <w:rStyle w:val="39"/>
        </w:rPr>
        <w:t>法定代表人或其委托代理人：（签字或加盖人名章）</w:t>
      </w:r>
    </w:p>
    <w:p>
      <w:pPr>
        <w:spacing w:before="156" w:line="440" w:lineRule="exact"/>
        <w:ind w:left="1105" w:leftChars="526" w:firstLine="15"/>
        <w:rPr>
          <w:rStyle w:val="39"/>
        </w:rPr>
      </w:pPr>
      <w:r>
        <w:rPr>
          <w:rStyle w:val="39"/>
        </w:rPr>
        <w:t>日期：</w:t>
      </w:r>
    </w:p>
    <w:p>
      <w:pPr>
        <w:spacing w:line="360" w:lineRule="auto"/>
        <w:ind w:left="283" w:leftChars="135" w:firstLine="420" w:firstLineChars="200"/>
        <w:rPr>
          <w:rStyle w:val="39"/>
        </w:rPr>
      </w:pPr>
      <w:r>
        <w:rPr>
          <w:rStyle w:val="39"/>
        </w:rPr>
        <w:br w:type="page"/>
      </w:r>
    </w:p>
    <w:p>
      <w:pPr>
        <w:spacing w:line="360" w:lineRule="auto"/>
        <w:ind w:left="283" w:leftChars="135" w:firstLine="482" w:firstLineChars="200"/>
        <w:rPr>
          <w:rStyle w:val="39"/>
          <w:rFonts w:ascii="宋体" w:hAnsi="宋体"/>
          <w:b/>
          <w:sz w:val="24"/>
        </w:rPr>
      </w:pPr>
      <w:r>
        <w:rPr>
          <w:rStyle w:val="39"/>
          <w:rFonts w:ascii="宋体" w:hAnsi="宋体"/>
          <w:b/>
          <w:sz w:val="24"/>
        </w:rPr>
        <w:t>附件15  拟派服务实施人员表和资历表</w:t>
      </w:r>
    </w:p>
    <w:p>
      <w:pPr>
        <w:jc w:val="center"/>
        <w:rPr>
          <w:rStyle w:val="39"/>
          <w:rFonts w:ascii="Arial" w:hAnsi="Arial" w:eastAsia="黑体"/>
        </w:rPr>
      </w:pPr>
      <w:r>
        <w:rPr>
          <w:rStyle w:val="39"/>
          <w:rFonts w:ascii="Arial" w:hAnsi="Arial" w:eastAsia="黑体"/>
          <w:sz w:val="30"/>
          <w:szCs w:val="30"/>
        </w:rPr>
        <w:t>15-1 拟派服务实施人员表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62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1134"/>
        <w:gridCol w:w="821"/>
        <w:gridCol w:w="1352"/>
        <w:gridCol w:w="961"/>
        <w:gridCol w:w="959"/>
        <w:gridCol w:w="959"/>
        <w:gridCol w:w="959"/>
        <w:gridCol w:w="9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12"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类别</w:t>
            </w:r>
          </w:p>
        </w:tc>
        <w:tc>
          <w:tcPr>
            <w:tcW w:w="1134"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姓名</w:t>
            </w:r>
          </w:p>
        </w:tc>
        <w:tc>
          <w:tcPr>
            <w:tcW w:w="82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性别</w:t>
            </w:r>
          </w:p>
        </w:tc>
        <w:tc>
          <w:tcPr>
            <w:tcW w:w="1352"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单位</w:t>
            </w:r>
          </w:p>
        </w:tc>
        <w:tc>
          <w:tcPr>
            <w:tcW w:w="961"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专业</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职务</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职称</w:t>
            </w:r>
          </w:p>
        </w:tc>
        <w:tc>
          <w:tcPr>
            <w:tcW w:w="959" w:type="dxa"/>
            <w:tcBorders>
              <w:top w:val="single" w:color="000000" w:sz="12" w:space="0"/>
              <w:left w:val="single" w:color="000000" w:sz="4"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主要资历</w:t>
            </w:r>
          </w:p>
        </w:tc>
        <w:tc>
          <w:tcPr>
            <w:tcW w:w="957" w:type="dxa"/>
            <w:tcBorders>
              <w:top w:val="single" w:color="000000" w:sz="12" w:space="0"/>
              <w:left w:val="single" w:color="000000" w:sz="4" w:space="0"/>
              <w:bottom w:val="single" w:color="000000" w:sz="4" w:space="0"/>
              <w:right w:val="single" w:color="000000" w:sz="12" w:space="0"/>
            </w:tcBorders>
            <w:vAlign w:val="center"/>
          </w:tcPr>
          <w:p>
            <w:pPr>
              <w:jc w:val="center"/>
              <w:rPr>
                <w:rStyle w:val="39"/>
                <w:rFonts w:ascii="Arial" w:hAnsi="Arial" w:eastAsia="黑体"/>
              </w:rPr>
            </w:pPr>
            <w:r>
              <w:rPr>
                <w:rStyle w:val="39"/>
                <w:rFonts w:ascii="Arial" w:hAnsi="Arial" w:eastAsia="黑体"/>
              </w:rPr>
              <w:t>经验及承担过的项目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项目负责人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项目技术主管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r>
              <w:rPr>
                <w:rStyle w:val="39"/>
                <w:rFonts w:ascii="Arial" w:hAnsi="Arial" w:eastAsia="黑体"/>
              </w:rPr>
              <w:t>其他人员</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4"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4" w:space="0"/>
              <w:right w:val="single" w:color="000000" w:sz="12" w:space="0"/>
            </w:tcBorders>
            <w:vAlign w:val="center"/>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526" w:type="dxa"/>
            <w:vMerge w:val="continue"/>
            <w:tcBorders>
              <w:top w:val="single" w:color="000000" w:sz="4" w:space="0"/>
              <w:left w:val="single" w:color="000000" w:sz="12" w:space="0"/>
              <w:bottom w:val="single" w:color="000000" w:sz="12" w:space="0"/>
              <w:right w:val="single" w:color="000000" w:sz="4" w:space="0"/>
            </w:tcBorders>
            <w:vAlign w:val="center"/>
          </w:tcPr>
          <w:p>
            <w:pPr>
              <w:jc w:val="center"/>
              <w:rPr>
                <w:rStyle w:val="39"/>
                <w:rFonts w:ascii="Arial" w:hAnsi="Arial" w:eastAsia="黑体"/>
              </w:rPr>
            </w:pPr>
          </w:p>
        </w:tc>
        <w:tc>
          <w:tcPr>
            <w:tcW w:w="1134"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821"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1352" w:type="dxa"/>
            <w:tcBorders>
              <w:top w:val="single" w:color="000000" w:sz="4" w:space="0"/>
              <w:left w:val="single" w:color="000000" w:sz="4" w:space="0"/>
              <w:bottom w:val="single" w:color="000000" w:sz="12" w:space="0"/>
              <w:right w:val="single" w:color="000000" w:sz="4" w:space="0"/>
            </w:tcBorders>
            <w:vAlign w:val="center"/>
          </w:tcPr>
          <w:p>
            <w:pPr>
              <w:rPr>
                <w:rStyle w:val="39"/>
                <w:rFonts w:ascii="Arial" w:hAnsi="Arial"/>
              </w:rPr>
            </w:pPr>
          </w:p>
        </w:tc>
        <w:tc>
          <w:tcPr>
            <w:tcW w:w="961"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9" w:type="dxa"/>
            <w:tcBorders>
              <w:top w:val="single" w:color="000000" w:sz="4" w:space="0"/>
              <w:left w:val="single" w:color="000000" w:sz="4" w:space="0"/>
              <w:bottom w:val="single" w:color="000000" w:sz="12" w:space="0"/>
              <w:right w:val="single" w:color="000000" w:sz="4" w:space="0"/>
            </w:tcBorders>
          </w:tcPr>
          <w:p>
            <w:pPr>
              <w:rPr>
                <w:rStyle w:val="39"/>
                <w:rFonts w:ascii="Arial" w:hAnsi="Arial"/>
              </w:rPr>
            </w:pPr>
          </w:p>
        </w:tc>
        <w:tc>
          <w:tcPr>
            <w:tcW w:w="957" w:type="dxa"/>
            <w:tcBorders>
              <w:top w:val="single" w:color="000000" w:sz="4" w:space="0"/>
              <w:left w:val="single" w:color="000000" w:sz="4" w:space="0"/>
              <w:bottom w:val="single" w:color="000000" w:sz="12" w:space="0"/>
              <w:right w:val="single" w:color="000000" w:sz="12" w:space="0"/>
            </w:tcBorders>
            <w:vAlign w:val="center"/>
          </w:tcPr>
          <w:p>
            <w:pPr>
              <w:rPr>
                <w:rStyle w:val="39"/>
                <w:rFonts w:ascii="Arial" w:hAnsi="Arial"/>
              </w:rPr>
            </w:pPr>
          </w:p>
        </w:tc>
      </w:tr>
    </w:tbl>
    <w:p>
      <w:pPr>
        <w:ind w:left="420" w:hanging="420" w:hangingChars="200"/>
        <w:jc w:val="left"/>
        <w:rPr>
          <w:rStyle w:val="39"/>
          <w:rFonts w:ascii="宋体" w:hAnsi="宋体" w:cs="宋体"/>
          <w:bCs/>
          <w:szCs w:val="21"/>
        </w:rPr>
      </w:pPr>
    </w:p>
    <w:p>
      <w:pPr>
        <w:ind w:left="420" w:hanging="420" w:hangingChars="200"/>
        <w:jc w:val="left"/>
        <w:rPr>
          <w:rStyle w:val="39"/>
          <w:rFonts w:ascii="宋体" w:hAnsi="宋体" w:cs="宋体"/>
          <w:bCs/>
          <w:szCs w:val="21"/>
        </w:rPr>
      </w:pPr>
      <w:r>
        <w:rPr>
          <w:rStyle w:val="39"/>
          <w:rFonts w:ascii="宋体" w:hAnsi="宋体" w:cs="宋体"/>
          <w:bCs/>
          <w:szCs w:val="21"/>
        </w:rPr>
        <w:t>注：投标人应附相应的证明材料（如：社保缴纳证明、职称或资格证书）。项目组主要人员（项目负责人、技术主管）须按照附件15-2单独列表详细说明，且在项目执行过程中未得到采购人书面同意不得更换。</w:t>
      </w:r>
    </w:p>
    <w:p>
      <w:pPr>
        <w:ind w:left="420" w:hanging="420" w:hangingChars="200"/>
        <w:jc w:val="left"/>
        <w:rPr>
          <w:rStyle w:val="39"/>
          <w:rFonts w:ascii="宋体" w:hAnsi="宋体" w:cs="宋体"/>
          <w:bCs/>
          <w:szCs w:val="21"/>
        </w:rPr>
      </w:pPr>
    </w:p>
    <w:p>
      <w:pPr>
        <w:pStyle w:val="451"/>
        <w:spacing w:after="0"/>
        <w:rPr>
          <w:rStyle w:val="39"/>
          <w:rFonts w:ascii="宋体" w:hAnsi="宋体"/>
          <w:sz w:val="21"/>
          <w:szCs w:val="21"/>
          <w:u w:val="single"/>
        </w:rPr>
      </w:pPr>
      <w:r>
        <w:rPr>
          <w:rStyle w:val="39"/>
          <w:rFonts w:ascii="宋体" w:hAnsi="宋体"/>
          <w:sz w:val="21"/>
          <w:szCs w:val="21"/>
        </w:rPr>
        <w:t>投标人名称：</w:t>
      </w:r>
      <w:r>
        <w:rPr>
          <w:rStyle w:val="39"/>
          <w:rFonts w:ascii="宋体" w:hAnsi="宋体"/>
          <w:sz w:val="21"/>
          <w:szCs w:val="21"/>
          <w:u w:val="single"/>
        </w:rPr>
        <w:t xml:space="preserve">        公章         </w:t>
      </w:r>
    </w:p>
    <w:p>
      <w:pPr>
        <w:rPr>
          <w:rStyle w:val="39"/>
          <w:rFonts w:ascii="宋体" w:hAnsi="宋体"/>
          <w:szCs w:val="21"/>
          <w:u w:val="single"/>
        </w:rPr>
      </w:pPr>
      <w:r>
        <w:rPr>
          <w:rStyle w:val="39"/>
          <w:rFonts w:ascii="宋体" w:hAnsi="宋体"/>
          <w:szCs w:val="21"/>
        </w:rPr>
        <w:t>法定代表人或其委托代理人：</w:t>
      </w:r>
      <w:r>
        <w:rPr>
          <w:rStyle w:val="39"/>
          <w:rFonts w:ascii="宋体" w:hAnsi="宋体"/>
          <w:szCs w:val="21"/>
          <w:u w:val="single"/>
        </w:rPr>
        <w:t xml:space="preserve">     签字或加盖人名章             </w:t>
      </w:r>
    </w:p>
    <w:p>
      <w:pPr>
        <w:jc w:val="left"/>
        <w:rPr>
          <w:rStyle w:val="39"/>
          <w:rFonts w:ascii="宋体" w:hAnsi="宋体"/>
          <w:szCs w:val="21"/>
        </w:rPr>
      </w:pPr>
      <w:r>
        <w:rPr>
          <w:rStyle w:val="39"/>
          <w:rFonts w:ascii="宋体" w:hAnsi="宋体"/>
          <w:szCs w:val="21"/>
        </w:rPr>
        <w:t>日期 ：</w:t>
      </w:r>
      <w:r>
        <w:rPr>
          <w:rStyle w:val="39"/>
          <w:rFonts w:ascii="宋体" w:hAnsi="宋体"/>
          <w:szCs w:val="21"/>
          <w:u w:val="single"/>
        </w:rPr>
        <w:t xml:space="preserve">                         </w:t>
      </w:r>
    </w:p>
    <w:p>
      <w:pPr>
        <w:spacing w:line="360" w:lineRule="auto"/>
        <w:rPr>
          <w:rStyle w:val="39"/>
        </w:rPr>
      </w:pPr>
    </w:p>
    <w:p>
      <w:pPr>
        <w:pStyle w:val="130"/>
        <w:rPr>
          <w:rStyle w:val="39"/>
        </w:rPr>
      </w:pPr>
    </w:p>
    <w:p>
      <w:pPr>
        <w:rPr>
          <w:rStyle w:val="39"/>
        </w:rPr>
      </w:pPr>
    </w:p>
    <w:p>
      <w:pPr>
        <w:pStyle w:val="130"/>
        <w:rPr>
          <w:rStyle w:val="39"/>
        </w:rPr>
      </w:pPr>
    </w:p>
    <w:p>
      <w:pPr>
        <w:jc w:val="center"/>
        <w:rPr>
          <w:rStyle w:val="39"/>
          <w:rFonts w:ascii="Arial" w:hAnsi="Arial" w:eastAsia="黑体"/>
          <w:sz w:val="30"/>
          <w:szCs w:val="30"/>
        </w:rPr>
      </w:pPr>
      <w:r>
        <w:rPr>
          <w:rStyle w:val="39"/>
          <w:rFonts w:ascii="Arial" w:hAnsi="Arial" w:eastAsia="黑体"/>
          <w:sz w:val="30"/>
          <w:szCs w:val="30"/>
        </w:rPr>
        <w:t>15-2 拟派人员资历表</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项目名称：</w:t>
      </w:r>
    </w:p>
    <w:p>
      <w:pPr>
        <w:pStyle w:val="302"/>
        <w:snapToGrid w:val="0"/>
        <w:spacing w:line="360" w:lineRule="auto"/>
        <w:jc w:val="both"/>
        <w:rPr>
          <w:rStyle w:val="39"/>
          <w:rFonts w:ascii="宋体" w:hAnsi="宋体"/>
          <w:b/>
          <w:sz w:val="21"/>
          <w:szCs w:val="21"/>
        </w:rPr>
      </w:pPr>
      <w:r>
        <w:rPr>
          <w:rStyle w:val="39"/>
          <w:rFonts w:ascii="宋体" w:hAnsi="宋体"/>
          <w:sz w:val="21"/>
          <w:szCs w:val="21"/>
        </w:rPr>
        <w:t>项目编号：</w:t>
      </w:r>
    </w:p>
    <w:tbl>
      <w:tblPr>
        <w:tblStyle w:val="15"/>
        <w:tblW w:w="9468" w:type="dxa"/>
        <w:tblInd w:w="-28"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86"/>
        <w:gridCol w:w="1153"/>
        <w:gridCol w:w="1888"/>
        <w:gridCol w:w="1435"/>
        <w:gridCol w:w="350"/>
        <w:gridCol w:w="177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00" w:hRule="atLeast"/>
        </w:trPr>
        <w:tc>
          <w:tcPr>
            <w:tcW w:w="1078" w:type="dxa"/>
            <w:tcBorders>
              <w:top w:val="single" w:color="000000" w:sz="12"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姓名</w:t>
            </w:r>
          </w:p>
        </w:tc>
        <w:tc>
          <w:tcPr>
            <w:tcW w:w="1786"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职务</w:t>
            </w:r>
          </w:p>
        </w:tc>
        <w:tc>
          <w:tcPr>
            <w:tcW w:w="1888" w:type="dxa"/>
            <w:tcBorders>
              <w:top w:val="single" w:color="000000" w:sz="12"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12" w:space="0"/>
              <w:left w:val="single" w:color="000000" w:sz="4" w:space="0"/>
              <w:bottom w:val="single" w:color="000000" w:sz="4" w:space="0"/>
              <w:right w:val="single" w:color="000000" w:sz="4" w:space="0"/>
            </w:tcBorders>
            <w:vAlign w:val="center"/>
          </w:tcPr>
          <w:p>
            <w:pPr>
              <w:snapToGrid w:val="0"/>
              <w:ind w:left="57"/>
              <w:jc w:val="center"/>
              <w:rPr>
                <w:rStyle w:val="39"/>
                <w:rFonts w:ascii="Arial" w:hAnsi="Arial" w:eastAsia="黑体"/>
              </w:rPr>
            </w:pPr>
            <w:r>
              <w:rPr>
                <w:rStyle w:val="39"/>
                <w:rFonts w:ascii="Arial" w:hAnsi="Arial" w:eastAsia="黑体"/>
              </w:rPr>
              <w:t>职称</w:t>
            </w:r>
          </w:p>
        </w:tc>
        <w:tc>
          <w:tcPr>
            <w:tcW w:w="1778" w:type="dxa"/>
            <w:tcBorders>
              <w:top w:val="single" w:color="000000" w:sz="12"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55" w:hRule="atLeast"/>
        </w:trPr>
        <w:tc>
          <w:tcPr>
            <w:tcW w:w="1078"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年龄</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15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拟任职</w:t>
            </w:r>
          </w:p>
        </w:tc>
        <w:tc>
          <w:tcPr>
            <w:tcW w:w="188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39"/>
                <w:rFonts w:ascii="Arial" w:hAnsi="Arial" w:eastAsia="黑体"/>
              </w:rPr>
            </w:pPr>
          </w:p>
        </w:tc>
        <w:tc>
          <w:tcPr>
            <w:tcW w:w="1785" w:type="dxa"/>
            <w:gridSpan w:val="2"/>
            <w:tcBorders>
              <w:top w:val="single" w:color="000000" w:sz="4" w:space="0"/>
              <w:left w:val="single" w:color="000000" w:sz="4" w:space="0"/>
              <w:bottom w:val="single" w:color="000000" w:sz="4" w:space="0"/>
              <w:right w:val="single" w:color="000000" w:sz="4" w:space="0"/>
            </w:tcBorders>
            <w:vAlign w:val="center"/>
          </w:tcPr>
          <w:p>
            <w:pPr>
              <w:snapToGrid w:val="0"/>
              <w:ind w:left="192"/>
              <w:jc w:val="center"/>
              <w:rPr>
                <w:rStyle w:val="39"/>
                <w:rFonts w:ascii="Arial" w:hAnsi="Arial" w:eastAsia="黑体"/>
              </w:rPr>
            </w:pPr>
            <w:r>
              <w:rPr>
                <w:rStyle w:val="39"/>
                <w:rFonts w:ascii="Arial" w:hAnsi="Arial" w:eastAsia="黑体"/>
              </w:rPr>
              <w:t>单位任职时间</w:t>
            </w:r>
          </w:p>
        </w:tc>
        <w:tc>
          <w:tcPr>
            <w:tcW w:w="1778" w:type="dxa"/>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60" w:hRule="atLeast"/>
        </w:trPr>
        <w:tc>
          <w:tcPr>
            <w:tcW w:w="9468" w:type="dxa"/>
            <w:gridSpan w:val="7"/>
            <w:tcBorders>
              <w:top w:val="single" w:color="000000" w:sz="4" w:space="0"/>
              <w:left w:val="single" w:color="000000" w:sz="12" w:space="0"/>
              <w:bottom w:val="single" w:color="000000" w:sz="4" w:space="0"/>
              <w:right w:val="single" w:color="000000" w:sz="12" w:space="0"/>
            </w:tcBorders>
          </w:tcPr>
          <w:p>
            <w:pPr>
              <w:snapToGrid w:val="0"/>
              <w:rPr>
                <w:rStyle w:val="39"/>
                <w:rFonts w:ascii="Arial" w:hAnsi="Arial" w:eastAsia="黑体"/>
              </w:rPr>
            </w:pPr>
            <w:r>
              <w:rPr>
                <w:rStyle w:val="39"/>
                <w:rFonts w:ascii="Arial" w:hAnsi="Arial" w:eastAsia="黑体"/>
              </w:rPr>
              <w:t>学历（毕业学校、时间、专业）及取得的专业认证情况：</w:t>
            </w: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390"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39"/>
                <w:rFonts w:ascii="Arial" w:hAnsi="Arial" w:eastAsia="黑体"/>
              </w:rPr>
            </w:pPr>
            <w:r>
              <w:rPr>
                <w:rStyle w:val="39"/>
                <w:rFonts w:ascii="Arial" w:hAnsi="Arial" w:eastAsia="黑体"/>
              </w:rPr>
              <w:t>参加过的主要项目</w:t>
            </w:r>
          </w:p>
        </w:tc>
        <w:tc>
          <w:tcPr>
            <w:tcW w:w="2128" w:type="dxa"/>
            <w:gridSpan w:val="2"/>
            <w:tcBorders>
              <w:top w:val="single" w:color="000000" w:sz="4" w:space="0"/>
              <w:left w:val="single" w:color="000000" w:sz="4" w:space="0"/>
              <w:bottom w:val="single" w:color="000000" w:sz="4" w:space="0"/>
              <w:right w:val="single" w:color="000000" w:sz="12" w:space="0"/>
            </w:tcBorders>
            <w:vAlign w:val="center"/>
          </w:tcPr>
          <w:p>
            <w:pPr>
              <w:snapToGrid w:val="0"/>
              <w:jc w:val="center"/>
              <w:rPr>
                <w:rStyle w:val="39"/>
                <w:rFonts w:ascii="Arial" w:hAnsi="Arial" w:eastAsia="黑体"/>
              </w:rPr>
            </w:pPr>
            <w:r>
              <w:rPr>
                <w:rStyle w:val="39"/>
                <w:rFonts w:ascii="Arial" w:hAnsi="Arial" w:eastAsia="黑体"/>
              </w:rPr>
              <w:t>担任职务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57" w:hRule="atLeast"/>
        </w:trPr>
        <w:tc>
          <w:tcPr>
            <w:tcW w:w="7340" w:type="dxa"/>
            <w:gridSpan w:val="5"/>
            <w:tcBorders>
              <w:top w:val="single" w:color="000000" w:sz="4" w:space="0"/>
              <w:left w:val="single" w:color="000000" w:sz="12" w:space="0"/>
              <w:bottom w:val="single" w:color="000000" w:sz="4" w:space="0"/>
              <w:right w:val="single" w:color="000000" w:sz="4" w:space="0"/>
            </w:tcBorders>
            <w:vAlign w:val="center"/>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snapToGrid w:val="0"/>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snapToGrid w:val="0"/>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snapToGrid w:val="0"/>
              <w:rPr>
                <w:rStyle w:val="39"/>
                <w:rFonts w:ascii="Arial" w:hAnsi="Arial"/>
              </w:rPr>
            </w:pPr>
            <w:r>
              <w:rPr>
                <w:rStyle w:val="39"/>
                <w:rFonts w:ascii="Arial" w:hAnsi="Arial"/>
              </w:rPr>
              <w:t>1.业主单位名称</w:t>
            </w:r>
          </w:p>
          <w:p>
            <w:pPr>
              <w:snapToGrid w:val="0"/>
              <w:rPr>
                <w:rStyle w:val="39"/>
                <w:rFonts w:ascii="Arial" w:hAnsi="Arial"/>
              </w:rPr>
            </w:pPr>
            <w:r>
              <w:rPr>
                <w:rStyle w:val="39"/>
                <w:rFonts w:ascii="Arial" w:hAnsi="Arial"/>
              </w:rPr>
              <w:t>2.项目名称</w:t>
            </w:r>
          </w:p>
          <w:p>
            <w:pPr>
              <w:snapToGrid w:val="0"/>
              <w:rPr>
                <w:rStyle w:val="39"/>
                <w:rFonts w:ascii="Arial" w:hAnsi="Arial"/>
              </w:rPr>
            </w:pPr>
            <w:r>
              <w:rPr>
                <w:rStyle w:val="39"/>
                <w:rFonts w:ascii="Arial" w:hAnsi="Arial"/>
              </w:rPr>
              <w:t>3.合同金额</w:t>
            </w:r>
          </w:p>
          <w:p>
            <w:pPr>
              <w:rPr>
                <w:rStyle w:val="39"/>
                <w:rFonts w:ascii="Arial" w:hAnsi="Arial"/>
              </w:rPr>
            </w:pPr>
            <w:r>
              <w:rPr>
                <w:rStyle w:val="39"/>
                <w:rFonts w:ascii="Arial" w:hAnsi="Arial"/>
              </w:rPr>
              <w:t>4.业主联系方式</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r>
              <w:rPr>
                <w:rStyle w:val="39"/>
                <w:rFonts w:ascii="Arial" w:hAnsi="Arial"/>
              </w:rPr>
              <w:t>……</w:t>
            </w: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94" w:hRule="atLeast"/>
        </w:trPr>
        <w:tc>
          <w:tcPr>
            <w:tcW w:w="7340" w:type="dxa"/>
            <w:gridSpan w:val="5"/>
            <w:tcBorders>
              <w:top w:val="single" w:color="000000" w:sz="4" w:space="0"/>
              <w:left w:val="single" w:color="000000" w:sz="12" w:space="0"/>
              <w:bottom w:val="single" w:color="000000" w:sz="4"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4" w:space="0"/>
              <w:right w:val="single" w:color="000000" w:sz="12" w:space="0"/>
            </w:tcBorders>
          </w:tcPr>
          <w:p>
            <w:pPr>
              <w:rPr>
                <w:rStyle w:val="39"/>
                <w:rFonts w:ascii="Arial" w:hAnsi="Aria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cantSplit/>
          <w:trHeight w:val="672" w:hRule="atLeast"/>
        </w:trPr>
        <w:tc>
          <w:tcPr>
            <w:tcW w:w="7340" w:type="dxa"/>
            <w:gridSpan w:val="5"/>
            <w:tcBorders>
              <w:top w:val="single" w:color="000000" w:sz="4" w:space="0"/>
              <w:left w:val="single" w:color="000000" w:sz="12" w:space="0"/>
              <w:bottom w:val="single" w:color="000000" w:sz="12" w:space="0"/>
              <w:right w:val="single" w:color="000000" w:sz="4" w:space="0"/>
            </w:tcBorders>
          </w:tcPr>
          <w:p>
            <w:pPr>
              <w:rPr>
                <w:rStyle w:val="39"/>
                <w:rFonts w:ascii="Arial" w:hAnsi="Arial"/>
              </w:rPr>
            </w:pPr>
          </w:p>
        </w:tc>
        <w:tc>
          <w:tcPr>
            <w:tcW w:w="2128" w:type="dxa"/>
            <w:gridSpan w:val="2"/>
            <w:tcBorders>
              <w:top w:val="single" w:color="000000" w:sz="4" w:space="0"/>
              <w:left w:val="single" w:color="000000" w:sz="4" w:space="0"/>
              <w:bottom w:val="single" w:color="000000" w:sz="12" w:space="0"/>
              <w:right w:val="single" w:color="000000" w:sz="12" w:space="0"/>
            </w:tcBorders>
          </w:tcPr>
          <w:p>
            <w:pPr>
              <w:rPr>
                <w:rStyle w:val="39"/>
                <w:rFonts w:ascii="Arial" w:hAnsi="Arial"/>
              </w:rPr>
            </w:pPr>
          </w:p>
        </w:tc>
      </w:tr>
    </w:tbl>
    <w:p>
      <w:pPr>
        <w:jc w:val="left"/>
        <w:rPr>
          <w:rStyle w:val="39"/>
          <w:rFonts w:ascii="宋体" w:hAnsi="宋体" w:cs="宋体"/>
          <w:bCs/>
          <w:szCs w:val="21"/>
        </w:rPr>
      </w:pPr>
      <w:r>
        <w:rPr>
          <w:rStyle w:val="39"/>
          <w:rFonts w:ascii="宋体" w:hAnsi="宋体" w:cs="宋体"/>
          <w:bCs/>
          <w:szCs w:val="21"/>
        </w:rPr>
        <w:t>注：投标人须提供表列人员的业绩证明材料，包括项目合同复印件或业主证明材料或可以有效证明表列人员的业绩资料。</w:t>
      </w:r>
    </w:p>
    <w:p>
      <w:pPr>
        <w:pStyle w:val="451"/>
        <w:spacing w:after="0"/>
        <w:rPr>
          <w:rStyle w:val="39"/>
          <w:rFonts w:ascii="Arial" w:hAnsi="Arial"/>
        </w:rPr>
      </w:pPr>
    </w:p>
    <w:p>
      <w:pPr>
        <w:pStyle w:val="451"/>
        <w:spacing w:after="0"/>
        <w:rPr>
          <w:rStyle w:val="39"/>
          <w:rFonts w:ascii="Arial" w:hAnsi="Arial"/>
          <w:sz w:val="21"/>
          <w:szCs w:val="21"/>
          <w:u w:val="single"/>
        </w:rPr>
      </w:pPr>
      <w:r>
        <w:rPr>
          <w:rStyle w:val="39"/>
          <w:rFonts w:ascii="Arial" w:hAnsi="Arial"/>
          <w:sz w:val="21"/>
          <w:szCs w:val="21"/>
        </w:rPr>
        <w:t>投标人名称：</w:t>
      </w:r>
      <w:r>
        <w:rPr>
          <w:rStyle w:val="39"/>
          <w:rFonts w:ascii="Arial" w:hAnsi="Arial"/>
          <w:sz w:val="21"/>
          <w:szCs w:val="21"/>
          <w:u w:val="single"/>
        </w:rPr>
        <w:t xml:space="preserve">        公章         </w:t>
      </w:r>
    </w:p>
    <w:p>
      <w:pPr>
        <w:rPr>
          <w:rStyle w:val="39"/>
          <w:rFonts w:ascii="Arial" w:hAnsi="Arial"/>
          <w:szCs w:val="21"/>
          <w:u w:val="single"/>
        </w:rPr>
      </w:pPr>
      <w:r>
        <w:rPr>
          <w:rStyle w:val="39"/>
          <w:rFonts w:ascii="Arial" w:hAnsi="Arial"/>
          <w:szCs w:val="21"/>
        </w:rPr>
        <w:t>法定代表人或其委托代理人：</w:t>
      </w:r>
      <w:r>
        <w:rPr>
          <w:rStyle w:val="39"/>
          <w:rFonts w:ascii="Arial" w:hAnsi="Arial"/>
          <w:szCs w:val="21"/>
          <w:u w:val="single"/>
        </w:rPr>
        <w:t xml:space="preserve">     签字或加盖人名章             </w:t>
      </w:r>
    </w:p>
    <w:p>
      <w:pPr>
        <w:jc w:val="left"/>
        <w:rPr>
          <w:rStyle w:val="39"/>
          <w:rFonts w:ascii="Arial" w:hAnsi="Arial" w:eastAsia="黑体"/>
          <w:szCs w:val="21"/>
        </w:rPr>
      </w:pPr>
      <w:r>
        <w:rPr>
          <w:rStyle w:val="39"/>
          <w:rFonts w:ascii="Arial" w:hAnsi="Arial"/>
          <w:szCs w:val="21"/>
        </w:rPr>
        <w:t>日期 ：</w:t>
      </w:r>
      <w:r>
        <w:rPr>
          <w:rStyle w:val="39"/>
          <w:rFonts w:ascii="Arial" w:hAnsi="Arial"/>
          <w:szCs w:val="21"/>
          <w:u w:val="single"/>
        </w:rPr>
        <w:t xml:space="preserve">                         </w:t>
      </w:r>
    </w:p>
    <w:p>
      <w:pPr>
        <w:tabs>
          <w:tab w:val="left" w:pos="5580"/>
        </w:tabs>
        <w:spacing w:before="120" w:line="360" w:lineRule="auto"/>
        <w:ind w:firstLine="480" w:firstLineChars="200"/>
        <w:rPr>
          <w:rStyle w:val="39"/>
          <w:rFonts w:ascii="仿宋_GB2312" w:eastAsia="仿宋_GB2312"/>
          <w:sz w:val="24"/>
        </w:rPr>
      </w:pPr>
    </w:p>
    <w:p>
      <w:pPr>
        <w:rPr>
          <w:rStyle w:val="39"/>
        </w:rPr>
      </w:pPr>
    </w:p>
    <w:p>
      <w:pPr>
        <w:spacing w:line="360" w:lineRule="auto"/>
        <w:rPr>
          <w:rStyle w:val="39"/>
          <w:b/>
          <w:sz w:val="24"/>
        </w:rPr>
      </w:pPr>
      <w:r>
        <w:rPr>
          <w:rStyle w:val="39"/>
          <w:b/>
          <w:sz w:val="24"/>
        </w:rPr>
        <w:t>附件16  投标人服务承诺（如有）</w:t>
      </w:r>
    </w:p>
    <w:p>
      <w:pPr>
        <w:spacing w:line="360" w:lineRule="auto"/>
        <w:rPr>
          <w:rStyle w:val="39"/>
          <w:b/>
          <w:sz w:val="24"/>
        </w:rPr>
      </w:pPr>
    </w:p>
    <w:p>
      <w:pPr>
        <w:spacing w:line="360" w:lineRule="auto"/>
        <w:rPr>
          <w:rStyle w:val="39"/>
          <w:b/>
          <w:sz w:val="24"/>
        </w:rPr>
      </w:pPr>
      <w:r>
        <w:rPr>
          <w:rStyle w:val="39"/>
          <w:b/>
          <w:sz w:val="24"/>
        </w:rPr>
        <w:t>附件17   投标保证金转招标服务费说明</w:t>
      </w:r>
    </w:p>
    <w:p>
      <w:pPr>
        <w:pStyle w:val="130"/>
        <w:tabs>
          <w:tab w:val="left" w:pos="567"/>
        </w:tabs>
        <w:rPr>
          <w:rStyle w:val="39"/>
          <w:u w:val="single"/>
        </w:rPr>
      </w:pPr>
    </w:p>
    <w:p>
      <w:pPr>
        <w:snapToGrid w:val="0"/>
        <w:spacing w:line="360" w:lineRule="auto"/>
        <w:rPr>
          <w:rStyle w:val="39"/>
          <w:rFonts w:ascii="仿宋" w:hAnsi="仿宋" w:eastAsia="仿宋"/>
          <w:kern w:val="0"/>
          <w:sz w:val="24"/>
          <w:u w:val="single"/>
        </w:rPr>
      </w:pPr>
      <w:r>
        <w:rPr>
          <w:rStyle w:val="39"/>
          <w:rFonts w:ascii="仿宋" w:hAnsi="仿宋" w:eastAsia="仿宋"/>
          <w:kern w:val="0"/>
          <w:sz w:val="24"/>
          <w:u w:val="single"/>
        </w:rPr>
        <w:t>国信（西藏）招标咨询有限责任公司：</w:t>
      </w:r>
    </w:p>
    <w:p>
      <w:pPr>
        <w:spacing w:line="360" w:lineRule="auto"/>
        <w:ind w:firstLine="480" w:firstLineChars="200"/>
        <w:rPr>
          <w:rStyle w:val="39"/>
          <w:rFonts w:eastAsia="仿宋"/>
          <w:sz w:val="24"/>
        </w:rPr>
      </w:pPr>
      <w:r>
        <w:rPr>
          <w:rStyle w:val="39"/>
          <w:rFonts w:eastAsia="仿宋"/>
          <w:sz w:val="24"/>
        </w:rPr>
        <w:t>我公司如在                项目（项目编号：GXTC-         ）中中标，请按照《招标服务费通知单》中的服务费金额从我公司交纳的投标保证金RMB  元中扣除，并开具</w:t>
      </w:r>
    </w:p>
    <w:p>
      <w:pPr>
        <w:spacing w:line="360" w:lineRule="auto"/>
        <w:ind w:firstLine="480" w:firstLineChars="200"/>
        <w:rPr>
          <w:rStyle w:val="39"/>
          <w:rFonts w:eastAsia="仿宋"/>
          <w:sz w:val="24"/>
        </w:rPr>
      </w:pPr>
      <w:r>
        <w:rPr>
          <w:rStyle w:val="39"/>
          <w:rFonts w:eastAsia="仿宋"/>
          <w:sz w:val="24"/>
        </w:rPr>
        <w:t>□增值税普通发票</w:t>
      </w:r>
    </w:p>
    <w:p>
      <w:pPr>
        <w:spacing w:line="360" w:lineRule="auto"/>
        <w:ind w:firstLine="480" w:firstLineChars="200"/>
        <w:rPr>
          <w:rStyle w:val="39"/>
          <w:rFonts w:eastAsia="仿宋"/>
          <w:sz w:val="24"/>
        </w:rPr>
      </w:pPr>
      <w:r>
        <w:rPr>
          <w:rStyle w:val="39"/>
          <w:rFonts w:eastAsia="仿宋"/>
          <w:sz w:val="24"/>
        </w:rPr>
        <w:t>□或按照以下信息开具增值税专用发票：</w:t>
      </w:r>
    </w:p>
    <w:p>
      <w:pPr>
        <w:spacing w:line="360" w:lineRule="auto"/>
        <w:ind w:firstLine="480" w:firstLineChars="200"/>
        <w:rPr>
          <w:rStyle w:val="39"/>
          <w:rFonts w:eastAsia="仿宋"/>
          <w:sz w:val="24"/>
        </w:rPr>
      </w:pPr>
      <w:r>
        <w:rPr>
          <w:rStyle w:val="39"/>
          <w:rFonts w:eastAsia="仿宋"/>
          <w:sz w:val="24"/>
        </w:rPr>
        <w:t>单位名称：</w:t>
      </w:r>
    </w:p>
    <w:p>
      <w:pPr>
        <w:spacing w:line="360" w:lineRule="auto"/>
        <w:ind w:firstLine="480" w:firstLineChars="200"/>
        <w:rPr>
          <w:rStyle w:val="39"/>
          <w:rFonts w:eastAsia="仿宋"/>
          <w:sz w:val="24"/>
        </w:rPr>
      </w:pPr>
      <w:r>
        <w:rPr>
          <w:rStyle w:val="39"/>
          <w:rFonts w:eastAsia="仿宋"/>
          <w:sz w:val="24"/>
        </w:rPr>
        <w:t>纳税人识别号：</w:t>
      </w:r>
    </w:p>
    <w:p>
      <w:pPr>
        <w:spacing w:line="360" w:lineRule="auto"/>
        <w:ind w:firstLine="480" w:firstLineChars="200"/>
        <w:rPr>
          <w:rStyle w:val="39"/>
          <w:rFonts w:eastAsia="仿宋"/>
          <w:sz w:val="24"/>
        </w:rPr>
      </w:pPr>
      <w:r>
        <w:rPr>
          <w:rStyle w:val="39"/>
          <w:rFonts w:eastAsia="仿宋"/>
          <w:sz w:val="24"/>
        </w:rPr>
        <w:t>地址：</w:t>
      </w:r>
    </w:p>
    <w:p>
      <w:pPr>
        <w:spacing w:line="360" w:lineRule="auto"/>
        <w:ind w:firstLine="480" w:firstLineChars="200"/>
        <w:rPr>
          <w:rStyle w:val="39"/>
          <w:rFonts w:eastAsia="仿宋"/>
          <w:sz w:val="24"/>
        </w:rPr>
      </w:pPr>
      <w:r>
        <w:rPr>
          <w:rStyle w:val="39"/>
          <w:rFonts w:eastAsia="仿宋"/>
          <w:sz w:val="24"/>
        </w:rPr>
        <w:t>电话：</w:t>
      </w:r>
    </w:p>
    <w:p>
      <w:pPr>
        <w:spacing w:line="360" w:lineRule="auto"/>
        <w:ind w:firstLine="480" w:firstLineChars="200"/>
        <w:rPr>
          <w:rStyle w:val="39"/>
          <w:rFonts w:eastAsia="仿宋"/>
          <w:sz w:val="24"/>
        </w:rPr>
      </w:pPr>
      <w:r>
        <w:rPr>
          <w:rStyle w:val="39"/>
          <w:rFonts w:eastAsia="仿宋"/>
          <w:sz w:val="24"/>
        </w:rPr>
        <w:t>开户行：</w:t>
      </w:r>
    </w:p>
    <w:p>
      <w:pPr>
        <w:spacing w:line="360" w:lineRule="auto"/>
        <w:ind w:firstLine="480" w:firstLineChars="200"/>
        <w:rPr>
          <w:rStyle w:val="39"/>
          <w:rFonts w:eastAsia="仿宋"/>
          <w:sz w:val="24"/>
        </w:rPr>
      </w:pPr>
      <w:r>
        <w:rPr>
          <w:rStyle w:val="39"/>
          <w:rFonts w:eastAsia="仿宋"/>
          <w:sz w:val="24"/>
        </w:rPr>
        <w:t>账号：</w:t>
      </w:r>
    </w:p>
    <w:p>
      <w:pPr>
        <w:spacing w:line="360" w:lineRule="auto"/>
        <w:ind w:firstLine="480" w:firstLineChars="200"/>
        <w:rPr>
          <w:rStyle w:val="39"/>
          <w:rFonts w:eastAsia="仿宋"/>
          <w:sz w:val="24"/>
        </w:rPr>
      </w:pPr>
    </w:p>
    <w:p>
      <w:pPr>
        <w:spacing w:line="360" w:lineRule="auto"/>
        <w:ind w:firstLine="480" w:firstLineChars="200"/>
        <w:rPr>
          <w:rStyle w:val="39"/>
          <w:rFonts w:eastAsia="仿宋"/>
          <w:sz w:val="24"/>
        </w:rPr>
      </w:pPr>
      <w:r>
        <w:rPr>
          <w:rStyle w:val="39"/>
          <w:rFonts w:eastAsia="仿宋"/>
          <w:sz w:val="24"/>
        </w:rPr>
        <w:t xml:space="preserve">                     （公司公章）</w:t>
      </w:r>
    </w:p>
    <w:p>
      <w:pPr>
        <w:spacing w:line="360" w:lineRule="auto"/>
        <w:ind w:firstLine="480" w:firstLineChars="200"/>
        <w:rPr>
          <w:rStyle w:val="39"/>
          <w:rFonts w:eastAsia="仿宋"/>
          <w:sz w:val="24"/>
        </w:rPr>
      </w:pPr>
      <w:r>
        <w:rPr>
          <w:rStyle w:val="39"/>
          <w:rFonts w:eastAsia="仿宋"/>
          <w:sz w:val="24"/>
        </w:rPr>
        <w:t>年  月  日</w:t>
      </w:r>
    </w:p>
    <w:p>
      <w:pPr>
        <w:snapToGrid w:val="0"/>
        <w:spacing w:line="360" w:lineRule="auto"/>
        <w:rPr>
          <w:rStyle w:val="39"/>
          <w:rFonts w:eastAsia="仿宋"/>
          <w:sz w:val="24"/>
        </w:rPr>
      </w:pPr>
    </w:p>
    <w:p>
      <w:pPr>
        <w:snapToGrid w:val="0"/>
        <w:spacing w:line="360" w:lineRule="auto"/>
        <w:rPr>
          <w:rStyle w:val="39"/>
          <w:rFonts w:eastAsia="仿宋"/>
          <w:sz w:val="24"/>
        </w:rPr>
      </w:pPr>
    </w:p>
    <w:p>
      <w:pPr>
        <w:jc w:val="center"/>
        <w:rPr>
          <w:rStyle w:val="39"/>
          <w:rFonts w:eastAsia="仿宋"/>
          <w:b/>
        </w:rPr>
      </w:pPr>
      <w:r>
        <w:rPr>
          <w:rStyle w:val="39"/>
          <w:rFonts w:eastAsia="仿宋"/>
          <w:b/>
        </w:rPr>
        <w:t>（注： 此部分要求投标人填写，单独密封提交）</w:t>
      </w:r>
    </w:p>
    <w:p>
      <w:pPr>
        <w:snapToGrid w:val="0"/>
        <w:spacing w:after="156"/>
        <w:rPr>
          <w:rStyle w:val="39"/>
        </w:rPr>
      </w:pPr>
    </w:p>
    <w:p>
      <w:pPr>
        <w:snapToGrid w:val="0"/>
        <w:spacing w:after="156"/>
        <w:rPr>
          <w:rStyle w:val="39"/>
        </w:rPr>
      </w:pPr>
    </w:p>
    <w:p>
      <w:pPr>
        <w:pStyle w:val="130"/>
        <w:tabs>
          <w:tab w:val="left" w:pos="567"/>
        </w:tabs>
        <w:rPr>
          <w:rStyle w:val="39"/>
          <w:rFonts w:ascii="黑体" w:hAnsi="黑体" w:eastAsia="黑体"/>
          <w:i/>
        </w:rPr>
      </w:pPr>
    </w:p>
    <w:p>
      <w:pPr>
        <w:snapToGrid w:val="0"/>
        <w:spacing w:after="156"/>
        <w:rPr>
          <w:rStyle w:val="39"/>
        </w:rPr>
      </w:pPr>
    </w:p>
    <w:p>
      <w:pPr>
        <w:spacing w:line="360" w:lineRule="auto"/>
        <w:rPr>
          <w:rStyle w:val="39"/>
        </w:rPr>
      </w:pPr>
      <w:r>
        <w:rPr>
          <w:rStyle w:val="39"/>
        </w:rPr>
        <w:br w:type="page"/>
      </w:r>
    </w:p>
    <w:p>
      <w:pPr>
        <w:spacing w:line="360" w:lineRule="auto"/>
        <w:rPr>
          <w:rStyle w:val="39"/>
          <w:b/>
          <w:sz w:val="24"/>
        </w:rPr>
      </w:pPr>
      <w:r>
        <w:rPr>
          <w:rStyle w:val="39"/>
          <w:b/>
          <w:sz w:val="24"/>
        </w:rPr>
        <w:t>附件18 质疑函范本</w:t>
      </w:r>
    </w:p>
    <w:p>
      <w:pPr>
        <w:snapToGrid w:val="0"/>
        <w:spacing w:after="156"/>
        <w:rPr>
          <w:rStyle w:val="39"/>
        </w:rPr>
      </w:pPr>
    </w:p>
    <w:p>
      <w:pPr>
        <w:jc w:val="center"/>
        <w:rPr>
          <w:rStyle w:val="39"/>
          <w:rFonts w:ascii="仿宋" w:hAnsi="仿宋" w:eastAsia="仿宋" w:cs="仿宋"/>
          <w:b/>
          <w:bCs/>
          <w:sz w:val="28"/>
          <w:szCs w:val="28"/>
        </w:rPr>
      </w:pPr>
      <w:r>
        <w:rPr>
          <w:rStyle w:val="39"/>
          <w:rFonts w:ascii="仿宋" w:hAnsi="仿宋" w:eastAsia="仿宋" w:cs="仿宋"/>
          <w:b/>
          <w:bCs/>
          <w:sz w:val="28"/>
          <w:szCs w:val="28"/>
        </w:rPr>
        <w:t>质疑函范本</w:t>
      </w:r>
    </w:p>
    <w:p>
      <w:pPr>
        <w:snapToGrid w:val="0"/>
        <w:spacing w:before="312" w:line="360" w:lineRule="auto"/>
        <w:rPr>
          <w:rStyle w:val="39"/>
          <w:rFonts w:ascii="黑体" w:hAnsi="黑体" w:eastAsia="黑体" w:cs="仿宋"/>
          <w:bCs/>
          <w:sz w:val="24"/>
        </w:rPr>
      </w:pPr>
      <w:r>
        <w:rPr>
          <w:rStyle w:val="39"/>
          <w:rFonts w:ascii="黑体" w:hAnsi="黑体" w:eastAsia="黑体" w:cs="仿宋"/>
          <w:bCs/>
          <w:sz w:val="24"/>
        </w:rPr>
        <w:t>一、质疑</w:t>
      </w:r>
      <w:r>
        <w:rPr>
          <w:rStyle w:val="39"/>
          <w:rFonts w:hint="eastAsia" w:ascii="黑体" w:hAnsi="黑体" w:eastAsia="黑体" w:cs="仿宋"/>
          <w:bCs/>
          <w:sz w:val="24"/>
        </w:rPr>
        <w:t>投标人</w:t>
      </w:r>
      <w:r>
        <w:rPr>
          <w:rStyle w:val="39"/>
          <w:rFonts w:ascii="黑体" w:hAnsi="黑体" w:eastAsia="黑体" w:cs="仿宋"/>
          <w:bCs/>
          <w:sz w:val="24"/>
        </w:rPr>
        <w:t>基本信息</w:t>
      </w:r>
    </w:p>
    <w:p>
      <w:pPr>
        <w:snapToGrid w:val="0"/>
        <w:spacing w:line="360" w:lineRule="auto"/>
        <w:rPr>
          <w:rStyle w:val="39"/>
          <w:rFonts w:ascii="仿宋" w:hAnsi="仿宋" w:eastAsia="仿宋"/>
          <w:sz w:val="24"/>
          <w:u w:val="dotted"/>
        </w:rPr>
      </w:pPr>
      <w:r>
        <w:rPr>
          <w:rStyle w:val="39"/>
          <w:rFonts w:ascii="仿宋" w:hAnsi="仿宋" w:eastAsia="仿宋"/>
          <w:sz w:val="24"/>
        </w:rPr>
        <w:t>质疑</w:t>
      </w:r>
      <w:r>
        <w:rPr>
          <w:rStyle w:val="39"/>
          <w:rFonts w:hint="eastAsia" w:ascii="仿宋" w:hAnsi="仿宋" w:eastAsia="仿宋"/>
          <w:sz w:val="24"/>
        </w:rPr>
        <w:t>投标人</w:t>
      </w:r>
      <w:r>
        <w:rPr>
          <w:rStyle w:val="39"/>
          <w:rFonts w:ascii="仿宋" w:hAnsi="仿宋" w:eastAsia="仿宋"/>
          <w:sz w:val="24"/>
        </w:rPr>
        <w:t>：</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仿宋" w:hAnsi="仿宋" w:eastAsia="仿宋"/>
          <w:sz w:val="24"/>
        </w:rPr>
      </w:pPr>
      <w:r>
        <w:rPr>
          <w:rStyle w:val="39"/>
          <w:rFonts w:ascii="仿宋" w:hAnsi="仿宋" w:eastAsia="仿宋"/>
          <w:sz w:val="24"/>
        </w:rPr>
        <w:t>联系人：联系电话：</w:t>
      </w:r>
    </w:p>
    <w:p>
      <w:pPr>
        <w:snapToGrid w:val="0"/>
        <w:spacing w:line="360" w:lineRule="auto"/>
        <w:rPr>
          <w:rStyle w:val="39"/>
          <w:rFonts w:ascii="仿宋" w:hAnsi="仿宋" w:eastAsia="仿宋"/>
          <w:sz w:val="24"/>
          <w:u w:val="dotted"/>
        </w:rPr>
      </w:pPr>
      <w:r>
        <w:rPr>
          <w:rStyle w:val="39"/>
          <w:rFonts w:ascii="仿宋" w:hAnsi="仿宋" w:eastAsia="仿宋"/>
          <w:sz w:val="24"/>
        </w:rPr>
        <w:t>授权代表：</w:t>
      </w:r>
    </w:p>
    <w:p>
      <w:pPr>
        <w:snapToGrid w:val="0"/>
        <w:spacing w:line="360" w:lineRule="auto"/>
        <w:rPr>
          <w:rStyle w:val="39"/>
          <w:rFonts w:ascii="仿宋" w:hAnsi="仿宋" w:eastAsia="仿宋"/>
          <w:sz w:val="24"/>
        </w:rPr>
      </w:pPr>
      <w:r>
        <w:rPr>
          <w:rStyle w:val="39"/>
          <w:rFonts w:ascii="仿宋" w:hAnsi="仿宋" w:eastAsia="仿宋"/>
          <w:sz w:val="24"/>
        </w:rPr>
        <w:t>联系电话：</w:t>
      </w:r>
    </w:p>
    <w:p>
      <w:pPr>
        <w:snapToGrid w:val="0"/>
        <w:spacing w:line="360" w:lineRule="auto"/>
        <w:rPr>
          <w:rStyle w:val="39"/>
          <w:rFonts w:ascii="仿宋" w:hAnsi="仿宋" w:eastAsia="仿宋"/>
          <w:sz w:val="24"/>
        </w:rPr>
      </w:pPr>
      <w:r>
        <w:rPr>
          <w:rStyle w:val="39"/>
          <w:rFonts w:ascii="仿宋" w:hAnsi="仿宋" w:eastAsia="仿宋"/>
          <w:sz w:val="24"/>
        </w:rPr>
        <w:t>地址：邮编：</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二、质疑项目基本情况</w:t>
      </w:r>
    </w:p>
    <w:p>
      <w:pPr>
        <w:snapToGrid w:val="0"/>
        <w:spacing w:line="360" w:lineRule="auto"/>
        <w:rPr>
          <w:rStyle w:val="39"/>
          <w:rFonts w:ascii="仿宋" w:hAnsi="仿宋" w:eastAsia="仿宋"/>
          <w:sz w:val="24"/>
        </w:rPr>
      </w:pPr>
      <w:r>
        <w:rPr>
          <w:rStyle w:val="39"/>
          <w:rFonts w:ascii="仿宋" w:hAnsi="仿宋" w:eastAsia="仿宋"/>
          <w:sz w:val="24"/>
        </w:rPr>
        <w:t>质疑项目的名称：</w:t>
      </w:r>
    </w:p>
    <w:p>
      <w:pPr>
        <w:snapToGrid w:val="0"/>
        <w:spacing w:line="360" w:lineRule="auto"/>
        <w:rPr>
          <w:rStyle w:val="39"/>
          <w:rFonts w:ascii="仿宋" w:hAnsi="仿宋" w:eastAsia="仿宋"/>
          <w:sz w:val="24"/>
        </w:rPr>
      </w:pPr>
      <w:r>
        <w:rPr>
          <w:rStyle w:val="39"/>
          <w:rFonts w:ascii="仿宋" w:hAnsi="仿宋" w:eastAsia="仿宋"/>
          <w:sz w:val="24"/>
        </w:rPr>
        <w:t>质疑项目的编号：包号：</w:t>
      </w:r>
    </w:p>
    <w:p>
      <w:pPr>
        <w:snapToGrid w:val="0"/>
        <w:spacing w:line="360" w:lineRule="auto"/>
        <w:rPr>
          <w:rStyle w:val="39"/>
          <w:rFonts w:ascii="仿宋" w:hAnsi="仿宋" w:eastAsia="仿宋"/>
          <w:sz w:val="24"/>
          <w:u w:val="dotted"/>
        </w:rPr>
      </w:pPr>
      <w:r>
        <w:rPr>
          <w:rStyle w:val="39"/>
          <w:rFonts w:ascii="仿宋" w:hAnsi="仿宋" w:eastAsia="仿宋"/>
          <w:sz w:val="24"/>
        </w:rPr>
        <w:t>采购人名称：</w:t>
      </w:r>
    </w:p>
    <w:p>
      <w:pPr>
        <w:snapToGrid w:val="0"/>
        <w:spacing w:line="360" w:lineRule="auto"/>
        <w:rPr>
          <w:rStyle w:val="39"/>
          <w:rFonts w:ascii="仿宋" w:hAnsi="仿宋" w:eastAsia="仿宋"/>
          <w:sz w:val="24"/>
        </w:rPr>
      </w:pPr>
      <w:r>
        <w:rPr>
          <w:rStyle w:val="39"/>
          <w:rFonts w:ascii="仿宋" w:hAnsi="仿宋" w:eastAsia="仿宋"/>
          <w:sz w:val="24"/>
        </w:rPr>
        <w:t>采购文件获取日期：</w:t>
      </w:r>
    </w:p>
    <w:p>
      <w:pPr>
        <w:snapToGrid w:val="0"/>
        <w:spacing w:line="360" w:lineRule="auto"/>
        <w:rPr>
          <w:rStyle w:val="39"/>
          <w:rFonts w:ascii="黑体" w:hAnsi="黑体" w:eastAsia="黑体" w:cs="仿宋"/>
          <w:bCs/>
          <w:sz w:val="24"/>
        </w:rPr>
      </w:pPr>
      <w:r>
        <w:rPr>
          <w:rStyle w:val="39"/>
          <w:rFonts w:ascii="黑体" w:hAnsi="黑体" w:eastAsia="黑体" w:cs="仿宋"/>
          <w:bCs/>
          <w:sz w:val="24"/>
        </w:rPr>
        <w:t>三、质疑事项具体内容</w:t>
      </w:r>
    </w:p>
    <w:p>
      <w:pPr>
        <w:snapToGrid w:val="0"/>
        <w:spacing w:line="360" w:lineRule="auto"/>
        <w:rPr>
          <w:rStyle w:val="39"/>
          <w:rFonts w:ascii="仿宋" w:hAnsi="仿宋" w:eastAsia="仿宋"/>
          <w:sz w:val="24"/>
          <w:u w:val="dotted"/>
        </w:rPr>
      </w:pPr>
      <w:r>
        <w:rPr>
          <w:rStyle w:val="39"/>
          <w:rFonts w:ascii="仿宋" w:hAnsi="仿宋" w:eastAsia="仿宋"/>
          <w:sz w:val="24"/>
        </w:rPr>
        <w:t>质疑事项1：</w:t>
      </w:r>
    </w:p>
    <w:p>
      <w:pPr>
        <w:snapToGrid w:val="0"/>
        <w:spacing w:line="360" w:lineRule="auto"/>
        <w:rPr>
          <w:rStyle w:val="39"/>
          <w:rFonts w:ascii="仿宋" w:hAnsi="仿宋" w:eastAsia="仿宋"/>
          <w:sz w:val="24"/>
          <w:u w:val="dotted"/>
        </w:rPr>
      </w:pPr>
      <w:r>
        <w:rPr>
          <w:rStyle w:val="39"/>
          <w:rFonts w:ascii="仿宋" w:hAnsi="仿宋" w:eastAsia="仿宋"/>
          <w:sz w:val="24"/>
        </w:rPr>
        <w:t>事实依据：</w:t>
      </w:r>
    </w:p>
    <w:p>
      <w:pPr>
        <w:snapToGrid w:val="0"/>
        <w:spacing w:line="360" w:lineRule="auto"/>
        <w:rPr>
          <w:rStyle w:val="39"/>
          <w:rFonts w:ascii="仿宋" w:hAnsi="仿宋" w:eastAsia="仿宋"/>
          <w:sz w:val="24"/>
        </w:rPr>
      </w:pPr>
    </w:p>
    <w:p>
      <w:pPr>
        <w:snapToGrid w:val="0"/>
        <w:spacing w:line="360" w:lineRule="auto"/>
        <w:rPr>
          <w:rStyle w:val="39"/>
          <w:rFonts w:ascii="仿宋" w:hAnsi="仿宋" w:eastAsia="仿宋"/>
          <w:sz w:val="24"/>
          <w:u w:val="dotted"/>
        </w:rPr>
      </w:pPr>
      <w:r>
        <w:rPr>
          <w:rStyle w:val="39"/>
          <w:rFonts w:ascii="仿宋" w:hAnsi="仿宋" w:eastAsia="仿宋"/>
          <w:sz w:val="24"/>
        </w:rPr>
        <w:t>法律依据：</w:t>
      </w:r>
    </w:p>
    <w:p>
      <w:pPr>
        <w:snapToGrid w:val="0"/>
        <w:spacing w:line="360" w:lineRule="auto"/>
        <w:rPr>
          <w:rStyle w:val="39"/>
          <w:rFonts w:ascii="仿宋" w:hAnsi="仿宋" w:eastAsia="仿宋"/>
          <w:sz w:val="24"/>
          <w:u w:val="dotted"/>
        </w:rPr>
      </w:pPr>
    </w:p>
    <w:p>
      <w:pPr>
        <w:snapToGrid w:val="0"/>
        <w:spacing w:line="360" w:lineRule="auto"/>
        <w:rPr>
          <w:rStyle w:val="39"/>
          <w:rFonts w:ascii="仿宋" w:hAnsi="仿宋" w:eastAsia="仿宋"/>
          <w:sz w:val="24"/>
          <w:u w:val="dotted"/>
        </w:rPr>
      </w:pPr>
      <w:r>
        <w:rPr>
          <w:rStyle w:val="39"/>
          <w:rFonts w:ascii="仿宋" w:hAnsi="仿宋" w:eastAsia="仿宋"/>
          <w:sz w:val="24"/>
        </w:rPr>
        <w:t>质疑事项2</w:t>
      </w:r>
    </w:p>
    <w:p>
      <w:pPr>
        <w:snapToGrid w:val="0"/>
        <w:spacing w:line="360" w:lineRule="auto"/>
        <w:rPr>
          <w:rStyle w:val="39"/>
          <w:rFonts w:ascii="仿宋" w:hAnsi="仿宋" w:eastAsia="仿宋"/>
          <w:sz w:val="24"/>
        </w:rPr>
      </w:pPr>
      <w:r>
        <w:rPr>
          <w:rStyle w:val="39"/>
          <w:rFonts w:ascii="仿宋" w:hAnsi="仿宋" w:eastAsia="仿宋"/>
          <w:sz w:val="24"/>
        </w:rPr>
        <w:t>……</w:t>
      </w:r>
    </w:p>
    <w:p>
      <w:pPr>
        <w:snapToGrid w:val="0"/>
        <w:spacing w:after="156"/>
        <w:rPr>
          <w:rStyle w:val="39"/>
          <w:sz w:val="24"/>
        </w:rPr>
      </w:pPr>
      <w:r>
        <w:rPr>
          <w:rStyle w:val="39"/>
          <w:rFonts w:ascii="黑体" w:hAnsi="黑体" w:eastAsia="黑体" w:cs="仿宋"/>
          <w:bCs/>
          <w:sz w:val="24"/>
        </w:rPr>
        <w:t>四、与质疑事项相关的质疑请求</w:t>
      </w:r>
    </w:p>
    <w:p>
      <w:pPr>
        <w:snapToGrid w:val="0"/>
        <w:spacing w:line="360" w:lineRule="auto"/>
        <w:rPr>
          <w:rStyle w:val="39"/>
          <w:rFonts w:ascii="仿宋" w:hAnsi="仿宋" w:eastAsia="仿宋"/>
          <w:sz w:val="24"/>
          <w:u w:val="dotted"/>
        </w:rPr>
      </w:pPr>
      <w:r>
        <w:rPr>
          <w:rStyle w:val="39"/>
          <w:rFonts w:ascii="仿宋" w:hAnsi="仿宋" w:eastAsia="仿宋"/>
          <w:sz w:val="24"/>
        </w:rPr>
        <w:t>请求：</w:t>
      </w:r>
    </w:p>
    <w:p>
      <w:pPr>
        <w:rPr>
          <w:rStyle w:val="39"/>
          <w:rFonts w:ascii="仿宋_GB2312" w:eastAsia="仿宋_GB2312"/>
          <w:sz w:val="24"/>
        </w:rPr>
      </w:pPr>
      <w:r>
        <w:rPr>
          <w:rStyle w:val="39"/>
          <w:rFonts w:ascii="仿宋_GB2312" w:eastAsia="仿宋_GB2312"/>
          <w:sz w:val="24"/>
        </w:rPr>
        <w:t xml:space="preserve">签字(签章)：                   公章：                      </w:t>
      </w:r>
    </w:p>
    <w:p>
      <w:pPr>
        <w:rPr>
          <w:rStyle w:val="39"/>
          <w:rFonts w:ascii="仿宋_GB2312" w:eastAsia="仿宋_GB2312"/>
          <w:sz w:val="24"/>
        </w:rPr>
      </w:pPr>
      <w:r>
        <w:rPr>
          <w:rStyle w:val="39"/>
          <w:rFonts w:ascii="仿宋_GB2312" w:eastAsia="仿宋_GB2312"/>
          <w:sz w:val="24"/>
        </w:rPr>
        <w:t xml:space="preserve">日期：    </w:t>
      </w:r>
    </w:p>
    <w:p>
      <w:pPr>
        <w:snapToGrid w:val="0"/>
        <w:spacing w:line="360" w:lineRule="auto"/>
        <w:rPr>
          <w:rStyle w:val="39"/>
          <w:rFonts w:ascii="仿宋" w:hAnsi="仿宋" w:eastAsia="仿宋"/>
          <w:sz w:val="24"/>
        </w:rPr>
      </w:pPr>
    </w:p>
    <w:p>
      <w:pPr>
        <w:rPr>
          <w:rStyle w:val="39"/>
          <w:sz w:val="24"/>
        </w:rPr>
      </w:pPr>
      <w:r>
        <w:rPr>
          <w:rStyle w:val="39"/>
          <w:sz w:val="24"/>
        </w:rPr>
        <w:br w:type="page"/>
      </w:r>
    </w:p>
    <w:p>
      <w:pPr>
        <w:rPr>
          <w:rStyle w:val="39"/>
          <w:rFonts w:ascii="黑体" w:hAnsi="黑体" w:eastAsia="黑体"/>
          <w:b/>
          <w:sz w:val="24"/>
        </w:rPr>
      </w:pPr>
      <w:r>
        <w:rPr>
          <w:rStyle w:val="39"/>
          <w:rFonts w:ascii="黑体" w:hAnsi="黑体" w:eastAsia="黑体"/>
          <w:b/>
          <w:sz w:val="24"/>
        </w:rPr>
        <w:t>质疑函制作说明：</w:t>
      </w:r>
    </w:p>
    <w:p>
      <w:pPr>
        <w:ind w:firstLine="480" w:firstLineChars="200"/>
        <w:jc w:val="left"/>
        <w:rPr>
          <w:rStyle w:val="39"/>
          <w:rFonts w:ascii="仿宋_GB2312" w:eastAsia="仿宋_GB2312"/>
          <w:sz w:val="24"/>
        </w:rPr>
      </w:pPr>
      <w:r>
        <w:rPr>
          <w:rStyle w:val="39"/>
          <w:rFonts w:ascii="仿宋_GB2312" w:eastAsia="仿宋_GB2312"/>
          <w:sz w:val="24"/>
        </w:rPr>
        <w:t>1.</w:t>
      </w:r>
      <w:r>
        <w:rPr>
          <w:rStyle w:val="39"/>
          <w:rFonts w:hint="eastAsia" w:ascii="仿宋_GB2312" w:eastAsia="仿宋_GB2312"/>
          <w:sz w:val="24"/>
        </w:rPr>
        <w:t>投标人</w:t>
      </w:r>
      <w:r>
        <w:rPr>
          <w:rStyle w:val="39"/>
          <w:rFonts w:ascii="仿宋_GB2312" w:eastAsia="仿宋_GB2312"/>
          <w:sz w:val="24"/>
        </w:rPr>
        <w:t>提出质疑时，应提交质疑函和必要的证明材料。</w:t>
      </w:r>
    </w:p>
    <w:p>
      <w:pPr>
        <w:ind w:firstLine="480" w:firstLineChars="200"/>
        <w:jc w:val="left"/>
        <w:rPr>
          <w:rStyle w:val="39"/>
          <w:rFonts w:ascii="仿宋_GB2312" w:eastAsia="仿宋_GB2312"/>
          <w:sz w:val="24"/>
        </w:rPr>
      </w:pPr>
      <w:r>
        <w:rPr>
          <w:rStyle w:val="39"/>
          <w:rFonts w:ascii="仿宋_GB2312" w:eastAsia="仿宋_GB2312"/>
          <w:sz w:val="24"/>
        </w:rPr>
        <w:t>2.质疑</w:t>
      </w:r>
      <w:r>
        <w:rPr>
          <w:rStyle w:val="39"/>
          <w:rFonts w:hint="eastAsia" w:ascii="仿宋_GB2312" w:eastAsia="仿宋_GB2312"/>
          <w:sz w:val="24"/>
        </w:rPr>
        <w:t>投标人</w:t>
      </w:r>
      <w:r>
        <w:rPr>
          <w:rStyle w:val="39"/>
          <w:rFonts w:ascii="仿宋_GB2312" w:eastAsia="仿宋_GB2312"/>
          <w:sz w:val="24"/>
        </w:rPr>
        <w:t>若委托代理人进行质疑的，质疑函应按要求列明“授权代表”的有关内容，并在附件中提交由质疑</w:t>
      </w:r>
      <w:r>
        <w:rPr>
          <w:rStyle w:val="39"/>
          <w:rFonts w:hint="eastAsia" w:ascii="仿宋_GB2312" w:hAnsi="宋体" w:eastAsia="仿宋_GB2312"/>
          <w:kern w:val="0"/>
          <w:sz w:val="24"/>
        </w:rPr>
        <w:t>投标人</w:t>
      </w:r>
      <w:r>
        <w:rPr>
          <w:rStyle w:val="39"/>
          <w:rFonts w:ascii="仿宋_GB2312" w:hAnsi="宋体" w:eastAsia="仿宋_GB2312"/>
          <w:kern w:val="0"/>
          <w:sz w:val="24"/>
        </w:rPr>
        <w:t>签署的授权委托书。授权委托书应载明代理人的姓名或者名称、代理事项、具体权限、期限和相关事项。</w:t>
      </w:r>
    </w:p>
    <w:p>
      <w:pPr>
        <w:ind w:firstLine="480" w:firstLineChars="200"/>
        <w:jc w:val="left"/>
        <w:rPr>
          <w:rStyle w:val="39"/>
          <w:rFonts w:ascii="仿宋_GB2312" w:eastAsia="仿宋_GB2312"/>
          <w:sz w:val="24"/>
        </w:rPr>
      </w:pPr>
      <w:r>
        <w:rPr>
          <w:rStyle w:val="39"/>
          <w:rFonts w:ascii="仿宋_GB2312" w:eastAsia="仿宋_GB2312"/>
          <w:sz w:val="24"/>
        </w:rPr>
        <w:t>3.质疑</w:t>
      </w:r>
      <w:r>
        <w:rPr>
          <w:rStyle w:val="39"/>
          <w:rFonts w:hint="eastAsia" w:ascii="仿宋_GB2312" w:eastAsia="仿宋_GB2312"/>
          <w:sz w:val="24"/>
        </w:rPr>
        <w:t>投标人</w:t>
      </w:r>
      <w:r>
        <w:rPr>
          <w:rStyle w:val="39"/>
          <w:rFonts w:ascii="仿宋_GB2312" w:eastAsia="仿宋_GB2312"/>
          <w:sz w:val="24"/>
        </w:rPr>
        <w:t>若对项目的某一分包进行质疑，质疑函中应列明具体分包号。</w:t>
      </w:r>
    </w:p>
    <w:p>
      <w:pPr>
        <w:ind w:firstLine="480" w:firstLineChars="200"/>
        <w:jc w:val="left"/>
        <w:rPr>
          <w:rStyle w:val="39"/>
          <w:rFonts w:ascii="仿宋_GB2312" w:eastAsia="仿宋_GB2312"/>
          <w:sz w:val="24"/>
        </w:rPr>
      </w:pPr>
      <w:r>
        <w:rPr>
          <w:rStyle w:val="39"/>
          <w:rFonts w:ascii="仿宋_GB2312" w:eastAsia="仿宋_GB2312"/>
          <w:sz w:val="24"/>
        </w:rPr>
        <w:t>4.质疑函的质疑事项应具体、明确，并有必要的事实依据和法律依据。</w:t>
      </w:r>
    </w:p>
    <w:p>
      <w:pPr>
        <w:ind w:firstLine="480" w:firstLineChars="200"/>
        <w:jc w:val="left"/>
        <w:rPr>
          <w:rStyle w:val="39"/>
          <w:rFonts w:ascii="仿宋_GB2312" w:eastAsia="仿宋_GB2312"/>
          <w:sz w:val="24"/>
        </w:rPr>
      </w:pPr>
      <w:r>
        <w:rPr>
          <w:rStyle w:val="39"/>
          <w:rFonts w:ascii="仿宋_GB2312" w:eastAsia="仿宋_GB2312"/>
          <w:sz w:val="24"/>
        </w:rPr>
        <w:t>5.质疑函的质疑请求应与质疑事项相关。</w:t>
      </w:r>
    </w:p>
    <w:p>
      <w:pPr>
        <w:ind w:firstLine="480" w:firstLineChars="200"/>
        <w:jc w:val="left"/>
        <w:rPr>
          <w:rStyle w:val="39"/>
          <w:rFonts w:ascii="仿宋_GB2312" w:eastAsia="仿宋_GB2312"/>
          <w:sz w:val="24"/>
        </w:rPr>
      </w:pPr>
      <w:r>
        <w:rPr>
          <w:rStyle w:val="39"/>
          <w:rFonts w:ascii="仿宋_GB2312" w:eastAsia="仿宋_GB2312"/>
          <w:sz w:val="24"/>
        </w:rPr>
        <w:t>6.质疑</w:t>
      </w:r>
      <w:r>
        <w:rPr>
          <w:rStyle w:val="39"/>
          <w:rFonts w:hint="eastAsia" w:ascii="仿宋_GB2312" w:eastAsia="仿宋_GB2312"/>
          <w:sz w:val="24"/>
        </w:rPr>
        <w:t>投标人</w:t>
      </w:r>
      <w:r>
        <w:rPr>
          <w:rStyle w:val="39"/>
          <w:rFonts w:ascii="仿宋_GB2312" w:eastAsia="仿宋_GB2312"/>
          <w:sz w:val="24"/>
        </w:rPr>
        <w:t>为自然人的，质疑函应由本人签字；质疑</w:t>
      </w:r>
      <w:r>
        <w:rPr>
          <w:rStyle w:val="39"/>
          <w:rFonts w:hint="eastAsia" w:ascii="仿宋_GB2312" w:eastAsia="仿宋_GB2312"/>
          <w:sz w:val="24"/>
        </w:rPr>
        <w:t>投标人</w:t>
      </w:r>
      <w:r>
        <w:rPr>
          <w:rStyle w:val="39"/>
          <w:rFonts w:ascii="仿宋_GB2312" w:eastAsia="仿宋_GB2312"/>
          <w:sz w:val="24"/>
        </w:rPr>
        <w:t>为法人或者其他组织的，质疑函应由法定代表人、主要负责人，或者其授权代表签字或者盖章，并加盖公章。</w:t>
      </w:r>
    </w:p>
    <w:p>
      <w:pPr>
        <w:ind w:firstLine="480" w:firstLineChars="200"/>
        <w:jc w:val="left"/>
        <w:rPr>
          <w:rStyle w:val="39"/>
          <w:rFonts w:ascii="仿宋_GB2312" w:eastAsia="仿宋_GB2312"/>
          <w:sz w:val="24"/>
        </w:rPr>
      </w:pPr>
    </w:p>
    <w:p>
      <w:pPr>
        <w:snapToGrid w:val="0"/>
        <w:spacing w:after="156"/>
        <w:rPr>
          <w:rStyle w:val="39"/>
          <w:sz w:val="24"/>
        </w:rPr>
      </w:pPr>
    </w:p>
    <w:sectPr>
      <w:headerReference r:id="rId8" w:type="default"/>
      <w:footerReference r:id="rId9" w:type="default"/>
      <w:pgSz w:w="11906" w:h="16838"/>
      <w:pgMar w:top="1440" w:right="1247" w:bottom="136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Univers">
    <w:altName w:val="Segoe Print"/>
    <w:panose1 w:val="00000000000000000000"/>
    <w:charset w:val="00"/>
    <w:family w:val="swiss"/>
    <w:pitch w:val="default"/>
    <w:sig w:usb0="00000000" w:usb1="00000000" w:usb2="00000000" w:usb3="00000000" w:csb0="0000000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MingLiU_HKSCS">
    <w:altName w:val="PMingLiU-ExtB"/>
    <w:panose1 w:val="000000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39"/>
      </w:rPr>
    </w:pPr>
    <w:r>
      <w:rPr>
        <w:rStyle w:val="3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KsL4rcBAAB3AwAADgAAAGRycy9lMm9Eb2MueG1srVNNjtMwFN4j&#10;cQfLe+o0EqiKmo40qgYhIUAaOIDr2I0l28+y3Sa9ANyAFRv2nKvn4NlpOsOwmcVsnPfn773ve876&#10;ZrSGHGWIGlxLl4uKEukEdNrtW/rt692bFSUxcddxA0629CQjvdm8frUefCNr6MF0MhAEcbEZfEv7&#10;lHzDWBS9tDwuwEuHSQXB8oRu2LMu8AHRrWF1Vb1jA4TOBxAyRoxupyS9IIbnAIJSWsgtiIOVLk2o&#10;QRqekFLstY90U6ZVSor0WakoEzEtRaapnNgE7V0+2WbNm33gvtfiMgJ/zghPOFmuHTa9Qm154uQQ&#10;9H9QVosAEVRaCLBsIlIUQRbL6ok29z33snBBqaO/ih5fDlZ8On4JRHf4EmpKHLe48fPPH+dff86/&#10;v5NlVb/NEg0+Nlh577E2jbcwYvkcjxjMzEcVbP4iJ4J5FPh0FViOiYh8aVWvVhWmBOZmB/HZw3Uf&#10;YnovwZJstDTgBouw/Pgxpql0LsndHNxpY8oWjfsngJg5wvLs04zZSuNuvBDaQXdCPuaDQz3z25iN&#10;MBu72Tj4oPc9jlNYF0jcR5n78nbywh/7pfHD/7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wqwvi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w:rPr>
        <w:rStyle w:val="3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I9AxbcBAAB3AwAADgAAAGRycy9lMm9Eb2MueG1srVNLbtswEN0X&#10;yB0I7mPKXgSGYDlAYSQIEKQF0h6ApkiLAMkhSNqSL9DeoKtuuu+5fI4OKctJ000W3VDz45t5b6jV&#10;7WANOcgQNbiGzmcVJdIJaLXbNfTrl7vrJSUxcddyA0429CgjvV1ffVj1vpYL6MC0MhAEcbHufUO7&#10;lHzNWBSdtDzOwEuHSQXB8oRu2LE28B7RrWGLqrphPYTWBxAyRoxuxiQ9I4b3AIJSWsgNiL2VLo2o&#10;QRqekFLstI90XaZVSor0SakoEzENRaapnNgE7W0+2XrF613gvtPiPAJ/zwhvOFmuHTa9QG144mQf&#10;9D9QVosAEVSaCbBsJFIUQRbz6o02zx33snBBqaO/iB7/H6x4OnwORLf4EuaUOG5x46cf308/f59+&#10;fSPzanGTJep9rLHy2WNtGj7CgOVTPGIwMx9UsPmLnAjmUeDjRWA5JCLypeViuawwJTA3OYjPXq77&#10;ENO9BEuy0dCAGyzC8sNjTGPpVJK7ObjTxpQtGvdXADFzhOXZxxmzlYbtcCa0hfaIfMyDQz3z25iM&#10;MBnbydj7oHcdjlNYF0jcR5n7/Hbywl/7pfHL/7L+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BYj0DF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w:rPr>
        <w:rStyle w:val="39"/>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5z77rcBAAB3AwAADgAAAGRycy9lMm9Eb2MueG1srVNLbtswEN0X&#10;6B0I7mPKD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f4Eq4pcdzixk/fn04/fp1+&#10;fiPzavE+S9SHWGPlY8DaNNz6AcuneMRgZj4osPmLnAjmUeDjRWA5JCLypeViuawwJTA3OYjPnq8H&#10;iOleekuy0VDADRZh+eFjTGPpVJK7OX+njSlbNO6vAGLmCMuzjzNmKw3b4Uxo69sj8jEfHOqZ38Zk&#10;wGRsJ2MfQO86HKewLpC4jzL3+e3khf/pl8bP/8v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AbnPvutwEAAHcDAAAOAAAAAAAAAAEAIAAAACEBAABkcnMvZTJvRG9jLnhtbFBLBQYAAAAABgAG&#10;AFkBAABKBQ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90" w:firstLineChars="50"/>
      <w:jc w:val="center"/>
      <w:rPr>
        <w:rStyle w:val="39"/>
      </w:rPr>
    </w:pPr>
    <w:r>
      <w:rPr>
        <w:rStyle w:val="39"/>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Style w:val="39"/>
                              <w:sz w:val="18"/>
                            </w:rPr>
                          </w:pPr>
                        </w:p>
                        <w:p>
                          <w:pPr>
                            <w:rPr>
                              <w:rStyle w:val="39"/>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GwNsx7YBAAB3AwAADgAAAGRycy9lMm9Eb2MueG1srVNNjtMwFN4j&#10;cQfLe+q0QiiKmo40qgYhIUAaOIDr2I0l/+nZbdILwA1YsWHPuXoOnp2mMwybWczGeX/+3vu+56xv&#10;RmvIUULU3rV0uagokU74Trt9S799vXtTUxITdx033smWnmSkN5vXr9ZDaOTK9950EgiCuNgMoaV9&#10;SqFhLIpeWh4XPkiHSeXB8oQu7FkHfEB0a9iqqt6xwUMXwAsZI0a3U5JeEOE5gF4pLeTWi4OVLk2o&#10;IA1PSCn2OkS6KdMqJUX6rFSUiZiWItNUTmyC9i6fbLPmzR546LW4jMCfM8ITTpZrh02vUFueODmA&#10;/g/KagE+epUWwls2ESmKIItl9USb+54HWbig1DFcRY8vBys+Hb8A0R2+hLeUOG5x4+efP86//px/&#10;fyfLalVniYYQG6y8D1ibxls/YvkcjxjMzEcFNn+RE8E8Cny6CizHRES+VK/qusKUwNzsID57uB4g&#10;pvfSW5KNlgJusAjLjx9jmkrnktzN+TttTNmicf8EEDNHWJ59mjFbadyNF0I7352Qj/ngUM/8NmYD&#10;ZmM3G4cAet/jOIV1gcR9lLkvbycv/LFfGj/8L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BsDbMe2AQAAdwMAAA4AAAAAAAAAAQAgAAAAIQEAAGRycy9lMm9Eb2MueG1sUEsFBgAAAAAGAAYA&#10;WQEAAEkFAAAAAA==&#10;">
              <v:fill on="f" focussize="0,0"/>
              <v:stroke on="f"/>
              <v:imagedata o:title=""/>
              <o:lock v:ext="edit" aspectratio="f"/>
              <v:textbox inset="0mm,0mm,0mm,0mm">
                <w:txbxContent>
                  <w:p>
                    <w:pPr>
                      <w:snapToGrid w:val="0"/>
                      <w:rPr>
                        <w:rStyle w:val="39"/>
                        <w:sz w:val="18"/>
                      </w:rPr>
                    </w:pPr>
                  </w:p>
                  <w:p>
                    <w:pPr>
                      <w:rPr>
                        <w:rStyle w:val="3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3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3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91769"/>
    <w:multiLevelType w:val="singleLevel"/>
    <w:tmpl w:val="87391769"/>
    <w:lvl w:ilvl="0" w:tentative="0">
      <w:start w:val="5"/>
      <w:numFmt w:val="chineseCounting"/>
      <w:suff w:val="space"/>
      <w:lvlText w:val="第%1章"/>
      <w:lvlJc w:val="left"/>
      <w:rPr>
        <w:rFonts w:hint="eastAsia"/>
      </w:rPr>
    </w:lvl>
  </w:abstractNum>
  <w:abstractNum w:abstractNumId="1">
    <w:nsid w:val="E7A5DCEA"/>
    <w:multiLevelType w:val="singleLevel"/>
    <w:tmpl w:val="E7A5DCEA"/>
    <w:lvl w:ilvl="0" w:tentative="0">
      <w:start w:val="1"/>
      <w:numFmt w:val="decimal"/>
      <w:suff w:val="nothing"/>
      <w:lvlText w:val="%1、"/>
      <w:lvlJc w:val="left"/>
    </w:lvl>
  </w:abstractNum>
  <w:abstractNum w:abstractNumId="2">
    <w:nsid w:val="00000005"/>
    <w:multiLevelType w:val="multilevel"/>
    <w:tmpl w:val="00000005"/>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000A"/>
    <w:multiLevelType w:val="multilevel"/>
    <w:tmpl w:val="0000000A"/>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4">
    <w:nsid w:val="0000000B"/>
    <w:multiLevelType w:val="multilevel"/>
    <w:tmpl w:val="0000000B"/>
    <w:lvl w:ilvl="0" w:tentative="0">
      <w:start w:val="1"/>
      <w:numFmt w:val="decimal"/>
      <w:lvlText w:val="%1)"/>
      <w:lvlJc w:val="left"/>
      <w:pPr>
        <w:ind w:left="425" w:hanging="425"/>
        <w:textAlignment w:val="baseline"/>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000000C"/>
    <w:multiLevelType w:val="multilevel"/>
    <w:tmpl w:val="0000000C"/>
    <w:lvl w:ilvl="0" w:tentative="0">
      <w:start w:val="1"/>
      <w:numFmt w:val="decimal"/>
      <w:lvlText w:val="%1"/>
      <w:lvlJc w:val="left"/>
      <w:pPr>
        <w:tabs>
          <w:tab w:val="left" w:pos="1134"/>
        </w:tabs>
        <w:ind w:left="1134" w:hanging="1134"/>
        <w:textAlignment w:val="baseline"/>
      </w:pPr>
      <w:rPr>
        <w:rFonts w:ascii="宋体" w:eastAsia="宋体"/>
        <w:sz w:val="24"/>
        <w:szCs w:val="24"/>
      </w:rPr>
    </w:lvl>
    <w:lvl w:ilvl="1" w:tentative="0">
      <w:start w:val="1"/>
      <w:numFmt w:val="decimal"/>
      <w:lvlText w:val="%1.%2"/>
      <w:lvlJc w:val="left"/>
      <w:pPr>
        <w:tabs>
          <w:tab w:val="left" w:pos="1134"/>
        </w:tabs>
        <w:ind w:left="1134" w:hanging="1134"/>
        <w:textAlignment w:val="baseline"/>
      </w:pPr>
      <w:rPr>
        <w:rFonts w:ascii="宋体" w:eastAsia="宋体"/>
        <w:color w:val="000000"/>
      </w:rPr>
    </w:lvl>
    <w:lvl w:ilvl="2" w:tentative="0">
      <w:start w:val="1"/>
      <w:numFmt w:val="decimal"/>
      <w:lvlText w:val="%1.%2.%3"/>
      <w:lvlJc w:val="left"/>
      <w:pPr>
        <w:tabs>
          <w:tab w:val="left" w:pos="1134"/>
        </w:tabs>
        <w:ind w:left="1134" w:hanging="1134"/>
        <w:textAlignment w:val="baseline"/>
      </w:pPr>
      <w:rPr>
        <w:rFonts w:ascii="宋体" w:eastAsia="宋体"/>
      </w:rPr>
    </w:lvl>
    <w:lvl w:ilvl="3" w:tentative="0">
      <w:start w:val="1"/>
      <w:numFmt w:val="decimal"/>
      <w:lvlText w:val="%1.%2.%3.%4"/>
      <w:lvlJc w:val="left"/>
      <w:pPr>
        <w:tabs>
          <w:tab w:val="left" w:pos="1021"/>
        </w:tabs>
        <w:ind w:left="1134" w:hanging="1134"/>
        <w:textAlignment w:val="baseline"/>
      </w:pPr>
    </w:lvl>
    <w:lvl w:ilvl="4" w:tentative="0">
      <w:start w:val="1"/>
      <w:numFmt w:val="decimal"/>
      <w:lvlText w:val="%1.%2.%3.%4.%5"/>
      <w:lvlJc w:val="left"/>
      <w:pPr>
        <w:tabs>
          <w:tab w:val="left" w:pos="1021"/>
        </w:tabs>
        <w:ind w:left="1134" w:hanging="1134"/>
        <w:textAlignment w:val="baseline"/>
      </w:pPr>
    </w:lvl>
    <w:lvl w:ilvl="5" w:tentative="0">
      <w:start w:val="1"/>
      <w:numFmt w:val="decimal"/>
      <w:lvlText w:val="%1.%2.%3.%4.%5.%6."/>
      <w:lvlJc w:val="left"/>
      <w:pPr>
        <w:tabs>
          <w:tab w:val="left" w:pos="1021"/>
        </w:tabs>
        <w:ind w:left="1134" w:hanging="1134"/>
        <w:textAlignment w:val="baseline"/>
      </w:pPr>
    </w:lvl>
    <w:lvl w:ilvl="6" w:tentative="0">
      <w:start w:val="1"/>
      <w:numFmt w:val="decimal"/>
      <w:lvlText w:val="%1.%2.%3.%4.%5.%6.%7."/>
      <w:lvlJc w:val="left"/>
      <w:pPr>
        <w:tabs>
          <w:tab w:val="left" w:pos="1021"/>
        </w:tabs>
        <w:ind w:left="1134" w:hanging="1134"/>
        <w:textAlignment w:val="baseline"/>
      </w:pPr>
    </w:lvl>
    <w:lvl w:ilvl="7" w:tentative="0">
      <w:start w:val="1"/>
      <w:numFmt w:val="decimal"/>
      <w:lvlText w:val="%1.%2.%3.%4.%5.%6.%7.%8."/>
      <w:lvlJc w:val="left"/>
      <w:pPr>
        <w:tabs>
          <w:tab w:val="left" w:pos="1021"/>
        </w:tabs>
        <w:ind w:left="1134" w:hanging="1134"/>
        <w:textAlignment w:val="baseline"/>
      </w:pPr>
    </w:lvl>
    <w:lvl w:ilvl="8" w:tentative="0">
      <w:start w:val="1"/>
      <w:numFmt w:val="decimal"/>
      <w:lvlText w:val="%1.%2.%3.%4.%5.%6.%7.%8.%9."/>
      <w:lvlJc w:val="left"/>
      <w:pPr>
        <w:tabs>
          <w:tab w:val="left" w:pos="1021"/>
        </w:tabs>
        <w:ind w:left="1134" w:hanging="1134"/>
        <w:textAlignment w:val="baseline"/>
      </w:pPr>
    </w:lvl>
  </w:abstractNum>
  <w:abstractNum w:abstractNumId="6">
    <w:nsid w:val="0000000D"/>
    <w:multiLevelType w:val="multilevel"/>
    <w:tmpl w:val="0000000D"/>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7">
    <w:nsid w:val="0000000E"/>
    <w:multiLevelType w:val="multilevel"/>
    <w:tmpl w:val="0000000E"/>
    <w:lvl w:ilvl="0" w:tentative="0">
      <w:start w:val="1"/>
      <w:numFmt w:val="decimal"/>
      <w:lvlText w:val="（%1）"/>
      <w:lvlJc w:val="left"/>
      <w:pPr>
        <w:tabs>
          <w:tab w:val="left" w:pos="1122"/>
        </w:tabs>
        <w:ind w:left="1122"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abstractNum w:abstractNumId="8">
    <w:nsid w:val="00000013"/>
    <w:multiLevelType w:val="multilevel"/>
    <w:tmpl w:val="00000013"/>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9">
    <w:nsid w:val="00000014"/>
    <w:multiLevelType w:val="multilevel"/>
    <w:tmpl w:val="00000014"/>
    <w:lvl w:ilvl="0" w:tentative="0">
      <w:start w:val="1"/>
      <w:numFmt w:val="decimal"/>
      <w:lvlText w:val="%1)"/>
      <w:lvlJc w:val="left"/>
      <w:pPr>
        <w:ind w:left="1501" w:hanging="420"/>
        <w:textAlignment w:val="baseline"/>
      </w:pPr>
    </w:lvl>
    <w:lvl w:ilvl="1" w:tentative="0">
      <w:start w:val="1"/>
      <w:numFmt w:val="lowerLetter"/>
      <w:lvlText w:val="%1)"/>
      <w:lvlJc w:val="left"/>
      <w:pPr>
        <w:ind w:left="1921" w:hanging="420"/>
        <w:textAlignment w:val="baseline"/>
      </w:pPr>
    </w:lvl>
    <w:lvl w:ilvl="2" w:tentative="0">
      <w:start w:val="1"/>
      <w:numFmt w:val="lowerRoman"/>
      <w:lvlText w:val="%1."/>
      <w:lvlJc w:val="right"/>
      <w:pPr>
        <w:ind w:left="2341" w:hanging="420"/>
        <w:textAlignment w:val="baseline"/>
      </w:pPr>
    </w:lvl>
    <w:lvl w:ilvl="3" w:tentative="0">
      <w:start w:val="1"/>
      <w:numFmt w:val="decimal"/>
      <w:lvlText w:val="%1."/>
      <w:lvlJc w:val="left"/>
      <w:pPr>
        <w:ind w:left="2761" w:hanging="420"/>
        <w:textAlignment w:val="baseline"/>
      </w:pPr>
    </w:lvl>
    <w:lvl w:ilvl="4" w:tentative="0">
      <w:start w:val="1"/>
      <w:numFmt w:val="lowerLetter"/>
      <w:lvlText w:val="%1)"/>
      <w:lvlJc w:val="left"/>
      <w:pPr>
        <w:ind w:left="3181" w:hanging="420"/>
        <w:textAlignment w:val="baseline"/>
      </w:pPr>
    </w:lvl>
    <w:lvl w:ilvl="5" w:tentative="0">
      <w:start w:val="1"/>
      <w:numFmt w:val="lowerRoman"/>
      <w:lvlText w:val="%1."/>
      <w:lvlJc w:val="right"/>
      <w:pPr>
        <w:ind w:left="3601" w:hanging="420"/>
        <w:textAlignment w:val="baseline"/>
      </w:pPr>
    </w:lvl>
    <w:lvl w:ilvl="6" w:tentative="0">
      <w:start w:val="1"/>
      <w:numFmt w:val="decimal"/>
      <w:lvlText w:val="%1."/>
      <w:lvlJc w:val="left"/>
      <w:pPr>
        <w:ind w:left="4021" w:hanging="420"/>
        <w:textAlignment w:val="baseline"/>
      </w:pPr>
    </w:lvl>
    <w:lvl w:ilvl="7" w:tentative="0">
      <w:start w:val="1"/>
      <w:numFmt w:val="lowerLetter"/>
      <w:lvlText w:val="%1)"/>
      <w:lvlJc w:val="left"/>
      <w:pPr>
        <w:ind w:left="4441" w:hanging="420"/>
        <w:textAlignment w:val="baseline"/>
      </w:pPr>
    </w:lvl>
    <w:lvl w:ilvl="8" w:tentative="0">
      <w:start w:val="1"/>
      <w:numFmt w:val="lowerRoman"/>
      <w:lvlText w:val="%1."/>
      <w:lvlJc w:val="right"/>
      <w:pPr>
        <w:ind w:left="4861" w:hanging="420"/>
        <w:textAlignment w:val="baseline"/>
      </w:pPr>
    </w:lvl>
  </w:abstractNum>
  <w:abstractNum w:abstractNumId="10">
    <w:nsid w:val="00000015"/>
    <w:multiLevelType w:val="multilevel"/>
    <w:tmpl w:val="00000015"/>
    <w:lvl w:ilvl="0" w:tentative="0">
      <w:start w:val="1"/>
      <w:numFmt w:val="decimal"/>
      <w:lvlText w:val="%1"/>
      <w:lvlJc w:val="left"/>
      <w:pPr>
        <w:tabs>
          <w:tab w:val="left" w:pos="1077"/>
        </w:tabs>
        <w:ind w:left="1077" w:hanging="1077"/>
        <w:textAlignment w:val="baseline"/>
      </w:pPr>
    </w:lvl>
    <w:lvl w:ilvl="1" w:tentative="0">
      <w:start w:val="1"/>
      <w:numFmt w:val="decimal"/>
      <w:lvlText w:val="%1.%2"/>
      <w:lvlJc w:val="left"/>
      <w:pPr>
        <w:tabs>
          <w:tab w:val="left" w:pos="1077"/>
        </w:tabs>
        <w:ind w:left="1077" w:hanging="1077"/>
        <w:textAlignment w:val="baseline"/>
      </w:pPr>
    </w:lvl>
    <w:lvl w:ilvl="2" w:tentative="0">
      <w:start w:val="1"/>
      <w:numFmt w:val="decimal"/>
      <w:lvlText w:val="%1.%2.%3"/>
      <w:lvlJc w:val="left"/>
      <w:pPr>
        <w:tabs>
          <w:tab w:val="left" w:pos="1418"/>
        </w:tabs>
        <w:ind w:left="1418" w:hanging="567"/>
        <w:textAlignment w:val="baseline"/>
      </w:pPr>
    </w:lvl>
    <w:lvl w:ilvl="3" w:tentative="0">
      <w:start w:val="1"/>
      <w:numFmt w:val="decimal"/>
      <w:lvlText w:val="%1.%2.%3.%4"/>
      <w:lvlJc w:val="left"/>
      <w:pPr>
        <w:tabs>
          <w:tab w:val="left" w:pos="1984"/>
        </w:tabs>
        <w:ind w:left="1984" w:hanging="708"/>
        <w:textAlignment w:val="baseline"/>
      </w:pPr>
    </w:lvl>
    <w:lvl w:ilvl="4" w:tentative="0">
      <w:start w:val="1"/>
      <w:numFmt w:val="decimal"/>
      <w:lvlText w:val="%1.%2.%3.%4.%5"/>
      <w:lvlJc w:val="left"/>
      <w:pPr>
        <w:tabs>
          <w:tab w:val="left" w:pos="2551"/>
        </w:tabs>
        <w:ind w:left="2551" w:hanging="850"/>
        <w:textAlignment w:val="baseline"/>
      </w:pPr>
    </w:lvl>
    <w:lvl w:ilvl="5" w:tentative="0">
      <w:start w:val="1"/>
      <w:numFmt w:val="decimal"/>
      <w:lvlText w:val="%1.%2.%3.%4.%5.%6"/>
      <w:lvlJc w:val="left"/>
      <w:pPr>
        <w:tabs>
          <w:tab w:val="left" w:pos="3260"/>
        </w:tabs>
        <w:ind w:left="3260" w:hanging="1134"/>
        <w:textAlignment w:val="baseline"/>
      </w:pPr>
    </w:lvl>
    <w:lvl w:ilvl="6" w:tentative="0">
      <w:start w:val="1"/>
      <w:numFmt w:val="decimal"/>
      <w:lvlText w:val="%1.%2.%3.%4.%5.%6.%7"/>
      <w:lvlJc w:val="left"/>
      <w:pPr>
        <w:tabs>
          <w:tab w:val="left" w:pos="3827"/>
        </w:tabs>
        <w:ind w:left="3827" w:hanging="1276"/>
        <w:textAlignment w:val="baseline"/>
      </w:pPr>
    </w:lvl>
    <w:lvl w:ilvl="7" w:tentative="0">
      <w:start w:val="1"/>
      <w:numFmt w:val="decimal"/>
      <w:lvlText w:val="%1.%2.%3.%4.%5.%6.%7.%8"/>
      <w:lvlJc w:val="left"/>
      <w:pPr>
        <w:tabs>
          <w:tab w:val="left" w:pos="4394"/>
        </w:tabs>
        <w:ind w:left="4394" w:hanging="1418"/>
        <w:textAlignment w:val="baseline"/>
      </w:pPr>
    </w:lvl>
    <w:lvl w:ilvl="8" w:tentative="0">
      <w:start w:val="1"/>
      <w:numFmt w:val="decimal"/>
      <w:lvlText w:val="%1.%2.%3.%4.%5.%6.%7.%8.%9"/>
      <w:lvlJc w:val="left"/>
      <w:pPr>
        <w:tabs>
          <w:tab w:val="left" w:pos="5102"/>
        </w:tabs>
        <w:ind w:left="5102" w:hanging="1700"/>
        <w:textAlignment w:val="baseline"/>
      </w:pPr>
    </w:lvl>
  </w:abstractNum>
  <w:abstractNum w:abstractNumId="11">
    <w:nsid w:val="00000016"/>
    <w:multiLevelType w:val="multilevel"/>
    <w:tmpl w:val="00000016"/>
    <w:lvl w:ilvl="0" w:tentative="0">
      <w:start w:val="1"/>
      <w:numFmt w:val="decimal"/>
      <w:lvlText w:val="%1)"/>
      <w:lvlJc w:val="left"/>
      <w:pPr>
        <w:ind w:left="1554" w:hanging="420"/>
      </w:pPr>
    </w:lvl>
    <w:lvl w:ilvl="1" w:tentative="0">
      <w:start w:val="1"/>
      <w:numFmt w:val="lowerLetter"/>
      <w:lvlText w:val="%2)"/>
      <w:lvlJc w:val="left"/>
      <w:pPr>
        <w:ind w:left="1974" w:hanging="420"/>
      </w:pPr>
    </w:lvl>
    <w:lvl w:ilvl="2" w:tentative="0">
      <w:start w:val="1"/>
      <w:numFmt w:val="decimal"/>
      <w:lvlText w:val="%3)"/>
      <w:lvlJc w:val="lef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12">
    <w:nsid w:val="00000018"/>
    <w:multiLevelType w:val="multilevel"/>
    <w:tmpl w:val="00000018"/>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1.%2.%3"/>
      <w:lvlJc w:val="left"/>
      <w:pPr>
        <w:tabs>
          <w:tab w:val="left" w:pos="1134"/>
        </w:tabs>
        <w:ind w:left="1134" w:hanging="1134"/>
      </w:pPr>
      <w:rPr>
        <w:rFonts w:hint="eastAsia" w:ascii="宋体" w:eastAsia="宋体"/>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3">
    <w:nsid w:val="0000001A"/>
    <w:multiLevelType w:val="multilevel"/>
    <w:tmpl w:val="0000001A"/>
    <w:lvl w:ilvl="0" w:tentative="0">
      <w:start w:val="1"/>
      <w:numFmt w:val="decimal"/>
      <w:lvlText w:val="%1"/>
      <w:lvlJc w:val="left"/>
      <w:pPr>
        <w:tabs>
          <w:tab w:val="left" w:pos="1134"/>
        </w:tabs>
        <w:ind w:left="1134" w:hanging="1134"/>
      </w:pPr>
      <w:rPr>
        <w:rFonts w:hint="eastAsia" w:ascii="宋体" w:eastAsia="宋体"/>
        <w:sz w:val="24"/>
        <w:szCs w:val="24"/>
      </w:rPr>
    </w:lvl>
    <w:lvl w:ilvl="1" w:tentative="0">
      <w:start w:val="1"/>
      <w:numFmt w:val="decimal"/>
      <w:lvlText w:val="%1.%2"/>
      <w:lvlJc w:val="left"/>
      <w:pPr>
        <w:tabs>
          <w:tab w:val="left" w:pos="1134"/>
        </w:tabs>
        <w:ind w:left="1134" w:hanging="1134"/>
      </w:pPr>
      <w:rPr>
        <w:rFonts w:hint="eastAsia" w:ascii="宋体" w:eastAsia="宋体"/>
        <w:color w:val="auto"/>
      </w:rPr>
    </w:lvl>
    <w:lvl w:ilvl="2" w:tentative="0">
      <w:start w:val="1"/>
      <w:numFmt w:val="decimal"/>
      <w:lvlText w:val="%3)"/>
      <w:lvlJc w:val="left"/>
      <w:pPr>
        <w:tabs>
          <w:tab w:val="left" w:pos="1134"/>
        </w:tabs>
        <w:ind w:left="1134" w:hanging="1134"/>
      </w:pPr>
      <w:rPr>
        <w:rFonts w:hint="eastAsia"/>
      </w:rPr>
    </w:lvl>
    <w:lvl w:ilvl="3" w:tentative="0">
      <w:start w:val="1"/>
      <w:numFmt w:val="decimal"/>
      <w:lvlText w:val="%1.%2.%3.%4"/>
      <w:lvlJc w:val="left"/>
      <w:pPr>
        <w:tabs>
          <w:tab w:val="left" w:pos="1021"/>
        </w:tabs>
        <w:ind w:left="1134" w:hanging="1134"/>
      </w:pPr>
      <w:rPr>
        <w:rFonts w:hint="eastAsia"/>
      </w:rPr>
    </w:lvl>
    <w:lvl w:ilvl="4" w:tentative="0">
      <w:start w:val="1"/>
      <w:numFmt w:val="decimal"/>
      <w:lvlText w:val="%1.%2.%3.%4.%5"/>
      <w:lvlJc w:val="left"/>
      <w:pPr>
        <w:tabs>
          <w:tab w:val="left" w:pos="1021"/>
        </w:tabs>
        <w:ind w:left="1134" w:hanging="1134"/>
      </w:pPr>
      <w:rPr>
        <w:rFonts w:hint="eastAsia"/>
      </w:rPr>
    </w:lvl>
    <w:lvl w:ilvl="5" w:tentative="0">
      <w:start w:val="1"/>
      <w:numFmt w:val="decimal"/>
      <w:lvlText w:val="%1.%2.%3.%4.%5.%6."/>
      <w:lvlJc w:val="left"/>
      <w:pPr>
        <w:tabs>
          <w:tab w:val="left" w:pos="1021"/>
        </w:tabs>
        <w:ind w:left="1134" w:hanging="1134"/>
      </w:pPr>
      <w:rPr>
        <w:rFonts w:hint="eastAsia"/>
      </w:rPr>
    </w:lvl>
    <w:lvl w:ilvl="6" w:tentative="0">
      <w:start w:val="1"/>
      <w:numFmt w:val="decimal"/>
      <w:lvlText w:val="%1.%2.%3.%4.%5.%6.%7."/>
      <w:lvlJc w:val="left"/>
      <w:pPr>
        <w:tabs>
          <w:tab w:val="left" w:pos="1021"/>
        </w:tabs>
        <w:ind w:left="1134" w:hanging="1134"/>
      </w:pPr>
      <w:rPr>
        <w:rFonts w:hint="eastAsia"/>
      </w:rPr>
    </w:lvl>
    <w:lvl w:ilvl="7" w:tentative="0">
      <w:start w:val="1"/>
      <w:numFmt w:val="decimal"/>
      <w:lvlText w:val="%1.%2.%3.%4.%5.%6.%7.%8."/>
      <w:lvlJc w:val="left"/>
      <w:pPr>
        <w:tabs>
          <w:tab w:val="left" w:pos="1021"/>
        </w:tabs>
        <w:ind w:left="1134" w:hanging="1134"/>
      </w:pPr>
      <w:rPr>
        <w:rFonts w:hint="eastAsia"/>
      </w:rPr>
    </w:lvl>
    <w:lvl w:ilvl="8" w:tentative="0">
      <w:start w:val="1"/>
      <w:numFmt w:val="decimal"/>
      <w:lvlText w:val="%1.%2.%3.%4.%5.%6.%7.%8.%9."/>
      <w:lvlJc w:val="left"/>
      <w:pPr>
        <w:tabs>
          <w:tab w:val="left" w:pos="1021"/>
        </w:tabs>
        <w:ind w:left="1134" w:hanging="1134"/>
      </w:pPr>
      <w:rPr>
        <w:rFonts w:hint="eastAsia"/>
      </w:rPr>
    </w:lvl>
  </w:abstractNum>
  <w:abstractNum w:abstractNumId="14">
    <w:nsid w:val="0000001B"/>
    <w:multiLevelType w:val="multilevel"/>
    <w:tmpl w:val="0000001B"/>
    <w:lvl w:ilvl="0" w:tentative="0">
      <w:start w:val="1"/>
      <w:numFmt w:val="decimal"/>
      <w:lvlText w:val="（%1）"/>
      <w:lvlJc w:val="left"/>
      <w:pPr>
        <w:ind w:left="1499" w:hanging="420"/>
        <w:textAlignment w:val="baseline"/>
      </w:pPr>
    </w:lvl>
    <w:lvl w:ilvl="1" w:tentative="0">
      <w:start w:val="1"/>
      <w:numFmt w:val="lowerLetter"/>
      <w:lvlText w:val="%1)"/>
      <w:lvlJc w:val="left"/>
      <w:pPr>
        <w:ind w:left="1919" w:hanging="420"/>
        <w:textAlignment w:val="baseline"/>
      </w:pPr>
    </w:lvl>
    <w:lvl w:ilvl="2" w:tentative="0">
      <w:start w:val="1"/>
      <w:numFmt w:val="lowerRoman"/>
      <w:lvlText w:val="%1."/>
      <w:lvlJc w:val="right"/>
      <w:pPr>
        <w:ind w:left="2339" w:hanging="420"/>
        <w:textAlignment w:val="baseline"/>
      </w:pPr>
    </w:lvl>
    <w:lvl w:ilvl="3" w:tentative="0">
      <w:start w:val="1"/>
      <w:numFmt w:val="decimal"/>
      <w:lvlText w:val="%1."/>
      <w:lvlJc w:val="left"/>
      <w:pPr>
        <w:ind w:left="2759" w:hanging="420"/>
        <w:textAlignment w:val="baseline"/>
      </w:pPr>
    </w:lvl>
    <w:lvl w:ilvl="4" w:tentative="0">
      <w:start w:val="1"/>
      <w:numFmt w:val="lowerLetter"/>
      <w:lvlText w:val="%1)"/>
      <w:lvlJc w:val="left"/>
      <w:pPr>
        <w:ind w:left="3179" w:hanging="420"/>
        <w:textAlignment w:val="baseline"/>
      </w:pPr>
    </w:lvl>
    <w:lvl w:ilvl="5" w:tentative="0">
      <w:start w:val="1"/>
      <w:numFmt w:val="lowerRoman"/>
      <w:lvlText w:val="%1."/>
      <w:lvlJc w:val="right"/>
      <w:pPr>
        <w:ind w:left="3599" w:hanging="420"/>
        <w:textAlignment w:val="baseline"/>
      </w:pPr>
    </w:lvl>
    <w:lvl w:ilvl="6" w:tentative="0">
      <w:start w:val="1"/>
      <w:numFmt w:val="decimal"/>
      <w:lvlText w:val="%1."/>
      <w:lvlJc w:val="left"/>
      <w:pPr>
        <w:ind w:left="4019" w:hanging="420"/>
        <w:textAlignment w:val="baseline"/>
      </w:pPr>
    </w:lvl>
    <w:lvl w:ilvl="7" w:tentative="0">
      <w:start w:val="1"/>
      <w:numFmt w:val="lowerLetter"/>
      <w:lvlText w:val="%1)"/>
      <w:lvlJc w:val="left"/>
      <w:pPr>
        <w:ind w:left="4439" w:hanging="420"/>
        <w:textAlignment w:val="baseline"/>
      </w:pPr>
    </w:lvl>
    <w:lvl w:ilvl="8" w:tentative="0">
      <w:start w:val="1"/>
      <w:numFmt w:val="lowerRoman"/>
      <w:lvlText w:val="%1."/>
      <w:lvlJc w:val="right"/>
      <w:pPr>
        <w:ind w:left="4859" w:hanging="420"/>
        <w:textAlignment w:val="baseline"/>
      </w:pPr>
    </w:lvl>
  </w:abstractNum>
  <w:abstractNum w:abstractNumId="15">
    <w:nsid w:val="0000001C"/>
    <w:multiLevelType w:val="multilevel"/>
    <w:tmpl w:val="0000001C"/>
    <w:lvl w:ilvl="0" w:tentative="0">
      <w:start w:val="1"/>
      <w:numFmt w:val="decimal"/>
      <w:lvlText w:val="（%1）"/>
      <w:lvlJc w:val="left"/>
      <w:pPr>
        <w:ind w:left="1441" w:hanging="420"/>
        <w:textAlignment w:val="baseline"/>
      </w:pPr>
    </w:lvl>
    <w:lvl w:ilvl="1" w:tentative="0">
      <w:start w:val="1"/>
      <w:numFmt w:val="decimal"/>
      <w:lvlText w:val="%1."/>
      <w:lvlJc w:val="left"/>
      <w:pPr>
        <w:ind w:left="2568" w:hanging="1127"/>
        <w:textAlignment w:val="baseline"/>
      </w:pPr>
    </w:lvl>
    <w:lvl w:ilvl="2" w:tentative="0">
      <w:start w:val="1"/>
      <w:numFmt w:val="decimal"/>
      <w:lvlText w:val="%1)"/>
      <w:lvlJc w:val="left"/>
      <w:pPr>
        <w:ind w:left="2221" w:hanging="360"/>
        <w:textAlignment w:val="baseline"/>
      </w:pPr>
    </w:lvl>
    <w:lvl w:ilvl="3" w:tentative="0">
      <w:start w:val="1"/>
      <w:numFmt w:val="decimal"/>
      <w:lvlText w:val="%1."/>
      <w:lvlJc w:val="left"/>
      <w:pPr>
        <w:ind w:left="2701" w:hanging="420"/>
        <w:textAlignment w:val="baseline"/>
      </w:pPr>
    </w:lvl>
    <w:lvl w:ilvl="4" w:tentative="0">
      <w:start w:val="1"/>
      <w:numFmt w:val="lowerLetter"/>
      <w:lvlText w:val="%1)"/>
      <w:lvlJc w:val="left"/>
      <w:pPr>
        <w:ind w:left="3121" w:hanging="420"/>
        <w:textAlignment w:val="baseline"/>
      </w:pPr>
    </w:lvl>
    <w:lvl w:ilvl="5" w:tentative="0">
      <w:start w:val="1"/>
      <w:numFmt w:val="lowerRoman"/>
      <w:lvlText w:val="%1."/>
      <w:lvlJc w:val="right"/>
      <w:pPr>
        <w:ind w:left="3541" w:hanging="420"/>
        <w:textAlignment w:val="baseline"/>
      </w:pPr>
    </w:lvl>
    <w:lvl w:ilvl="6" w:tentative="0">
      <w:start w:val="1"/>
      <w:numFmt w:val="decimal"/>
      <w:lvlText w:val="%1."/>
      <w:lvlJc w:val="left"/>
      <w:pPr>
        <w:ind w:left="3961" w:hanging="420"/>
        <w:textAlignment w:val="baseline"/>
      </w:pPr>
    </w:lvl>
    <w:lvl w:ilvl="7" w:tentative="0">
      <w:start w:val="1"/>
      <w:numFmt w:val="lowerLetter"/>
      <w:lvlText w:val="%1)"/>
      <w:lvlJc w:val="left"/>
      <w:pPr>
        <w:ind w:left="4381" w:hanging="420"/>
        <w:textAlignment w:val="baseline"/>
      </w:pPr>
    </w:lvl>
    <w:lvl w:ilvl="8" w:tentative="0">
      <w:start w:val="1"/>
      <w:numFmt w:val="lowerRoman"/>
      <w:lvlText w:val="%1."/>
      <w:lvlJc w:val="right"/>
      <w:pPr>
        <w:ind w:left="4801" w:hanging="420"/>
        <w:textAlignment w:val="baseline"/>
      </w:pPr>
    </w:lvl>
  </w:abstractNum>
  <w:abstractNum w:abstractNumId="16">
    <w:nsid w:val="0000001D"/>
    <w:multiLevelType w:val="singleLevel"/>
    <w:tmpl w:val="0000001D"/>
    <w:lvl w:ilvl="0" w:tentative="0">
      <w:start w:val="1"/>
      <w:numFmt w:val="decimal"/>
      <w:lvlText w:val="%1."/>
      <w:lvlJc w:val="left"/>
      <w:pPr>
        <w:ind w:left="425" w:hanging="425"/>
        <w:textAlignment w:val="baseline"/>
      </w:pPr>
    </w:lvl>
  </w:abstractNum>
  <w:abstractNum w:abstractNumId="17">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517"/>
      <w:suff w:val="nothing"/>
      <w:lvlText w:val="图%1.%2　"/>
      <w:lvlJc w:val="left"/>
      <w:pPr>
        <w:ind w:left="1190" w:hanging="567"/>
      </w:pPr>
      <w:rPr>
        <w:rFonts w:hint="eastAsia"/>
      </w:rPr>
    </w:lvl>
    <w:lvl w:ilvl="2" w:tentative="0">
      <w:start w:val="1"/>
      <w:numFmt w:val="decimal"/>
      <w:pStyle w:val="516"/>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8">
    <w:nsid w:val="36E1116A"/>
    <w:multiLevelType w:val="multilevel"/>
    <w:tmpl w:val="36E1116A"/>
    <w:lvl w:ilvl="0" w:tentative="0">
      <w:start w:val="1"/>
      <w:numFmt w:val="decimal"/>
      <w:lvlText w:val="%1"/>
      <w:lvlJc w:val="left"/>
      <w:pPr>
        <w:ind w:left="432" w:hanging="432"/>
      </w:pPr>
      <w:rPr>
        <w:rFonts w:hint="eastAsia"/>
      </w:rPr>
    </w:lvl>
    <w:lvl w:ilvl="1" w:tentative="0">
      <w:start w:val="1"/>
      <w:numFmt w:val="decimal"/>
      <w:pStyle w:val="4"/>
      <w:lvlText w:val="%1.%2"/>
      <w:lvlJc w:val="left"/>
      <w:pPr>
        <w:ind w:left="286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9">
    <w:nsid w:val="7D2972E6"/>
    <w:multiLevelType w:val="singleLevel"/>
    <w:tmpl w:val="7D2972E6"/>
    <w:lvl w:ilvl="0" w:tentative="0">
      <w:start w:val="5"/>
      <w:numFmt w:val="decimal"/>
      <w:suff w:val="nothing"/>
      <w:lvlText w:val="%1、"/>
      <w:lvlJc w:val="left"/>
    </w:lvl>
  </w:abstractNum>
  <w:num w:numId="1">
    <w:abstractNumId w:val="18"/>
  </w:num>
  <w:num w:numId="2">
    <w:abstractNumId w:val="2"/>
  </w:num>
  <w:num w:numId="3">
    <w:abstractNumId w:val="17"/>
  </w:num>
  <w:num w:numId="4">
    <w:abstractNumId w:val="5"/>
  </w:num>
  <w:num w:numId="5">
    <w:abstractNumId w:val="14"/>
  </w:num>
  <w:num w:numId="6">
    <w:abstractNumId w:val="3"/>
  </w:num>
  <w:num w:numId="7">
    <w:abstractNumId w:val="8"/>
  </w:num>
  <w:num w:numId="8">
    <w:abstractNumId w:val="9"/>
  </w:num>
  <w:num w:numId="9">
    <w:abstractNumId w:val="6"/>
  </w:num>
  <w:num w:numId="10">
    <w:abstractNumId w:val="15"/>
  </w:num>
  <w:num w:numId="11">
    <w:abstractNumId w:val="10"/>
  </w:num>
  <w:num w:numId="12">
    <w:abstractNumId w:val="16"/>
  </w:num>
  <w:num w:numId="13">
    <w:abstractNumId w:val="4"/>
  </w:num>
  <w:num w:numId="14">
    <w:abstractNumId w:val="12"/>
  </w:num>
  <w:num w:numId="15">
    <w:abstractNumId w:val="13"/>
  </w:num>
  <w:num w:numId="16">
    <w:abstractNumId w:val="11"/>
  </w:num>
  <w:num w:numId="17">
    <w:abstractNumId w:val="0"/>
  </w:num>
  <w:num w:numId="18">
    <w:abstractNumId w:val="19"/>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TZjMDI5NDk4NTE0NTg2NWVjNmE3MzUxY2JhM2QifQ=="/>
  </w:docVars>
  <w:rsids>
    <w:rsidRoot w:val="00596081"/>
    <w:rsid w:val="00026F9D"/>
    <w:rsid w:val="00153E6D"/>
    <w:rsid w:val="001638F7"/>
    <w:rsid w:val="002446BA"/>
    <w:rsid w:val="002E6413"/>
    <w:rsid w:val="003C3B91"/>
    <w:rsid w:val="004052D2"/>
    <w:rsid w:val="0049531B"/>
    <w:rsid w:val="00505003"/>
    <w:rsid w:val="00596081"/>
    <w:rsid w:val="00671C99"/>
    <w:rsid w:val="0067563D"/>
    <w:rsid w:val="006D2418"/>
    <w:rsid w:val="007B0B35"/>
    <w:rsid w:val="008758B9"/>
    <w:rsid w:val="009136CE"/>
    <w:rsid w:val="00973997"/>
    <w:rsid w:val="00A64F75"/>
    <w:rsid w:val="00AB6652"/>
    <w:rsid w:val="00AC72AB"/>
    <w:rsid w:val="00B14F66"/>
    <w:rsid w:val="00B20ADA"/>
    <w:rsid w:val="00B4461C"/>
    <w:rsid w:val="00B73600"/>
    <w:rsid w:val="00B94980"/>
    <w:rsid w:val="00C41203"/>
    <w:rsid w:val="00C50515"/>
    <w:rsid w:val="00C92B00"/>
    <w:rsid w:val="00CB5A0A"/>
    <w:rsid w:val="00D76562"/>
    <w:rsid w:val="00E31EC0"/>
    <w:rsid w:val="00E40A5C"/>
    <w:rsid w:val="00E8232E"/>
    <w:rsid w:val="00EF6AEF"/>
    <w:rsid w:val="00F87295"/>
    <w:rsid w:val="00FC2B3E"/>
    <w:rsid w:val="00FE2A18"/>
    <w:rsid w:val="0176597C"/>
    <w:rsid w:val="02296E92"/>
    <w:rsid w:val="027074F5"/>
    <w:rsid w:val="029B770E"/>
    <w:rsid w:val="02AF0C87"/>
    <w:rsid w:val="02CC4135"/>
    <w:rsid w:val="0311483B"/>
    <w:rsid w:val="032213AF"/>
    <w:rsid w:val="033C3134"/>
    <w:rsid w:val="03633EE6"/>
    <w:rsid w:val="037C1244"/>
    <w:rsid w:val="039A4B5F"/>
    <w:rsid w:val="03F97CC5"/>
    <w:rsid w:val="04290393"/>
    <w:rsid w:val="04341430"/>
    <w:rsid w:val="048900BC"/>
    <w:rsid w:val="04F55751"/>
    <w:rsid w:val="05B243C5"/>
    <w:rsid w:val="05E03D0C"/>
    <w:rsid w:val="06372DC3"/>
    <w:rsid w:val="067A563C"/>
    <w:rsid w:val="067D77AC"/>
    <w:rsid w:val="069074E0"/>
    <w:rsid w:val="06D3384E"/>
    <w:rsid w:val="07BC254B"/>
    <w:rsid w:val="07EE7A6E"/>
    <w:rsid w:val="07F7358F"/>
    <w:rsid w:val="08892439"/>
    <w:rsid w:val="08995D60"/>
    <w:rsid w:val="08BD20E2"/>
    <w:rsid w:val="0A0452B1"/>
    <w:rsid w:val="0A0C4893"/>
    <w:rsid w:val="0AA10CD9"/>
    <w:rsid w:val="0ADC189E"/>
    <w:rsid w:val="0C45048D"/>
    <w:rsid w:val="0C666202"/>
    <w:rsid w:val="0D331778"/>
    <w:rsid w:val="0D5D523A"/>
    <w:rsid w:val="0D735465"/>
    <w:rsid w:val="0D9C2C0E"/>
    <w:rsid w:val="0E580EFB"/>
    <w:rsid w:val="0E9D7E62"/>
    <w:rsid w:val="0EBA32BB"/>
    <w:rsid w:val="0EDD34DE"/>
    <w:rsid w:val="0F262B1E"/>
    <w:rsid w:val="0F8A50B6"/>
    <w:rsid w:val="12296A3A"/>
    <w:rsid w:val="12C82A2A"/>
    <w:rsid w:val="132D4308"/>
    <w:rsid w:val="136F37A1"/>
    <w:rsid w:val="13D266E6"/>
    <w:rsid w:val="141773A4"/>
    <w:rsid w:val="14543820"/>
    <w:rsid w:val="14755F67"/>
    <w:rsid w:val="14B4340A"/>
    <w:rsid w:val="14BD45AD"/>
    <w:rsid w:val="150D619F"/>
    <w:rsid w:val="152648F2"/>
    <w:rsid w:val="1573075E"/>
    <w:rsid w:val="161E7C7A"/>
    <w:rsid w:val="169E17A5"/>
    <w:rsid w:val="169E4AC4"/>
    <w:rsid w:val="17996410"/>
    <w:rsid w:val="18B3352A"/>
    <w:rsid w:val="18B63AC0"/>
    <w:rsid w:val="18C772CB"/>
    <w:rsid w:val="18D45C6E"/>
    <w:rsid w:val="19EA3FBF"/>
    <w:rsid w:val="1A324B64"/>
    <w:rsid w:val="1B487083"/>
    <w:rsid w:val="1BCB6F7D"/>
    <w:rsid w:val="1BDC2D91"/>
    <w:rsid w:val="1BF569AF"/>
    <w:rsid w:val="1C1719CB"/>
    <w:rsid w:val="1C9A0C60"/>
    <w:rsid w:val="1CAF5310"/>
    <w:rsid w:val="1D090512"/>
    <w:rsid w:val="1D162DF3"/>
    <w:rsid w:val="1D167FC8"/>
    <w:rsid w:val="1D424362"/>
    <w:rsid w:val="1D443154"/>
    <w:rsid w:val="1D540E0F"/>
    <w:rsid w:val="1DBE272D"/>
    <w:rsid w:val="1DD737EE"/>
    <w:rsid w:val="1E0565AE"/>
    <w:rsid w:val="1E536285"/>
    <w:rsid w:val="1E890F8D"/>
    <w:rsid w:val="1F164D67"/>
    <w:rsid w:val="1F917234"/>
    <w:rsid w:val="1FBB4290"/>
    <w:rsid w:val="1FBC6F8C"/>
    <w:rsid w:val="1FDA58FC"/>
    <w:rsid w:val="20161F99"/>
    <w:rsid w:val="20740AF8"/>
    <w:rsid w:val="20807E0C"/>
    <w:rsid w:val="20BF594A"/>
    <w:rsid w:val="20E71F9A"/>
    <w:rsid w:val="20EC73C2"/>
    <w:rsid w:val="215238B8"/>
    <w:rsid w:val="223F4223"/>
    <w:rsid w:val="235C0A1E"/>
    <w:rsid w:val="23822AAE"/>
    <w:rsid w:val="23866F29"/>
    <w:rsid w:val="238E6A4E"/>
    <w:rsid w:val="23AF4D57"/>
    <w:rsid w:val="23BB5559"/>
    <w:rsid w:val="23F92711"/>
    <w:rsid w:val="242B4894"/>
    <w:rsid w:val="24375A52"/>
    <w:rsid w:val="24AB6B42"/>
    <w:rsid w:val="2501338F"/>
    <w:rsid w:val="25C36217"/>
    <w:rsid w:val="26A73479"/>
    <w:rsid w:val="26ED5FCD"/>
    <w:rsid w:val="27434767"/>
    <w:rsid w:val="27C90FE7"/>
    <w:rsid w:val="27EB6814"/>
    <w:rsid w:val="28331E69"/>
    <w:rsid w:val="28D21782"/>
    <w:rsid w:val="290401B1"/>
    <w:rsid w:val="29707362"/>
    <w:rsid w:val="297933EA"/>
    <w:rsid w:val="2A0B4F4C"/>
    <w:rsid w:val="2A187669"/>
    <w:rsid w:val="2A1B0C27"/>
    <w:rsid w:val="2AF91745"/>
    <w:rsid w:val="2BAE4676"/>
    <w:rsid w:val="2BE65C6D"/>
    <w:rsid w:val="2C3A5674"/>
    <w:rsid w:val="2CAD7F2A"/>
    <w:rsid w:val="2D43142D"/>
    <w:rsid w:val="2DB17C1D"/>
    <w:rsid w:val="2E6966E5"/>
    <w:rsid w:val="2F5C55CA"/>
    <w:rsid w:val="2F8E5FAA"/>
    <w:rsid w:val="2FAA1F96"/>
    <w:rsid w:val="2FF15726"/>
    <w:rsid w:val="30232C19"/>
    <w:rsid w:val="30803341"/>
    <w:rsid w:val="31013F5E"/>
    <w:rsid w:val="31963674"/>
    <w:rsid w:val="3207424B"/>
    <w:rsid w:val="324C6101"/>
    <w:rsid w:val="32946210"/>
    <w:rsid w:val="32BA2F51"/>
    <w:rsid w:val="32E225C2"/>
    <w:rsid w:val="339B417F"/>
    <w:rsid w:val="33A65CE5"/>
    <w:rsid w:val="341113B0"/>
    <w:rsid w:val="34141B01"/>
    <w:rsid w:val="348427DC"/>
    <w:rsid w:val="34C92FC0"/>
    <w:rsid w:val="35712E37"/>
    <w:rsid w:val="36284B5E"/>
    <w:rsid w:val="36384243"/>
    <w:rsid w:val="365F440C"/>
    <w:rsid w:val="3662744B"/>
    <w:rsid w:val="367D0F7D"/>
    <w:rsid w:val="374F7D2F"/>
    <w:rsid w:val="3772244B"/>
    <w:rsid w:val="379245B6"/>
    <w:rsid w:val="381C0F9E"/>
    <w:rsid w:val="383331D7"/>
    <w:rsid w:val="386D5023"/>
    <w:rsid w:val="3962219A"/>
    <w:rsid w:val="39792DB5"/>
    <w:rsid w:val="39FA6132"/>
    <w:rsid w:val="3A0B7B07"/>
    <w:rsid w:val="3A6D4349"/>
    <w:rsid w:val="3B844B5E"/>
    <w:rsid w:val="3C255A00"/>
    <w:rsid w:val="3C627ED3"/>
    <w:rsid w:val="3C6D0E90"/>
    <w:rsid w:val="3CEF3F7C"/>
    <w:rsid w:val="3CF20A08"/>
    <w:rsid w:val="3D001FC2"/>
    <w:rsid w:val="3D9F4EA1"/>
    <w:rsid w:val="3E0D784D"/>
    <w:rsid w:val="3E611186"/>
    <w:rsid w:val="3E7428CA"/>
    <w:rsid w:val="3EB81709"/>
    <w:rsid w:val="3F3843FB"/>
    <w:rsid w:val="3F6829D8"/>
    <w:rsid w:val="3FF26F68"/>
    <w:rsid w:val="3FFE5D5F"/>
    <w:rsid w:val="40307062"/>
    <w:rsid w:val="404F31FE"/>
    <w:rsid w:val="4096415C"/>
    <w:rsid w:val="41587167"/>
    <w:rsid w:val="41CC75CD"/>
    <w:rsid w:val="41E04C74"/>
    <w:rsid w:val="424C7DEC"/>
    <w:rsid w:val="42EB27A6"/>
    <w:rsid w:val="430F2F5F"/>
    <w:rsid w:val="43261DFB"/>
    <w:rsid w:val="432B0F04"/>
    <w:rsid w:val="436F260C"/>
    <w:rsid w:val="438A5E92"/>
    <w:rsid w:val="44096126"/>
    <w:rsid w:val="44275C58"/>
    <w:rsid w:val="44B55D88"/>
    <w:rsid w:val="45964EF3"/>
    <w:rsid w:val="459D1DF2"/>
    <w:rsid w:val="4642291A"/>
    <w:rsid w:val="46DB13AA"/>
    <w:rsid w:val="46FD4024"/>
    <w:rsid w:val="473311E6"/>
    <w:rsid w:val="475E6910"/>
    <w:rsid w:val="47F15329"/>
    <w:rsid w:val="490A116F"/>
    <w:rsid w:val="49465201"/>
    <w:rsid w:val="4A201D16"/>
    <w:rsid w:val="4A49475D"/>
    <w:rsid w:val="4A5B2F2E"/>
    <w:rsid w:val="4A7649EB"/>
    <w:rsid w:val="4AD36080"/>
    <w:rsid w:val="4B196CE1"/>
    <w:rsid w:val="4BB84669"/>
    <w:rsid w:val="4BFB49C8"/>
    <w:rsid w:val="4C516A8D"/>
    <w:rsid w:val="4D0E4287"/>
    <w:rsid w:val="4D137AF0"/>
    <w:rsid w:val="4D1C536A"/>
    <w:rsid w:val="4D3F5CFA"/>
    <w:rsid w:val="4E874857"/>
    <w:rsid w:val="4E95398A"/>
    <w:rsid w:val="4F266731"/>
    <w:rsid w:val="4F45058C"/>
    <w:rsid w:val="5018296D"/>
    <w:rsid w:val="508E4F36"/>
    <w:rsid w:val="50907264"/>
    <w:rsid w:val="509C5AC9"/>
    <w:rsid w:val="50B96C00"/>
    <w:rsid w:val="5178352E"/>
    <w:rsid w:val="51A60F32"/>
    <w:rsid w:val="51A84AD2"/>
    <w:rsid w:val="51DD0E9C"/>
    <w:rsid w:val="52263E21"/>
    <w:rsid w:val="52427129"/>
    <w:rsid w:val="52A01381"/>
    <w:rsid w:val="53242F23"/>
    <w:rsid w:val="542720D3"/>
    <w:rsid w:val="54331391"/>
    <w:rsid w:val="54657DC1"/>
    <w:rsid w:val="54686230"/>
    <w:rsid w:val="55FA6049"/>
    <w:rsid w:val="566C61F0"/>
    <w:rsid w:val="57066D00"/>
    <w:rsid w:val="578D049F"/>
    <w:rsid w:val="58160494"/>
    <w:rsid w:val="581B7C55"/>
    <w:rsid w:val="58366FFF"/>
    <w:rsid w:val="58B67782"/>
    <w:rsid w:val="58BC728D"/>
    <w:rsid w:val="59967A26"/>
    <w:rsid w:val="599872DC"/>
    <w:rsid w:val="59E411CB"/>
    <w:rsid w:val="59E53A1B"/>
    <w:rsid w:val="59F51779"/>
    <w:rsid w:val="5A3D508B"/>
    <w:rsid w:val="5A482232"/>
    <w:rsid w:val="5B0B77FA"/>
    <w:rsid w:val="5B3E042E"/>
    <w:rsid w:val="5B3F0F8D"/>
    <w:rsid w:val="5B6416C1"/>
    <w:rsid w:val="5B845655"/>
    <w:rsid w:val="5C0C4088"/>
    <w:rsid w:val="5C4E46A0"/>
    <w:rsid w:val="5C7328A6"/>
    <w:rsid w:val="5CD46F9A"/>
    <w:rsid w:val="5D314074"/>
    <w:rsid w:val="5D9E51B4"/>
    <w:rsid w:val="5DA86032"/>
    <w:rsid w:val="5DBC1ADE"/>
    <w:rsid w:val="5DD407F2"/>
    <w:rsid w:val="5DDA5712"/>
    <w:rsid w:val="5E251431"/>
    <w:rsid w:val="5E913E3A"/>
    <w:rsid w:val="5F0B4ACB"/>
    <w:rsid w:val="5F2560FD"/>
    <w:rsid w:val="5F3B6ED3"/>
    <w:rsid w:val="5FDE5D3B"/>
    <w:rsid w:val="60194D18"/>
    <w:rsid w:val="604517FA"/>
    <w:rsid w:val="605B02AD"/>
    <w:rsid w:val="61E359DA"/>
    <w:rsid w:val="621B4B00"/>
    <w:rsid w:val="62946B85"/>
    <w:rsid w:val="62C531E2"/>
    <w:rsid w:val="62FF067E"/>
    <w:rsid w:val="63083044"/>
    <w:rsid w:val="632733C7"/>
    <w:rsid w:val="63381C06"/>
    <w:rsid w:val="639D4729"/>
    <w:rsid w:val="63D80CF3"/>
    <w:rsid w:val="641739C1"/>
    <w:rsid w:val="645B0CC2"/>
    <w:rsid w:val="646A30DF"/>
    <w:rsid w:val="64A94BF0"/>
    <w:rsid w:val="65044496"/>
    <w:rsid w:val="65874C20"/>
    <w:rsid w:val="66147D10"/>
    <w:rsid w:val="666F593F"/>
    <w:rsid w:val="66E62E9F"/>
    <w:rsid w:val="672D2F17"/>
    <w:rsid w:val="67A7735B"/>
    <w:rsid w:val="67BC0779"/>
    <w:rsid w:val="69594684"/>
    <w:rsid w:val="6966039B"/>
    <w:rsid w:val="69AC6F34"/>
    <w:rsid w:val="6A1A10A4"/>
    <w:rsid w:val="6A5663AD"/>
    <w:rsid w:val="6A757C98"/>
    <w:rsid w:val="6AA85D95"/>
    <w:rsid w:val="6B070C57"/>
    <w:rsid w:val="6B403D23"/>
    <w:rsid w:val="6B9B3FC8"/>
    <w:rsid w:val="6BAF2D7A"/>
    <w:rsid w:val="6BC229B5"/>
    <w:rsid w:val="6BE73AE5"/>
    <w:rsid w:val="6BF0136F"/>
    <w:rsid w:val="6C322561"/>
    <w:rsid w:val="6C3A079D"/>
    <w:rsid w:val="6C437218"/>
    <w:rsid w:val="6C5412AC"/>
    <w:rsid w:val="6C6B4DFB"/>
    <w:rsid w:val="6C7C3ABB"/>
    <w:rsid w:val="6C8F18B1"/>
    <w:rsid w:val="6CA57D90"/>
    <w:rsid w:val="6D3453BE"/>
    <w:rsid w:val="6D537BC0"/>
    <w:rsid w:val="6D6168B7"/>
    <w:rsid w:val="6DEF2797"/>
    <w:rsid w:val="6DFC0730"/>
    <w:rsid w:val="6E101F7A"/>
    <w:rsid w:val="6E351645"/>
    <w:rsid w:val="6EF573E8"/>
    <w:rsid w:val="6FAE5CB9"/>
    <w:rsid w:val="6FB126DF"/>
    <w:rsid w:val="6FBD3BBF"/>
    <w:rsid w:val="6FE043C0"/>
    <w:rsid w:val="6FFD162F"/>
    <w:rsid w:val="7028368A"/>
    <w:rsid w:val="71436346"/>
    <w:rsid w:val="718D75C1"/>
    <w:rsid w:val="718F3339"/>
    <w:rsid w:val="71906E63"/>
    <w:rsid w:val="71B37FF7"/>
    <w:rsid w:val="71CC633B"/>
    <w:rsid w:val="71E212ED"/>
    <w:rsid w:val="727C72F1"/>
    <w:rsid w:val="73122E4E"/>
    <w:rsid w:val="737E18B7"/>
    <w:rsid w:val="7394410F"/>
    <w:rsid w:val="740718D7"/>
    <w:rsid w:val="74353B6A"/>
    <w:rsid w:val="748F63EA"/>
    <w:rsid w:val="74E04DB7"/>
    <w:rsid w:val="75DC56AE"/>
    <w:rsid w:val="764E460F"/>
    <w:rsid w:val="771817F2"/>
    <w:rsid w:val="771E4F39"/>
    <w:rsid w:val="773B4060"/>
    <w:rsid w:val="77C657E8"/>
    <w:rsid w:val="77CC27E3"/>
    <w:rsid w:val="77D02234"/>
    <w:rsid w:val="781E0241"/>
    <w:rsid w:val="781F3F5D"/>
    <w:rsid w:val="78AE70ED"/>
    <w:rsid w:val="794C6666"/>
    <w:rsid w:val="79553FF2"/>
    <w:rsid w:val="799A68A6"/>
    <w:rsid w:val="7A4478BC"/>
    <w:rsid w:val="7A761DCC"/>
    <w:rsid w:val="7AA01D17"/>
    <w:rsid w:val="7AFF4DAA"/>
    <w:rsid w:val="7B1900C2"/>
    <w:rsid w:val="7BCA2D8F"/>
    <w:rsid w:val="7BDF5D88"/>
    <w:rsid w:val="7BF64932"/>
    <w:rsid w:val="7BFB3F74"/>
    <w:rsid w:val="7C806954"/>
    <w:rsid w:val="7CC75ED7"/>
    <w:rsid w:val="7E09178C"/>
    <w:rsid w:val="7E8916EA"/>
    <w:rsid w:val="7F483CC2"/>
    <w:rsid w:val="7FBC28C9"/>
    <w:rsid w:val="7FBE43E0"/>
    <w:rsid w:val="7FCA19E0"/>
    <w:rsid w:val="7FDE1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bCs/>
      <w:color w:val="000000"/>
      <w:sz w:val="32"/>
    </w:rPr>
  </w:style>
  <w:style w:type="paragraph" w:styleId="4">
    <w:name w:val="heading 2"/>
    <w:basedOn w:val="1"/>
    <w:next w:val="1"/>
    <w:unhideWhenUsed/>
    <w:qFormat/>
    <w:uiPriority w:val="9"/>
    <w:pPr>
      <w:keepNext/>
      <w:numPr>
        <w:ilvl w:val="1"/>
        <w:numId w:val="1"/>
      </w:numPr>
      <w:spacing w:before="240" w:after="60"/>
      <w:outlineLvl w:val="1"/>
    </w:pPr>
    <w:rPr>
      <w:rFonts w:ascii="Cambria" w:hAnsi="Cambria"/>
      <w:b/>
      <w:bCs/>
      <w:i/>
      <w:i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caption"/>
    <w:basedOn w:val="1"/>
    <w:next w:val="1"/>
    <w:link w:val="146"/>
    <w:qFormat/>
    <w:uiPriority w:val="0"/>
    <w:pPr>
      <w:ind w:firstLine="6290" w:firstLineChars="2282"/>
    </w:pPr>
    <w:rPr>
      <w:b/>
      <w:bCs/>
      <w:color w:val="000080"/>
      <w:sz w:val="28"/>
    </w:rPr>
  </w:style>
  <w:style w:type="paragraph" w:styleId="6">
    <w:name w:val="List 2"/>
    <w:basedOn w:val="1"/>
    <w:qFormat/>
    <w:uiPriority w:val="0"/>
    <w:pPr>
      <w:ind w:left="100" w:leftChars="200" w:hanging="200" w:hangingChars="200"/>
      <w:contextualSpacing/>
    </w:pPr>
  </w:style>
  <w:style w:type="paragraph" w:styleId="7">
    <w:name w:val="Plain Text"/>
    <w:basedOn w:val="1"/>
    <w:unhideWhenUsed/>
    <w:qFormat/>
    <w:uiPriority w:val="0"/>
    <w:rPr>
      <w:rFonts w:ascii="宋体" w:hAnsi="Courier New" w:cs="Courier New"/>
      <w:szCs w:val="21"/>
    </w:rPr>
  </w:style>
  <w:style w:type="paragraph" w:styleId="8">
    <w:name w:val="Date"/>
    <w:basedOn w:val="1"/>
    <w:next w:val="1"/>
    <w:qFormat/>
    <w:uiPriority w:val="0"/>
    <w:rPr>
      <w:rFonts w:ascii="宋体"/>
      <w:sz w:val="28"/>
    </w:rPr>
  </w:style>
  <w:style w:type="paragraph" w:styleId="9">
    <w:name w:val="footer"/>
    <w:basedOn w:val="1"/>
    <w:link w:val="49"/>
    <w:qFormat/>
    <w:uiPriority w:val="0"/>
    <w:pPr>
      <w:tabs>
        <w:tab w:val="center" w:pos="4153"/>
        <w:tab w:val="right" w:pos="8306"/>
      </w:tabs>
      <w:snapToGrid w:val="0"/>
      <w:jc w:val="left"/>
    </w:pPr>
    <w:rPr>
      <w:sz w:val="18"/>
      <w:szCs w:val="18"/>
    </w:rPr>
  </w:style>
  <w:style w:type="paragraph" w:styleId="10">
    <w:name w:val="header"/>
    <w:basedOn w:val="1"/>
    <w:link w:val="174"/>
    <w:qFormat/>
    <w:uiPriority w:val="0"/>
    <w:pPr>
      <w:pBdr>
        <w:bottom w:val="single" w:color="000000" w:sz="6" w:space="1"/>
      </w:pBdr>
      <w:tabs>
        <w:tab w:val="center" w:pos="4153"/>
        <w:tab w:val="right" w:pos="8306"/>
      </w:tabs>
      <w:snapToGrid w:val="0"/>
      <w:jc w:val="center"/>
    </w:pPr>
    <w:rPr>
      <w:sz w:val="18"/>
      <w:szCs w:val="18"/>
    </w:rPr>
  </w:style>
  <w:style w:type="paragraph" w:styleId="11">
    <w:name w:val="Subtitle"/>
    <w:basedOn w:val="1"/>
    <w:next w:val="1"/>
    <w:qFormat/>
    <w:uiPriority w:val="11"/>
    <w:pPr>
      <w:spacing w:after="60"/>
      <w:jc w:val="center"/>
      <w:outlineLvl w:val="1"/>
    </w:pPr>
    <w:rPr>
      <w:rFonts w:ascii="Cambria" w:hAnsi="Cambria"/>
    </w:rPr>
  </w:style>
  <w:style w:type="paragraph" w:styleId="12">
    <w:name w:val="Body Text 2"/>
    <w:basedOn w:val="1"/>
    <w:qFormat/>
    <w:uiPriority w:val="0"/>
    <w:pPr>
      <w:jc w:val="left"/>
    </w:pPr>
    <w:rPr>
      <w:rFonts w:ascii="仿宋_GB2312" w:hAnsi="宋体" w:eastAsia="仿宋_GB2312"/>
    </w:rPr>
  </w:style>
  <w:style w:type="paragraph" w:styleId="13">
    <w:name w:val="Normal (Web)"/>
    <w:basedOn w:val="1"/>
    <w:qFormat/>
    <w:uiPriority w:val="99"/>
    <w:pPr>
      <w:spacing w:beforeAutospacing="1" w:afterAutospacing="1"/>
      <w:jc w:val="left"/>
    </w:pPr>
    <w:rPr>
      <w:kern w:val="0"/>
      <w:sz w:val="24"/>
    </w:rPr>
  </w:style>
  <w:style w:type="paragraph" w:styleId="14">
    <w:name w:val="Title"/>
    <w:basedOn w:val="1"/>
    <w:next w:val="1"/>
    <w:link w:val="52"/>
    <w:qFormat/>
    <w:uiPriority w:val="0"/>
    <w:pPr>
      <w:spacing w:before="240" w:after="60"/>
      <w:jc w:val="center"/>
    </w:pPr>
    <w:rPr>
      <w:rFonts w:ascii="Arial" w:hAnsi="Arial" w:eastAsia="楷体_GB2312"/>
      <w:b/>
      <w:sz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rFonts w:cs="Times New Roman"/>
      <w:b/>
      <w:bCs/>
    </w:rPr>
  </w:style>
  <w:style w:type="character" w:styleId="19">
    <w:name w:val="FollowedHyperlink"/>
    <w:qFormat/>
    <w:uiPriority w:val="0"/>
    <w:rPr>
      <w:rFonts w:ascii="宋体" w:hAnsi="宋体" w:eastAsia="宋体"/>
      <w:color w:val="004A85"/>
      <w:sz w:val="14"/>
      <w:szCs w:val="14"/>
      <w:u w:val="single"/>
    </w:rPr>
  </w:style>
  <w:style w:type="character" w:styleId="20">
    <w:name w:val="Emphasis"/>
    <w:basedOn w:val="17"/>
    <w:qFormat/>
    <w:uiPriority w:val="0"/>
  </w:style>
  <w:style w:type="character" w:styleId="21">
    <w:name w:val="HTML Definition"/>
    <w:basedOn w:val="17"/>
    <w:qFormat/>
    <w:uiPriority w:val="0"/>
  </w:style>
  <w:style w:type="character" w:styleId="22">
    <w:name w:val="HTML Variable"/>
    <w:basedOn w:val="17"/>
    <w:qFormat/>
    <w:uiPriority w:val="0"/>
  </w:style>
  <w:style w:type="character" w:styleId="23">
    <w:name w:val="Hyperlink"/>
    <w:basedOn w:val="17"/>
    <w:qFormat/>
    <w:uiPriority w:val="0"/>
    <w:rPr>
      <w:rFonts w:ascii="宋体" w:hAnsi="宋体" w:eastAsia="宋体"/>
      <w:color w:val="004A85"/>
      <w:sz w:val="14"/>
      <w:szCs w:val="14"/>
      <w:u w:val="single"/>
    </w:rPr>
  </w:style>
  <w:style w:type="character" w:styleId="24">
    <w:name w:val="HTML Code"/>
    <w:basedOn w:val="17"/>
    <w:qFormat/>
    <w:uiPriority w:val="0"/>
    <w:rPr>
      <w:rFonts w:ascii="Courier New" w:hAnsi="Courier New"/>
      <w:sz w:val="20"/>
    </w:rPr>
  </w:style>
  <w:style w:type="character" w:styleId="25">
    <w:name w:val="HTML Cite"/>
    <w:basedOn w:val="17"/>
    <w:qFormat/>
    <w:uiPriority w:val="0"/>
  </w:style>
  <w:style w:type="paragraph" w:customStyle="1" w:styleId="26">
    <w:name w:val="TOC 标题1"/>
    <w:basedOn w:val="3"/>
    <w:next w:val="1"/>
    <w:qFormat/>
    <w:uiPriority w:val="39"/>
    <w:pPr>
      <w:tabs>
        <w:tab w:val="left" w:pos="1440"/>
      </w:tabs>
      <w:spacing w:before="480" w:line="276" w:lineRule="auto"/>
      <w:jc w:val="left"/>
      <w:outlineLvl w:val="9"/>
    </w:pPr>
    <w:rPr>
      <w:rFonts w:ascii="Cambria" w:hAnsi="Cambria"/>
      <w:color w:val="365F91"/>
      <w:kern w:val="0"/>
      <w:sz w:val="30"/>
      <w:szCs w:val="28"/>
    </w:rPr>
  </w:style>
  <w:style w:type="paragraph" w:customStyle="1" w:styleId="27">
    <w:name w:val="标题 5（有编号）（绿盟科技）"/>
    <w:basedOn w:val="1"/>
    <w:next w:val="28"/>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8">
    <w:name w:val="正文（绿盟科技）"/>
    <w:qFormat/>
    <w:uiPriority w:val="0"/>
    <w:pPr>
      <w:spacing w:line="300" w:lineRule="auto"/>
    </w:pPr>
    <w:rPr>
      <w:rFonts w:ascii="Arial" w:hAnsi="Arial" w:eastAsia="宋体" w:cs="Times New Roman"/>
      <w:sz w:val="21"/>
      <w:szCs w:val="21"/>
      <w:lang w:val="en-US" w:eastAsia="zh-CN" w:bidi="ar-SA"/>
    </w:rPr>
  </w:style>
  <w:style w:type="paragraph" w:styleId="29">
    <w:name w:val="Quote"/>
    <w:basedOn w:val="1"/>
    <w:next w:val="1"/>
    <w:qFormat/>
    <w:uiPriority w:val="29"/>
    <w:pPr>
      <w:spacing w:before="200" w:after="160"/>
      <w:ind w:left="864" w:right="864"/>
      <w:jc w:val="center"/>
    </w:pPr>
    <w:rPr>
      <w:i/>
      <w:iCs/>
      <w:color w:val="3F3F3F"/>
    </w:rPr>
  </w:style>
  <w:style w:type="paragraph" w:customStyle="1" w:styleId="30">
    <w:name w:val="Heading1"/>
    <w:basedOn w:val="1"/>
    <w:next w:val="1"/>
    <w:link w:val="67"/>
    <w:qFormat/>
    <w:uiPriority w:val="0"/>
    <w:pPr>
      <w:keepNext/>
      <w:keepLines/>
      <w:tabs>
        <w:tab w:val="left" w:pos="1440"/>
      </w:tabs>
      <w:spacing w:before="340" w:after="330" w:line="576" w:lineRule="auto"/>
      <w:ind w:left="432" w:hanging="432"/>
    </w:pPr>
    <w:rPr>
      <w:b/>
      <w:bCs/>
      <w:kern w:val="44"/>
      <w:sz w:val="44"/>
      <w:szCs w:val="44"/>
    </w:rPr>
  </w:style>
  <w:style w:type="paragraph" w:customStyle="1" w:styleId="31">
    <w:name w:val="Heading2"/>
    <w:basedOn w:val="1"/>
    <w:next w:val="1"/>
    <w:link w:val="101"/>
    <w:qFormat/>
    <w:uiPriority w:val="0"/>
    <w:pPr>
      <w:keepNext/>
      <w:keepLines/>
      <w:spacing w:before="260" w:after="260" w:line="413" w:lineRule="auto"/>
    </w:pPr>
    <w:rPr>
      <w:rFonts w:ascii="Arial" w:hAnsi="Arial" w:eastAsia="黑体"/>
      <w:b/>
      <w:bCs/>
      <w:sz w:val="32"/>
      <w:szCs w:val="32"/>
    </w:rPr>
  </w:style>
  <w:style w:type="paragraph" w:customStyle="1" w:styleId="32">
    <w:name w:val="Heading3"/>
    <w:basedOn w:val="1"/>
    <w:next w:val="1"/>
    <w:link w:val="96"/>
    <w:qFormat/>
    <w:uiPriority w:val="0"/>
    <w:pPr>
      <w:keepNext/>
      <w:keepLines/>
      <w:spacing w:before="260" w:after="260" w:line="416" w:lineRule="auto"/>
    </w:pPr>
    <w:rPr>
      <w:b/>
      <w:bCs/>
      <w:sz w:val="32"/>
      <w:szCs w:val="32"/>
    </w:rPr>
  </w:style>
  <w:style w:type="paragraph" w:customStyle="1" w:styleId="33">
    <w:name w:val="Heading4"/>
    <w:basedOn w:val="1"/>
    <w:next w:val="1"/>
    <w:link w:val="200"/>
    <w:qFormat/>
    <w:uiPriority w:val="0"/>
    <w:pPr>
      <w:keepNext/>
      <w:keepLines/>
      <w:spacing w:before="280" w:after="290" w:line="376" w:lineRule="auto"/>
    </w:pPr>
    <w:rPr>
      <w:rFonts w:ascii="Cambria" w:hAnsi="Cambria"/>
      <w:b/>
      <w:bCs/>
      <w:sz w:val="28"/>
      <w:szCs w:val="28"/>
    </w:rPr>
  </w:style>
  <w:style w:type="paragraph" w:customStyle="1" w:styleId="34">
    <w:name w:val="Heading5"/>
    <w:basedOn w:val="1"/>
    <w:next w:val="1"/>
    <w:link w:val="183"/>
    <w:qFormat/>
    <w:uiPriority w:val="0"/>
    <w:pPr>
      <w:keepNext/>
      <w:keepLines/>
      <w:tabs>
        <w:tab w:val="left" w:pos="1008"/>
      </w:tabs>
      <w:spacing w:before="280" w:after="290" w:line="372" w:lineRule="auto"/>
      <w:ind w:left="1008" w:hanging="1008"/>
    </w:pPr>
    <w:rPr>
      <w:b/>
      <w:sz w:val="28"/>
      <w:szCs w:val="20"/>
    </w:rPr>
  </w:style>
  <w:style w:type="paragraph" w:customStyle="1" w:styleId="35">
    <w:name w:val="Heading6"/>
    <w:basedOn w:val="1"/>
    <w:next w:val="1"/>
    <w:link w:val="153"/>
    <w:qFormat/>
    <w:uiPriority w:val="0"/>
    <w:pPr>
      <w:keepNext/>
      <w:keepLines/>
      <w:tabs>
        <w:tab w:val="left" w:pos="1152"/>
      </w:tabs>
      <w:spacing w:before="240" w:after="64" w:line="317" w:lineRule="auto"/>
      <w:ind w:left="1152" w:hanging="1152"/>
    </w:pPr>
    <w:rPr>
      <w:rFonts w:ascii="Arial" w:hAnsi="Arial" w:eastAsia="黑体"/>
      <w:b/>
      <w:sz w:val="24"/>
    </w:rPr>
  </w:style>
  <w:style w:type="paragraph" w:customStyle="1" w:styleId="36">
    <w:name w:val="Heading7"/>
    <w:basedOn w:val="1"/>
    <w:next w:val="1"/>
    <w:link w:val="118"/>
    <w:qFormat/>
    <w:uiPriority w:val="0"/>
    <w:pPr>
      <w:keepNext/>
      <w:keepLines/>
      <w:tabs>
        <w:tab w:val="left" w:pos="1296"/>
      </w:tabs>
      <w:spacing w:before="240" w:after="64" w:line="317" w:lineRule="auto"/>
      <w:ind w:left="1296" w:hanging="1296"/>
    </w:pPr>
    <w:rPr>
      <w:b/>
      <w:sz w:val="24"/>
    </w:rPr>
  </w:style>
  <w:style w:type="paragraph" w:customStyle="1" w:styleId="37">
    <w:name w:val="Heading8"/>
    <w:basedOn w:val="1"/>
    <w:next w:val="1"/>
    <w:link w:val="112"/>
    <w:qFormat/>
    <w:uiPriority w:val="0"/>
    <w:pPr>
      <w:keepNext/>
      <w:keepLines/>
      <w:tabs>
        <w:tab w:val="left" w:pos="1440"/>
      </w:tabs>
      <w:spacing w:before="240" w:after="64" w:line="317" w:lineRule="auto"/>
      <w:ind w:left="1440" w:hanging="1440"/>
    </w:pPr>
    <w:rPr>
      <w:rFonts w:ascii="Arial" w:hAnsi="Arial" w:eastAsia="黑体"/>
      <w:sz w:val="24"/>
    </w:rPr>
  </w:style>
  <w:style w:type="paragraph" w:customStyle="1" w:styleId="38">
    <w:name w:val="Heading9"/>
    <w:basedOn w:val="1"/>
    <w:next w:val="1"/>
    <w:link w:val="95"/>
    <w:qFormat/>
    <w:uiPriority w:val="0"/>
    <w:pPr>
      <w:keepNext/>
      <w:keepLines/>
      <w:tabs>
        <w:tab w:val="left" w:pos="1584"/>
      </w:tabs>
      <w:spacing w:before="240" w:after="64" w:line="317" w:lineRule="auto"/>
      <w:ind w:left="1584" w:hanging="1584"/>
    </w:pPr>
    <w:rPr>
      <w:rFonts w:ascii="Arial" w:hAnsi="Arial" w:eastAsia="黑体"/>
    </w:rPr>
  </w:style>
  <w:style w:type="character" w:customStyle="1" w:styleId="39">
    <w:name w:val="NormalCharacter"/>
    <w:qFormat/>
    <w:uiPriority w:val="0"/>
  </w:style>
  <w:style w:type="table" w:customStyle="1" w:styleId="40">
    <w:name w:val="TableNormal"/>
    <w:qFormat/>
    <w:uiPriority w:val="0"/>
    <w:tblPr>
      <w:tblCellMar>
        <w:top w:w="0" w:type="dxa"/>
        <w:left w:w="0" w:type="dxa"/>
        <w:bottom w:w="0" w:type="dxa"/>
        <w:right w:w="0" w:type="dxa"/>
      </w:tblCellMar>
    </w:tblPr>
  </w:style>
  <w:style w:type="character" w:customStyle="1" w:styleId="41">
    <w:name w:val="HtmlCode"/>
    <w:qFormat/>
    <w:uiPriority w:val="0"/>
    <w:rPr>
      <w:rFonts w:ascii="Courier New" w:hAnsi="Courier New"/>
      <w:sz w:val="20"/>
    </w:rPr>
  </w:style>
  <w:style w:type="character" w:customStyle="1" w:styleId="42">
    <w:name w:val="PageNumber"/>
    <w:basedOn w:val="39"/>
    <w:qFormat/>
    <w:uiPriority w:val="0"/>
  </w:style>
  <w:style w:type="character" w:customStyle="1" w:styleId="43">
    <w:name w:val="FootnoteReference"/>
    <w:qFormat/>
    <w:uiPriority w:val="0"/>
    <w:rPr>
      <w:vertAlign w:val="superscript"/>
    </w:rPr>
  </w:style>
  <w:style w:type="character" w:customStyle="1" w:styleId="44">
    <w:name w:val="HtmlCite"/>
    <w:qFormat/>
    <w:uiPriority w:val="0"/>
  </w:style>
  <w:style w:type="character" w:customStyle="1" w:styleId="45">
    <w:name w:val="HtmlVar"/>
    <w:qFormat/>
    <w:uiPriority w:val="0"/>
  </w:style>
  <w:style w:type="character" w:customStyle="1" w:styleId="46">
    <w:name w:val="AnnotationReference"/>
    <w:qFormat/>
    <w:uiPriority w:val="0"/>
    <w:rPr>
      <w:sz w:val="21"/>
      <w:szCs w:val="21"/>
    </w:rPr>
  </w:style>
  <w:style w:type="character" w:customStyle="1" w:styleId="47">
    <w:name w:val="EndnoteReference"/>
    <w:qFormat/>
    <w:uiPriority w:val="0"/>
    <w:rPr>
      <w:vertAlign w:val="superscript"/>
    </w:rPr>
  </w:style>
  <w:style w:type="character" w:customStyle="1" w:styleId="48">
    <w:name w:val="HtmlDfn"/>
    <w:qFormat/>
    <w:uiPriority w:val="0"/>
  </w:style>
  <w:style w:type="character" w:customStyle="1" w:styleId="49">
    <w:name w:val="页脚 字符"/>
    <w:link w:val="9"/>
    <w:semiHidden/>
    <w:qFormat/>
    <w:uiPriority w:val="0"/>
    <w:rPr>
      <w:rFonts w:ascii="Times New Roman" w:hAnsi="Times New Roman"/>
      <w:kern w:val="2"/>
      <w:sz w:val="18"/>
      <w:szCs w:val="18"/>
    </w:rPr>
  </w:style>
  <w:style w:type="character" w:customStyle="1" w:styleId="50">
    <w:name w:val="UserStyle_1"/>
    <w:link w:val="51"/>
    <w:semiHidden/>
    <w:qFormat/>
    <w:uiPriority w:val="0"/>
    <w:rPr>
      <w:rFonts w:ascii="Times New Roman" w:hAnsi="Times New Roman" w:cs="Times New Roman"/>
      <w:b/>
      <w:bCs/>
      <w:kern w:val="2"/>
      <w:sz w:val="24"/>
      <w:szCs w:val="28"/>
    </w:rPr>
  </w:style>
  <w:style w:type="paragraph" w:customStyle="1" w:styleId="51">
    <w:name w:val="UserStyle_2"/>
    <w:basedOn w:val="34"/>
    <w:link w:val="50"/>
    <w:qFormat/>
    <w:uiPriority w:val="0"/>
    <w:pPr>
      <w:spacing w:before="0" w:line="240" w:lineRule="auto"/>
      <w:ind w:left="0" w:firstLine="0"/>
      <w:jc w:val="left"/>
    </w:pPr>
    <w:rPr>
      <w:bCs/>
      <w:sz w:val="24"/>
      <w:szCs w:val="28"/>
    </w:rPr>
  </w:style>
  <w:style w:type="character" w:customStyle="1" w:styleId="52">
    <w:name w:val="标题 字符"/>
    <w:link w:val="14"/>
    <w:semiHidden/>
    <w:qFormat/>
    <w:uiPriority w:val="0"/>
    <w:rPr>
      <w:rFonts w:ascii="Arial" w:hAnsi="Arial" w:eastAsia="楷体_GB2312"/>
      <w:b/>
      <w:sz w:val="32"/>
    </w:rPr>
  </w:style>
  <w:style w:type="character" w:customStyle="1" w:styleId="53">
    <w:name w:val="UserStyle_4"/>
    <w:link w:val="54"/>
    <w:semiHidden/>
    <w:qFormat/>
    <w:uiPriority w:val="0"/>
    <w:rPr>
      <w:rFonts w:ascii="Times New Roman" w:hAnsi="Times New Roman"/>
      <w:color w:val="7030A0"/>
      <w:kern w:val="2"/>
      <w:sz w:val="21"/>
    </w:rPr>
  </w:style>
  <w:style w:type="paragraph" w:customStyle="1" w:styleId="54">
    <w:name w:val="UserStyle_5"/>
    <w:basedOn w:val="1"/>
    <w:link w:val="53"/>
    <w:qFormat/>
    <w:uiPriority w:val="0"/>
    <w:pPr>
      <w:snapToGrid w:val="0"/>
      <w:ind w:firstLine="200" w:firstLineChars="200"/>
      <w:jc w:val="center"/>
    </w:pPr>
    <w:rPr>
      <w:color w:val="7030A0"/>
      <w:szCs w:val="20"/>
    </w:rPr>
  </w:style>
  <w:style w:type="character" w:customStyle="1" w:styleId="55">
    <w:name w:val="UserStyle_6"/>
    <w:link w:val="56"/>
    <w:semiHidden/>
    <w:qFormat/>
    <w:uiPriority w:val="0"/>
    <w:rPr>
      <w:rFonts w:ascii="宋体"/>
      <w:color w:val="7030A0"/>
      <w:kern w:val="2"/>
      <w:sz w:val="28"/>
    </w:rPr>
  </w:style>
  <w:style w:type="paragraph" w:customStyle="1" w:styleId="56">
    <w:name w:val="UserStyle_7"/>
    <w:basedOn w:val="1"/>
    <w:link w:val="55"/>
    <w:qFormat/>
    <w:uiPriority w:val="0"/>
    <w:pPr>
      <w:spacing w:line="480" w:lineRule="exact"/>
      <w:ind w:firstLine="585" w:firstLineChars="200"/>
      <w:jc w:val="left"/>
    </w:pPr>
    <w:rPr>
      <w:rFonts w:ascii="宋体"/>
      <w:color w:val="7030A0"/>
      <w:sz w:val="28"/>
      <w:szCs w:val="20"/>
    </w:rPr>
  </w:style>
  <w:style w:type="character" w:customStyle="1" w:styleId="57">
    <w:name w:val="UserStyle_8"/>
    <w:link w:val="58"/>
    <w:semiHidden/>
    <w:qFormat/>
    <w:uiPriority w:val="0"/>
    <w:rPr>
      <w:rFonts w:ascii="宋体" w:hAnsi="Times New Roman"/>
      <w:kern w:val="2"/>
      <w:sz w:val="21"/>
    </w:rPr>
  </w:style>
  <w:style w:type="paragraph" w:customStyle="1" w:styleId="58">
    <w:name w:val="UserStyle_9"/>
    <w:basedOn w:val="1"/>
    <w:link w:val="57"/>
    <w:qFormat/>
    <w:uiPriority w:val="0"/>
    <w:pPr>
      <w:spacing w:line="360" w:lineRule="auto"/>
    </w:pPr>
    <w:rPr>
      <w:rFonts w:ascii="宋体"/>
      <w:szCs w:val="20"/>
    </w:rPr>
  </w:style>
  <w:style w:type="character" w:customStyle="1" w:styleId="59">
    <w:name w:val="UserStyle_10"/>
    <w:qFormat/>
    <w:uiPriority w:val="0"/>
    <w:rPr>
      <w:rFonts w:ascii="Calisto MT" w:hAnsi="Calisto MT" w:eastAsia="Calisto MT"/>
      <w:b/>
      <w:color w:val="FE434C"/>
      <w:sz w:val="19"/>
      <w:szCs w:val="19"/>
    </w:rPr>
  </w:style>
  <w:style w:type="character" w:customStyle="1" w:styleId="60">
    <w:name w:val="UserStyle_11"/>
    <w:link w:val="61"/>
    <w:semiHidden/>
    <w:qFormat/>
    <w:uiPriority w:val="0"/>
    <w:rPr>
      <w:rFonts w:ascii="宋体" w:hAnsi="Times New Roman"/>
      <w:sz w:val="24"/>
    </w:rPr>
  </w:style>
  <w:style w:type="paragraph" w:customStyle="1" w:styleId="61">
    <w:name w:val="UserStyle_12"/>
    <w:basedOn w:val="1"/>
    <w:link w:val="60"/>
    <w:qFormat/>
    <w:uiPriority w:val="0"/>
    <w:pPr>
      <w:spacing w:line="360" w:lineRule="atLeast"/>
      <w:ind w:firstLine="420"/>
    </w:pPr>
    <w:rPr>
      <w:rFonts w:ascii="宋体"/>
      <w:kern w:val="0"/>
      <w:sz w:val="24"/>
      <w:szCs w:val="20"/>
    </w:rPr>
  </w:style>
  <w:style w:type="character" w:customStyle="1" w:styleId="62">
    <w:name w:val="UserStyle_13"/>
    <w:qFormat/>
    <w:uiPriority w:val="0"/>
    <w:rPr>
      <w:color w:val="7030A0"/>
      <w:kern w:val="2"/>
      <w:sz w:val="21"/>
    </w:rPr>
  </w:style>
  <w:style w:type="character" w:customStyle="1" w:styleId="63">
    <w:name w:val="UserStyle_14"/>
    <w:link w:val="64"/>
    <w:semiHidden/>
    <w:qFormat/>
    <w:uiPriority w:val="0"/>
    <w:rPr>
      <w:rFonts w:ascii="Times New Roman" w:hAnsi="Times New Roman"/>
      <w:sz w:val="21"/>
      <w:szCs w:val="24"/>
    </w:rPr>
  </w:style>
  <w:style w:type="paragraph" w:customStyle="1" w:styleId="64">
    <w:name w:val="EndnoteText"/>
    <w:basedOn w:val="1"/>
    <w:link w:val="63"/>
    <w:qFormat/>
    <w:uiPriority w:val="0"/>
    <w:pPr>
      <w:snapToGrid w:val="0"/>
      <w:spacing w:line="500" w:lineRule="exact"/>
      <w:jc w:val="left"/>
    </w:pPr>
  </w:style>
  <w:style w:type="character" w:customStyle="1" w:styleId="65">
    <w:name w:val="UserStyle_15"/>
    <w:link w:val="66"/>
    <w:semiHidden/>
    <w:qFormat/>
    <w:uiPriority w:val="0"/>
    <w:rPr>
      <w:rFonts w:ascii="宋体" w:hAnsi="Courier New"/>
      <w:kern w:val="2"/>
      <w:sz w:val="21"/>
      <w:szCs w:val="21"/>
    </w:rPr>
  </w:style>
  <w:style w:type="paragraph" w:customStyle="1" w:styleId="66">
    <w:name w:val="UserStyle_16"/>
    <w:basedOn w:val="1"/>
    <w:link w:val="65"/>
    <w:qFormat/>
    <w:uiPriority w:val="0"/>
    <w:rPr>
      <w:rFonts w:ascii="宋体" w:hAnsi="Courier New"/>
      <w:szCs w:val="21"/>
    </w:rPr>
  </w:style>
  <w:style w:type="character" w:customStyle="1" w:styleId="67">
    <w:name w:val="UserStyle_17"/>
    <w:link w:val="30"/>
    <w:semiHidden/>
    <w:qFormat/>
    <w:uiPriority w:val="0"/>
    <w:rPr>
      <w:rFonts w:ascii="Times New Roman" w:hAnsi="Times New Roman" w:cs="Times New Roman"/>
      <w:b/>
      <w:bCs/>
      <w:kern w:val="44"/>
      <w:sz w:val="44"/>
      <w:szCs w:val="44"/>
    </w:rPr>
  </w:style>
  <w:style w:type="character" w:customStyle="1" w:styleId="68">
    <w:name w:val="UserStyle_18"/>
    <w:link w:val="69"/>
    <w:semiHidden/>
    <w:qFormat/>
    <w:uiPriority w:val="0"/>
    <w:rPr>
      <w:rFonts w:ascii="宋体"/>
      <w:kern w:val="2"/>
      <w:sz w:val="21"/>
      <w:szCs w:val="21"/>
    </w:rPr>
  </w:style>
  <w:style w:type="paragraph" w:customStyle="1" w:styleId="69">
    <w:name w:val="UserStyle_19"/>
    <w:basedOn w:val="1"/>
    <w:link w:val="68"/>
    <w:qFormat/>
    <w:uiPriority w:val="0"/>
    <w:pPr>
      <w:snapToGrid w:val="0"/>
      <w:spacing w:line="360" w:lineRule="auto"/>
      <w:ind w:firstLine="420"/>
    </w:pPr>
    <w:rPr>
      <w:rFonts w:ascii="宋体"/>
      <w:szCs w:val="21"/>
    </w:rPr>
  </w:style>
  <w:style w:type="character" w:customStyle="1" w:styleId="70">
    <w:name w:val="UserStyle_20"/>
    <w:link w:val="71"/>
    <w:semiHidden/>
    <w:qFormat/>
    <w:uiPriority w:val="0"/>
    <w:rPr>
      <w:rFonts w:ascii="Times New Roman" w:hAnsi="Times New Roman"/>
      <w:kern w:val="2"/>
      <w:sz w:val="21"/>
    </w:rPr>
  </w:style>
  <w:style w:type="paragraph" w:customStyle="1" w:styleId="71">
    <w:name w:val="UserStyle_21"/>
    <w:basedOn w:val="1"/>
    <w:link w:val="70"/>
    <w:qFormat/>
    <w:uiPriority w:val="0"/>
    <w:pPr>
      <w:ind w:left="1260" w:leftChars="600"/>
    </w:pPr>
  </w:style>
  <w:style w:type="character" w:customStyle="1" w:styleId="72">
    <w:name w:val="UserStyle_22"/>
    <w:link w:val="73"/>
    <w:semiHidden/>
    <w:qFormat/>
    <w:uiPriority w:val="0"/>
    <w:rPr>
      <w:rFonts w:ascii="宋体" w:hAnsi="宋体"/>
      <w:kern w:val="10"/>
      <w:sz w:val="21"/>
      <w:szCs w:val="24"/>
    </w:rPr>
  </w:style>
  <w:style w:type="paragraph" w:customStyle="1" w:styleId="73">
    <w:name w:val="UserStyle_23"/>
    <w:basedOn w:val="1"/>
    <w:link w:val="72"/>
    <w:qFormat/>
    <w:uiPriority w:val="0"/>
    <w:pPr>
      <w:tabs>
        <w:tab w:val="left" w:pos="720"/>
        <w:tab w:val="right" w:pos="1191"/>
      </w:tabs>
      <w:spacing w:line="360" w:lineRule="auto"/>
      <w:ind w:left="720" w:hanging="360"/>
    </w:pPr>
    <w:rPr>
      <w:rFonts w:ascii="宋体" w:hAnsi="宋体"/>
      <w:kern w:val="10"/>
    </w:rPr>
  </w:style>
  <w:style w:type="character" w:customStyle="1" w:styleId="74">
    <w:name w:val="UserStyle_24"/>
    <w:link w:val="75"/>
    <w:qFormat/>
    <w:uiPriority w:val="0"/>
    <w:rPr>
      <w:kern w:val="2"/>
      <w:sz w:val="21"/>
    </w:rPr>
  </w:style>
  <w:style w:type="paragraph" w:customStyle="1" w:styleId="75">
    <w:name w:val="UserStyle_25"/>
    <w:basedOn w:val="1"/>
    <w:link w:val="74"/>
    <w:qFormat/>
    <w:uiPriority w:val="0"/>
    <w:pPr>
      <w:ind w:firstLine="420" w:firstLineChars="200"/>
    </w:pPr>
    <w:rPr>
      <w:szCs w:val="20"/>
    </w:rPr>
  </w:style>
  <w:style w:type="character" w:customStyle="1" w:styleId="76">
    <w:name w:val="UserStyle_26"/>
    <w:link w:val="77"/>
    <w:semiHidden/>
    <w:qFormat/>
    <w:uiPriority w:val="0"/>
    <w:rPr>
      <w:rFonts w:ascii="Times New Roman" w:hAnsi="Times New Roman"/>
      <w:color w:val="7030A0"/>
      <w:kern w:val="2"/>
      <w:sz w:val="24"/>
    </w:rPr>
  </w:style>
  <w:style w:type="paragraph" w:customStyle="1" w:styleId="77">
    <w:name w:val="UserStyle_27"/>
    <w:basedOn w:val="1"/>
    <w:link w:val="76"/>
    <w:qFormat/>
    <w:uiPriority w:val="0"/>
    <w:pPr>
      <w:spacing w:line="480" w:lineRule="exact"/>
      <w:ind w:firstLine="480" w:firstLineChars="200"/>
      <w:jc w:val="left"/>
    </w:pPr>
    <w:rPr>
      <w:color w:val="7030A0"/>
      <w:sz w:val="24"/>
      <w:szCs w:val="20"/>
    </w:rPr>
  </w:style>
  <w:style w:type="character" w:customStyle="1" w:styleId="78">
    <w:name w:val="UserStyle_28"/>
    <w:link w:val="79"/>
    <w:qFormat/>
    <w:uiPriority w:val="0"/>
    <w:rPr>
      <w:rFonts w:ascii="Times New Roman" w:hAnsi="Times New Roman" w:eastAsia="宋体" w:cs="Times New Roman"/>
      <w:b/>
      <w:bCs/>
      <w:kern w:val="2"/>
      <w:sz w:val="21"/>
      <w:szCs w:val="24"/>
    </w:rPr>
  </w:style>
  <w:style w:type="paragraph" w:customStyle="1" w:styleId="79">
    <w:name w:val="AnnotationSubject"/>
    <w:basedOn w:val="80"/>
    <w:next w:val="80"/>
    <w:link w:val="78"/>
    <w:qFormat/>
    <w:uiPriority w:val="0"/>
    <w:rPr>
      <w:b/>
      <w:bCs/>
    </w:rPr>
  </w:style>
  <w:style w:type="paragraph" w:customStyle="1" w:styleId="80">
    <w:name w:val="AnnotationText"/>
    <w:basedOn w:val="1"/>
    <w:link w:val="123"/>
    <w:qFormat/>
    <w:uiPriority w:val="0"/>
    <w:pPr>
      <w:jc w:val="left"/>
    </w:pPr>
  </w:style>
  <w:style w:type="character" w:customStyle="1" w:styleId="81">
    <w:name w:val="UserStyle_29"/>
    <w:qFormat/>
    <w:uiPriority w:val="0"/>
    <w:rPr>
      <w:color w:val="808080"/>
    </w:rPr>
  </w:style>
  <w:style w:type="character" w:customStyle="1" w:styleId="82">
    <w:name w:val="UserStyle_30"/>
    <w:link w:val="83"/>
    <w:semiHidden/>
    <w:qFormat/>
    <w:uiPriority w:val="0"/>
    <w:rPr>
      <w:kern w:val="2"/>
      <w:sz w:val="21"/>
      <w:szCs w:val="24"/>
    </w:rPr>
  </w:style>
  <w:style w:type="paragraph" w:customStyle="1" w:styleId="83">
    <w:name w:val="UserStyle_31"/>
    <w:basedOn w:val="1"/>
    <w:link w:val="82"/>
    <w:qFormat/>
    <w:uiPriority w:val="0"/>
    <w:pPr>
      <w:spacing w:line="360" w:lineRule="auto"/>
      <w:ind w:firstLine="420"/>
    </w:pPr>
  </w:style>
  <w:style w:type="character" w:customStyle="1" w:styleId="84">
    <w:name w:val="UserStyle_32"/>
    <w:qFormat/>
    <w:uiPriority w:val="0"/>
    <w:rPr>
      <w:rFonts w:eastAsia="宋体"/>
      <w:kern w:val="2"/>
      <w:sz w:val="21"/>
      <w:lang w:val="en-US" w:eastAsia="zh-CN" w:bidi="ar-SA"/>
    </w:rPr>
  </w:style>
  <w:style w:type="character" w:customStyle="1" w:styleId="85">
    <w:name w:val="UserStyle_33"/>
    <w:qFormat/>
    <w:uiPriority w:val="0"/>
    <w:rPr>
      <w:rFonts w:eastAsia="宋体" w:cs="Times New Roman"/>
      <w:b/>
      <w:bCs/>
      <w:kern w:val="2"/>
      <w:sz w:val="28"/>
      <w:szCs w:val="28"/>
      <w:lang w:val="en-US" w:eastAsia="zh-CN" w:bidi="ar-SA"/>
    </w:rPr>
  </w:style>
  <w:style w:type="character" w:customStyle="1" w:styleId="86">
    <w:name w:val="UserStyle_34"/>
    <w:semiHidden/>
    <w:qFormat/>
    <w:uiPriority w:val="0"/>
    <w:rPr>
      <w:rFonts w:ascii="Times New Roman" w:hAnsi="Times New Roman"/>
      <w:b/>
      <w:kern w:val="2"/>
      <w:sz w:val="28"/>
    </w:rPr>
  </w:style>
  <w:style w:type="character" w:customStyle="1" w:styleId="87">
    <w:name w:val="UserStyle_35"/>
    <w:qFormat/>
    <w:uiPriority w:val="0"/>
    <w:rPr>
      <w:rFonts w:ascii="Times New Roman" w:hAnsi="Times New Roman"/>
      <w:kern w:val="2"/>
      <w:sz w:val="21"/>
      <w:szCs w:val="24"/>
    </w:rPr>
  </w:style>
  <w:style w:type="character" w:customStyle="1" w:styleId="88">
    <w:name w:val="UserStyle_36"/>
    <w:link w:val="89"/>
    <w:qFormat/>
    <w:uiPriority w:val="0"/>
    <w:rPr>
      <w:rFonts w:ascii="黑体" w:hAnsi="宋体" w:eastAsia="黑体"/>
      <w:kern w:val="2"/>
      <w:sz w:val="24"/>
      <w:szCs w:val="24"/>
      <w:lang w:val="en-US" w:eastAsia="zh-CN" w:bidi="ar-SA"/>
    </w:rPr>
  </w:style>
  <w:style w:type="paragraph" w:customStyle="1" w:styleId="89">
    <w:name w:val="UserStyle_37"/>
    <w:link w:val="88"/>
    <w:qFormat/>
    <w:uiPriority w:val="0"/>
    <w:pPr>
      <w:tabs>
        <w:tab w:val="left" w:pos="6120"/>
        <w:tab w:val="left" w:pos="13784"/>
      </w:tabs>
      <w:snapToGrid w:val="0"/>
      <w:spacing w:line="360" w:lineRule="auto"/>
      <w:jc w:val="center"/>
      <w:textAlignment w:val="baseline"/>
    </w:pPr>
    <w:rPr>
      <w:rFonts w:ascii="黑体" w:hAnsi="宋体" w:eastAsia="黑体" w:cs="Times New Roman"/>
      <w:kern w:val="2"/>
      <w:sz w:val="24"/>
      <w:szCs w:val="24"/>
      <w:lang w:val="en-US" w:eastAsia="zh-CN" w:bidi="ar-SA"/>
    </w:rPr>
  </w:style>
  <w:style w:type="character" w:customStyle="1" w:styleId="90">
    <w:name w:val="UserStyle_38"/>
    <w:link w:val="91"/>
    <w:semiHidden/>
    <w:qFormat/>
    <w:uiPriority w:val="0"/>
    <w:rPr>
      <w:rFonts w:ascii="宋体" w:hAnsi="宋体" w:cs="Times New Roman"/>
      <w:b/>
      <w:bCs/>
      <w:color w:val="92D050"/>
      <w:kern w:val="44"/>
      <w:sz w:val="24"/>
      <w:szCs w:val="21"/>
    </w:rPr>
  </w:style>
  <w:style w:type="paragraph" w:customStyle="1" w:styleId="91">
    <w:name w:val="UserStyle_39"/>
    <w:basedOn w:val="32"/>
    <w:link w:val="90"/>
    <w:qFormat/>
    <w:uiPriority w:val="0"/>
    <w:pPr>
      <w:tabs>
        <w:tab w:val="left" w:pos="360"/>
        <w:tab w:val="left" w:pos="840"/>
        <w:tab w:val="left" w:pos="2160"/>
      </w:tabs>
      <w:spacing w:before="0" w:after="0" w:line="360" w:lineRule="auto"/>
    </w:pPr>
    <w:rPr>
      <w:rFonts w:ascii="宋体" w:hAnsi="宋体"/>
      <w:color w:val="92D050"/>
      <w:kern w:val="44"/>
      <w:sz w:val="24"/>
      <w:szCs w:val="21"/>
    </w:rPr>
  </w:style>
  <w:style w:type="character" w:customStyle="1" w:styleId="92">
    <w:name w:val="UserStyle_40"/>
    <w:qFormat/>
    <w:uiPriority w:val="0"/>
    <w:rPr>
      <w:rFonts w:ascii="宋体" w:eastAsia="宋体" w:cs="Times New Roman"/>
      <w:b/>
      <w:bCs/>
      <w:kern w:val="2"/>
      <w:sz w:val="24"/>
      <w:szCs w:val="32"/>
      <w:lang w:val="en-US" w:eastAsia="zh-CN" w:bidi="ar-SA"/>
    </w:rPr>
  </w:style>
  <w:style w:type="character" w:customStyle="1" w:styleId="93">
    <w:name w:val="UserStyle_41"/>
    <w:qFormat/>
    <w:uiPriority w:val="0"/>
    <w:rPr>
      <w:rFonts w:eastAsia="宋体" w:cs="Times New Roman"/>
      <w:b/>
      <w:bCs/>
      <w:kern w:val="2"/>
      <w:sz w:val="24"/>
      <w:szCs w:val="24"/>
      <w:lang w:val="en-US" w:eastAsia="zh-CN" w:bidi="ar-SA"/>
    </w:rPr>
  </w:style>
  <w:style w:type="character" w:customStyle="1" w:styleId="94">
    <w:name w:val="UserStyle_42"/>
    <w:qFormat/>
    <w:uiPriority w:val="0"/>
    <w:rPr>
      <w:rFonts w:ascii="宋体" w:hAnsi="宋体" w:eastAsia="黑体"/>
      <w:kern w:val="2"/>
      <w:sz w:val="24"/>
      <w:szCs w:val="21"/>
    </w:rPr>
  </w:style>
  <w:style w:type="character" w:customStyle="1" w:styleId="95">
    <w:name w:val="UserStyle_43"/>
    <w:link w:val="38"/>
    <w:semiHidden/>
    <w:qFormat/>
    <w:uiPriority w:val="0"/>
    <w:rPr>
      <w:rFonts w:ascii="Arial" w:hAnsi="Arial" w:eastAsia="黑体"/>
      <w:kern w:val="2"/>
      <w:sz w:val="21"/>
    </w:rPr>
  </w:style>
  <w:style w:type="character" w:customStyle="1" w:styleId="96">
    <w:name w:val="UserStyle_44"/>
    <w:link w:val="32"/>
    <w:semiHidden/>
    <w:qFormat/>
    <w:uiPriority w:val="0"/>
    <w:rPr>
      <w:rFonts w:ascii="Times New Roman" w:hAnsi="Times New Roman" w:cs="Times New Roman"/>
      <w:b/>
      <w:bCs/>
      <w:kern w:val="2"/>
      <w:sz w:val="32"/>
      <w:szCs w:val="32"/>
    </w:rPr>
  </w:style>
  <w:style w:type="character" w:customStyle="1" w:styleId="97">
    <w:name w:val="UserStyle_45"/>
    <w:link w:val="98"/>
    <w:qFormat/>
    <w:uiPriority w:val="0"/>
    <w:rPr>
      <w:rFonts w:ascii="宋体" w:hAnsi="宋体"/>
      <w:sz w:val="24"/>
      <w:szCs w:val="24"/>
      <w:lang w:val="en-US" w:eastAsia="zh-CN" w:bidi="ar-SA"/>
    </w:rPr>
  </w:style>
  <w:style w:type="paragraph" w:customStyle="1" w:styleId="98">
    <w:name w:val="UserStyle_46"/>
    <w:link w:val="97"/>
    <w:qFormat/>
    <w:uiPriority w:val="0"/>
    <w:pPr>
      <w:textAlignment w:val="baseline"/>
    </w:pPr>
    <w:rPr>
      <w:rFonts w:ascii="宋体" w:hAnsi="宋体" w:eastAsia="宋体" w:cs="Times New Roman"/>
      <w:sz w:val="24"/>
      <w:szCs w:val="24"/>
      <w:lang w:val="en-US" w:eastAsia="zh-CN" w:bidi="ar-SA"/>
    </w:rPr>
  </w:style>
  <w:style w:type="character" w:customStyle="1" w:styleId="99">
    <w:name w:val="UserStyle_47"/>
    <w:link w:val="100"/>
    <w:semiHidden/>
    <w:qFormat/>
    <w:uiPriority w:val="0"/>
    <w:rPr>
      <w:rFonts w:ascii="Times New Roman" w:hAnsi="Times New Roman"/>
      <w:kern w:val="2"/>
      <w:sz w:val="21"/>
    </w:rPr>
  </w:style>
  <w:style w:type="paragraph" w:customStyle="1" w:styleId="100">
    <w:name w:val="UserStyle_48"/>
    <w:basedOn w:val="1"/>
    <w:link w:val="99"/>
    <w:qFormat/>
    <w:uiPriority w:val="0"/>
    <w:pPr>
      <w:spacing w:after="120" w:line="480" w:lineRule="auto"/>
      <w:ind w:left="420" w:leftChars="200"/>
    </w:pPr>
  </w:style>
  <w:style w:type="character" w:customStyle="1" w:styleId="101">
    <w:name w:val="UserStyle_49"/>
    <w:link w:val="31"/>
    <w:qFormat/>
    <w:uiPriority w:val="0"/>
    <w:rPr>
      <w:rFonts w:ascii="Arial" w:hAnsi="Arial" w:eastAsia="黑体" w:cs="Times New Roman"/>
      <w:b/>
      <w:bCs/>
      <w:kern w:val="2"/>
      <w:sz w:val="32"/>
      <w:szCs w:val="32"/>
    </w:rPr>
  </w:style>
  <w:style w:type="character" w:customStyle="1" w:styleId="102">
    <w:name w:val="UserStyle_50"/>
    <w:link w:val="103"/>
    <w:semiHidden/>
    <w:qFormat/>
    <w:uiPriority w:val="0"/>
    <w:rPr>
      <w:rFonts w:ascii="Times New Roman" w:hAnsi="Times New Roman" w:eastAsia="黑体" w:cs="Times New Roman"/>
      <w:bCs/>
      <w:kern w:val="2"/>
      <w:sz w:val="28"/>
      <w:szCs w:val="28"/>
    </w:rPr>
  </w:style>
  <w:style w:type="paragraph" w:customStyle="1" w:styleId="103">
    <w:name w:val="UserStyle_51"/>
    <w:basedOn w:val="33"/>
    <w:link w:val="102"/>
    <w:qFormat/>
    <w:uiPriority w:val="0"/>
    <w:pPr>
      <w:spacing w:before="0" w:line="240" w:lineRule="auto"/>
      <w:jc w:val="left"/>
    </w:pPr>
    <w:rPr>
      <w:rFonts w:ascii="Times New Roman" w:hAnsi="Times New Roman" w:eastAsia="黑体"/>
      <w:b w:val="0"/>
    </w:rPr>
  </w:style>
  <w:style w:type="character" w:customStyle="1" w:styleId="104">
    <w:name w:val="UserStyle_52"/>
    <w:qFormat/>
    <w:uiPriority w:val="0"/>
    <w:rPr>
      <w:shd w:val="clear" w:color="auto" w:fill="B00006"/>
    </w:rPr>
  </w:style>
  <w:style w:type="character" w:customStyle="1" w:styleId="105">
    <w:name w:val="UserStyle_53"/>
    <w:qFormat/>
    <w:uiPriority w:val="0"/>
    <w:rPr>
      <w:rFonts w:ascii="Arial" w:hAnsi="Arial" w:eastAsia="黑体" w:cs="Times New Roman"/>
      <w:b/>
      <w:bCs/>
      <w:kern w:val="2"/>
      <w:sz w:val="24"/>
      <w:szCs w:val="24"/>
      <w:lang w:val="en-US" w:eastAsia="zh-CN" w:bidi="ar-SA"/>
    </w:rPr>
  </w:style>
  <w:style w:type="character" w:customStyle="1" w:styleId="106">
    <w:name w:val="UserStyle_54"/>
    <w:link w:val="107"/>
    <w:semiHidden/>
    <w:qFormat/>
    <w:uiPriority w:val="0"/>
    <w:rPr>
      <w:rFonts w:ascii="Times New Roman" w:hAnsi="Times New Roman" w:eastAsia="宋体"/>
      <w:sz w:val="18"/>
      <w:szCs w:val="18"/>
    </w:rPr>
  </w:style>
  <w:style w:type="paragraph" w:customStyle="1" w:styleId="107">
    <w:name w:val="UserStyle_55"/>
    <w:basedOn w:val="1"/>
    <w:link w:val="106"/>
    <w:qFormat/>
    <w:uiPriority w:val="0"/>
    <w:rPr>
      <w:sz w:val="18"/>
      <w:szCs w:val="18"/>
    </w:rPr>
  </w:style>
  <w:style w:type="character" w:customStyle="1" w:styleId="108">
    <w:name w:val="UserStyle_56"/>
    <w:qFormat/>
    <w:uiPriority w:val="0"/>
    <w:rPr>
      <w:sz w:val="21"/>
      <w:szCs w:val="21"/>
    </w:rPr>
  </w:style>
  <w:style w:type="character" w:customStyle="1" w:styleId="109">
    <w:name w:val="UserStyle_57"/>
    <w:link w:val="110"/>
    <w:semiHidden/>
    <w:qFormat/>
    <w:uiPriority w:val="0"/>
    <w:rPr>
      <w:rFonts w:ascii="Times New Roman" w:hAnsi="Times New Roman" w:eastAsia="宋体" w:cs="Times New Roman"/>
      <w:b/>
      <w:bCs/>
      <w:kern w:val="2"/>
      <w:sz w:val="21"/>
      <w:szCs w:val="24"/>
    </w:rPr>
  </w:style>
  <w:style w:type="paragraph" w:customStyle="1" w:styleId="110">
    <w:name w:val="UserStyle_58"/>
    <w:basedOn w:val="80"/>
    <w:next w:val="80"/>
    <w:link w:val="109"/>
    <w:qFormat/>
    <w:uiPriority w:val="0"/>
    <w:rPr>
      <w:b/>
      <w:bCs/>
    </w:rPr>
  </w:style>
  <w:style w:type="character" w:customStyle="1" w:styleId="111">
    <w:name w:val="UserStyle_59"/>
    <w:qFormat/>
    <w:uiPriority w:val="0"/>
    <w:rPr>
      <w:rFonts w:eastAsia="宋体" w:cs="Times New Roman"/>
      <w:b/>
      <w:bCs/>
      <w:kern w:val="2"/>
      <w:sz w:val="24"/>
      <w:szCs w:val="24"/>
      <w:lang w:val="en-US" w:eastAsia="zh-CN" w:bidi="ar-SA"/>
    </w:rPr>
  </w:style>
  <w:style w:type="character" w:customStyle="1" w:styleId="112">
    <w:name w:val="UserStyle_60"/>
    <w:link w:val="37"/>
    <w:semiHidden/>
    <w:qFormat/>
    <w:uiPriority w:val="0"/>
    <w:rPr>
      <w:rFonts w:ascii="Arial" w:hAnsi="Arial" w:eastAsia="黑体"/>
      <w:kern w:val="2"/>
      <w:sz w:val="24"/>
    </w:rPr>
  </w:style>
  <w:style w:type="character" w:customStyle="1" w:styleId="113">
    <w:name w:val="UserStyle_61"/>
    <w:link w:val="114"/>
    <w:semiHidden/>
    <w:qFormat/>
    <w:uiPriority w:val="0"/>
    <w:rPr>
      <w:rFonts w:ascii="Times New Roman" w:hAnsi="Times New Roman"/>
      <w:kern w:val="2"/>
      <w:sz w:val="21"/>
      <w:szCs w:val="21"/>
    </w:rPr>
  </w:style>
  <w:style w:type="paragraph" w:customStyle="1" w:styleId="114">
    <w:name w:val="UserStyle_62"/>
    <w:basedOn w:val="1"/>
    <w:link w:val="113"/>
    <w:qFormat/>
    <w:uiPriority w:val="0"/>
    <w:pPr>
      <w:snapToGrid w:val="0"/>
      <w:spacing w:line="400" w:lineRule="exact"/>
      <w:ind w:firstLine="200" w:firstLineChars="200"/>
      <w:jc w:val="center"/>
    </w:pPr>
    <w:rPr>
      <w:szCs w:val="21"/>
    </w:rPr>
  </w:style>
  <w:style w:type="character" w:customStyle="1" w:styleId="115">
    <w:name w:val="UserStyle_63"/>
    <w:qFormat/>
    <w:uiPriority w:val="0"/>
    <w:rPr>
      <w:kern w:val="2"/>
      <w:sz w:val="24"/>
      <w:szCs w:val="24"/>
    </w:rPr>
  </w:style>
  <w:style w:type="character" w:customStyle="1" w:styleId="116">
    <w:name w:val="UserStyle_64"/>
    <w:link w:val="117"/>
    <w:semiHidden/>
    <w:qFormat/>
    <w:uiPriority w:val="0"/>
    <w:rPr>
      <w:rFonts w:ascii="Times New Roman" w:hAnsi="Times New Roman"/>
      <w:color w:val="7030A0"/>
      <w:kern w:val="2"/>
      <w:sz w:val="21"/>
      <w:szCs w:val="24"/>
    </w:rPr>
  </w:style>
  <w:style w:type="paragraph" w:customStyle="1" w:styleId="117">
    <w:name w:val="UserStyle_65"/>
    <w:basedOn w:val="1"/>
    <w:link w:val="116"/>
    <w:qFormat/>
    <w:uiPriority w:val="0"/>
    <w:pPr>
      <w:tabs>
        <w:tab w:val="left" w:pos="360"/>
      </w:tabs>
      <w:spacing w:line="220" w:lineRule="exact"/>
      <w:ind w:left="360" w:hanging="360" w:firstLineChars="200"/>
      <w:jc w:val="left"/>
    </w:pPr>
    <w:rPr>
      <w:color w:val="7030A0"/>
    </w:rPr>
  </w:style>
  <w:style w:type="character" w:customStyle="1" w:styleId="118">
    <w:name w:val="UserStyle_66"/>
    <w:link w:val="36"/>
    <w:semiHidden/>
    <w:qFormat/>
    <w:uiPriority w:val="0"/>
    <w:rPr>
      <w:rFonts w:ascii="Times New Roman" w:hAnsi="Times New Roman"/>
      <w:b/>
      <w:kern w:val="2"/>
      <w:sz w:val="24"/>
    </w:rPr>
  </w:style>
  <w:style w:type="character" w:customStyle="1" w:styleId="119">
    <w:name w:val="UserStyle_67"/>
    <w:link w:val="120"/>
    <w:semiHidden/>
    <w:qFormat/>
    <w:uiPriority w:val="0"/>
    <w:rPr>
      <w:rFonts w:ascii="宋体" w:hAnsi="宋体" w:eastAsia="黑体"/>
      <w:kern w:val="2"/>
      <w:sz w:val="24"/>
      <w:szCs w:val="21"/>
    </w:rPr>
  </w:style>
  <w:style w:type="paragraph" w:customStyle="1" w:styleId="120">
    <w:name w:val="UserStyle_68"/>
    <w:basedOn w:val="32"/>
    <w:link w:val="119"/>
    <w:qFormat/>
    <w:uiPriority w:val="0"/>
    <w:pPr>
      <w:spacing w:before="240" w:after="120" w:line="480" w:lineRule="exact"/>
      <w:jc w:val="left"/>
    </w:pPr>
    <w:rPr>
      <w:rFonts w:ascii="宋体" w:hAnsi="宋体" w:eastAsia="黑体"/>
      <w:b w:val="0"/>
      <w:bCs w:val="0"/>
      <w:sz w:val="24"/>
      <w:szCs w:val="21"/>
    </w:rPr>
  </w:style>
  <w:style w:type="character" w:customStyle="1" w:styleId="121">
    <w:name w:val="UserStyle_69"/>
    <w:link w:val="122"/>
    <w:semiHidden/>
    <w:qFormat/>
    <w:uiPriority w:val="0"/>
    <w:rPr>
      <w:rFonts w:ascii="Times New Roman" w:hAnsi="Times New Roman"/>
      <w:sz w:val="18"/>
    </w:rPr>
  </w:style>
  <w:style w:type="paragraph" w:customStyle="1" w:styleId="122">
    <w:name w:val="FootnoteText"/>
    <w:basedOn w:val="1"/>
    <w:link w:val="121"/>
    <w:qFormat/>
    <w:uiPriority w:val="0"/>
    <w:pPr>
      <w:spacing w:line="312" w:lineRule="atLeast"/>
      <w:jc w:val="left"/>
    </w:pPr>
    <w:rPr>
      <w:sz w:val="18"/>
    </w:rPr>
  </w:style>
  <w:style w:type="character" w:customStyle="1" w:styleId="123">
    <w:name w:val="UserStyle_70"/>
    <w:link w:val="80"/>
    <w:semiHidden/>
    <w:qFormat/>
    <w:uiPriority w:val="0"/>
    <w:rPr>
      <w:rFonts w:ascii="Times New Roman" w:hAnsi="Times New Roman" w:eastAsia="宋体"/>
      <w:szCs w:val="24"/>
    </w:rPr>
  </w:style>
  <w:style w:type="character" w:customStyle="1" w:styleId="124">
    <w:name w:val="UserStyle_71"/>
    <w:link w:val="125"/>
    <w:qFormat/>
    <w:uiPriority w:val="0"/>
    <w:rPr>
      <w:kern w:val="2"/>
      <w:sz w:val="18"/>
      <w:szCs w:val="18"/>
    </w:rPr>
  </w:style>
  <w:style w:type="paragraph" w:customStyle="1" w:styleId="125">
    <w:name w:val="Acetate"/>
    <w:basedOn w:val="1"/>
    <w:link w:val="124"/>
    <w:qFormat/>
    <w:uiPriority w:val="0"/>
    <w:rPr>
      <w:sz w:val="18"/>
      <w:szCs w:val="18"/>
    </w:rPr>
  </w:style>
  <w:style w:type="character" w:customStyle="1" w:styleId="126">
    <w:name w:val="UserStyle_72"/>
    <w:basedOn w:val="39"/>
    <w:qFormat/>
    <w:uiPriority w:val="0"/>
  </w:style>
  <w:style w:type="character" w:customStyle="1" w:styleId="127">
    <w:name w:val="UserStyle_73"/>
    <w:basedOn w:val="39"/>
    <w:qFormat/>
    <w:uiPriority w:val="0"/>
  </w:style>
  <w:style w:type="character" w:customStyle="1" w:styleId="128">
    <w:name w:val="UserStyle_74"/>
    <w:link w:val="129"/>
    <w:semiHidden/>
    <w:qFormat/>
    <w:uiPriority w:val="0"/>
    <w:rPr>
      <w:rFonts w:ascii="宋体" w:hAnsi="宋体"/>
      <w:sz w:val="24"/>
      <w:szCs w:val="24"/>
    </w:rPr>
  </w:style>
  <w:style w:type="paragraph" w:customStyle="1" w:styleId="129">
    <w:name w:val="UserStyle_75"/>
    <w:basedOn w:val="130"/>
    <w:next w:val="1"/>
    <w:link w:val="128"/>
    <w:qFormat/>
    <w:uiPriority w:val="0"/>
    <w:pPr>
      <w:ind w:left="200" w:leftChars="200" w:firstLine="200" w:firstLineChars="200"/>
    </w:pPr>
    <w:rPr>
      <w:rFonts w:ascii="宋体" w:hAnsi="宋体"/>
      <w:kern w:val="0"/>
      <w:sz w:val="24"/>
    </w:rPr>
  </w:style>
  <w:style w:type="paragraph" w:customStyle="1" w:styleId="130">
    <w:name w:val="BodyText"/>
    <w:basedOn w:val="1"/>
    <w:next w:val="1"/>
    <w:link w:val="181"/>
    <w:qFormat/>
    <w:uiPriority w:val="0"/>
    <w:pPr>
      <w:spacing w:line="360" w:lineRule="auto"/>
    </w:pPr>
  </w:style>
  <w:style w:type="character" w:customStyle="1" w:styleId="131">
    <w:name w:val="UserStyle_76"/>
    <w:qFormat/>
    <w:uiPriority w:val="0"/>
    <w:rPr>
      <w:color w:val="CC0000"/>
    </w:rPr>
  </w:style>
  <w:style w:type="character" w:customStyle="1" w:styleId="132">
    <w:name w:val="UserStyle_77"/>
    <w:link w:val="133"/>
    <w:semiHidden/>
    <w:qFormat/>
    <w:uiPriority w:val="0"/>
    <w:rPr>
      <w:color w:val="7030A0"/>
      <w:spacing w:val="10"/>
      <w:sz w:val="24"/>
      <w:szCs w:val="24"/>
    </w:rPr>
  </w:style>
  <w:style w:type="paragraph" w:customStyle="1" w:styleId="133">
    <w:name w:val="UserStyle_78"/>
    <w:basedOn w:val="1"/>
    <w:link w:val="132"/>
    <w:qFormat/>
    <w:uiPriority w:val="0"/>
    <w:pPr>
      <w:tabs>
        <w:tab w:val="left" w:pos="360"/>
        <w:tab w:val="left" w:pos="1628"/>
        <w:tab w:val="left" w:pos="2086"/>
      </w:tabs>
      <w:snapToGrid w:val="0"/>
      <w:ind w:left="1748" w:right="210" w:rightChars="100" w:hanging="434" w:firstLineChars="200"/>
      <w:jc w:val="left"/>
    </w:pPr>
    <w:rPr>
      <w:color w:val="7030A0"/>
      <w:spacing w:val="10"/>
      <w:kern w:val="0"/>
      <w:sz w:val="24"/>
    </w:rPr>
  </w:style>
  <w:style w:type="character" w:customStyle="1" w:styleId="134">
    <w:name w:val="UserStyle_79"/>
    <w:link w:val="135"/>
    <w:semiHidden/>
    <w:qFormat/>
    <w:uiPriority w:val="0"/>
    <w:rPr>
      <w:rFonts w:ascii="Times New Roman" w:hAnsi="Times New Roman"/>
      <w:kern w:val="2"/>
      <w:sz w:val="21"/>
    </w:rPr>
  </w:style>
  <w:style w:type="paragraph" w:customStyle="1" w:styleId="135">
    <w:name w:val="UserStyle_80"/>
    <w:basedOn w:val="1"/>
    <w:link w:val="134"/>
    <w:qFormat/>
    <w:uiPriority w:val="0"/>
    <w:pPr>
      <w:spacing w:after="120" w:line="480" w:lineRule="auto"/>
    </w:pPr>
  </w:style>
  <w:style w:type="character" w:customStyle="1" w:styleId="136">
    <w:name w:val="UserStyle_81"/>
    <w:semiHidden/>
    <w:qFormat/>
    <w:uiPriority w:val="0"/>
    <w:rPr>
      <w:rFonts w:ascii="Times New Roman" w:hAnsi="Times New Roman"/>
      <w:kern w:val="2"/>
      <w:sz w:val="21"/>
      <w:szCs w:val="24"/>
    </w:rPr>
  </w:style>
  <w:style w:type="character" w:customStyle="1" w:styleId="137">
    <w:name w:val="UserStyle_82"/>
    <w:link w:val="138"/>
    <w:semiHidden/>
    <w:qFormat/>
    <w:uiPriority w:val="0"/>
    <w:rPr>
      <w:rFonts w:ascii="Times New Roman" w:hAnsi="Times New Roman"/>
      <w:kern w:val="2"/>
      <w:sz w:val="24"/>
    </w:rPr>
  </w:style>
  <w:style w:type="paragraph" w:customStyle="1" w:styleId="138">
    <w:name w:val="UserStyle_83"/>
    <w:basedOn w:val="1"/>
    <w:next w:val="1"/>
    <w:link w:val="137"/>
    <w:qFormat/>
    <w:uiPriority w:val="0"/>
    <w:rPr>
      <w:sz w:val="24"/>
    </w:rPr>
  </w:style>
  <w:style w:type="character" w:customStyle="1" w:styleId="139">
    <w:name w:val="UserStyle_84"/>
    <w:link w:val="140"/>
    <w:semiHidden/>
    <w:qFormat/>
    <w:uiPriority w:val="0"/>
    <w:rPr>
      <w:rFonts w:ascii="Times New Roman" w:hAnsi="Times New Roman" w:eastAsia="黑体"/>
      <w:kern w:val="2"/>
      <w:sz w:val="24"/>
    </w:rPr>
  </w:style>
  <w:style w:type="paragraph" w:customStyle="1" w:styleId="140">
    <w:name w:val="UserStyle_85"/>
    <w:basedOn w:val="1"/>
    <w:link w:val="139"/>
    <w:qFormat/>
    <w:uiPriority w:val="0"/>
    <w:pPr>
      <w:snapToGrid w:val="0"/>
      <w:ind w:firstLine="200" w:firstLineChars="200"/>
      <w:jc w:val="center"/>
    </w:pPr>
    <w:rPr>
      <w:rFonts w:eastAsia="黑体"/>
      <w:sz w:val="24"/>
      <w:szCs w:val="20"/>
    </w:rPr>
  </w:style>
  <w:style w:type="character" w:customStyle="1" w:styleId="141">
    <w:name w:val="UserStyle_86"/>
    <w:link w:val="142"/>
    <w:semiHidden/>
    <w:qFormat/>
    <w:uiPriority w:val="0"/>
    <w:rPr>
      <w:rFonts w:eastAsia="楷体_GB2312"/>
      <w:kern w:val="2"/>
      <w:sz w:val="30"/>
    </w:rPr>
  </w:style>
  <w:style w:type="paragraph" w:customStyle="1" w:styleId="142">
    <w:name w:val="UserStyle_87"/>
    <w:basedOn w:val="1"/>
    <w:next w:val="1"/>
    <w:link w:val="141"/>
    <w:qFormat/>
    <w:uiPriority w:val="0"/>
    <w:rPr>
      <w:rFonts w:eastAsia="楷体_GB2312"/>
      <w:sz w:val="30"/>
      <w:szCs w:val="20"/>
    </w:rPr>
  </w:style>
  <w:style w:type="character" w:customStyle="1" w:styleId="143">
    <w:name w:val="UserStyle_88"/>
    <w:basedOn w:val="39"/>
    <w:qFormat/>
    <w:uiPriority w:val="0"/>
  </w:style>
  <w:style w:type="character" w:customStyle="1" w:styleId="144">
    <w:name w:val="UserStyle_89"/>
    <w:qFormat/>
    <w:uiPriority w:val="0"/>
    <w:rPr>
      <w:rFonts w:eastAsia="黑体" w:cs="Times New Roman"/>
      <w:bCs/>
      <w:kern w:val="2"/>
      <w:sz w:val="28"/>
      <w:szCs w:val="28"/>
      <w:lang w:val="en-US" w:eastAsia="zh-CN" w:bidi="ar-SA"/>
    </w:rPr>
  </w:style>
  <w:style w:type="character" w:customStyle="1" w:styleId="145">
    <w:name w:val="UserStyle_90"/>
    <w:qFormat/>
    <w:uiPriority w:val="0"/>
    <w:rPr>
      <w:rFonts w:ascii="楷体_GB2312" w:hAnsi="Arial" w:eastAsia="楷体_GB2312"/>
      <w:b/>
      <w:kern w:val="2"/>
      <w:sz w:val="44"/>
      <w:szCs w:val="24"/>
      <w:lang w:val="en-US" w:eastAsia="zh-CN" w:bidi="ar-SA"/>
    </w:rPr>
  </w:style>
  <w:style w:type="character" w:customStyle="1" w:styleId="146">
    <w:name w:val="题注 字符"/>
    <w:link w:val="5"/>
    <w:semiHidden/>
    <w:qFormat/>
    <w:uiPriority w:val="0"/>
    <w:rPr>
      <w:rFonts w:ascii="Times New Roman" w:hAnsi="Times New Roman" w:cs="Times New Roman"/>
      <w:b/>
      <w:bCs/>
      <w:color w:val="000080"/>
      <w:kern w:val="2"/>
      <w:sz w:val="28"/>
      <w:szCs w:val="24"/>
    </w:rPr>
  </w:style>
  <w:style w:type="character" w:customStyle="1" w:styleId="147">
    <w:name w:val="UserStyle_92"/>
    <w:qFormat/>
    <w:uiPriority w:val="0"/>
    <w:rPr>
      <w:rFonts w:ascii="宋体" w:hAnsi="Courier New" w:eastAsia="宋体"/>
      <w:kern w:val="2"/>
      <w:sz w:val="21"/>
      <w:szCs w:val="21"/>
      <w:lang w:val="en-US" w:eastAsia="zh-CN" w:bidi="ar-SA"/>
    </w:rPr>
  </w:style>
  <w:style w:type="character" w:customStyle="1" w:styleId="148">
    <w:name w:val="UserStyle_93"/>
    <w:link w:val="149"/>
    <w:semiHidden/>
    <w:qFormat/>
    <w:uiPriority w:val="0"/>
    <w:rPr>
      <w:rFonts w:ascii="Arial" w:hAnsi="Arial"/>
      <w:sz w:val="21"/>
      <w:szCs w:val="21"/>
    </w:rPr>
  </w:style>
  <w:style w:type="paragraph" w:customStyle="1" w:styleId="149">
    <w:name w:val="UserStyle_94"/>
    <w:basedOn w:val="1"/>
    <w:link w:val="14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szCs w:val="21"/>
    </w:rPr>
  </w:style>
  <w:style w:type="character" w:customStyle="1" w:styleId="150">
    <w:name w:val="UserStyle_95"/>
    <w:link w:val="151"/>
    <w:qFormat/>
    <w:uiPriority w:val="0"/>
    <w:rPr>
      <w:kern w:val="2"/>
      <w:sz w:val="21"/>
    </w:rPr>
  </w:style>
  <w:style w:type="paragraph" w:customStyle="1" w:styleId="151">
    <w:name w:val="UserStyle_96"/>
    <w:basedOn w:val="1"/>
    <w:link w:val="150"/>
    <w:qFormat/>
    <w:uiPriority w:val="0"/>
    <w:pPr>
      <w:ind w:firstLine="420" w:firstLineChars="200"/>
    </w:pPr>
    <w:rPr>
      <w:szCs w:val="20"/>
    </w:rPr>
  </w:style>
  <w:style w:type="character" w:customStyle="1" w:styleId="152">
    <w:name w:val="UserStyle_97"/>
    <w:basedOn w:val="39"/>
    <w:qFormat/>
    <w:uiPriority w:val="0"/>
  </w:style>
  <w:style w:type="character" w:customStyle="1" w:styleId="153">
    <w:name w:val="UserStyle_98"/>
    <w:link w:val="35"/>
    <w:semiHidden/>
    <w:qFormat/>
    <w:uiPriority w:val="0"/>
    <w:rPr>
      <w:rFonts w:ascii="Arial" w:hAnsi="Arial" w:eastAsia="黑体"/>
      <w:b/>
      <w:kern w:val="2"/>
      <w:sz w:val="24"/>
    </w:rPr>
  </w:style>
  <w:style w:type="character" w:customStyle="1" w:styleId="154">
    <w:name w:val="UserStyle_99"/>
    <w:qFormat/>
    <w:uiPriority w:val="0"/>
    <w:rPr>
      <w:rFonts w:ascii="Arial" w:hAnsi="Arial" w:eastAsia="楷体_GB2312"/>
      <w:spacing w:val="10"/>
      <w:sz w:val="21"/>
      <w:lang w:val="en-US" w:eastAsia="zh-CN" w:bidi="ar-SA"/>
    </w:rPr>
  </w:style>
  <w:style w:type="character" w:customStyle="1" w:styleId="155">
    <w:name w:val="UserStyle_100"/>
    <w:basedOn w:val="39"/>
    <w:qFormat/>
    <w:uiPriority w:val="0"/>
  </w:style>
  <w:style w:type="character" w:customStyle="1" w:styleId="156">
    <w:name w:val="UserStyle_101"/>
    <w:link w:val="157"/>
    <w:qFormat/>
    <w:uiPriority w:val="0"/>
    <w:rPr>
      <w:rFonts w:ascii="Courier New" w:hAnsi="Courier New"/>
      <w:kern w:val="2"/>
      <w:sz w:val="24"/>
      <w:szCs w:val="24"/>
      <w:lang w:val="en-US" w:eastAsia="zh-CN" w:bidi="ar-SA"/>
    </w:rPr>
  </w:style>
  <w:style w:type="paragraph" w:customStyle="1" w:styleId="157">
    <w:name w:val="UserStyle_102"/>
    <w:link w:val="156"/>
    <w:qFormat/>
    <w:uiPriority w:val="0"/>
    <w:pPr>
      <w:tabs>
        <w:tab w:val="left" w:pos="480"/>
        <w:tab w:val="left" w:pos="960"/>
        <w:tab w:val="left" w:pos="1440"/>
        <w:tab w:val="left" w:pos="1920"/>
        <w:tab w:val="left" w:pos="2400"/>
        <w:tab w:val="left" w:pos="2880"/>
        <w:tab w:val="left" w:pos="3360"/>
        <w:tab w:val="left" w:pos="3840"/>
        <w:tab w:val="left" w:pos="4320"/>
      </w:tabs>
      <w:snapToGrid w:val="0"/>
      <w:textAlignment w:val="baseline"/>
    </w:pPr>
    <w:rPr>
      <w:rFonts w:ascii="Courier New" w:hAnsi="Courier New" w:eastAsia="宋体" w:cs="Times New Roman"/>
      <w:kern w:val="2"/>
      <w:sz w:val="24"/>
      <w:szCs w:val="24"/>
      <w:lang w:val="en-US" w:eastAsia="zh-CN" w:bidi="ar-SA"/>
    </w:rPr>
  </w:style>
  <w:style w:type="character" w:customStyle="1" w:styleId="158">
    <w:name w:val="UserStyle_103"/>
    <w:basedOn w:val="39"/>
    <w:qFormat/>
    <w:uiPriority w:val="0"/>
  </w:style>
  <w:style w:type="character" w:customStyle="1" w:styleId="159">
    <w:name w:val="UserStyle_104"/>
    <w:link w:val="160"/>
    <w:semiHidden/>
    <w:qFormat/>
    <w:uiPriority w:val="0"/>
    <w:rPr>
      <w:rFonts w:ascii="Times New Roman" w:hAnsi="Times New Roman"/>
      <w:kern w:val="2"/>
      <w:sz w:val="24"/>
      <w:szCs w:val="24"/>
    </w:rPr>
  </w:style>
  <w:style w:type="paragraph" w:customStyle="1" w:styleId="160">
    <w:name w:val="UserStyle_105"/>
    <w:basedOn w:val="1"/>
    <w:link w:val="159"/>
    <w:qFormat/>
    <w:uiPriority w:val="0"/>
    <w:pPr>
      <w:snapToGrid w:val="0"/>
      <w:spacing w:line="360" w:lineRule="auto"/>
      <w:ind w:firstLine="200" w:firstLineChars="200"/>
      <w:jc w:val="left"/>
    </w:pPr>
    <w:rPr>
      <w:sz w:val="24"/>
    </w:rPr>
  </w:style>
  <w:style w:type="character" w:customStyle="1" w:styleId="161">
    <w:name w:val="UserStyle_106"/>
    <w:qFormat/>
    <w:uiPriority w:val="0"/>
    <w:rPr>
      <w:color w:val="FFFFFF"/>
      <w:shd w:val="clear" w:color="auto" w:fill="A00000"/>
    </w:rPr>
  </w:style>
  <w:style w:type="character" w:customStyle="1" w:styleId="162">
    <w:name w:val="UserStyle_107"/>
    <w:qFormat/>
    <w:uiPriority w:val="0"/>
    <w:rPr>
      <w:rFonts w:ascii="Times New Roman" w:hAnsi="Times New Roman"/>
      <w:kern w:val="2"/>
      <w:sz w:val="24"/>
    </w:rPr>
  </w:style>
  <w:style w:type="character" w:customStyle="1" w:styleId="163">
    <w:name w:val="UserStyle_108"/>
    <w:link w:val="164"/>
    <w:semiHidden/>
    <w:qFormat/>
    <w:uiPriority w:val="0"/>
    <w:rPr>
      <w:rFonts w:ascii="宋体"/>
      <w:kern w:val="2"/>
      <w:sz w:val="24"/>
      <w:szCs w:val="24"/>
    </w:rPr>
  </w:style>
  <w:style w:type="paragraph" w:customStyle="1" w:styleId="164">
    <w:name w:val="UserStyle_109"/>
    <w:basedOn w:val="1"/>
    <w:link w:val="163"/>
    <w:qFormat/>
    <w:uiPriority w:val="0"/>
    <w:pPr>
      <w:snapToGrid w:val="0"/>
      <w:spacing w:line="360" w:lineRule="auto"/>
      <w:ind w:firstLine="420"/>
    </w:pPr>
    <w:rPr>
      <w:rFonts w:ascii="宋体"/>
      <w:sz w:val="24"/>
    </w:rPr>
  </w:style>
  <w:style w:type="character" w:customStyle="1" w:styleId="165">
    <w:name w:val="UserStyle_110"/>
    <w:basedOn w:val="39"/>
    <w:qFormat/>
    <w:uiPriority w:val="0"/>
  </w:style>
  <w:style w:type="character" w:customStyle="1" w:styleId="166">
    <w:name w:val="UserStyle_111"/>
    <w:qFormat/>
    <w:uiPriority w:val="0"/>
    <w:rPr>
      <w:color w:val="7030A0"/>
      <w:kern w:val="2"/>
      <w:sz w:val="24"/>
    </w:rPr>
  </w:style>
  <w:style w:type="character" w:customStyle="1" w:styleId="167">
    <w:name w:val="UserStyle_112"/>
    <w:qFormat/>
    <w:uiPriority w:val="0"/>
    <w:rPr>
      <w:rFonts w:eastAsia="仿宋_GB2312"/>
      <w:kern w:val="2"/>
      <w:sz w:val="28"/>
      <w:lang w:val="en-US" w:eastAsia="zh-CN" w:bidi="ar-SA"/>
    </w:rPr>
  </w:style>
  <w:style w:type="character" w:customStyle="1" w:styleId="168">
    <w:name w:val="UserStyle_113"/>
    <w:link w:val="169"/>
    <w:semiHidden/>
    <w:qFormat/>
    <w:uiPriority w:val="0"/>
    <w:rPr>
      <w:rFonts w:ascii="Arial" w:hAnsi="Arial"/>
      <w:color w:val="7030A0"/>
      <w:kern w:val="2"/>
      <w:sz w:val="24"/>
      <w:szCs w:val="24"/>
    </w:rPr>
  </w:style>
  <w:style w:type="paragraph" w:customStyle="1" w:styleId="169">
    <w:name w:val="UserStyle_114"/>
    <w:basedOn w:val="1"/>
    <w:link w:val="168"/>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left"/>
    </w:pPr>
    <w:rPr>
      <w:rFonts w:ascii="Arial" w:hAnsi="Arial"/>
      <w:color w:val="7030A0"/>
      <w:sz w:val="24"/>
    </w:rPr>
  </w:style>
  <w:style w:type="character" w:customStyle="1" w:styleId="170">
    <w:name w:val="UserStyle_115"/>
    <w:qFormat/>
    <w:uiPriority w:val="0"/>
    <w:rPr>
      <w:rFonts w:ascii="Arial" w:hAnsi="Arial" w:eastAsia="宋体" w:cs="Times New Roman"/>
      <w:b/>
      <w:bCs/>
      <w:sz w:val="24"/>
      <w:lang w:val="en-US" w:eastAsia="zh-CN" w:bidi="ar-SA"/>
    </w:rPr>
  </w:style>
  <w:style w:type="character" w:customStyle="1" w:styleId="171">
    <w:name w:val="UserStyle_116"/>
    <w:link w:val="172"/>
    <w:semiHidden/>
    <w:qFormat/>
    <w:uiPriority w:val="0"/>
    <w:rPr>
      <w:rFonts w:ascii="宋体" w:hAnsi="宋体"/>
      <w:kern w:val="2"/>
      <w:sz w:val="24"/>
      <w:szCs w:val="24"/>
    </w:rPr>
  </w:style>
  <w:style w:type="paragraph" w:customStyle="1" w:styleId="172">
    <w:name w:val="UserStyle_117"/>
    <w:basedOn w:val="1"/>
    <w:next w:val="1"/>
    <w:link w:val="171"/>
    <w:qFormat/>
    <w:uiPriority w:val="0"/>
    <w:pPr>
      <w:tabs>
        <w:tab w:val="left" w:pos="813"/>
      </w:tabs>
      <w:spacing w:line="360" w:lineRule="auto"/>
      <w:ind w:left="813" w:hanging="567"/>
    </w:pPr>
    <w:rPr>
      <w:rFonts w:ascii="宋体" w:hAnsi="宋体"/>
      <w:sz w:val="24"/>
    </w:rPr>
  </w:style>
  <w:style w:type="character" w:customStyle="1" w:styleId="173">
    <w:name w:val="UserStyle_118"/>
    <w:qFormat/>
    <w:uiPriority w:val="0"/>
    <w:rPr>
      <w:rFonts w:ascii="Arial" w:hAnsi="Arial" w:eastAsia="楷体_GB2312"/>
      <w:spacing w:val="10"/>
      <w:sz w:val="21"/>
      <w:lang w:val="en-US" w:eastAsia="zh-CN" w:bidi="ar-SA"/>
    </w:rPr>
  </w:style>
  <w:style w:type="character" w:customStyle="1" w:styleId="174">
    <w:name w:val="页眉 字符"/>
    <w:link w:val="10"/>
    <w:semiHidden/>
    <w:qFormat/>
    <w:uiPriority w:val="0"/>
    <w:rPr>
      <w:rFonts w:ascii="Times New Roman" w:hAnsi="Times New Roman"/>
      <w:kern w:val="2"/>
      <w:sz w:val="18"/>
      <w:szCs w:val="18"/>
    </w:rPr>
  </w:style>
  <w:style w:type="character" w:customStyle="1" w:styleId="175">
    <w:name w:val="UserStyle_120"/>
    <w:link w:val="176"/>
    <w:semiHidden/>
    <w:qFormat/>
    <w:uiPriority w:val="0"/>
    <w:rPr>
      <w:rFonts w:ascii="Times New Roman" w:hAnsi="Times New Roman"/>
      <w:kern w:val="2"/>
      <w:sz w:val="24"/>
      <w:szCs w:val="24"/>
    </w:rPr>
  </w:style>
  <w:style w:type="paragraph" w:customStyle="1" w:styleId="176">
    <w:name w:val="UserStyle_121"/>
    <w:basedOn w:val="1"/>
    <w:link w:val="175"/>
    <w:qFormat/>
    <w:uiPriority w:val="0"/>
    <w:pPr>
      <w:snapToGrid w:val="0"/>
      <w:spacing w:line="360" w:lineRule="auto"/>
      <w:ind w:firstLine="200" w:firstLineChars="200"/>
      <w:jc w:val="left"/>
    </w:pPr>
    <w:rPr>
      <w:sz w:val="24"/>
    </w:rPr>
  </w:style>
  <w:style w:type="character" w:customStyle="1" w:styleId="177">
    <w:name w:val="UserStyle_122"/>
    <w:link w:val="178"/>
    <w:semiHidden/>
    <w:qFormat/>
    <w:uiPriority w:val="0"/>
    <w:rPr>
      <w:rFonts w:ascii="宋体" w:hAnsi="宋体"/>
      <w:kern w:val="2"/>
      <w:sz w:val="21"/>
      <w:szCs w:val="24"/>
    </w:rPr>
  </w:style>
  <w:style w:type="paragraph" w:customStyle="1" w:styleId="178">
    <w:name w:val="UserStyle_123"/>
    <w:basedOn w:val="58"/>
    <w:link w:val="177"/>
    <w:qFormat/>
    <w:uiPriority w:val="0"/>
    <w:pPr>
      <w:spacing w:after="120" w:line="240" w:lineRule="auto"/>
      <w:ind w:left="420" w:leftChars="200" w:firstLine="200" w:firstLineChars="200"/>
      <w:jc w:val="left"/>
    </w:pPr>
    <w:rPr>
      <w:rFonts w:hAnsi="宋体"/>
    </w:rPr>
  </w:style>
  <w:style w:type="character" w:customStyle="1" w:styleId="179">
    <w:name w:val="UserStyle_124"/>
    <w:qFormat/>
    <w:uiPriority w:val="0"/>
    <w:rPr>
      <w:rFonts w:ascii="宋体" w:hAnsi="宋体" w:cs="Times New Roman"/>
      <w:b/>
      <w:bCs/>
      <w:kern w:val="2"/>
      <w:sz w:val="21"/>
    </w:rPr>
  </w:style>
  <w:style w:type="character" w:customStyle="1" w:styleId="180">
    <w:name w:val="UserStyle_125"/>
    <w:qFormat/>
    <w:uiPriority w:val="0"/>
    <w:rPr>
      <w:rFonts w:eastAsia="宋体"/>
      <w:sz w:val="32"/>
      <w:lang w:val="en-US" w:eastAsia="zh-CN" w:bidi="ar-SA"/>
    </w:rPr>
  </w:style>
  <w:style w:type="character" w:customStyle="1" w:styleId="181">
    <w:name w:val="UserStyle_126"/>
    <w:link w:val="130"/>
    <w:qFormat/>
    <w:uiPriority w:val="0"/>
    <w:rPr>
      <w:rFonts w:ascii="Times New Roman" w:hAnsi="Times New Roman"/>
      <w:kern w:val="2"/>
      <w:sz w:val="21"/>
      <w:szCs w:val="24"/>
    </w:rPr>
  </w:style>
  <w:style w:type="character" w:customStyle="1" w:styleId="182">
    <w:name w:val="UserStyle_127"/>
    <w:qFormat/>
    <w:uiPriority w:val="0"/>
    <w:rPr>
      <w:rFonts w:ascii="宋体" w:hAnsi="Courier New" w:eastAsia="宋体"/>
      <w:kern w:val="2"/>
      <w:sz w:val="21"/>
      <w:lang w:val="en-US" w:eastAsia="zh-CN" w:bidi="ar-SA"/>
    </w:rPr>
  </w:style>
  <w:style w:type="character" w:customStyle="1" w:styleId="183">
    <w:name w:val="UserStyle_128"/>
    <w:link w:val="34"/>
    <w:semiHidden/>
    <w:qFormat/>
    <w:uiPriority w:val="0"/>
    <w:rPr>
      <w:rFonts w:ascii="Times New Roman" w:hAnsi="Times New Roman" w:cs="Times New Roman"/>
      <w:b/>
      <w:bCs/>
      <w:kern w:val="2"/>
      <w:sz w:val="28"/>
      <w:szCs w:val="28"/>
    </w:rPr>
  </w:style>
  <w:style w:type="character" w:customStyle="1" w:styleId="184">
    <w:name w:val="UserStyle_129"/>
    <w:link w:val="185"/>
    <w:semiHidden/>
    <w:qFormat/>
    <w:uiPriority w:val="0"/>
    <w:rPr>
      <w:rFonts w:ascii="Times New Roman" w:hAnsi="Times New Roman"/>
      <w:kern w:val="2"/>
      <w:sz w:val="16"/>
      <w:szCs w:val="16"/>
    </w:rPr>
  </w:style>
  <w:style w:type="paragraph" w:customStyle="1" w:styleId="185">
    <w:name w:val="UserStyle_130"/>
    <w:basedOn w:val="1"/>
    <w:link w:val="184"/>
    <w:qFormat/>
    <w:uiPriority w:val="0"/>
    <w:pPr>
      <w:spacing w:after="120"/>
    </w:pPr>
    <w:rPr>
      <w:sz w:val="16"/>
      <w:szCs w:val="16"/>
    </w:rPr>
  </w:style>
  <w:style w:type="character" w:customStyle="1" w:styleId="186">
    <w:name w:val="UserStyle_131"/>
    <w:link w:val="187"/>
    <w:semiHidden/>
    <w:qFormat/>
    <w:uiPriority w:val="0"/>
    <w:rPr>
      <w:rFonts w:ascii="Times New Roman" w:hAnsi="Times New Roman"/>
      <w:color w:val="7030A0"/>
      <w:kern w:val="2"/>
      <w:sz w:val="24"/>
    </w:rPr>
  </w:style>
  <w:style w:type="paragraph" w:customStyle="1" w:styleId="187">
    <w:name w:val="UserStyle_132"/>
    <w:basedOn w:val="77"/>
    <w:link w:val="186"/>
    <w:qFormat/>
    <w:uiPriority w:val="0"/>
    <w:pPr>
      <w:spacing w:line="336" w:lineRule="auto"/>
    </w:pPr>
  </w:style>
  <w:style w:type="character" w:customStyle="1" w:styleId="188">
    <w:name w:val="UserStyle_133"/>
    <w:link w:val="189"/>
    <w:semiHidden/>
    <w:qFormat/>
    <w:uiPriority w:val="0"/>
    <w:rPr>
      <w:rFonts w:ascii="宋体" w:hAnsi="Times New Roman" w:eastAsia="宋体"/>
      <w:sz w:val="18"/>
      <w:szCs w:val="18"/>
    </w:rPr>
  </w:style>
  <w:style w:type="paragraph" w:customStyle="1" w:styleId="189">
    <w:name w:val="UserStyle_134"/>
    <w:basedOn w:val="1"/>
    <w:link w:val="188"/>
    <w:qFormat/>
    <w:uiPriority w:val="0"/>
    <w:rPr>
      <w:rFonts w:ascii="宋体"/>
      <w:sz w:val="18"/>
      <w:szCs w:val="18"/>
    </w:rPr>
  </w:style>
  <w:style w:type="character" w:customStyle="1" w:styleId="190">
    <w:name w:val="UserStyle_135"/>
    <w:basedOn w:val="39"/>
    <w:qFormat/>
    <w:uiPriority w:val="0"/>
  </w:style>
  <w:style w:type="character" w:customStyle="1" w:styleId="191">
    <w:name w:val="UserStyle_136"/>
    <w:qFormat/>
    <w:uiPriority w:val="0"/>
    <w:rPr>
      <w:rFonts w:hAnsi="PMingLiU" w:eastAsia="MS Gothic"/>
      <w:kern w:val="2"/>
      <w:sz w:val="24"/>
      <w:lang w:eastAsia="zh-TW"/>
    </w:rPr>
  </w:style>
  <w:style w:type="character" w:customStyle="1" w:styleId="192">
    <w:name w:val="UserStyle_137"/>
    <w:link w:val="193"/>
    <w:semiHidden/>
    <w:qFormat/>
    <w:uiPriority w:val="0"/>
    <w:rPr>
      <w:rFonts w:ascii="宋体" w:hAnsi="Times New Roman"/>
      <w:b/>
      <w:color w:val="92D050"/>
      <w:kern w:val="44"/>
      <w:sz w:val="30"/>
    </w:rPr>
  </w:style>
  <w:style w:type="paragraph" w:customStyle="1" w:styleId="193">
    <w:name w:val="UserStyle_138"/>
    <w:basedOn w:val="30"/>
    <w:link w:val="192"/>
    <w:qFormat/>
    <w:uiPriority w:val="0"/>
    <w:pPr>
      <w:spacing w:before="0" w:after="0" w:line="312" w:lineRule="auto"/>
      <w:ind w:left="0" w:firstLine="0"/>
      <w:jc w:val="center"/>
    </w:pPr>
    <w:rPr>
      <w:rFonts w:ascii="宋体"/>
      <w:bCs w:val="0"/>
      <w:color w:val="92D050"/>
      <w:sz w:val="30"/>
      <w:szCs w:val="20"/>
    </w:rPr>
  </w:style>
  <w:style w:type="character" w:customStyle="1" w:styleId="194">
    <w:name w:val="UserStyle_139"/>
    <w:qFormat/>
    <w:uiPriority w:val="0"/>
    <w:rPr>
      <w:rFonts w:eastAsia="宋体"/>
      <w:color w:val="0000FF"/>
      <w:sz w:val="44"/>
    </w:rPr>
  </w:style>
  <w:style w:type="character" w:customStyle="1" w:styleId="195">
    <w:name w:val="UserStyle_140"/>
    <w:qFormat/>
    <w:uiPriority w:val="0"/>
    <w:rPr>
      <w:rFonts w:cs="Times New Roman"/>
      <w:b/>
      <w:bCs/>
      <w:smallCaps/>
      <w:spacing w:val="5"/>
    </w:rPr>
  </w:style>
  <w:style w:type="character" w:customStyle="1" w:styleId="196">
    <w:name w:val="UserStyle_141"/>
    <w:qFormat/>
    <w:uiPriority w:val="0"/>
    <w:rPr>
      <w:rFonts w:ascii="Arial" w:hAnsi="Arial"/>
      <w:sz w:val="12"/>
      <w:szCs w:val="12"/>
    </w:rPr>
  </w:style>
  <w:style w:type="character" w:customStyle="1" w:styleId="197">
    <w:name w:val="UserStyle_142"/>
    <w:qFormat/>
    <w:uiPriority w:val="0"/>
    <w:rPr>
      <w:rFonts w:ascii="黑体" w:hAnsi="Courier New" w:eastAsia="黑体"/>
      <w:sz w:val="20"/>
      <w:szCs w:val="20"/>
    </w:rPr>
  </w:style>
  <w:style w:type="character" w:customStyle="1" w:styleId="198">
    <w:name w:val="UserStyle_143"/>
    <w:link w:val="199"/>
    <w:semiHidden/>
    <w:qFormat/>
    <w:uiPriority w:val="0"/>
    <w:rPr>
      <w:rFonts w:ascii="Times New Roman" w:hAnsi="Times New Roman"/>
      <w:color w:val="7030A0"/>
      <w:kern w:val="2"/>
      <w:sz w:val="24"/>
      <w:szCs w:val="24"/>
    </w:rPr>
  </w:style>
  <w:style w:type="paragraph" w:customStyle="1" w:styleId="199">
    <w:name w:val="UserStyle_144"/>
    <w:basedOn w:val="1"/>
    <w:link w:val="198"/>
    <w:qFormat/>
    <w:uiPriority w:val="0"/>
    <w:pPr>
      <w:snapToGrid w:val="0"/>
      <w:spacing w:line="360" w:lineRule="auto"/>
      <w:ind w:firstLine="200" w:firstLineChars="200"/>
      <w:jc w:val="left"/>
    </w:pPr>
    <w:rPr>
      <w:color w:val="7030A0"/>
      <w:sz w:val="24"/>
    </w:rPr>
  </w:style>
  <w:style w:type="character" w:customStyle="1" w:styleId="200">
    <w:name w:val="UserStyle_145"/>
    <w:link w:val="33"/>
    <w:semiHidden/>
    <w:qFormat/>
    <w:uiPriority w:val="0"/>
    <w:rPr>
      <w:rFonts w:ascii="Cambria" w:hAnsi="Cambria" w:eastAsia="宋体" w:cs="Times New Roman"/>
      <w:b/>
      <w:bCs/>
      <w:kern w:val="2"/>
      <w:sz w:val="28"/>
      <w:szCs w:val="28"/>
    </w:rPr>
  </w:style>
  <w:style w:type="paragraph" w:customStyle="1" w:styleId="201">
    <w:name w:val="HtmlNormal"/>
    <w:basedOn w:val="1"/>
    <w:qFormat/>
    <w:uiPriority w:val="0"/>
    <w:pPr>
      <w:spacing w:beforeAutospacing="1" w:afterAutospacing="1"/>
      <w:jc w:val="left"/>
    </w:pPr>
    <w:rPr>
      <w:kern w:val="0"/>
      <w:sz w:val="24"/>
    </w:rPr>
  </w:style>
  <w:style w:type="paragraph" w:customStyle="1" w:styleId="202">
    <w:name w:val="TOC5"/>
    <w:basedOn w:val="1"/>
    <w:next w:val="1"/>
    <w:qFormat/>
    <w:uiPriority w:val="0"/>
    <w:pPr>
      <w:ind w:left="840"/>
      <w:jc w:val="left"/>
    </w:pPr>
    <w:rPr>
      <w:sz w:val="18"/>
      <w:szCs w:val="18"/>
    </w:rPr>
  </w:style>
  <w:style w:type="paragraph" w:customStyle="1" w:styleId="203">
    <w:name w:val="UserStyle_146"/>
    <w:basedOn w:val="10"/>
    <w:next w:val="1"/>
    <w:qFormat/>
    <w:uiPriority w:val="0"/>
    <w:pPr>
      <w:jc w:val="left"/>
    </w:pPr>
  </w:style>
  <w:style w:type="paragraph" w:customStyle="1" w:styleId="204">
    <w:name w:val="UserStyle_147"/>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05">
    <w:name w:val="BodyTextIndent2"/>
    <w:basedOn w:val="1"/>
    <w:qFormat/>
    <w:uiPriority w:val="0"/>
    <w:pPr>
      <w:spacing w:after="120" w:line="480" w:lineRule="auto"/>
      <w:ind w:left="420" w:leftChars="200"/>
    </w:pPr>
  </w:style>
  <w:style w:type="paragraph" w:customStyle="1" w:styleId="206">
    <w:name w:val="ListBullet5"/>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207">
    <w:name w:val="UserStyle_148"/>
    <w:basedOn w:val="1"/>
    <w:next w:val="1"/>
    <w:qFormat/>
    <w:uiPriority w:val="0"/>
    <w:pPr>
      <w:keepNext/>
      <w:keepLines/>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208">
    <w:name w:val="ListBullet3"/>
    <w:basedOn w:val="1"/>
    <w:qFormat/>
    <w:uiPriority w:val="0"/>
    <w:pPr>
      <w:tabs>
        <w:tab w:val="left" w:pos="775"/>
      </w:tabs>
      <w:spacing w:line="360" w:lineRule="auto"/>
      <w:ind w:left="775" w:hanging="360"/>
    </w:pPr>
    <w:rPr>
      <w:kern w:val="0"/>
    </w:rPr>
  </w:style>
  <w:style w:type="paragraph" w:customStyle="1" w:styleId="209">
    <w:name w:val="UserStyle_149"/>
    <w:basedOn w:val="1"/>
    <w:qFormat/>
    <w:uiPriority w:val="0"/>
    <w:pPr>
      <w:spacing w:line="312" w:lineRule="atLeast"/>
      <w:ind w:firstLine="567" w:firstLineChars="200"/>
      <w:jc w:val="left"/>
    </w:pPr>
    <w:rPr>
      <w:rFonts w:ascii="宋体" w:hAnsi="Courier New"/>
      <w:color w:val="7030A0"/>
      <w:kern w:val="0"/>
      <w:sz w:val="28"/>
    </w:rPr>
  </w:style>
  <w:style w:type="paragraph" w:customStyle="1" w:styleId="210">
    <w:name w:val="ListBullet4"/>
    <w:basedOn w:val="1"/>
    <w:qFormat/>
    <w:uiPriority w:val="0"/>
    <w:pPr>
      <w:tabs>
        <w:tab w:val="left" w:pos="1620"/>
      </w:tabs>
      <w:spacing w:line="360" w:lineRule="auto"/>
      <w:ind w:left="1620" w:hanging="360"/>
      <w:jc w:val="left"/>
    </w:pPr>
    <w:rPr>
      <w:rFonts w:ascii="宋体" w:hAnsi="宋体"/>
      <w:color w:val="7030A0"/>
      <w:sz w:val="24"/>
      <w:szCs w:val="20"/>
    </w:rPr>
  </w:style>
  <w:style w:type="paragraph" w:customStyle="1" w:styleId="211">
    <w:name w:val="ListBullet2"/>
    <w:basedOn w:val="1"/>
    <w:qFormat/>
    <w:uiPriority w:val="0"/>
    <w:pPr>
      <w:tabs>
        <w:tab w:val="left" w:pos="780"/>
      </w:tabs>
      <w:spacing w:line="360" w:lineRule="auto"/>
      <w:ind w:left="780" w:hanging="360"/>
      <w:jc w:val="left"/>
    </w:pPr>
    <w:rPr>
      <w:rFonts w:ascii="宋体" w:hAnsi="宋体"/>
      <w:color w:val="7030A0"/>
      <w:sz w:val="24"/>
      <w:szCs w:val="20"/>
    </w:rPr>
  </w:style>
  <w:style w:type="paragraph" w:customStyle="1" w:styleId="212">
    <w:name w:val="ListBullet"/>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13">
    <w:name w:val="UserStyle_150"/>
    <w:basedOn w:val="187"/>
    <w:qFormat/>
    <w:uiPriority w:val="0"/>
    <w:pPr>
      <w:spacing w:after="120"/>
      <w:ind w:firstLine="0" w:firstLineChars="0"/>
    </w:pPr>
  </w:style>
  <w:style w:type="paragraph" w:customStyle="1" w:styleId="214">
    <w:name w:val="UserStyle_151"/>
    <w:basedOn w:val="1"/>
    <w:qFormat/>
    <w:uiPriority w:val="0"/>
    <w:pPr>
      <w:tabs>
        <w:tab w:val="left" w:pos="1080"/>
        <w:tab w:val="left" w:pos="6960"/>
      </w:tabs>
      <w:spacing w:line="312" w:lineRule="atLeast"/>
      <w:ind w:left="1080" w:hanging="1080"/>
      <w:jc w:val="left"/>
    </w:pPr>
    <w:rPr>
      <w:rFonts w:ascii="宋体" w:hAnsi="Tms Rmn"/>
      <w:kern w:val="0"/>
      <w:szCs w:val="20"/>
    </w:rPr>
  </w:style>
  <w:style w:type="paragraph" w:customStyle="1" w:styleId="215">
    <w:name w:val="UserStyle_152"/>
    <w:basedOn w:val="216"/>
    <w:next w:val="1"/>
    <w:qFormat/>
    <w:uiPriority w:val="0"/>
    <w:pPr>
      <w:tabs>
        <w:tab w:val="left" w:pos="425"/>
        <w:tab w:val="left" w:pos="525"/>
      </w:tabs>
      <w:ind w:firstLine="0" w:firstLineChars="0"/>
    </w:pPr>
  </w:style>
  <w:style w:type="paragraph" w:customStyle="1" w:styleId="216">
    <w:name w:val="UserStyle_153"/>
    <w:basedOn w:val="1"/>
    <w:next w:val="1"/>
    <w:qFormat/>
    <w:uiPriority w:val="0"/>
    <w:pPr>
      <w:tabs>
        <w:tab w:val="left" w:pos="425"/>
        <w:tab w:val="left" w:pos="525"/>
      </w:tabs>
      <w:ind w:left="425" w:hanging="425" w:firstLineChars="200"/>
      <w:jc w:val="left"/>
    </w:pPr>
    <w:rPr>
      <w:rFonts w:ascii="黑体" w:eastAsia="黑体"/>
      <w:color w:val="7030A0"/>
      <w:kern w:val="0"/>
      <w:szCs w:val="20"/>
    </w:rPr>
  </w:style>
  <w:style w:type="paragraph" w:customStyle="1" w:styleId="217">
    <w:name w:val="TOC9"/>
    <w:basedOn w:val="1"/>
    <w:next w:val="1"/>
    <w:qFormat/>
    <w:uiPriority w:val="0"/>
    <w:pPr>
      <w:ind w:left="1680"/>
      <w:jc w:val="left"/>
    </w:pPr>
    <w:rPr>
      <w:sz w:val="18"/>
      <w:szCs w:val="18"/>
    </w:rPr>
  </w:style>
  <w:style w:type="paragraph" w:customStyle="1" w:styleId="218">
    <w:name w:val="TOC8"/>
    <w:basedOn w:val="1"/>
    <w:next w:val="1"/>
    <w:qFormat/>
    <w:uiPriority w:val="0"/>
    <w:pPr>
      <w:ind w:left="1470"/>
      <w:jc w:val="left"/>
    </w:pPr>
    <w:rPr>
      <w:sz w:val="18"/>
      <w:szCs w:val="18"/>
    </w:rPr>
  </w:style>
  <w:style w:type="paragraph" w:customStyle="1" w:styleId="219">
    <w:name w:val="UserStyle_154"/>
    <w:basedOn w:val="220"/>
    <w:qFormat/>
    <w:uiPriority w:val="0"/>
    <w:pPr>
      <w:tabs>
        <w:tab w:val="left" w:pos="375"/>
        <w:tab w:val="left" w:pos="450"/>
        <w:tab w:val="left" w:pos="874"/>
      </w:tabs>
      <w:ind w:left="0"/>
    </w:pPr>
    <w:rPr>
      <w:szCs w:val="20"/>
    </w:rPr>
  </w:style>
  <w:style w:type="paragraph" w:customStyle="1" w:styleId="220">
    <w:name w:val="UserStyle_155"/>
    <w:basedOn w:val="221"/>
    <w:next w:val="221"/>
    <w:qFormat/>
    <w:uiPriority w:val="0"/>
    <w:pPr>
      <w:tabs>
        <w:tab w:val="left" w:pos="450"/>
        <w:tab w:val="left" w:pos="874"/>
      </w:tabs>
      <w:snapToGrid w:val="0"/>
      <w:ind w:left="874" w:leftChars="0" w:right="-5" w:rightChars="-5" w:firstLine="0" w:firstLineChars="0"/>
    </w:pPr>
    <w:rPr>
      <w:rFonts w:ascii="Times New Roman" w:hAnsi="Times New Roman"/>
      <w:szCs w:val="21"/>
    </w:rPr>
  </w:style>
  <w:style w:type="paragraph" w:customStyle="1" w:styleId="221">
    <w:name w:val="UserStyle_170"/>
    <w:basedOn w:val="1"/>
    <w:qFormat/>
    <w:uiPriority w:val="0"/>
    <w:pPr>
      <w:spacing w:line="320" w:lineRule="exact"/>
      <w:ind w:left="600" w:leftChars="600" w:firstLine="208" w:firstLineChars="208"/>
      <w:jc w:val="left"/>
    </w:pPr>
    <w:rPr>
      <w:rFonts w:ascii="宋体" w:hAnsi="宋体" w:eastAsia="楷体_GB2312"/>
      <w:color w:val="7030A0"/>
      <w:szCs w:val="18"/>
    </w:rPr>
  </w:style>
  <w:style w:type="paragraph" w:customStyle="1" w:styleId="222">
    <w:name w:val="UserStyle_156"/>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23">
    <w:name w:val="TOC7"/>
    <w:basedOn w:val="1"/>
    <w:next w:val="1"/>
    <w:qFormat/>
    <w:uiPriority w:val="0"/>
    <w:pPr>
      <w:ind w:left="1260"/>
      <w:jc w:val="left"/>
    </w:pPr>
    <w:rPr>
      <w:sz w:val="18"/>
      <w:szCs w:val="18"/>
    </w:rPr>
  </w:style>
  <w:style w:type="paragraph" w:customStyle="1" w:styleId="224">
    <w:name w:val="UserStyle_157"/>
    <w:qFormat/>
    <w:uiPriority w:val="0"/>
    <w:pPr>
      <w:spacing w:before="120" w:after="240"/>
      <w:jc w:val="center"/>
      <w:textAlignment w:val="baseline"/>
    </w:pPr>
    <w:rPr>
      <w:rFonts w:ascii="宋体" w:hAnsi="宋体" w:eastAsia="宋体" w:cs="Times New Roman"/>
      <w:kern w:val="2"/>
      <w:sz w:val="21"/>
      <w:lang w:val="en-US" w:eastAsia="zh-CN" w:bidi="ar-SA"/>
    </w:rPr>
  </w:style>
  <w:style w:type="paragraph" w:customStyle="1" w:styleId="225">
    <w:name w:val="UserStyle_1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226">
    <w:name w:val="UserStyle_159"/>
    <w:basedOn w:val="1"/>
    <w:qFormat/>
    <w:uiPriority w:val="0"/>
    <w:pPr>
      <w:pBdr>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 w:val="22"/>
      <w:szCs w:val="20"/>
    </w:rPr>
  </w:style>
  <w:style w:type="paragraph" w:customStyle="1" w:styleId="227">
    <w:name w:val="TOC2"/>
    <w:basedOn w:val="1"/>
    <w:next w:val="1"/>
    <w:qFormat/>
    <w:uiPriority w:val="0"/>
    <w:pPr>
      <w:tabs>
        <w:tab w:val="right" w:leader="dot" w:pos="8778"/>
      </w:tabs>
      <w:ind w:left="23" w:leftChars="9" w:hanging="4" w:hangingChars="2"/>
      <w:jc w:val="left"/>
    </w:pPr>
    <w:rPr>
      <w:smallCaps/>
      <w:sz w:val="20"/>
      <w:szCs w:val="20"/>
    </w:rPr>
  </w:style>
  <w:style w:type="paragraph" w:customStyle="1" w:styleId="228">
    <w:name w:val="PlainText"/>
    <w:basedOn w:val="1"/>
    <w:qFormat/>
    <w:uiPriority w:val="0"/>
    <w:rPr>
      <w:rFonts w:ascii="宋体" w:hAnsi="Courier New"/>
      <w:szCs w:val="21"/>
    </w:rPr>
  </w:style>
  <w:style w:type="paragraph" w:customStyle="1" w:styleId="229">
    <w:name w:val="TOC6"/>
    <w:basedOn w:val="1"/>
    <w:next w:val="1"/>
    <w:qFormat/>
    <w:uiPriority w:val="0"/>
    <w:pPr>
      <w:ind w:left="1050"/>
      <w:jc w:val="left"/>
    </w:pPr>
    <w:rPr>
      <w:sz w:val="18"/>
      <w:szCs w:val="18"/>
    </w:rPr>
  </w:style>
  <w:style w:type="paragraph" w:customStyle="1" w:styleId="230">
    <w:name w:val="UserStyle_16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31">
    <w:name w:val="TOC1"/>
    <w:basedOn w:val="1"/>
    <w:next w:val="1"/>
    <w:qFormat/>
    <w:uiPriority w:val="0"/>
    <w:pPr>
      <w:tabs>
        <w:tab w:val="right" w:leader="dot" w:pos="8778"/>
      </w:tabs>
      <w:snapToGrid w:val="0"/>
      <w:spacing w:line="360" w:lineRule="auto"/>
      <w:jc w:val="center"/>
    </w:pPr>
    <w:rPr>
      <w:b/>
      <w:bCs/>
      <w:iCs/>
      <w:caps/>
      <w:kern w:val="0"/>
      <w:sz w:val="36"/>
      <w:szCs w:val="36"/>
    </w:rPr>
  </w:style>
  <w:style w:type="paragraph" w:customStyle="1" w:styleId="232">
    <w:name w:val="ListNumber"/>
    <w:basedOn w:val="1"/>
    <w:qFormat/>
    <w:uiPriority w:val="0"/>
    <w:pPr>
      <w:tabs>
        <w:tab w:val="left" w:pos="360"/>
      </w:tabs>
      <w:spacing w:line="360" w:lineRule="auto"/>
      <w:ind w:left="360" w:hanging="360"/>
      <w:jc w:val="left"/>
    </w:pPr>
    <w:rPr>
      <w:rFonts w:ascii="宋体" w:hAnsi="宋体"/>
      <w:color w:val="7030A0"/>
      <w:sz w:val="24"/>
      <w:szCs w:val="20"/>
    </w:rPr>
  </w:style>
  <w:style w:type="paragraph" w:customStyle="1" w:styleId="233">
    <w:name w:val="UserStyle_161"/>
    <w:basedOn w:val="1"/>
    <w:qFormat/>
    <w:uiPriority w:val="0"/>
    <w:pPr>
      <w:ind w:left="525" w:firstLine="525" w:firstLineChars="200"/>
      <w:jc w:val="left"/>
    </w:pPr>
    <w:rPr>
      <w:color w:val="7030A0"/>
      <w:szCs w:val="20"/>
    </w:rPr>
  </w:style>
  <w:style w:type="paragraph" w:customStyle="1" w:styleId="234">
    <w:name w:val="TOC4"/>
    <w:basedOn w:val="1"/>
    <w:next w:val="1"/>
    <w:qFormat/>
    <w:uiPriority w:val="0"/>
    <w:pPr>
      <w:ind w:left="630"/>
      <w:jc w:val="left"/>
    </w:pPr>
    <w:rPr>
      <w:sz w:val="18"/>
      <w:szCs w:val="18"/>
    </w:rPr>
  </w:style>
  <w:style w:type="paragraph" w:customStyle="1" w:styleId="235">
    <w:name w:val="UserStyle_162"/>
    <w:basedOn w:val="176"/>
    <w:next w:val="176"/>
    <w:qFormat/>
    <w:uiPriority w:val="0"/>
    <w:pPr>
      <w:ind w:firstLine="0" w:firstLineChars="0"/>
      <w:jc w:val="center"/>
    </w:pPr>
    <w:rPr>
      <w:rFonts w:eastAsia="黑体"/>
      <w:b/>
      <w:sz w:val="44"/>
      <w:szCs w:val="84"/>
    </w:rPr>
  </w:style>
  <w:style w:type="paragraph" w:customStyle="1" w:styleId="236">
    <w:name w:val="TOC3"/>
    <w:basedOn w:val="1"/>
    <w:next w:val="1"/>
    <w:qFormat/>
    <w:uiPriority w:val="0"/>
    <w:pPr>
      <w:tabs>
        <w:tab w:val="left" w:pos="400"/>
        <w:tab w:val="left" w:pos="576"/>
        <w:tab w:val="right" w:leader="dot" w:pos="8778"/>
      </w:tabs>
      <w:ind w:left="10"/>
      <w:jc w:val="center"/>
    </w:pPr>
    <w:rPr>
      <w:rFonts w:ascii="宋体" w:hAnsi="宋体"/>
      <w:b/>
      <w:iCs/>
      <w:sz w:val="24"/>
    </w:rPr>
  </w:style>
  <w:style w:type="paragraph" w:customStyle="1" w:styleId="237">
    <w:name w:val="BodyTextIndent"/>
    <w:basedOn w:val="1"/>
    <w:qFormat/>
    <w:uiPriority w:val="0"/>
    <w:pPr>
      <w:spacing w:line="700" w:lineRule="exact"/>
      <w:ind w:left="960"/>
    </w:pPr>
    <w:rPr>
      <w:rFonts w:ascii="Calibri" w:hAnsi="Calibri"/>
      <w:sz w:val="44"/>
      <w:szCs w:val="20"/>
    </w:rPr>
  </w:style>
  <w:style w:type="paragraph" w:customStyle="1" w:styleId="238">
    <w:name w:val="UserStyle_163"/>
    <w:basedOn w:val="239"/>
    <w:qFormat/>
    <w:uiPriority w:val="0"/>
    <w:pPr>
      <w:tabs>
        <w:tab w:val="left" w:pos="0"/>
        <w:tab w:val="left" w:pos="1440"/>
      </w:tabs>
    </w:pPr>
  </w:style>
  <w:style w:type="paragraph" w:customStyle="1" w:styleId="239">
    <w:name w:val="UserStyle_164"/>
    <w:basedOn w:val="240"/>
    <w:qFormat/>
    <w:uiPriority w:val="0"/>
    <w:pPr>
      <w:tabs>
        <w:tab w:val="left" w:pos="0"/>
        <w:tab w:val="left" w:pos="1440"/>
      </w:tabs>
    </w:pPr>
    <w:rPr>
      <w:b w:val="0"/>
      <w:kern w:val="0"/>
    </w:rPr>
  </w:style>
  <w:style w:type="paragraph" w:customStyle="1" w:styleId="240">
    <w:name w:val="UserStyle_180"/>
    <w:basedOn w:val="30"/>
    <w:qFormat/>
    <w:uiPriority w:val="0"/>
    <w:pPr>
      <w:tabs>
        <w:tab w:val="left" w:pos="0"/>
      </w:tabs>
      <w:snapToGrid w:val="0"/>
      <w:spacing w:before="0" w:after="0" w:line="360" w:lineRule="auto"/>
      <w:ind w:left="0" w:firstLine="0"/>
    </w:pPr>
    <w:rPr>
      <w:rFonts w:ascii="宋体" w:hAnsi="宋体"/>
      <w:bCs w:val="0"/>
      <w:sz w:val="24"/>
      <w:szCs w:val="24"/>
    </w:rPr>
  </w:style>
  <w:style w:type="paragraph" w:customStyle="1" w:styleId="241">
    <w:name w:val="UserStyle_1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42">
    <w:name w:val="UserStyle_166"/>
    <w:basedOn w:val="238"/>
    <w:qFormat/>
    <w:uiPriority w:val="0"/>
    <w:pPr>
      <w:tabs>
        <w:tab w:val="left" w:pos="405"/>
      </w:tabs>
      <w:ind w:left="409" w:hanging="23"/>
    </w:pPr>
  </w:style>
  <w:style w:type="paragraph" w:customStyle="1" w:styleId="243">
    <w:name w:val="UserStyle_167"/>
    <w:basedOn w:val="244"/>
    <w:qFormat/>
    <w:uiPriority w:val="0"/>
    <w:pPr>
      <w:tabs>
        <w:tab w:val="left" w:pos="420"/>
        <w:tab w:val="left" w:pos="2297"/>
      </w:tabs>
      <w:ind w:left="2297" w:leftChars="0" w:firstLine="0" w:firstLineChars="0"/>
    </w:pPr>
  </w:style>
  <w:style w:type="paragraph" w:customStyle="1" w:styleId="244">
    <w:name w:val="UserStyle_168"/>
    <w:basedOn w:val="221"/>
    <w:qFormat/>
    <w:uiPriority w:val="0"/>
    <w:pPr>
      <w:tabs>
        <w:tab w:val="left" w:pos="420"/>
      </w:tabs>
      <w:spacing w:after="156"/>
    </w:pPr>
    <w:rPr>
      <w:szCs w:val="20"/>
    </w:rPr>
  </w:style>
  <w:style w:type="paragraph" w:customStyle="1" w:styleId="245">
    <w:name w:val="UserStyle_169"/>
    <w:basedOn w:val="30"/>
    <w:qFormat/>
    <w:uiPriority w:val="0"/>
    <w:pPr>
      <w:tabs>
        <w:tab w:val="left" w:pos="2340"/>
      </w:tabs>
      <w:spacing w:before="240" w:line="360" w:lineRule="exact"/>
      <w:ind w:left="1304" w:hanging="1304"/>
      <w:jc w:val="left"/>
    </w:pPr>
    <w:rPr>
      <w:rFonts w:ascii="宋体" w:hAnsi="宋体" w:cs="Arial"/>
      <w:sz w:val="28"/>
      <w:szCs w:val="28"/>
    </w:rPr>
  </w:style>
  <w:style w:type="paragraph" w:customStyle="1" w:styleId="246">
    <w:name w:val="178"/>
    <w:qFormat/>
    <w:uiPriority w:val="0"/>
    <w:pPr>
      <w:textAlignment w:val="baseline"/>
    </w:pPr>
    <w:rPr>
      <w:rFonts w:ascii="Times New Roman" w:hAnsi="Times New Roman" w:eastAsia="宋体" w:cs="Times New Roman"/>
      <w:kern w:val="2"/>
      <w:sz w:val="21"/>
      <w:szCs w:val="24"/>
      <w:lang w:val="en-US" w:eastAsia="zh-CN" w:bidi="ar-SA"/>
    </w:rPr>
  </w:style>
  <w:style w:type="paragraph" w:customStyle="1" w:styleId="247">
    <w:name w:val="UserStyle_171"/>
    <w:basedOn w:val="31"/>
    <w:qFormat/>
    <w:uiPriority w:val="0"/>
    <w:pPr>
      <w:spacing w:before="0" w:line="240" w:lineRule="auto"/>
      <w:jc w:val="left"/>
    </w:pPr>
    <w:rPr>
      <w:rFonts w:ascii="Times New Roman" w:hAnsi="Times New Roman"/>
      <w:b w:val="0"/>
      <w:color w:val="C00000"/>
      <w:sz w:val="28"/>
      <w:szCs w:val="28"/>
    </w:rPr>
  </w:style>
  <w:style w:type="paragraph" w:customStyle="1" w:styleId="248">
    <w:name w:val="UserStyle_17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49">
    <w:name w:val="UserStyle_173"/>
    <w:basedOn w:val="31"/>
    <w:qFormat/>
    <w:uiPriority w:val="0"/>
    <w:pPr>
      <w:tabs>
        <w:tab w:val="left" w:pos="851"/>
      </w:tabs>
      <w:spacing w:before="0" w:after="0" w:line="360" w:lineRule="auto"/>
      <w:ind w:left="851" w:hanging="851"/>
      <w:jc w:val="left"/>
    </w:pPr>
    <w:rPr>
      <w:rFonts w:ascii="宋体" w:hAnsi="宋体" w:eastAsia="宋体"/>
      <w:b w:val="0"/>
      <w:color w:val="C00000"/>
      <w:sz w:val="24"/>
    </w:rPr>
  </w:style>
  <w:style w:type="paragraph" w:customStyle="1" w:styleId="250">
    <w:name w:val="UserStyle_174"/>
    <w:basedOn w:val="1"/>
    <w:qFormat/>
    <w:uiPriority w:val="0"/>
    <w:pPr>
      <w:snapToGrid w:val="0"/>
      <w:ind w:firstLine="200" w:firstLineChars="200"/>
      <w:jc w:val="center"/>
    </w:pPr>
    <w:rPr>
      <w:rFonts w:hAnsi="Arial"/>
      <w:color w:val="7030A0"/>
      <w:kern w:val="0"/>
    </w:rPr>
  </w:style>
  <w:style w:type="paragraph" w:customStyle="1" w:styleId="251">
    <w:name w:val="UserStyle_175"/>
    <w:basedOn w:val="1"/>
    <w:qFormat/>
    <w:uiPriority w:val="0"/>
    <w:pPr>
      <w:spacing w:line="336" w:lineRule="auto"/>
      <w:ind w:firstLine="200" w:firstLineChars="200"/>
      <w:jc w:val="left"/>
    </w:pPr>
    <w:rPr>
      <w:color w:val="7030A0"/>
      <w:sz w:val="24"/>
    </w:rPr>
  </w:style>
  <w:style w:type="paragraph" w:customStyle="1" w:styleId="252">
    <w:name w:val="UserStyle_176"/>
    <w:basedOn w:val="253"/>
    <w:next w:val="255"/>
    <w:qFormat/>
    <w:uiPriority w:val="0"/>
    <w:pPr>
      <w:tabs>
        <w:tab w:val="left" w:pos="720"/>
        <w:tab w:val="left" w:pos="1080"/>
        <w:tab w:val="left" w:pos="1889"/>
        <w:tab w:val="left" w:pos="2309"/>
      </w:tabs>
      <w:ind w:left="720" w:hanging="720"/>
    </w:pPr>
    <w:rPr>
      <w:rFonts w:ascii="Times New Roman" w:hAnsi="Times New Roman"/>
    </w:rPr>
  </w:style>
  <w:style w:type="paragraph" w:customStyle="1" w:styleId="253">
    <w:name w:val="UserStyle_177"/>
    <w:basedOn w:val="254"/>
    <w:next w:val="255"/>
    <w:qFormat/>
    <w:uiPriority w:val="0"/>
    <w:pPr>
      <w:tabs>
        <w:tab w:val="left" w:pos="1080"/>
        <w:tab w:val="left" w:pos="1889"/>
      </w:tabs>
      <w:spacing w:before="120"/>
      <w:ind w:left="1889" w:hanging="420"/>
    </w:pPr>
    <w:rPr>
      <w:caps w:val="0"/>
      <w:sz w:val="20"/>
    </w:rPr>
  </w:style>
  <w:style w:type="paragraph" w:customStyle="1" w:styleId="254">
    <w:name w:val="UserStyle_285"/>
    <w:basedOn w:val="1"/>
    <w:next w:val="255"/>
    <w:qFormat/>
    <w:uiPriority w:val="0"/>
    <w:pPr>
      <w:keepNext/>
      <w:tabs>
        <w:tab w:val="left" w:pos="1080"/>
      </w:tabs>
      <w:spacing w:before="240" w:after="240" w:line="360" w:lineRule="auto"/>
      <w:ind w:left="1080" w:hanging="1080" w:firstLineChars="200"/>
      <w:jc w:val="left"/>
    </w:pPr>
    <w:rPr>
      <w:rFonts w:ascii="Arial" w:hAnsi="Arial"/>
      <w:b/>
      <w:caps/>
      <w:color w:val="7030A0"/>
      <w:kern w:val="0"/>
      <w:sz w:val="24"/>
      <w:szCs w:val="21"/>
    </w:rPr>
  </w:style>
  <w:style w:type="paragraph" w:customStyle="1" w:styleId="255">
    <w:name w:val="UserStyle_178"/>
    <w:basedOn w:val="1"/>
    <w:qFormat/>
    <w:uiPriority w:val="0"/>
    <w:pPr>
      <w:spacing w:after="138"/>
      <w:ind w:left="1080" w:firstLine="200" w:firstLineChars="200"/>
      <w:jc w:val="left"/>
    </w:pPr>
    <w:rPr>
      <w:color w:val="7030A0"/>
      <w:kern w:val="0"/>
      <w:sz w:val="22"/>
      <w:szCs w:val="20"/>
      <w:lang w:eastAsia="en-US"/>
    </w:rPr>
  </w:style>
  <w:style w:type="paragraph" w:customStyle="1" w:styleId="256">
    <w:name w:val="UserStyle_179"/>
    <w:basedOn w:val="1"/>
    <w:qFormat/>
    <w:uiPriority w:val="0"/>
    <w:pPr>
      <w:pBdr>
        <w:top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257">
    <w:name w:val="UserStyle_181"/>
    <w:basedOn w:val="231"/>
    <w:qFormat/>
    <w:uiPriority w:val="0"/>
    <w:pPr>
      <w:tabs>
        <w:tab w:val="left" w:pos="425"/>
        <w:tab w:val="left" w:pos="1680"/>
        <w:tab w:val="right" w:leader="dot" w:pos="8495"/>
        <w:tab w:val="right" w:pos="9060"/>
      </w:tabs>
      <w:spacing w:line="240" w:lineRule="auto"/>
      <w:ind w:left="425" w:hanging="425"/>
    </w:pPr>
    <w:rPr>
      <w:bCs w:val="0"/>
      <w:iCs w:val="0"/>
      <w:caps w:val="0"/>
      <w:color w:val="7030A0"/>
      <w:kern w:val="2"/>
      <w:sz w:val="21"/>
      <w:szCs w:val="20"/>
    </w:rPr>
  </w:style>
  <w:style w:type="paragraph" w:customStyle="1" w:styleId="258">
    <w:name w:val="UserStyle_18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olor w:val="FF0000"/>
      <w:kern w:val="0"/>
      <w:sz w:val="24"/>
    </w:rPr>
  </w:style>
  <w:style w:type="paragraph" w:customStyle="1" w:styleId="259">
    <w:name w:val="UserStyle_183"/>
    <w:basedOn w:val="1"/>
    <w:qFormat/>
    <w:uiPriority w:val="0"/>
    <w:pPr>
      <w:ind w:firstLine="200" w:firstLineChars="200"/>
      <w:jc w:val="left"/>
    </w:pPr>
    <w:rPr>
      <w:rFonts w:ascii="仿宋_GB2312" w:eastAsia="仿宋_GB2312"/>
      <w:b/>
      <w:color w:val="7030A0"/>
      <w:sz w:val="32"/>
      <w:szCs w:val="32"/>
    </w:rPr>
  </w:style>
  <w:style w:type="paragraph" w:customStyle="1" w:styleId="260">
    <w:name w:val="UserStyle_184"/>
    <w:basedOn w:val="1"/>
    <w:qFormat/>
    <w:uiPriority w:val="0"/>
    <w:pPr>
      <w:keepNext/>
      <w:pageBreakBefore/>
      <w:tabs>
        <w:tab w:val="left" w:pos="1134"/>
        <w:tab w:val="left" w:pos="2552"/>
      </w:tabs>
      <w:spacing w:before="510" w:after="400" w:line="420" w:lineRule="atLeast"/>
      <w:ind w:left="1134" w:hanging="1134"/>
      <w:jc w:val="left"/>
    </w:pPr>
    <w:rPr>
      <w:rFonts w:ascii="Arial" w:hAnsi="Arial" w:eastAsia="黑体"/>
      <w:b/>
      <w:kern w:val="0"/>
      <w:sz w:val="32"/>
      <w:szCs w:val="20"/>
    </w:rPr>
  </w:style>
  <w:style w:type="paragraph" w:customStyle="1" w:styleId="261">
    <w:name w:val="UserStyle_185"/>
    <w:basedOn w:val="1"/>
    <w:qFormat/>
    <w:uiPriority w:val="0"/>
    <w:pPr>
      <w:keepNext/>
      <w:keepLines/>
      <w:ind w:firstLine="200" w:firstLineChars="200"/>
      <w:jc w:val="left"/>
    </w:pPr>
    <w:rPr>
      <w:rFonts w:eastAsia="黑体" w:cs="宋体"/>
      <w:bCs/>
      <w:color w:val="7030A0"/>
      <w:sz w:val="22"/>
      <w:szCs w:val="22"/>
    </w:rPr>
  </w:style>
  <w:style w:type="paragraph" w:customStyle="1" w:styleId="262">
    <w:name w:val="UserStyle_186"/>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263">
    <w:name w:val="UserStyle_187"/>
    <w:basedOn w:val="1"/>
    <w:next w:val="1"/>
    <w:qFormat/>
    <w:uiPriority w:val="0"/>
    <w:pPr>
      <w:spacing w:line="360" w:lineRule="auto"/>
      <w:ind w:left="1149" w:leftChars="547"/>
    </w:pPr>
    <w:rPr>
      <w:szCs w:val="20"/>
    </w:rPr>
  </w:style>
  <w:style w:type="paragraph" w:customStyle="1" w:styleId="264">
    <w:name w:val="UserStyle_188"/>
    <w:basedOn w:val="1"/>
    <w:qFormat/>
    <w:uiPriority w:val="0"/>
    <w:pPr>
      <w:spacing w:before="100" w:beforeAutospacing="1" w:after="100" w:afterAutospacing="1"/>
      <w:jc w:val="center"/>
    </w:pPr>
    <w:rPr>
      <w:b/>
      <w:bCs/>
      <w:kern w:val="0"/>
      <w:sz w:val="24"/>
      <w:u w:val="single"/>
    </w:rPr>
  </w:style>
  <w:style w:type="paragraph" w:customStyle="1" w:styleId="265">
    <w:name w:val="180"/>
    <w:basedOn w:val="1"/>
    <w:next w:val="1"/>
    <w:qFormat/>
    <w:uiPriority w:val="0"/>
    <w:pPr>
      <w:spacing w:before="200" w:after="160"/>
      <w:ind w:left="864" w:right="864"/>
      <w:jc w:val="center"/>
    </w:pPr>
    <w:rPr>
      <w:i/>
      <w:iCs/>
      <w:color w:val="3F3F3F"/>
    </w:rPr>
  </w:style>
  <w:style w:type="paragraph" w:customStyle="1" w:styleId="266">
    <w:name w:val="UserStyle_189"/>
    <w:basedOn w:val="1"/>
    <w:qFormat/>
    <w:uiPriority w:val="0"/>
    <w:pPr>
      <w:pBdr>
        <w:top w:val="single" w:color="000000" w:sz="4" w:space="0"/>
        <w:left w:val="single" w:color="000000" w:sz="4" w:space="0"/>
        <w:bottom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267">
    <w:name w:val="UserStyle_190"/>
    <w:basedOn w:val="32"/>
    <w:qFormat/>
    <w:uiPriority w:val="0"/>
    <w:pPr>
      <w:spacing w:before="0" w:line="240" w:lineRule="auto"/>
      <w:jc w:val="left"/>
    </w:pPr>
    <w:rPr>
      <w:rFonts w:eastAsia="黑体"/>
      <w:b w:val="0"/>
      <w:sz w:val="28"/>
      <w:szCs w:val="28"/>
    </w:rPr>
  </w:style>
  <w:style w:type="paragraph" w:customStyle="1" w:styleId="268">
    <w:name w:val="UserStyle_191"/>
    <w:basedOn w:val="30"/>
    <w:qFormat/>
    <w:uiPriority w:val="0"/>
    <w:pPr>
      <w:spacing w:before="0" w:after="0" w:line="360" w:lineRule="auto"/>
      <w:jc w:val="left"/>
    </w:pPr>
    <w:rPr>
      <w:rFonts w:ascii="宋体" w:hAnsi="宋体"/>
      <w:kern w:val="0"/>
      <w:sz w:val="28"/>
      <w:szCs w:val="20"/>
    </w:rPr>
  </w:style>
  <w:style w:type="paragraph" w:customStyle="1" w:styleId="269">
    <w:name w:val="UserStyle_192"/>
    <w:qFormat/>
    <w:uiPriority w:val="0"/>
    <w:pPr>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70">
    <w:name w:val="UserStyle_193"/>
    <w:basedOn w:val="1"/>
    <w:qFormat/>
    <w:uiPriority w:val="0"/>
    <w:pPr>
      <w:jc w:val="center"/>
    </w:pPr>
    <w:rPr>
      <w:rFonts w:hAnsi="宋体"/>
      <w:b/>
      <w:color w:val="000000"/>
      <w:sz w:val="44"/>
      <w:szCs w:val="44"/>
    </w:rPr>
  </w:style>
  <w:style w:type="paragraph" w:customStyle="1" w:styleId="271">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kern w:val="0"/>
      <w:szCs w:val="21"/>
    </w:rPr>
  </w:style>
  <w:style w:type="paragraph" w:customStyle="1" w:styleId="272">
    <w:name w:val="UserStyle_195"/>
    <w:basedOn w:val="273"/>
    <w:next w:val="1"/>
    <w:qFormat/>
    <w:uiPriority w:val="0"/>
    <w:pPr>
      <w:tabs>
        <w:tab w:val="left" w:pos="425"/>
        <w:tab w:val="left" w:pos="525"/>
      </w:tabs>
    </w:pPr>
  </w:style>
  <w:style w:type="paragraph" w:customStyle="1" w:styleId="273">
    <w:name w:val="UserStyle_196"/>
    <w:basedOn w:val="274"/>
    <w:next w:val="1"/>
    <w:qFormat/>
    <w:uiPriority w:val="0"/>
    <w:pPr>
      <w:tabs>
        <w:tab w:val="left" w:pos="425"/>
        <w:tab w:val="left" w:pos="525"/>
      </w:tabs>
    </w:pPr>
  </w:style>
  <w:style w:type="paragraph" w:customStyle="1" w:styleId="274">
    <w:name w:val="UserStyle_197"/>
    <w:basedOn w:val="215"/>
    <w:next w:val="1"/>
    <w:qFormat/>
    <w:uiPriority w:val="0"/>
  </w:style>
  <w:style w:type="paragraph" w:customStyle="1" w:styleId="275">
    <w:name w:val="UserStyle_198"/>
    <w:basedOn w:val="1"/>
    <w:next w:val="1"/>
    <w:qFormat/>
    <w:uiPriority w:val="0"/>
    <w:pPr>
      <w:spacing w:line="480" w:lineRule="exact"/>
      <w:ind w:left="1200" w:leftChars="1200" w:firstLine="200" w:firstLineChars="200"/>
      <w:jc w:val="left"/>
    </w:pPr>
    <w:rPr>
      <w:color w:val="7030A0"/>
      <w:sz w:val="24"/>
    </w:rPr>
  </w:style>
  <w:style w:type="paragraph" w:customStyle="1" w:styleId="276">
    <w:name w:val="UserStyle_199"/>
    <w:basedOn w:val="1"/>
    <w:qFormat/>
    <w:uiPriority w:val="0"/>
    <w:pPr>
      <w:spacing w:line="360" w:lineRule="auto"/>
      <w:ind w:firstLine="420" w:firstLineChars="200"/>
      <w:jc w:val="left"/>
    </w:pPr>
    <w:rPr>
      <w:rFonts w:ascii="宋体" w:hAnsi="宋体"/>
      <w:kern w:val="0"/>
      <w:sz w:val="24"/>
      <w:szCs w:val="22"/>
      <w:lang w:val="zh-CN" w:bidi="zh-CN"/>
    </w:rPr>
  </w:style>
  <w:style w:type="paragraph" w:customStyle="1" w:styleId="277">
    <w:name w:val="UserStyle_200"/>
    <w:next w:val="1"/>
    <w:qFormat/>
    <w:uiPriority w:val="0"/>
    <w:pPr>
      <w:jc w:val="center"/>
      <w:textAlignment w:val="baseline"/>
    </w:pPr>
    <w:rPr>
      <w:rFonts w:ascii="Times New Roman" w:hAnsi="Times New Roman" w:eastAsia="黑体" w:cs="Times New Roman"/>
      <w:sz w:val="21"/>
      <w:lang w:val="en-US" w:eastAsia="zh-CN" w:bidi="ar-SA"/>
    </w:rPr>
  </w:style>
  <w:style w:type="paragraph" w:customStyle="1" w:styleId="278">
    <w:name w:val="UserStyle_201"/>
    <w:basedOn w:val="1"/>
    <w:qFormat/>
    <w:uiPriority w:val="0"/>
    <w:pPr>
      <w:snapToGrid w:val="0"/>
      <w:spacing w:line="540" w:lineRule="exact"/>
      <w:ind w:firstLine="567"/>
    </w:pPr>
    <w:rPr>
      <w:rFonts w:ascii="宋体" w:hAnsi="Tms Rmn"/>
      <w:kern w:val="0"/>
      <w:sz w:val="26"/>
      <w:szCs w:val="20"/>
    </w:rPr>
  </w:style>
  <w:style w:type="paragraph" w:customStyle="1" w:styleId="279">
    <w:name w:val="UserStyle_202"/>
    <w:basedOn w:val="1"/>
    <w:qFormat/>
    <w:uiPriority w:val="0"/>
    <w:pPr>
      <w:tabs>
        <w:tab w:val="left" w:pos="1008"/>
      </w:tabs>
      <w:ind w:left="1134" w:hanging="1134"/>
    </w:pPr>
  </w:style>
  <w:style w:type="paragraph" w:customStyle="1" w:styleId="280">
    <w:name w:val="UserStyle_203"/>
    <w:basedOn w:val="281"/>
    <w:qFormat/>
    <w:uiPriority w:val="0"/>
    <w:pPr>
      <w:tabs>
        <w:tab w:val="left" w:pos="0"/>
      </w:tabs>
      <w:spacing w:line="360" w:lineRule="auto"/>
      <w:ind w:left="0"/>
    </w:pPr>
    <w:rPr>
      <w:rFonts w:ascii="Tahoma" w:hAnsi="Tahoma"/>
      <w:sz w:val="24"/>
      <w:szCs w:val="24"/>
    </w:rPr>
  </w:style>
  <w:style w:type="paragraph" w:customStyle="1" w:styleId="281">
    <w:name w:val="UserStyle_204"/>
    <w:qFormat/>
    <w:uiPriority w:val="0"/>
    <w:pPr>
      <w:spacing w:before="120" w:after="120" w:line="480" w:lineRule="exact"/>
      <w:ind w:left="200"/>
      <w:textAlignment w:val="baseline"/>
    </w:pPr>
    <w:rPr>
      <w:rFonts w:ascii="宋体" w:hAnsi="Times New Roman" w:eastAsia="宋体" w:cs="Times New Roman"/>
      <w:b/>
      <w:spacing w:val="10"/>
      <w:w w:val="95"/>
      <w:sz w:val="21"/>
      <w:lang w:val="en-US" w:eastAsia="zh-CN" w:bidi="ar-SA"/>
    </w:rPr>
  </w:style>
  <w:style w:type="paragraph" w:customStyle="1" w:styleId="282">
    <w:name w:val="UserStyle_205"/>
    <w:basedOn w:val="1"/>
    <w:qFormat/>
    <w:uiPriority w:val="0"/>
    <w:pPr>
      <w:ind w:firstLine="420" w:firstLineChars="200"/>
      <w:jc w:val="left"/>
    </w:pPr>
    <w:rPr>
      <w:color w:val="7030A0"/>
      <w:szCs w:val="20"/>
    </w:rPr>
  </w:style>
  <w:style w:type="paragraph" w:customStyle="1" w:styleId="283">
    <w:name w:val="UserStyle_206"/>
    <w:basedOn w:val="1"/>
    <w:next w:val="1"/>
    <w:qFormat/>
    <w:uiPriority w:val="0"/>
    <w:pPr>
      <w:spacing w:line="480" w:lineRule="exact"/>
      <w:ind w:left="1000" w:leftChars="1000" w:firstLine="200" w:firstLineChars="200"/>
      <w:jc w:val="left"/>
    </w:pPr>
    <w:rPr>
      <w:color w:val="7030A0"/>
      <w:sz w:val="24"/>
    </w:rPr>
  </w:style>
  <w:style w:type="paragraph" w:customStyle="1" w:styleId="284">
    <w:name w:val="UserStyle_207"/>
    <w:basedOn w:val="1"/>
    <w:qFormat/>
    <w:uiPriority w:val="0"/>
    <w:pPr>
      <w:spacing w:line="360" w:lineRule="auto"/>
      <w:ind w:left="1200" w:hanging="1200" w:hangingChars="500"/>
    </w:pPr>
    <w:rPr>
      <w:rFonts w:ascii="宋体"/>
      <w:sz w:val="24"/>
    </w:rPr>
  </w:style>
  <w:style w:type="paragraph" w:customStyle="1" w:styleId="285">
    <w:name w:val="UserStyle_208"/>
    <w:basedOn w:val="1"/>
    <w:qFormat/>
    <w:uiPriority w:val="0"/>
    <w:pPr>
      <w:ind w:firstLine="420" w:firstLineChars="200"/>
    </w:pPr>
  </w:style>
  <w:style w:type="paragraph" w:customStyle="1" w:styleId="286">
    <w:name w:val="UserStyle_209"/>
    <w:qFormat/>
    <w:uiPriority w:val="0"/>
    <w:pPr>
      <w:tabs>
        <w:tab w:val="left" w:pos="630"/>
      </w:tabs>
      <w:spacing w:before="120" w:after="120" w:line="480" w:lineRule="exact"/>
      <w:ind w:left="200"/>
      <w:textAlignment w:val="baseline"/>
    </w:pPr>
    <w:rPr>
      <w:rFonts w:ascii="宋体" w:hAnsi="Times New Roman" w:eastAsia="宋体" w:cs="Times New Roman"/>
      <w:b/>
      <w:spacing w:val="10"/>
      <w:w w:val="95"/>
      <w:sz w:val="24"/>
      <w:lang w:val="en-US" w:eastAsia="zh-CN" w:bidi="ar-SA"/>
    </w:rPr>
  </w:style>
  <w:style w:type="paragraph" w:customStyle="1" w:styleId="287">
    <w:name w:val="UserStyle_2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288">
    <w:name w:val="UserStyle_211"/>
    <w:basedOn w:val="1"/>
    <w:qFormat/>
    <w:uiPriority w:val="0"/>
    <w:rPr>
      <w:sz w:val="16"/>
      <w:szCs w:val="16"/>
    </w:rPr>
  </w:style>
  <w:style w:type="paragraph" w:customStyle="1" w:styleId="289">
    <w:name w:val="UserStyle_212"/>
    <w:basedOn w:val="1"/>
    <w:next w:val="1"/>
    <w:qFormat/>
    <w:uiPriority w:val="0"/>
    <w:pPr>
      <w:spacing w:line="480" w:lineRule="exact"/>
      <w:ind w:left="600" w:leftChars="600" w:firstLine="200" w:firstLineChars="200"/>
      <w:jc w:val="left"/>
    </w:pPr>
    <w:rPr>
      <w:color w:val="7030A0"/>
      <w:sz w:val="24"/>
    </w:rPr>
  </w:style>
  <w:style w:type="paragraph" w:customStyle="1" w:styleId="290">
    <w:name w:val="UserStyle_213"/>
    <w:basedOn w:val="240"/>
    <w:qFormat/>
    <w:uiPriority w:val="0"/>
    <w:pPr>
      <w:ind w:firstLine="425"/>
    </w:pPr>
    <w:rPr>
      <w:b w:val="0"/>
    </w:rPr>
  </w:style>
  <w:style w:type="paragraph" w:customStyle="1" w:styleId="291">
    <w:name w:val="UserStyle_214"/>
    <w:basedOn w:val="1"/>
    <w:next w:val="1"/>
    <w:qFormat/>
    <w:uiPriority w:val="0"/>
    <w:pPr>
      <w:keepNext/>
      <w:spacing w:line="360" w:lineRule="auto"/>
      <w:ind w:firstLine="200" w:firstLineChars="200"/>
      <w:jc w:val="left"/>
    </w:pPr>
    <w:rPr>
      <w:b/>
      <w:kern w:val="0"/>
      <w:sz w:val="30"/>
    </w:rPr>
  </w:style>
  <w:style w:type="paragraph" w:customStyle="1" w:styleId="292">
    <w:name w:val="UserStyle_215"/>
    <w:basedOn w:val="1"/>
    <w:qFormat/>
    <w:uiPriority w:val="0"/>
    <w:pPr>
      <w:ind w:left="525" w:firstLine="525" w:firstLineChars="200"/>
      <w:jc w:val="left"/>
    </w:pPr>
    <w:rPr>
      <w:color w:val="7030A0"/>
      <w:szCs w:val="20"/>
    </w:rPr>
  </w:style>
  <w:style w:type="paragraph" w:customStyle="1" w:styleId="293">
    <w:name w:val="UserStyle_216"/>
    <w:basedOn w:val="31"/>
    <w:qFormat/>
    <w:uiPriority w:val="0"/>
    <w:pPr>
      <w:tabs>
        <w:tab w:val="left" w:pos="907"/>
      </w:tabs>
      <w:spacing w:before="120" w:after="120" w:line="360" w:lineRule="auto"/>
      <w:ind w:left="907" w:hanging="907"/>
      <w:jc w:val="center"/>
    </w:pPr>
    <w:rPr>
      <w:rFonts w:eastAsia="宋体"/>
      <w:kern w:val="0"/>
      <w:sz w:val="24"/>
      <w:szCs w:val="20"/>
    </w:rPr>
  </w:style>
  <w:style w:type="paragraph" w:customStyle="1" w:styleId="294">
    <w:name w:val="UserStyle_217"/>
    <w:basedOn w:val="1"/>
    <w:qFormat/>
    <w:uiPriority w:val="0"/>
  </w:style>
  <w:style w:type="paragraph" w:customStyle="1" w:styleId="295">
    <w:name w:val="UserStyle_218"/>
    <w:basedOn w:val="30"/>
    <w:qFormat/>
    <w:uiPriority w:val="0"/>
    <w:pPr>
      <w:tabs>
        <w:tab w:val="left" w:pos="450"/>
        <w:tab w:val="left" w:pos="709"/>
        <w:tab w:val="left" w:pos="907"/>
      </w:tabs>
      <w:spacing w:before="120" w:after="0" w:line="360" w:lineRule="auto"/>
      <w:ind w:left="450" w:hanging="450"/>
    </w:pPr>
    <w:rPr>
      <w:rFonts w:ascii="宋体" w:hAnsi="宋体"/>
      <w:bCs w:val="0"/>
      <w:sz w:val="28"/>
      <w:szCs w:val="20"/>
    </w:rPr>
  </w:style>
  <w:style w:type="paragraph" w:customStyle="1" w:styleId="296">
    <w:name w:val="UserStyle_219"/>
    <w:qFormat/>
    <w:uiPriority w:val="0"/>
    <w:pPr>
      <w:spacing w:line="400" w:lineRule="exact"/>
      <w:ind w:firstLine="200" w:firstLineChars="200"/>
      <w:jc w:val="both"/>
      <w:textAlignment w:val="baseline"/>
    </w:pPr>
    <w:rPr>
      <w:rFonts w:ascii="Times New Roman" w:hAnsi="Times New Roman" w:eastAsia="宋体" w:cs="Times New Roman"/>
      <w:kern w:val="2"/>
      <w:sz w:val="24"/>
      <w:lang w:val="en-US" w:eastAsia="zh-CN" w:bidi="ar-SA"/>
    </w:rPr>
  </w:style>
  <w:style w:type="paragraph" w:customStyle="1" w:styleId="297">
    <w:name w:val="UserStyle_220"/>
    <w:basedOn w:val="1"/>
    <w:next w:val="1"/>
    <w:qFormat/>
    <w:uiPriority w:val="0"/>
    <w:pPr>
      <w:tabs>
        <w:tab w:val="left" w:pos="1440"/>
      </w:tabs>
      <w:spacing w:line="360" w:lineRule="auto"/>
      <w:ind w:left="1105" w:hanging="748"/>
      <w:jc w:val="center"/>
    </w:pPr>
    <w:rPr>
      <w:kern w:val="0"/>
    </w:rPr>
  </w:style>
  <w:style w:type="paragraph" w:customStyle="1" w:styleId="298">
    <w:name w:val="UserStyle_221"/>
    <w:basedOn w:val="31"/>
    <w:qFormat/>
    <w:uiPriority w:val="0"/>
    <w:pPr>
      <w:tabs>
        <w:tab w:val="left" w:pos="180"/>
      </w:tabs>
      <w:spacing w:before="0" w:after="0" w:line="360" w:lineRule="auto"/>
      <w:jc w:val="left"/>
    </w:pPr>
    <w:rPr>
      <w:rFonts w:ascii="宋体" w:hAnsi="宋体"/>
      <w:bCs w:val="0"/>
      <w:kern w:val="0"/>
      <w:sz w:val="21"/>
      <w:szCs w:val="20"/>
    </w:rPr>
  </w:style>
  <w:style w:type="paragraph" w:customStyle="1" w:styleId="299">
    <w:name w:val="UserStyle_222"/>
    <w:basedOn w:val="1"/>
    <w:qFormat/>
    <w:uiPriority w:val="0"/>
    <w:pPr>
      <w:ind w:firstLine="200" w:firstLineChars="200"/>
      <w:jc w:val="left"/>
    </w:pPr>
    <w:rPr>
      <w:rFonts w:ascii="Tahoma" w:hAnsi="Tahoma"/>
      <w:color w:val="7030A0"/>
      <w:sz w:val="24"/>
      <w:szCs w:val="20"/>
    </w:rPr>
  </w:style>
  <w:style w:type="paragraph" w:customStyle="1" w:styleId="300">
    <w:name w:val="UserStyle_223"/>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301">
    <w:name w:val="UserStyle_224"/>
    <w:basedOn w:val="54"/>
    <w:qFormat/>
    <w:uiPriority w:val="0"/>
  </w:style>
  <w:style w:type="paragraph" w:customStyle="1" w:styleId="302">
    <w:name w:val="UserStyle_225"/>
    <w:basedOn w:val="1"/>
    <w:qFormat/>
    <w:uiPriority w:val="0"/>
    <w:pPr>
      <w:spacing w:before="120" w:after="120" w:line="312" w:lineRule="atLeast"/>
      <w:jc w:val="center"/>
    </w:pPr>
    <w:rPr>
      <w:kern w:val="0"/>
      <w:sz w:val="24"/>
      <w:szCs w:val="20"/>
    </w:rPr>
  </w:style>
  <w:style w:type="paragraph" w:customStyle="1" w:styleId="303">
    <w:name w:val="UserStyle_226"/>
    <w:basedOn w:val="1"/>
    <w:qFormat/>
    <w:uiPriority w:val="0"/>
    <w:pPr>
      <w:spacing w:before="100" w:beforeAutospacing="1" w:after="100" w:afterAutospacing="1"/>
      <w:jc w:val="left"/>
    </w:pPr>
    <w:rPr>
      <w:b/>
      <w:bCs/>
      <w:kern w:val="0"/>
      <w:sz w:val="22"/>
      <w:szCs w:val="22"/>
    </w:rPr>
  </w:style>
  <w:style w:type="paragraph" w:customStyle="1" w:styleId="304">
    <w:name w:val="UserStyle_227"/>
    <w:basedOn w:val="1"/>
    <w:qFormat/>
    <w:uiPriority w:val="0"/>
    <w:pPr>
      <w:ind w:left="840" w:hanging="420"/>
      <w:jc w:val="left"/>
    </w:pPr>
    <w:rPr>
      <w:rFonts w:ascii="宋体"/>
      <w:kern w:val="0"/>
      <w:sz w:val="22"/>
      <w:szCs w:val="20"/>
    </w:rPr>
  </w:style>
  <w:style w:type="paragraph" w:customStyle="1" w:styleId="305">
    <w:name w:val="UserStyle_228"/>
    <w:basedOn w:val="1"/>
    <w:qFormat/>
    <w:uiPriority w:val="0"/>
    <w:pPr>
      <w:spacing w:line="300" w:lineRule="atLeast"/>
      <w:ind w:firstLine="709"/>
    </w:pPr>
    <w:rPr>
      <w:rFonts w:ascii="Tahoma" w:hAnsi="Tahoma"/>
      <w:sz w:val="16"/>
      <w:szCs w:val="16"/>
    </w:rPr>
  </w:style>
  <w:style w:type="paragraph" w:customStyle="1" w:styleId="306">
    <w:name w:val="UserStyle_2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07">
    <w:name w:val="UserStyle_230"/>
    <w:basedOn w:val="1"/>
    <w:qFormat/>
    <w:uiPriority w:val="0"/>
    <w:pPr>
      <w:ind w:firstLine="200" w:firstLineChars="200"/>
      <w:jc w:val="left"/>
    </w:pPr>
    <w:rPr>
      <w:rFonts w:ascii="Tahoma" w:hAnsi="Tahoma"/>
      <w:color w:val="7030A0"/>
      <w:sz w:val="24"/>
      <w:szCs w:val="20"/>
    </w:rPr>
  </w:style>
  <w:style w:type="paragraph" w:customStyle="1" w:styleId="308">
    <w:name w:val="UserStyle_231"/>
    <w:qFormat/>
    <w:uiPriority w:val="0"/>
    <w:pPr>
      <w:textAlignment w:val="baseline"/>
    </w:pPr>
    <w:rPr>
      <w:rFonts w:ascii="Times New Roman" w:hAnsi="Times New Roman" w:eastAsia="宋体" w:cs="Times New Roman"/>
      <w:kern w:val="2"/>
      <w:sz w:val="21"/>
      <w:lang w:val="en-US" w:eastAsia="zh-CN" w:bidi="ar-SA"/>
    </w:rPr>
  </w:style>
  <w:style w:type="paragraph" w:customStyle="1" w:styleId="309">
    <w:name w:val="UserStyle_232"/>
    <w:basedOn w:val="1"/>
    <w:next w:val="31"/>
    <w:qFormat/>
    <w:uiPriority w:val="0"/>
    <w:pPr>
      <w:tabs>
        <w:tab w:val="left" w:pos="360"/>
      </w:tabs>
      <w:spacing w:line="360" w:lineRule="auto"/>
      <w:ind w:left="360" w:hanging="360"/>
    </w:pPr>
    <w:rPr>
      <w:rFonts w:ascii="宋体" w:hAnsi="宋体"/>
      <w:b/>
      <w:sz w:val="28"/>
      <w:szCs w:val="20"/>
    </w:rPr>
  </w:style>
  <w:style w:type="paragraph" w:customStyle="1" w:styleId="310">
    <w:name w:val="UserStyle_233"/>
    <w:basedOn w:val="10"/>
    <w:qFormat/>
    <w:uiPriority w:val="0"/>
    <w:pPr>
      <w:pBdr>
        <w:bottom w:val="none" w:color="auto" w:sz="0" w:space="0"/>
      </w:pBdr>
      <w:tabs>
        <w:tab w:val="left" w:pos="360"/>
      </w:tabs>
      <w:ind w:left="360" w:hanging="360"/>
      <w:jc w:val="left"/>
    </w:pPr>
    <w:rPr>
      <w:rFonts w:ascii="Univers" w:hAnsi="Univers"/>
      <w:kern w:val="0"/>
      <w:sz w:val="22"/>
      <w:szCs w:val="20"/>
    </w:rPr>
  </w:style>
  <w:style w:type="paragraph" w:customStyle="1" w:styleId="311">
    <w:name w:val="UserStyle_234"/>
    <w:basedOn w:val="1"/>
    <w:qFormat/>
    <w:uiPriority w:val="0"/>
    <w:pPr>
      <w:spacing w:before="120" w:after="120" w:line="480" w:lineRule="exact"/>
      <w:ind w:left="200" w:firstLine="200" w:firstLineChars="200"/>
      <w:jc w:val="left"/>
    </w:pPr>
    <w:rPr>
      <w:rFonts w:ascii="宋体"/>
      <w:b/>
      <w:color w:val="7030A0"/>
      <w:spacing w:val="10"/>
      <w:w w:val="95"/>
    </w:rPr>
  </w:style>
  <w:style w:type="paragraph" w:customStyle="1" w:styleId="312">
    <w:name w:val="UserStyle_235"/>
    <w:basedOn w:val="32"/>
    <w:next w:val="1"/>
    <w:qFormat/>
    <w:uiPriority w:val="0"/>
    <w:pPr>
      <w:tabs>
        <w:tab w:val="left" w:pos="709"/>
      </w:tabs>
      <w:spacing w:before="0" w:after="0" w:line="240" w:lineRule="auto"/>
      <w:ind w:left="709" w:hanging="709"/>
      <w:jc w:val="left"/>
    </w:pPr>
    <w:rPr>
      <w:rFonts w:ascii="Tahoma" w:hAnsi="Tahoma"/>
      <w:b w:val="0"/>
      <w:bCs w:val="0"/>
      <w:sz w:val="28"/>
      <w:szCs w:val="20"/>
    </w:rPr>
  </w:style>
  <w:style w:type="paragraph" w:customStyle="1" w:styleId="313">
    <w:name w:val="UserStyle_236"/>
    <w:qFormat/>
    <w:uiPriority w:val="0"/>
    <w:pPr>
      <w:textAlignment w:val="baseline"/>
    </w:pPr>
    <w:rPr>
      <w:rFonts w:ascii="黑体" w:hAnsi="黑体" w:eastAsia="黑体" w:cs="Times New Roman"/>
      <w:color w:val="000000"/>
      <w:sz w:val="24"/>
      <w:lang w:val="en-US" w:eastAsia="zh-CN" w:bidi="ar-SA"/>
    </w:rPr>
  </w:style>
  <w:style w:type="paragraph" w:customStyle="1" w:styleId="314">
    <w:name w:val="UserStyle_237"/>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315">
    <w:name w:val="UserStyle_238"/>
    <w:basedOn w:val="199"/>
    <w:next w:val="199"/>
    <w:qFormat/>
    <w:uiPriority w:val="0"/>
    <w:pPr>
      <w:ind w:firstLine="0" w:firstLineChars="0"/>
      <w:jc w:val="center"/>
    </w:pPr>
    <w:rPr>
      <w:rFonts w:eastAsia="黑体"/>
      <w:b/>
      <w:sz w:val="44"/>
      <w:szCs w:val="84"/>
    </w:rPr>
  </w:style>
  <w:style w:type="paragraph" w:customStyle="1" w:styleId="316">
    <w:name w:val="UserStyle_239"/>
    <w:basedOn w:val="189"/>
    <w:qFormat/>
    <w:uiPriority w:val="0"/>
    <w:pPr>
      <w:shd w:val="clear" w:color="auto" w:fill="000080"/>
      <w:spacing w:line="436" w:lineRule="exact"/>
      <w:ind w:left="357"/>
      <w:jc w:val="left"/>
    </w:pPr>
    <w:rPr>
      <w:rFonts w:ascii="Tahoma" w:hAnsi="Tahoma"/>
      <w:b/>
      <w:sz w:val="24"/>
      <w:szCs w:val="24"/>
    </w:rPr>
  </w:style>
  <w:style w:type="paragraph" w:customStyle="1" w:styleId="317">
    <w:name w:val="UserStyle_24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18">
    <w:name w:val="UserStyle_241"/>
    <w:basedOn w:val="30"/>
    <w:next w:val="1"/>
    <w:qFormat/>
    <w:uiPriority w:val="0"/>
    <w:pPr>
      <w:spacing w:before="480" w:after="0" w:line="276" w:lineRule="auto"/>
      <w:ind w:left="0" w:firstLine="0"/>
      <w:jc w:val="left"/>
    </w:pPr>
    <w:rPr>
      <w:rFonts w:ascii="Cambria" w:hAnsi="Cambria"/>
      <w:color w:val="365F91"/>
      <w:kern w:val="0"/>
      <w:sz w:val="30"/>
      <w:szCs w:val="28"/>
    </w:rPr>
  </w:style>
  <w:style w:type="paragraph" w:customStyle="1" w:styleId="319">
    <w:name w:val="UserStyle_242"/>
    <w:basedOn w:val="1"/>
    <w:qFormat/>
    <w:uiPriority w:val="0"/>
    <w:pPr>
      <w:tabs>
        <w:tab w:val="left" w:pos="420"/>
      </w:tabs>
      <w:spacing w:before="120" w:after="120" w:line="480" w:lineRule="exact"/>
      <w:ind w:left="200" w:firstLine="200" w:firstLineChars="200"/>
      <w:jc w:val="left"/>
    </w:pPr>
    <w:rPr>
      <w:rFonts w:ascii="宋体"/>
      <w:b/>
      <w:color w:val="7030A0"/>
      <w:spacing w:val="10"/>
      <w:w w:val="95"/>
      <w:kern w:val="0"/>
      <w:sz w:val="28"/>
    </w:rPr>
  </w:style>
  <w:style w:type="paragraph" w:customStyle="1" w:styleId="320">
    <w:name w:val="UserStyle_243"/>
    <w:basedOn w:val="1"/>
    <w:qFormat/>
    <w:uiPriority w:val="0"/>
    <w:pPr>
      <w:spacing w:before="100" w:beforeAutospacing="1" w:after="100" w:afterAutospacing="1"/>
      <w:jc w:val="left"/>
    </w:pPr>
    <w:rPr>
      <w:kern w:val="0"/>
      <w:sz w:val="24"/>
    </w:rPr>
  </w:style>
  <w:style w:type="paragraph" w:customStyle="1" w:styleId="321">
    <w:name w:val="UserStyle_244"/>
    <w:basedOn w:val="1"/>
    <w:qFormat/>
    <w:uiPriority w:val="0"/>
    <w:rPr>
      <w:rFonts w:ascii="仿宋_GB2312" w:eastAsia="仿宋_GB2312"/>
      <w:b/>
      <w:sz w:val="32"/>
      <w:szCs w:val="32"/>
    </w:rPr>
  </w:style>
  <w:style w:type="paragraph" w:customStyle="1" w:styleId="322">
    <w:name w:val="UserStyle_245"/>
    <w:basedOn w:val="1"/>
    <w:qFormat/>
    <w:uiPriority w:val="0"/>
    <w:pPr>
      <w:pBdr>
        <w:top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23">
    <w:name w:val="UserStyle_246"/>
    <w:basedOn w:val="31"/>
    <w:qFormat/>
    <w:uiPriority w:val="0"/>
    <w:pPr>
      <w:spacing w:before="120" w:after="120" w:line="500" w:lineRule="exact"/>
      <w:jc w:val="left"/>
    </w:pPr>
    <w:rPr>
      <w:rFonts w:cs="宋体"/>
      <w:color w:val="C00000"/>
      <w:kern w:val="44"/>
      <w:sz w:val="28"/>
      <w:szCs w:val="20"/>
    </w:rPr>
  </w:style>
  <w:style w:type="paragraph" w:customStyle="1" w:styleId="324">
    <w:name w:val="UserStyle_247"/>
    <w:basedOn w:val="9"/>
    <w:qFormat/>
    <w:uiPriority w:val="0"/>
    <w:pPr>
      <w:keepLines/>
      <w:tabs>
        <w:tab w:val="left" w:pos="1080"/>
        <w:tab w:val="left" w:pos="1627"/>
        <w:tab w:val="left" w:pos="2160"/>
        <w:tab w:val="left" w:pos="2880"/>
        <w:tab w:val="center" w:pos="4320"/>
      </w:tabs>
      <w:spacing w:line="300" w:lineRule="exact"/>
      <w:jc w:val="center"/>
    </w:pPr>
    <w:rPr>
      <w:rFonts w:ascii="Univers" w:hAnsi="Univers"/>
      <w:kern w:val="0"/>
      <w:sz w:val="22"/>
      <w:szCs w:val="20"/>
    </w:rPr>
  </w:style>
  <w:style w:type="paragraph" w:customStyle="1" w:styleId="325">
    <w:name w:val="UserStyle_248"/>
    <w:basedOn w:val="1"/>
    <w:next w:val="1"/>
    <w:qFormat/>
    <w:uiPriority w:val="0"/>
    <w:pPr>
      <w:snapToGrid w:val="0"/>
      <w:jc w:val="center"/>
    </w:pPr>
    <w:rPr>
      <w:color w:val="548DD4"/>
    </w:rPr>
  </w:style>
  <w:style w:type="paragraph" w:customStyle="1" w:styleId="326">
    <w:name w:val="UserStyle_249"/>
    <w:basedOn w:val="1"/>
    <w:qFormat/>
    <w:uiPriority w:val="0"/>
    <w:rPr>
      <w:kern w:val="0"/>
      <w:szCs w:val="21"/>
    </w:rPr>
  </w:style>
  <w:style w:type="paragraph" w:customStyle="1" w:styleId="327">
    <w:name w:val="UserStyle_250"/>
    <w:basedOn w:val="1"/>
    <w:next w:val="1"/>
    <w:qFormat/>
    <w:uiPriority w:val="0"/>
    <w:pPr>
      <w:keepNext/>
      <w:spacing w:before="120" w:after="138"/>
      <w:ind w:left="1080" w:firstLine="200" w:firstLineChars="200"/>
      <w:jc w:val="left"/>
    </w:pPr>
    <w:rPr>
      <w:rFonts w:ascii="Arial" w:hAnsi="Arial"/>
      <w:b/>
      <w:color w:val="7030A0"/>
      <w:kern w:val="0"/>
      <w:sz w:val="22"/>
      <w:szCs w:val="20"/>
    </w:rPr>
  </w:style>
  <w:style w:type="paragraph" w:customStyle="1" w:styleId="328">
    <w:name w:val="UserStyle_251"/>
    <w:basedOn w:val="1"/>
    <w:qFormat/>
    <w:uiPriority w:val="0"/>
    <w:pPr>
      <w:tabs>
        <w:tab w:val="left" w:pos="425"/>
        <w:tab w:val="left" w:pos="720"/>
      </w:tabs>
      <w:snapToGrid w:val="0"/>
      <w:spacing w:before="223" w:after="223"/>
      <w:ind w:left="200" w:leftChars="200" w:firstLine="200" w:firstLineChars="200"/>
      <w:jc w:val="left"/>
    </w:pPr>
    <w:rPr>
      <w:rFonts w:ascii="宋体" w:hAnsi="宋体"/>
      <w:color w:val="7030A0"/>
      <w:sz w:val="24"/>
      <w:szCs w:val="20"/>
    </w:rPr>
  </w:style>
  <w:style w:type="paragraph" w:customStyle="1" w:styleId="329">
    <w:name w:val="UserStyle_252"/>
    <w:basedOn w:val="1"/>
    <w:qFormat/>
    <w:uiPriority w:val="0"/>
    <w:pPr>
      <w:spacing w:before="100" w:after="100" w:line="440" w:lineRule="atLeast"/>
      <w:ind w:left="176" w:firstLine="200" w:firstLineChars="200"/>
      <w:jc w:val="left"/>
    </w:pPr>
    <w:rPr>
      <w:rFonts w:ascii="宋体" w:hAnsi="宋体"/>
      <w:color w:val="7030A0"/>
      <w:spacing w:val="20"/>
      <w:sz w:val="24"/>
    </w:rPr>
  </w:style>
  <w:style w:type="paragraph" w:customStyle="1" w:styleId="330">
    <w:name w:val="UserStyle_253"/>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1">
    <w:name w:val="UserStyle_254"/>
    <w:basedOn w:val="1"/>
    <w:next w:val="1"/>
    <w:qFormat/>
    <w:uiPriority w:val="0"/>
    <w:pPr>
      <w:spacing w:line="480" w:lineRule="exact"/>
      <w:ind w:left="1600" w:leftChars="1600" w:firstLine="200" w:firstLineChars="200"/>
      <w:jc w:val="left"/>
    </w:pPr>
    <w:rPr>
      <w:color w:val="7030A0"/>
      <w:sz w:val="24"/>
    </w:rPr>
  </w:style>
  <w:style w:type="paragraph" w:customStyle="1" w:styleId="332">
    <w:name w:val="UserStyle_255"/>
    <w:basedOn w:val="333"/>
    <w:qFormat/>
    <w:uiPriority w:val="0"/>
    <w:pPr>
      <w:ind w:left="318"/>
    </w:pPr>
    <w:rPr>
      <w:szCs w:val="20"/>
    </w:rPr>
  </w:style>
  <w:style w:type="paragraph" w:customStyle="1" w:styleId="333">
    <w:name w:val="UserStyle_256"/>
    <w:basedOn w:val="1"/>
    <w:qFormat/>
    <w:uiPriority w:val="0"/>
    <w:pPr>
      <w:snapToGrid w:val="0"/>
      <w:ind w:left="1049" w:firstLine="200" w:firstLineChars="200"/>
      <w:jc w:val="left"/>
    </w:pPr>
    <w:rPr>
      <w:color w:val="7030A0"/>
      <w:sz w:val="24"/>
    </w:rPr>
  </w:style>
  <w:style w:type="paragraph" w:customStyle="1" w:styleId="334">
    <w:name w:val="UserStyle_257"/>
    <w:basedOn w:val="1"/>
    <w:next w:val="1"/>
    <w:qFormat/>
    <w:uiPriority w:val="0"/>
    <w:pPr>
      <w:spacing w:line="480" w:lineRule="exact"/>
      <w:ind w:left="1400" w:leftChars="1400" w:firstLine="200" w:firstLineChars="200"/>
      <w:jc w:val="left"/>
    </w:pPr>
    <w:rPr>
      <w:color w:val="7030A0"/>
      <w:sz w:val="24"/>
    </w:rPr>
  </w:style>
  <w:style w:type="paragraph" w:customStyle="1" w:styleId="335">
    <w:name w:val="UserStyle_258"/>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336">
    <w:name w:val="UserStyle_259"/>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7">
    <w:name w:val="UserStyle_260"/>
    <w:basedOn w:val="1"/>
    <w:qFormat/>
    <w:uiPriority w:val="0"/>
    <w:pPr>
      <w:pBdr>
        <w:left w:val="single" w:color="000000" w:sz="4" w:space="0"/>
        <w:bottom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38">
    <w:name w:val="UserStyle_261"/>
    <w:basedOn w:val="1"/>
    <w:qFormat/>
    <w:uiPriority w:val="0"/>
    <w:pPr>
      <w:ind w:firstLine="200" w:firstLineChars="200"/>
    </w:pPr>
    <w:rPr>
      <w:rFonts w:ascii="宋体"/>
      <w:sz w:val="24"/>
      <w:szCs w:val="20"/>
    </w:rPr>
  </w:style>
  <w:style w:type="paragraph" w:customStyle="1" w:styleId="339">
    <w:name w:val="UserStyle_262"/>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textAlignment w:val="center"/>
    </w:pPr>
    <w:rPr>
      <w:rFonts w:eastAsia="Arial Unicode MS"/>
      <w:color w:val="7030A0"/>
      <w:kern w:val="0"/>
      <w:szCs w:val="20"/>
    </w:rPr>
  </w:style>
  <w:style w:type="paragraph" w:customStyle="1" w:styleId="340">
    <w:name w:val="UserStyle_263"/>
    <w:basedOn w:val="1"/>
    <w:qFormat/>
    <w:uiPriority w:val="0"/>
    <w:pPr>
      <w:spacing w:before="100" w:beforeAutospacing="1" w:after="100" w:afterAutospacing="1"/>
      <w:jc w:val="left"/>
    </w:pPr>
    <w:rPr>
      <w:rFonts w:ascii="宋体" w:hAnsi="宋体"/>
      <w:kern w:val="0"/>
      <w:sz w:val="20"/>
      <w:szCs w:val="20"/>
    </w:rPr>
  </w:style>
  <w:style w:type="paragraph" w:customStyle="1" w:styleId="341">
    <w:name w:val="UserStyle_264"/>
    <w:basedOn w:val="1"/>
    <w:qFormat/>
    <w:uiPriority w:val="0"/>
    <w:pPr>
      <w:tabs>
        <w:tab w:val="left" w:pos="560"/>
      </w:tabs>
      <w:spacing w:after="240" w:line="288" w:lineRule="auto"/>
      <w:ind w:left="200" w:firstLine="200" w:firstLineChars="200"/>
      <w:jc w:val="left"/>
    </w:pPr>
    <w:rPr>
      <w:rFonts w:ascii="Arial" w:hAnsi="Arial"/>
      <w:color w:val="7030A0"/>
      <w:kern w:val="0"/>
      <w:sz w:val="22"/>
      <w:szCs w:val="20"/>
    </w:rPr>
  </w:style>
  <w:style w:type="paragraph" w:customStyle="1" w:styleId="342">
    <w:name w:val="UserStyle_265"/>
    <w:basedOn w:val="1"/>
    <w:next w:val="1"/>
    <w:qFormat/>
    <w:uiPriority w:val="0"/>
    <w:pPr>
      <w:spacing w:line="480" w:lineRule="exact"/>
      <w:ind w:left="200" w:leftChars="200" w:firstLine="200" w:firstLineChars="200"/>
      <w:jc w:val="left"/>
    </w:pPr>
    <w:rPr>
      <w:color w:val="7030A0"/>
      <w:sz w:val="24"/>
    </w:rPr>
  </w:style>
  <w:style w:type="paragraph" w:customStyle="1" w:styleId="343">
    <w:name w:val="UserStyle_266"/>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44">
    <w:name w:val="UserStyle_267"/>
    <w:basedOn w:val="1"/>
    <w:qFormat/>
    <w:uiPriority w:val="0"/>
    <w:pPr>
      <w:spacing w:before="100" w:beforeAutospacing="1" w:after="100" w:afterAutospacing="1"/>
      <w:jc w:val="left"/>
    </w:pPr>
    <w:rPr>
      <w:rFonts w:ascii="Arial" w:hAnsi="Arial"/>
      <w:kern w:val="0"/>
      <w:sz w:val="20"/>
      <w:szCs w:val="20"/>
    </w:rPr>
  </w:style>
  <w:style w:type="paragraph" w:customStyle="1" w:styleId="345">
    <w:name w:val="UserStyle_2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宋体" w:hAnsi="宋体"/>
      <w:kern w:val="0"/>
      <w:sz w:val="20"/>
      <w:szCs w:val="20"/>
    </w:rPr>
  </w:style>
  <w:style w:type="paragraph" w:customStyle="1" w:styleId="346">
    <w:name w:val="UserStyle_269"/>
    <w:qFormat/>
    <w:uiPriority w:val="0"/>
    <w:pPr>
      <w:spacing w:before="480" w:after="120"/>
      <w:textAlignment w:val="baseline"/>
    </w:pPr>
    <w:rPr>
      <w:rFonts w:ascii="Times New Roman" w:hAnsi="Times New Roman" w:eastAsia="黑体" w:cs="Times New Roman"/>
      <w:b/>
      <w:kern w:val="2"/>
      <w:sz w:val="28"/>
      <w:lang w:val="en-US" w:eastAsia="zh-CN" w:bidi="ar-SA"/>
    </w:rPr>
  </w:style>
  <w:style w:type="paragraph" w:customStyle="1" w:styleId="347">
    <w:name w:val="UserStyle_270"/>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48">
    <w:name w:val="UserStyle_271"/>
    <w:basedOn w:val="1"/>
    <w:qFormat/>
    <w:uiPriority w:val="0"/>
    <w:pPr>
      <w:pBdr>
        <w:right w:val="single" w:color="000000" w:sz="4" w:space="0"/>
      </w:pBdr>
      <w:spacing w:before="100" w:after="100"/>
      <w:ind w:firstLine="200" w:firstLineChars="200"/>
      <w:jc w:val="center"/>
    </w:pPr>
    <w:rPr>
      <w:rFonts w:ascii="宋体" w:hAnsi="宋体"/>
      <w:color w:val="7030A0"/>
      <w:kern w:val="0"/>
      <w:sz w:val="24"/>
      <w:szCs w:val="20"/>
    </w:rPr>
  </w:style>
  <w:style w:type="paragraph" w:customStyle="1" w:styleId="349">
    <w:name w:val="UserStyle_272"/>
    <w:qFormat/>
    <w:uiPriority w:val="0"/>
    <w:pPr>
      <w:textAlignment w:val="baseline"/>
    </w:pPr>
    <w:rPr>
      <w:rFonts w:ascii="Times New Roman" w:hAnsi="Times New Roman" w:eastAsia="宋体" w:cs="Times New Roman"/>
      <w:kern w:val="16"/>
      <w:lang w:val="en-US" w:eastAsia="zh-CN" w:bidi="ar-SA"/>
    </w:rPr>
  </w:style>
  <w:style w:type="paragraph" w:customStyle="1" w:styleId="350">
    <w:name w:val="UserStyle_273"/>
    <w:qFormat/>
    <w:uiPriority w:val="0"/>
    <w:pPr>
      <w:spacing w:before="120" w:after="120" w:line="300" w:lineRule="auto"/>
      <w:textAlignment w:val="baseline"/>
    </w:pPr>
    <w:rPr>
      <w:rFonts w:ascii="宋体" w:hAnsi="Times New Roman" w:eastAsia="宋体" w:cs="Times New Roman"/>
      <w:spacing w:val="10"/>
      <w:w w:val="95"/>
      <w:sz w:val="21"/>
      <w:lang w:val="en-US" w:eastAsia="zh-CN" w:bidi="ar-SA"/>
    </w:rPr>
  </w:style>
  <w:style w:type="paragraph" w:customStyle="1" w:styleId="351">
    <w:name w:val="UserStyle_274"/>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52">
    <w:name w:val="UserStyle_275"/>
    <w:basedOn w:val="1"/>
    <w:qFormat/>
    <w:uiPriority w:val="0"/>
    <w:pPr>
      <w:spacing w:after="160" w:line="240" w:lineRule="exact"/>
      <w:jc w:val="left"/>
    </w:pPr>
    <w:rPr>
      <w:rFonts w:ascii="Verdana" w:hAnsi="Verdana"/>
      <w:kern w:val="0"/>
      <w:sz w:val="20"/>
      <w:szCs w:val="20"/>
      <w:lang w:eastAsia="en-US"/>
    </w:rPr>
  </w:style>
  <w:style w:type="paragraph" w:customStyle="1" w:styleId="353">
    <w:name w:val="UserStyle_276"/>
    <w:basedOn w:val="222"/>
    <w:qFormat/>
    <w:uiPriority w:val="0"/>
    <w:pPr>
      <w:tabs>
        <w:tab w:val="left" w:pos="1304"/>
      </w:tabs>
      <w:ind w:left="1304" w:hanging="170"/>
    </w:pPr>
  </w:style>
  <w:style w:type="paragraph" w:customStyle="1" w:styleId="354">
    <w:name w:val="UserStyle_277"/>
    <w:basedOn w:val="1"/>
    <w:qFormat/>
    <w:uiPriority w:val="0"/>
    <w:rPr>
      <w:rFonts w:ascii="仿宋_GB2312" w:eastAsia="仿宋_GB2312"/>
      <w:b/>
      <w:sz w:val="32"/>
      <w:szCs w:val="32"/>
    </w:rPr>
  </w:style>
  <w:style w:type="paragraph" w:customStyle="1" w:styleId="355">
    <w:name w:val="UserStyle_278"/>
    <w:basedOn w:val="1"/>
    <w:qFormat/>
    <w:uiPriority w:val="0"/>
    <w:rPr>
      <w:rFonts w:ascii="Arial" w:hAnsi="Arial" w:eastAsia="PMingLiU"/>
      <w:color w:val="7030A0"/>
      <w:sz w:val="18"/>
      <w:szCs w:val="18"/>
    </w:rPr>
  </w:style>
  <w:style w:type="paragraph" w:customStyle="1" w:styleId="356">
    <w:name w:val="UserStyle_279"/>
    <w:basedOn w:val="1"/>
    <w:qFormat/>
    <w:uiPriority w:val="0"/>
    <w:pPr>
      <w:spacing w:after="160" w:line="240" w:lineRule="exact"/>
      <w:ind w:firstLine="200" w:firstLineChars="200"/>
      <w:jc w:val="left"/>
    </w:pPr>
    <w:rPr>
      <w:rFonts w:ascii="Verdana" w:hAnsi="Verdana" w:eastAsia="仿宋_GB2312"/>
      <w:color w:val="7030A0"/>
      <w:kern w:val="0"/>
      <w:sz w:val="24"/>
      <w:szCs w:val="20"/>
      <w:lang w:eastAsia="en-US"/>
    </w:rPr>
  </w:style>
  <w:style w:type="paragraph" w:customStyle="1" w:styleId="357">
    <w:name w:val="UserStyle_280"/>
    <w:basedOn w:val="1"/>
    <w:qFormat/>
    <w:uiPriority w:val="0"/>
    <w:pPr>
      <w:tabs>
        <w:tab w:val="left" w:pos="0"/>
        <w:tab w:val="left" w:pos="426"/>
      </w:tabs>
      <w:spacing w:before="60" w:after="60" w:line="360" w:lineRule="atLeast"/>
      <w:ind w:left="426" w:hanging="426" w:firstLineChars="200"/>
      <w:jc w:val="left"/>
    </w:pPr>
    <w:rPr>
      <w:rFonts w:ascii="Arial" w:hAnsi="Arial"/>
      <w:color w:val="7030A0"/>
      <w:kern w:val="0"/>
      <w:szCs w:val="20"/>
    </w:rPr>
  </w:style>
  <w:style w:type="paragraph" w:customStyle="1" w:styleId="358">
    <w:name w:val="UserStyle_281"/>
    <w:basedOn w:val="1"/>
    <w:qFormat/>
    <w:uiPriority w:val="0"/>
    <w:pPr>
      <w:pBdr>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59">
    <w:name w:val="UserStyle_282"/>
    <w:basedOn w:val="1"/>
    <w:qFormat/>
    <w:uiPriority w:val="0"/>
    <w:pPr>
      <w:pBdr>
        <w:top w:val="single" w:color="000000" w:sz="4" w:space="0"/>
        <w:left w:val="single" w:color="000000" w:sz="4" w:space="0"/>
        <w:righ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60">
    <w:name w:val="UserStyle_283"/>
    <w:basedOn w:val="1"/>
    <w:qFormat/>
    <w:uiPriority w:val="0"/>
    <w:pPr>
      <w:ind w:firstLine="200" w:firstLineChars="200"/>
      <w:jc w:val="left"/>
    </w:pPr>
    <w:rPr>
      <w:rFonts w:ascii="Arial" w:hAnsi="Arial"/>
      <w:color w:val="7030A0"/>
      <w:kern w:val="0"/>
      <w:sz w:val="24"/>
      <w:szCs w:val="20"/>
    </w:rPr>
  </w:style>
  <w:style w:type="paragraph" w:customStyle="1" w:styleId="361">
    <w:name w:val="UserStyle_284"/>
    <w:basedOn w:val="1"/>
    <w:qFormat/>
    <w:uiPriority w:val="0"/>
    <w:pPr>
      <w:ind w:firstLine="525" w:firstLineChars="200"/>
      <w:jc w:val="left"/>
    </w:pPr>
    <w:rPr>
      <w:color w:val="7030A0"/>
      <w:sz w:val="24"/>
      <w:szCs w:val="20"/>
    </w:rPr>
  </w:style>
  <w:style w:type="paragraph" w:customStyle="1" w:styleId="362">
    <w:name w:val="UserStyle_286"/>
    <w:basedOn w:val="239"/>
    <w:qFormat/>
    <w:uiPriority w:val="0"/>
    <w:pPr>
      <w:ind w:firstLine="425"/>
    </w:pPr>
  </w:style>
  <w:style w:type="paragraph" w:customStyle="1" w:styleId="363">
    <w:name w:val="UserStyle_287"/>
    <w:basedOn w:val="1"/>
    <w:qFormat/>
    <w:uiPriority w:val="0"/>
    <w:pPr>
      <w:ind w:left="1320" w:hanging="420" w:firstLineChars="200"/>
      <w:jc w:val="left"/>
    </w:pPr>
    <w:rPr>
      <w:color w:val="7030A0"/>
    </w:rPr>
  </w:style>
  <w:style w:type="paragraph" w:customStyle="1" w:styleId="364">
    <w:name w:val="UserStyle_288"/>
    <w:basedOn w:val="1"/>
    <w:qFormat/>
    <w:uiPriority w:val="0"/>
    <w:pPr>
      <w:snapToGrid w:val="0"/>
      <w:jc w:val="center"/>
    </w:pPr>
    <w:rPr>
      <w:szCs w:val="20"/>
    </w:rPr>
  </w:style>
  <w:style w:type="paragraph" w:customStyle="1" w:styleId="365">
    <w:name w:val="UserStyle_289"/>
    <w:basedOn w:val="1"/>
    <w:qFormat/>
    <w:uiPriority w:val="0"/>
    <w:pPr>
      <w:snapToGrid w:val="0"/>
      <w:spacing w:before="60" w:after="60"/>
      <w:jc w:val="left"/>
    </w:pPr>
    <w:rPr>
      <w:rFonts w:ascii="宋体"/>
      <w:sz w:val="20"/>
      <w:szCs w:val="20"/>
    </w:rPr>
  </w:style>
  <w:style w:type="paragraph" w:customStyle="1" w:styleId="366">
    <w:name w:val="UserStyle_290"/>
    <w:basedOn w:val="1"/>
    <w:qFormat/>
    <w:uiPriority w:val="0"/>
    <w:pPr>
      <w:spacing w:line="360" w:lineRule="auto"/>
      <w:ind w:firstLine="200" w:firstLineChars="200"/>
    </w:pPr>
    <w:rPr>
      <w:rFonts w:ascii="宋体" w:hAnsi="宋体"/>
      <w:sz w:val="24"/>
    </w:rPr>
  </w:style>
  <w:style w:type="paragraph" w:customStyle="1" w:styleId="367">
    <w:name w:val="UserStyle_291"/>
    <w:qFormat/>
    <w:uiPriority w:val="0"/>
    <w:pPr>
      <w:spacing w:before="240" w:after="120"/>
      <w:textAlignment w:val="baseline"/>
    </w:pPr>
    <w:rPr>
      <w:rFonts w:ascii="Times New Roman" w:hAnsi="Times New Roman" w:eastAsia="黑体" w:cs="Times New Roman"/>
      <w:b/>
      <w:kern w:val="2"/>
      <w:sz w:val="26"/>
      <w:lang w:val="en-US" w:eastAsia="zh-CN" w:bidi="ar-SA"/>
    </w:rPr>
  </w:style>
  <w:style w:type="paragraph" w:customStyle="1" w:styleId="368">
    <w:name w:val="UserStyle_292"/>
    <w:basedOn w:val="1"/>
    <w:qFormat/>
    <w:uiPriority w:val="0"/>
    <w:pPr>
      <w:tabs>
        <w:tab w:val="left" w:pos="0"/>
        <w:tab w:val="left" w:pos="814"/>
      </w:tabs>
      <w:snapToGrid w:val="0"/>
      <w:spacing w:line="560" w:lineRule="atLeast"/>
      <w:ind w:left="737" w:hanging="283" w:firstLineChars="200"/>
      <w:jc w:val="left"/>
    </w:pPr>
    <w:rPr>
      <w:color w:val="7030A0"/>
      <w:kern w:val="24"/>
      <w:sz w:val="30"/>
      <w:szCs w:val="20"/>
    </w:rPr>
  </w:style>
  <w:style w:type="paragraph" w:customStyle="1" w:styleId="369">
    <w:name w:val="UserStyle_293"/>
    <w:basedOn w:val="1"/>
    <w:qFormat/>
    <w:uiPriority w:val="0"/>
    <w:pPr>
      <w:keepNext/>
      <w:tabs>
        <w:tab w:val="left" w:pos="567"/>
      </w:tabs>
      <w:spacing w:line="480" w:lineRule="atLeast"/>
      <w:ind w:left="567" w:hanging="567" w:firstLineChars="200"/>
      <w:jc w:val="left"/>
    </w:pPr>
    <w:rPr>
      <w:color w:val="7030A0"/>
      <w:sz w:val="28"/>
      <w:szCs w:val="20"/>
    </w:rPr>
  </w:style>
  <w:style w:type="paragraph" w:customStyle="1" w:styleId="370">
    <w:name w:val="UserStyle_294"/>
    <w:basedOn w:val="1"/>
    <w:qFormat/>
    <w:uiPriority w:val="0"/>
    <w:pPr>
      <w:spacing w:line="312" w:lineRule="atLeast"/>
      <w:jc w:val="center"/>
    </w:pPr>
    <w:rPr>
      <w:kern w:val="24"/>
      <w:sz w:val="24"/>
    </w:rPr>
  </w:style>
  <w:style w:type="paragraph" w:customStyle="1" w:styleId="371">
    <w:name w:val="UserStyle_295"/>
    <w:basedOn w:val="1"/>
    <w:qFormat/>
    <w:uiPriority w:val="0"/>
    <w:pPr>
      <w:tabs>
        <w:tab w:val="left" w:pos="1134"/>
      </w:tabs>
      <w:spacing w:before="170" w:line="300" w:lineRule="atLeast"/>
      <w:ind w:left="1134" w:hanging="1134"/>
    </w:pPr>
    <w:rPr>
      <w:color w:val="000000"/>
      <w:kern w:val="0"/>
      <w:sz w:val="24"/>
      <w:szCs w:val="20"/>
    </w:rPr>
  </w:style>
  <w:style w:type="paragraph" w:customStyle="1" w:styleId="372">
    <w:name w:val="UserStyle_296"/>
    <w:basedOn w:val="1"/>
    <w:qFormat/>
    <w:uiPriority w:val="0"/>
    <w:pPr>
      <w:spacing w:after="120"/>
      <w:ind w:left="420"/>
      <w:jc w:val="left"/>
    </w:pPr>
    <w:rPr>
      <w:rFonts w:ascii="宋体"/>
      <w:kern w:val="0"/>
      <w:sz w:val="22"/>
      <w:szCs w:val="20"/>
    </w:rPr>
  </w:style>
  <w:style w:type="paragraph" w:customStyle="1" w:styleId="373">
    <w:name w:val="UserStyle_297"/>
    <w:basedOn w:val="1"/>
    <w:qFormat/>
    <w:uiPriority w:val="0"/>
    <w:rPr>
      <w:szCs w:val="20"/>
    </w:rPr>
  </w:style>
  <w:style w:type="paragraph" w:customStyle="1" w:styleId="374">
    <w:name w:val="UserStyle_298"/>
    <w:basedOn w:val="1"/>
    <w:qFormat/>
    <w:uiPriority w:val="0"/>
    <w:pPr>
      <w:spacing w:line="240" w:lineRule="atLeast"/>
      <w:ind w:firstLine="200" w:firstLineChars="200"/>
      <w:jc w:val="left"/>
    </w:pPr>
    <w:rPr>
      <w:rFonts w:eastAsia="黑体"/>
      <w:color w:val="7030A0"/>
      <w:sz w:val="32"/>
      <w:szCs w:val="32"/>
    </w:rPr>
  </w:style>
  <w:style w:type="paragraph" w:customStyle="1" w:styleId="375">
    <w:name w:val="UserStyle_299"/>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黑体" w:hAnsi="宋体" w:eastAsia="黑体"/>
      <w:kern w:val="0"/>
      <w:szCs w:val="21"/>
    </w:rPr>
  </w:style>
  <w:style w:type="paragraph" w:customStyle="1" w:styleId="376">
    <w:name w:val="UserStyle_300"/>
    <w:basedOn w:val="1"/>
    <w:qFormat/>
    <w:uiPriority w:val="0"/>
    <w:pPr>
      <w:ind w:firstLine="200" w:firstLineChars="200"/>
      <w:jc w:val="left"/>
    </w:pPr>
    <w:rPr>
      <w:rFonts w:ascii="仿宋_GB2312" w:eastAsia="仿宋_GB2312"/>
      <w:b/>
      <w:color w:val="7030A0"/>
      <w:sz w:val="32"/>
      <w:szCs w:val="32"/>
    </w:rPr>
  </w:style>
  <w:style w:type="paragraph" w:customStyle="1" w:styleId="377">
    <w:name w:val="UserStyle_301"/>
    <w:basedOn w:val="1"/>
    <w:qFormat/>
    <w:uiPriority w:val="0"/>
    <w:pPr>
      <w:spacing w:line="360" w:lineRule="auto"/>
    </w:pPr>
    <w:rPr>
      <w:rFonts w:ascii="宋体" w:hAnsi="宋体"/>
      <w:kern w:val="0"/>
      <w:sz w:val="24"/>
    </w:rPr>
  </w:style>
  <w:style w:type="paragraph" w:customStyle="1" w:styleId="378">
    <w:name w:val="UserStyle_302"/>
    <w:next w:val="1"/>
    <w:qFormat/>
    <w:uiPriority w:val="0"/>
    <w:pPr>
      <w:spacing w:line="310" w:lineRule="exact"/>
      <w:textAlignment w:val="baseline"/>
    </w:pPr>
    <w:rPr>
      <w:rFonts w:ascii="Times New Roman" w:hAnsi="Times New Roman" w:eastAsia="黑体" w:cs="Times New Roman"/>
      <w:sz w:val="21"/>
      <w:lang w:val="en-US" w:eastAsia="zh-CN" w:bidi="ar-SA"/>
    </w:rPr>
  </w:style>
  <w:style w:type="paragraph" w:customStyle="1" w:styleId="379">
    <w:name w:val="UserStyle_303"/>
    <w:basedOn w:val="1"/>
    <w:qFormat/>
    <w:uiPriority w:val="0"/>
    <w:pPr>
      <w:snapToGrid w:val="0"/>
      <w:spacing w:line="360" w:lineRule="auto"/>
      <w:ind w:firstLine="200" w:firstLineChars="200"/>
      <w:jc w:val="center"/>
    </w:pPr>
    <w:rPr>
      <w:rFonts w:cs="宋体"/>
      <w:b/>
      <w:bCs/>
      <w:caps/>
      <w:color w:val="7030A0"/>
      <w:sz w:val="30"/>
      <w:szCs w:val="28"/>
    </w:rPr>
  </w:style>
  <w:style w:type="paragraph" w:customStyle="1" w:styleId="380">
    <w:name w:val="UserStyle_304"/>
    <w:basedOn w:val="1"/>
    <w:qFormat/>
    <w:uiPriority w:val="0"/>
    <w:pPr>
      <w:tabs>
        <w:tab w:val="left" w:pos="8364"/>
      </w:tabs>
      <w:ind w:left="840" w:right="-57" w:hanging="300"/>
    </w:pPr>
    <w:rPr>
      <w:rFonts w:ascii="宋体"/>
      <w:szCs w:val="20"/>
    </w:rPr>
  </w:style>
  <w:style w:type="paragraph" w:customStyle="1" w:styleId="381">
    <w:name w:val="UserStyle_305"/>
    <w:basedOn w:val="1"/>
    <w:qFormat/>
    <w:uiPriority w:val="0"/>
    <w:pPr>
      <w:spacing w:line="300" w:lineRule="atLeast"/>
      <w:ind w:firstLine="709"/>
      <w:jc w:val="left"/>
    </w:pPr>
    <w:rPr>
      <w:rFonts w:ascii="仿宋_GB2312" w:hAnsi="Arial" w:eastAsia="仿宋_GB2312"/>
      <w:kern w:val="0"/>
      <w:szCs w:val="20"/>
    </w:rPr>
  </w:style>
  <w:style w:type="paragraph" w:customStyle="1" w:styleId="382">
    <w:name w:val="UserStyle_306"/>
    <w:basedOn w:val="1"/>
    <w:qFormat/>
    <w:uiPriority w:val="0"/>
    <w:pPr>
      <w:tabs>
        <w:tab w:val="left" w:pos="2040"/>
      </w:tabs>
      <w:spacing w:line="360" w:lineRule="auto"/>
      <w:ind w:left="2040" w:hanging="360"/>
      <w:jc w:val="left"/>
    </w:pPr>
    <w:rPr>
      <w:rFonts w:ascii="宋体" w:hAnsi="宋体"/>
      <w:color w:val="7030A0"/>
      <w:sz w:val="24"/>
      <w:szCs w:val="20"/>
    </w:rPr>
  </w:style>
  <w:style w:type="paragraph" w:customStyle="1" w:styleId="383">
    <w:name w:val="UserStyle_307"/>
    <w:qFormat/>
    <w:uiPriority w:val="0"/>
    <w:pPr>
      <w:spacing w:before="120" w:after="120" w:line="300" w:lineRule="auto"/>
      <w:ind w:firstLine="200" w:firstLineChars="200"/>
      <w:textAlignment w:val="baseline"/>
    </w:pPr>
    <w:rPr>
      <w:rFonts w:ascii="宋体" w:hAnsi="Times New Roman" w:eastAsia="宋体" w:cs="Times New Roman"/>
      <w:spacing w:val="10"/>
      <w:w w:val="95"/>
      <w:sz w:val="21"/>
      <w:lang w:val="en-US" w:eastAsia="zh-CN" w:bidi="ar-SA"/>
    </w:rPr>
  </w:style>
  <w:style w:type="paragraph" w:customStyle="1" w:styleId="384">
    <w:name w:val="UserStyle_308"/>
    <w:basedOn w:val="1"/>
    <w:qFormat/>
    <w:uiPriority w:val="0"/>
    <w:pPr>
      <w:spacing w:line="360" w:lineRule="auto"/>
      <w:ind w:firstLine="200" w:firstLineChars="200"/>
      <w:jc w:val="left"/>
    </w:pPr>
    <w:rPr>
      <w:rFonts w:eastAsia="黑体"/>
      <w:color w:val="7030A0"/>
      <w:spacing w:val="20"/>
      <w:sz w:val="32"/>
      <w:szCs w:val="32"/>
    </w:rPr>
  </w:style>
  <w:style w:type="paragraph" w:customStyle="1" w:styleId="385">
    <w:name w:val="UserStyle_309"/>
    <w:basedOn w:val="1"/>
    <w:semiHidden/>
    <w:qFormat/>
    <w:uiPriority w:val="0"/>
    <w:pPr>
      <w:spacing w:before="40" w:after="160"/>
      <w:ind w:firstLine="420" w:firstLineChars="200"/>
      <w:textAlignment w:val="auto"/>
    </w:pPr>
    <w:rPr>
      <w:rFonts w:ascii="Cambria" w:hAnsi="Cambria" w:eastAsia="微软雅黑"/>
      <w:color w:val="565656"/>
      <w:kern w:val="20"/>
      <w:szCs w:val="21"/>
      <w:lang w:val="zh-CN"/>
    </w:rPr>
  </w:style>
  <w:style w:type="paragraph" w:customStyle="1" w:styleId="386">
    <w:name w:val="UserStyle_31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387">
    <w:name w:val="UserStyle_311"/>
    <w:basedOn w:val="1"/>
    <w:qFormat/>
    <w:uiPriority w:val="0"/>
    <w:pPr>
      <w:spacing w:line="360" w:lineRule="auto"/>
      <w:ind w:firstLine="200" w:firstLineChars="200"/>
      <w:jc w:val="left"/>
    </w:pPr>
    <w:rPr>
      <w:color w:val="7030A0"/>
      <w:szCs w:val="20"/>
    </w:rPr>
  </w:style>
  <w:style w:type="paragraph" w:customStyle="1" w:styleId="388">
    <w:name w:val="UserStyle_312"/>
    <w:basedOn w:val="1"/>
    <w:qFormat/>
    <w:uiPriority w:val="0"/>
    <w:pPr>
      <w:tabs>
        <w:tab w:val="left" w:pos="1077"/>
      </w:tabs>
      <w:snapToGrid w:val="0"/>
      <w:spacing w:line="520" w:lineRule="exact"/>
      <w:ind w:left="1077" w:firstLine="200" w:firstLineChars="200"/>
      <w:jc w:val="left"/>
    </w:pPr>
    <w:rPr>
      <w:bCs/>
      <w:color w:val="7030A0"/>
      <w:sz w:val="28"/>
    </w:rPr>
  </w:style>
  <w:style w:type="paragraph" w:customStyle="1" w:styleId="389">
    <w:name w:val="UserStyle_313"/>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kern w:val="0"/>
      <w:sz w:val="24"/>
    </w:rPr>
  </w:style>
  <w:style w:type="paragraph" w:customStyle="1" w:styleId="390">
    <w:name w:val="UserStyle_314"/>
    <w:basedOn w:val="1"/>
    <w:qFormat/>
    <w:uiPriority w:val="0"/>
    <w:pPr>
      <w:ind w:left="200" w:hanging="200" w:hangingChars="200"/>
    </w:pPr>
    <w:rPr>
      <w:szCs w:val="20"/>
    </w:rPr>
  </w:style>
  <w:style w:type="paragraph" w:customStyle="1" w:styleId="391">
    <w:name w:val="UserStyle_315"/>
    <w:basedOn w:val="1"/>
    <w:qFormat/>
    <w:uiPriority w:val="0"/>
    <w:pPr>
      <w:pBdr>
        <w:left w:val="single" w:color="000000" w:sz="4" w:space="0"/>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392">
    <w:name w:val="UserStyle_316"/>
    <w:basedOn w:val="30"/>
    <w:qFormat/>
    <w:uiPriority w:val="0"/>
    <w:pPr>
      <w:tabs>
        <w:tab w:val="left" w:pos="-1620"/>
      </w:tabs>
      <w:snapToGrid w:val="0"/>
      <w:spacing w:before="0" w:after="0" w:line="360" w:lineRule="auto"/>
      <w:ind w:left="2098" w:hanging="2098"/>
    </w:pPr>
    <w:rPr>
      <w:rFonts w:ascii="宋体" w:hAnsi="宋体"/>
      <w:bCs w:val="0"/>
      <w:sz w:val="28"/>
      <w:szCs w:val="28"/>
    </w:rPr>
  </w:style>
  <w:style w:type="paragraph" w:customStyle="1" w:styleId="393">
    <w:name w:val="UserStyle_317"/>
    <w:basedOn w:val="1"/>
    <w:qFormat/>
    <w:uiPriority w:val="0"/>
    <w:pPr>
      <w:tabs>
        <w:tab w:val="left" w:pos="1620"/>
      </w:tabs>
      <w:spacing w:line="360" w:lineRule="auto"/>
      <w:ind w:left="1620" w:hanging="360"/>
    </w:pPr>
    <w:rPr>
      <w:rFonts w:ascii="宋体" w:hAnsi="宋体"/>
      <w:sz w:val="24"/>
      <w:szCs w:val="20"/>
    </w:rPr>
  </w:style>
  <w:style w:type="paragraph" w:customStyle="1" w:styleId="394">
    <w:name w:val="UserStyle_318"/>
    <w:basedOn w:val="395"/>
    <w:next w:val="395"/>
    <w:qFormat/>
    <w:uiPriority w:val="0"/>
    <w:pPr>
      <w:tabs>
        <w:tab w:val="left" w:pos="960"/>
        <w:tab w:val="left" w:pos="1314"/>
      </w:tabs>
      <w:snapToGrid w:val="0"/>
      <w:ind w:left="1328" w:leftChars="397" w:hanging="375" w:hangingChars="163"/>
    </w:pPr>
  </w:style>
  <w:style w:type="paragraph" w:customStyle="1" w:styleId="395">
    <w:name w:val="UserStyle_319"/>
    <w:basedOn w:val="1"/>
    <w:qFormat/>
    <w:uiPriority w:val="0"/>
    <w:pPr>
      <w:spacing w:line="320" w:lineRule="exact"/>
      <w:ind w:left="480" w:leftChars="200" w:firstLine="460" w:firstLineChars="200"/>
      <w:jc w:val="left"/>
    </w:pPr>
    <w:rPr>
      <w:rFonts w:ascii="Arial" w:hAnsi="Arial" w:eastAsia="楷体_GB2312"/>
      <w:color w:val="7030A0"/>
      <w:spacing w:val="10"/>
      <w:kern w:val="0"/>
      <w:szCs w:val="20"/>
    </w:rPr>
  </w:style>
  <w:style w:type="paragraph" w:customStyle="1" w:styleId="396">
    <w:name w:val="UserStyle_320"/>
    <w:qFormat/>
    <w:uiPriority w:val="0"/>
    <w:pPr>
      <w:tabs>
        <w:tab w:val="left" w:pos="1134"/>
      </w:tabs>
      <w:snapToGrid w:val="0"/>
      <w:spacing w:before="240" w:after="240" w:line="288" w:lineRule="auto"/>
      <w:textAlignment w:val="baseline"/>
    </w:pPr>
    <w:rPr>
      <w:rFonts w:ascii="黑体" w:hAnsi="Times New Roman" w:eastAsia="黑体" w:cs="Times New Roman"/>
      <w:sz w:val="24"/>
      <w:lang w:val="en-US" w:eastAsia="zh-CN" w:bidi="ar-SA"/>
    </w:rPr>
  </w:style>
  <w:style w:type="paragraph" w:customStyle="1" w:styleId="397">
    <w:name w:val="UserStyle_32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398">
    <w:name w:val="UserStyle_322"/>
    <w:basedOn w:val="1"/>
    <w:qFormat/>
    <w:uiPriority w:val="0"/>
    <w:pPr>
      <w:tabs>
        <w:tab w:val="left" w:pos="840"/>
      </w:tabs>
      <w:ind w:firstLine="200" w:firstLineChars="200"/>
      <w:jc w:val="left"/>
    </w:pPr>
    <w:rPr>
      <w:rFonts w:ascii="宋体" w:hAnsi="宋体"/>
      <w:color w:val="7030A0"/>
      <w:sz w:val="24"/>
      <w:szCs w:val="20"/>
    </w:rPr>
  </w:style>
  <w:style w:type="paragraph" w:customStyle="1" w:styleId="399">
    <w:name w:val="UserStyle_323"/>
    <w:next w:val="1"/>
    <w:qFormat/>
    <w:uiPriority w:val="0"/>
    <w:pPr>
      <w:spacing w:before="240" w:after="240"/>
      <w:textAlignment w:val="baseline"/>
    </w:pPr>
    <w:rPr>
      <w:rFonts w:ascii="Times New Roman" w:hAnsi="Times New Roman" w:eastAsia="黑体" w:cs="Times New Roman"/>
      <w:sz w:val="21"/>
      <w:lang w:val="en-US" w:eastAsia="zh-CN" w:bidi="ar-SA"/>
    </w:rPr>
  </w:style>
  <w:style w:type="paragraph" w:customStyle="1" w:styleId="400">
    <w:name w:val="UserStyle_324"/>
    <w:basedOn w:val="1"/>
    <w:qFormat/>
    <w:uiPriority w:val="0"/>
    <w:pPr>
      <w:spacing w:line="360" w:lineRule="auto"/>
      <w:ind w:left="840" w:leftChars="400"/>
    </w:pPr>
    <w:rPr>
      <w:rFonts w:ascii="宋体" w:hAnsi="宋体"/>
      <w:szCs w:val="20"/>
    </w:rPr>
  </w:style>
  <w:style w:type="paragraph" w:customStyle="1" w:styleId="401">
    <w:name w:val="UserStyle_325"/>
    <w:basedOn w:val="34"/>
    <w:qFormat/>
    <w:uiPriority w:val="0"/>
    <w:pPr>
      <w:spacing w:before="0" w:after="0" w:line="240" w:lineRule="auto"/>
      <w:ind w:left="0" w:firstLine="0"/>
      <w:jc w:val="center"/>
    </w:pPr>
    <w:rPr>
      <w:b w:val="0"/>
      <w:sz w:val="21"/>
      <w:szCs w:val="28"/>
      <w:lang w:val="zh-CN"/>
    </w:rPr>
  </w:style>
  <w:style w:type="paragraph" w:customStyle="1" w:styleId="402">
    <w:name w:val="UserStyle_326"/>
    <w:basedOn w:val="219"/>
    <w:qFormat/>
    <w:uiPriority w:val="0"/>
    <w:pPr>
      <w:tabs>
        <w:tab w:val="left" w:pos="630"/>
      </w:tabs>
    </w:pPr>
  </w:style>
  <w:style w:type="paragraph" w:customStyle="1" w:styleId="403">
    <w:name w:val="UserStyle_32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04">
    <w:name w:val="UserStyle_328"/>
    <w:basedOn w:val="1"/>
    <w:qFormat/>
    <w:uiPriority w:val="0"/>
    <w:pPr>
      <w:tabs>
        <w:tab w:val="left" w:pos="1758"/>
      </w:tabs>
      <w:snapToGrid w:val="0"/>
      <w:spacing w:after="60" w:line="288" w:lineRule="auto"/>
      <w:ind w:firstLine="200" w:firstLineChars="200"/>
      <w:jc w:val="left"/>
    </w:pPr>
    <w:rPr>
      <w:rFonts w:ascii="宋体"/>
      <w:color w:val="7030A0"/>
      <w:sz w:val="22"/>
      <w:szCs w:val="20"/>
    </w:rPr>
  </w:style>
  <w:style w:type="paragraph" w:customStyle="1" w:styleId="405">
    <w:name w:val="UserStyle_329"/>
    <w:basedOn w:val="1"/>
    <w:next w:val="1"/>
    <w:qFormat/>
    <w:uiPriority w:val="0"/>
    <w:pPr>
      <w:spacing w:line="480" w:lineRule="exact"/>
      <w:ind w:left="420" w:leftChars="200" w:firstLine="200" w:firstLineChars="200"/>
      <w:jc w:val="left"/>
    </w:pPr>
    <w:rPr>
      <w:color w:val="7030A0"/>
      <w:sz w:val="24"/>
    </w:rPr>
  </w:style>
  <w:style w:type="paragraph" w:customStyle="1" w:styleId="406">
    <w:name w:val="UserStyle_330"/>
    <w:basedOn w:val="1"/>
    <w:qFormat/>
    <w:uiPriority w:val="0"/>
    <w:pPr>
      <w:spacing w:before="100" w:beforeAutospacing="1" w:after="100" w:afterAutospacing="1"/>
      <w:jc w:val="left"/>
    </w:pPr>
    <w:rPr>
      <w:rFonts w:ascii="Arial Unicode MS" w:hAnsi="Arial Unicode MS" w:eastAsia="Arial Unicode MS"/>
      <w:kern w:val="0"/>
      <w:sz w:val="24"/>
    </w:rPr>
  </w:style>
  <w:style w:type="paragraph" w:customStyle="1" w:styleId="407">
    <w:name w:val="UserStyle_33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408">
    <w:name w:val="UserStyle_332"/>
    <w:qFormat/>
    <w:uiPriority w:val="0"/>
    <w:pPr>
      <w:snapToGrid w:val="0"/>
      <w:spacing w:line="360" w:lineRule="auto"/>
      <w:ind w:right="31" w:rightChars="15" w:firstLine="420" w:firstLineChars="200"/>
      <w:jc w:val="both"/>
      <w:textAlignment w:val="baseline"/>
    </w:pPr>
    <w:rPr>
      <w:rFonts w:ascii="Times New Roman" w:hAnsi="Times New Roman" w:eastAsia="宋体" w:cs="Times New Roman"/>
      <w:kern w:val="44"/>
      <w:sz w:val="24"/>
      <w:lang w:val="en-US" w:eastAsia="zh-CN" w:bidi="ar-SA"/>
    </w:rPr>
  </w:style>
  <w:style w:type="paragraph" w:customStyle="1" w:styleId="409">
    <w:name w:val="UserStyle_333"/>
    <w:basedOn w:val="1"/>
    <w:next w:val="1"/>
    <w:qFormat/>
    <w:uiPriority w:val="0"/>
    <w:pPr>
      <w:spacing w:before="120"/>
    </w:pPr>
    <w:rPr>
      <w:rFonts w:ascii="Arial" w:hAnsi="Arial"/>
      <w:sz w:val="24"/>
    </w:rPr>
  </w:style>
  <w:style w:type="paragraph" w:customStyle="1" w:styleId="410">
    <w:name w:val="UserStyle_334"/>
    <w:basedOn w:val="1"/>
    <w:qFormat/>
    <w:uiPriority w:val="0"/>
    <w:pPr>
      <w:spacing w:line="312" w:lineRule="atLeast"/>
      <w:ind w:firstLine="200" w:firstLineChars="200"/>
      <w:jc w:val="left"/>
    </w:pPr>
    <w:rPr>
      <w:rFonts w:ascii="宋体" w:hAnsi="Courier New"/>
      <w:color w:val="7030A0"/>
      <w:kern w:val="0"/>
      <w:sz w:val="28"/>
      <w:szCs w:val="20"/>
    </w:rPr>
  </w:style>
  <w:style w:type="paragraph" w:customStyle="1" w:styleId="411">
    <w:name w:val="UserStyle_335"/>
    <w:basedOn w:val="1"/>
    <w:qFormat/>
    <w:uiPriority w:val="0"/>
    <w:pPr>
      <w:pBdr>
        <w:top w:val="single" w:color="000000" w:sz="4" w:space="0"/>
        <w:left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12">
    <w:name w:val="UserStyle_336"/>
    <w:basedOn w:val="1"/>
    <w:qFormat/>
    <w:uiPriority w:val="0"/>
    <w:pPr>
      <w:ind w:firstLine="200" w:firstLineChars="200"/>
      <w:jc w:val="left"/>
    </w:pPr>
    <w:rPr>
      <w:rFonts w:ascii="Tahoma" w:hAnsi="Tahoma"/>
      <w:color w:val="7030A0"/>
      <w:sz w:val="24"/>
      <w:szCs w:val="20"/>
    </w:rPr>
  </w:style>
  <w:style w:type="paragraph" w:customStyle="1" w:styleId="413">
    <w:name w:val="UserStyle_3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4"/>
    </w:rPr>
  </w:style>
  <w:style w:type="paragraph" w:customStyle="1" w:styleId="414">
    <w:name w:val="UserStyle_338"/>
    <w:basedOn w:val="1"/>
    <w:next w:val="263"/>
    <w:qFormat/>
    <w:uiPriority w:val="0"/>
  </w:style>
  <w:style w:type="paragraph" w:customStyle="1" w:styleId="415">
    <w:name w:val="UserStyle_339"/>
    <w:next w:val="1"/>
    <w:qFormat/>
    <w:uiPriority w:val="0"/>
    <w:pPr>
      <w:spacing w:line="310" w:lineRule="exact"/>
      <w:ind w:left="420"/>
      <w:textAlignment w:val="baseline"/>
    </w:pPr>
    <w:rPr>
      <w:rFonts w:ascii="Times New Roman" w:hAnsi="Times New Roman" w:eastAsia="黑体" w:cs="Times New Roman"/>
      <w:sz w:val="21"/>
      <w:lang w:val="en-US" w:eastAsia="zh-CN" w:bidi="ar-SA"/>
    </w:rPr>
  </w:style>
  <w:style w:type="paragraph" w:customStyle="1" w:styleId="416">
    <w:name w:val="UserStyle_340"/>
    <w:basedOn w:val="1"/>
    <w:qFormat/>
    <w:uiPriority w:val="0"/>
    <w:pPr>
      <w:tabs>
        <w:tab w:val="left" w:pos="4665"/>
        <w:tab w:val="left" w:pos="8970"/>
      </w:tabs>
      <w:ind w:firstLine="400"/>
    </w:pPr>
    <w:rPr>
      <w:szCs w:val="20"/>
    </w:rPr>
  </w:style>
  <w:style w:type="paragraph" w:customStyle="1" w:styleId="417">
    <w:name w:val="UserStyle_341"/>
    <w:basedOn w:val="1"/>
    <w:next w:val="1"/>
    <w:qFormat/>
    <w:uiPriority w:val="0"/>
    <w:pPr>
      <w:spacing w:line="480" w:lineRule="exact"/>
      <w:ind w:left="800" w:leftChars="800" w:firstLine="200" w:firstLineChars="200"/>
      <w:jc w:val="left"/>
    </w:pPr>
    <w:rPr>
      <w:color w:val="7030A0"/>
      <w:sz w:val="24"/>
    </w:rPr>
  </w:style>
  <w:style w:type="paragraph" w:customStyle="1" w:styleId="418">
    <w:name w:val="UserStyle_342"/>
    <w:basedOn w:val="1"/>
    <w:next w:val="1"/>
    <w:qFormat/>
    <w:uiPriority w:val="0"/>
    <w:pPr>
      <w:spacing w:before="200" w:after="160"/>
      <w:ind w:left="864" w:right="864"/>
      <w:jc w:val="center"/>
    </w:pPr>
    <w:rPr>
      <w:i/>
      <w:iCs/>
      <w:color w:val="3F3F3F"/>
    </w:rPr>
  </w:style>
  <w:style w:type="paragraph" w:customStyle="1" w:styleId="419">
    <w:name w:val="UserStyle_343"/>
    <w:basedOn w:val="1"/>
    <w:qFormat/>
    <w:uiPriority w:val="0"/>
    <w:pPr>
      <w:tabs>
        <w:tab w:val="left" w:pos="1438"/>
      </w:tabs>
      <w:spacing w:before="100" w:after="100" w:line="360" w:lineRule="auto"/>
      <w:ind w:left="1438" w:hanging="720"/>
    </w:pPr>
    <w:rPr>
      <w:rFonts w:ascii="宋体" w:hAnsi="宋体"/>
    </w:rPr>
  </w:style>
  <w:style w:type="paragraph" w:customStyle="1" w:styleId="420">
    <w:name w:val="UserStyle_344"/>
    <w:basedOn w:val="254"/>
    <w:next w:val="255"/>
    <w:qFormat/>
    <w:uiPriority w:val="0"/>
    <w:pPr>
      <w:tabs>
        <w:tab w:val="left" w:pos="1500"/>
      </w:tabs>
      <w:ind w:left="1500"/>
    </w:pPr>
    <w:rPr>
      <w:caps w:val="0"/>
    </w:rPr>
  </w:style>
  <w:style w:type="paragraph" w:customStyle="1" w:styleId="421">
    <w:name w:val="UserStyle_345"/>
    <w:basedOn w:val="1"/>
    <w:qFormat/>
    <w:uiPriority w:val="0"/>
    <w:pPr>
      <w:pBdr>
        <w:top w:val="single" w:color="000000" w:sz="4" w:space="0"/>
        <w:bottom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22">
    <w:name w:val="UserStyle_346"/>
    <w:qFormat/>
    <w:uiPriority w:val="0"/>
    <w:pPr>
      <w:ind w:firstLine="200" w:firstLineChars="200"/>
      <w:textAlignment w:val="baseline"/>
    </w:pPr>
    <w:rPr>
      <w:rFonts w:ascii="Times New Roman" w:hAnsi="Times New Roman" w:eastAsia="宋体" w:cs="Times New Roman"/>
      <w:color w:val="7030A0"/>
      <w:kern w:val="2"/>
      <w:sz w:val="24"/>
      <w:szCs w:val="24"/>
      <w:lang w:val="en-US" w:eastAsia="zh-CN" w:bidi="ar-SA"/>
    </w:rPr>
  </w:style>
  <w:style w:type="paragraph" w:customStyle="1" w:styleId="423">
    <w:name w:val="UserStyle_347"/>
    <w:basedOn w:val="1"/>
    <w:qFormat/>
    <w:uiPriority w:val="0"/>
    <w:pPr>
      <w:spacing w:line="360" w:lineRule="auto"/>
      <w:ind w:firstLine="360" w:firstLineChars="200"/>
      <w:jc w:val="left"/>
    </w:pPr>
    <w:rPr>
      <w:rFonts w:ascii="宋体"/>
      <w:color w:val="7030A0"/>
      <w:sz w:val="24"/>
      <w:szCs w:val="20"/>
    </w:rPr>
  </w:style>
  <w:style w:type="paragraph" w:customStyle="1" w:styleId="424">
    <w:name w:val="UserStyle_348"/>
    <w:basedOn w:val="1"/>
    <w:qFormat/>
    <w:uiPriority w:val="0"/>
    <w:pPr>
      <w:spacing w:before="100" w:beforeAutospacing="1" w:after="100" w:afterAutospacing="1"/>
      <w:jc w:val="center"/>
    </w:pPr>
    <w:rPr>
      <w:kern w:val="0"/>
      <w:sz w:val="24"/>
    </w:rPr>
  </w:style>
  <w:style w:type="paragraph" w:customStyle="1" w:styleId="425">
    <w:name w:val="UserStyle_3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26">
    <w:name w:val="UserStyle_350"/>
    <w:basedOn w:val="33"/>
    <w:qFormat/>
    <w:uiPriority w:val="0"/>
    <w:pPr>
      <w:tabs>
        <w:tab w:val="left" w:pos="1062"/>
      </w:tabs>
      <w:spacing w:after="0" w:line="400" w:lineRule="exact"/>
      <w:ind w:left="1062" w:hanging="864"/>
    </w:pPr>
    <w:rPr>
      <w:rFonts w:ascii="宋体" w:hAnsi="Arial" w:cs="宋体"/>
      <w:sz w:val="24"/>
      <w:szCs w:val="24"/>
    </w:rPr>
  </w:style>
  <w:style w:type="paragraph" w:customStyle="1" w:styleId="427">
    <w:name w:val="UserStyle_351"/>
    <w:basedOn w:val="1"/>
    <w:qFormat/>
    <w:uiPriority w:val="0"/>
    <w:pPr>
      <w:spacing w:line="480" w:lineRule="exact"/>
      <w:ind w:firstLine="200" w:firstLineChars="200"/>
    </w:pPr>
    <w:rPr>
      <w:sz w:val="24"/>
    </w:rPr>
  </w:style>
  <w:style w:type="paragraph" w:customStyle="1" w:styleId="428">
    <w:name w:val="UserStyle_352"/>
    <w:basedOn w:val="130"/>
    <w:qFormat/>
    <w:uiPriority w:val="0"/>
    <w:pPr>
      <w:ind w:firstLine="480" w:firstLineChars="200"/>
      <w:jc w:val="left"/>
    </w:pPr>
    <w:rPr>
      <w:rFonts w:ascii="宋体"/>
      <w:color w:val="7030A0"/>
    </w:rPr>
  </w:style>
  <w:style w:type="paragraph" w:customStyle="1" w:styleId="429">
    <w:name w:val="UserStyle_353"/>
    <w:basedOn w:val="1"/>
    <w:qFormat/>
    <w:uiPriority w:val="0"/>
    <w:pPr>
      <w:shd w:val="clear" w:color="auto" w:fill="000080"/>
      <w:ind w:firstLine="200" w:firstLineChars="200"/>
      <w:jc w:val="left"/>
    </w:pPr>
    <w:rPr>
      <w:color w:val="7030A0"/>
      <w:szCs w:val="20"/>
    </w:rPr>
  </w:style>
  <w:style w:type="paragraph" w:customStyle="1" w:styleId="430">
    <w:name w:val="UserStyle_35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kern w:val="0"/>
      <w:sz w:val="20"/>
      <w:szCs w:val="20"/>
    </w:rPr>
  </w:style>
  <w:style w:type="paragraph" w:customStyle="1" w:styleId="431">
    <w:name w:val="UserStyle_355"/>
    <w:basedOn w:val="1"/>
    <w:qFormat/>
    <w:uiPriority w:val="0"/>
  </w:style>
  <w:style w:type="paragraph" w:customStyle="1" w:styleId="432">
    <w:name w:val="UserStyle_356"/>
    <w:basedOn w:val="1"/>
    <w:next w:val="1"/>
    <w:qFormat/>
    <w:uiPriority w:val="0"/>
    <w:pPr>
      <w:spacing w:line="480" w:lineRule="exact"/>
      <w:ind w:left="200" w:leftChars="200" w:hanging="200" w:hangingChars="200"/>
      <w:jc w:val="left"/>
    </w:pPr>
    <w:rPr>
      <w:color w:val="7030A0"/>
      <w:sz w:val="24"/>
    </w:rPr>
  </w:style>
  <w:style w:type="paragraph" w:customStyle="1" w:styleId="433">
    <w:name w:val="UserStyle_357"/>
    <w:basedOn w:val="1"/>
    <w:qFormat/>
    <w:uiPriority w:val="0"/>
    <w:pPr>
      <w:pBdr>
        <w:bottom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34">
    <w:name w:val="UserStyle_358"/>
    <w:basedOn w:val="33"/>
    <w:qFormat/>
    <w:uiPriority w:val="0"/>
    <w:pPr>
      <w:spacing w:before="120" w:after="0" w:line="240" w:lineRule="auto"/>
      <w:jc w:val="left"/>
    </w:pPr>
    <w:rPr>
      <w:rFonts w:ascii="Times New Roman" w:hAnsi="Times New Roman"/>
      <w:b w:val="0"/>
      <w:color w:val="00B050"/>
      <w:sz w:val="24"/>
    </w:rPr>
  </w:style>
  <w:style w:type="paragraph" w:customStyle="1" w:styleId="435">
    <w:name w:val="UserStyle_359"/>
    <w:basedOn w:val="1"/>
    <w:qFormat/>
    <w:uiPriority w:val="0"/>
    <w:pPr>
      <w:pBdr>
        <w:top w:val="single" w:color="000000" w:sz="4" w:space="0"/>
        <w:left w:val="single" w:color="000000" w:sz="4" w:space="0"/>
        <w:bottom w:val="single" w:color="000000" w:sz="4" w:space="0"/>
        <w:right w:val="single" w:color="000000" w:sz="4" w:space="0"/>
      </w:pBdr>
      <w:spacing w:before="100" w:after="100"/>
      <w:ind w:firstLine="200" w:firstLineChars="200"/>
      <w:jc w:val="center"/>
    </w:pPr>
    <w:rPr>
      <w:rFonts w:eastAsia="Arial Unicode MS"/>
      <w:color w:val="7030A0"/>
      <w:kern w:val="0"/>
      <w:szCs w:val="20"/>
    </w:rPr>
  </w:style>
  <w:style w:type="paragraph" w:customStyle="1" w:styleId="436">
    <w:name w:val="UserStyle_360"/>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7">
    <w:name w:val="UserStyle_361"/>
    <w:basedOn w:val="1"/>
    <w:next w:val="135"/>
    <w:qFormat/>
    <w:uiPriority w:val="0"/>
    <w:pPr>
      <w:spacing w:after="120" w:line="480" w:lineRule="auto"/>
      <w:ind w:firstLine="200" w:firstLineChars="200"/>
      <w:jc w:val="left"/>
    </w:pPr>
    <w:rPr>
      <w:color w:val="7030A0"/>
    </w:rPr>
  </w:style>
  <w:style w:type="paragraph" w:customStyle="1" w:styleId="438">
    <w:name w:val="UserStyle_36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rPr>
  </w:style>
  <w:style w:type="paragraph" w:customStyle="1" w:styleId="439">
    <w:name w:val="UserStyle_363"/>
    <w:basedOn w:val="1"/>
    <w:qFormat/>
    <w:uiPriority w:val="0"/>
    <w:pPr>
      <w:pBdr>
        <w:top w:val="single" w:color="000000" w:sz="4" w:space="0"/>
        <w:bottom w:val="single" w:color="000000" w:sz="4" w:space="0"/>
        <w:right w:val="single" w:color="000000" w:sz="4" w:space="0"/>
      </w:pBdr>
      <w:spacing w:before="100" w:after="100"/>
      <w:ind w:firstLine="200" w:firstLineChars="200"/>
      <w:jc w:val="center"/>
    </w:pPr>
    <w:rPr>
      <w:rFonts w:ascii="Arial Unicode MS" w:hAnsi="Arial Unicode MS" w:eastAsia="Arial Unicode MS"/>
      <w:color w:val="7030A0"/>
      <w:kern w:val="0"/>
      <w:szCs w:val="20"/>
    </w:rPr>
  </w:style>
  <w:style w:type="paragraph" w:customStyle="1" w:styleId="440">
    <w:name w:val="UserStyle_364"/>
    <w:basedOn w:val="1"/>
    <w:qFormat/>
    <w:uiPriority w:val="0"/>
    <w:pPr>
      <w:spacing w:before="100" w:beforeAutospacing="1" w:after="100" w:afterAutospacing="1"/>
      <w:ind w:firstLine="200" w:firstLineChars="200"/>
      <w:jc w:val="center"/>
      <w:textAlignment w:val="center"/>
    </w:pPr>
    <w:rPr>
      <w:rFonts w:ascii="宋体" w:hAnsi="宋体"/>
      <w:color w:val="7030A0"/>
      <w:kern w:val="0"/>
      <w:szCs w:val="21"/>
    </w:rPr>
  </w:style>
  <w:style w:type="paragraph" w:customStyle="1" w:styleId="441">
    <w:name w:val="UserStyle_365"/>
    <w:basedOn w:val="1"/>
    <w:qFormat/>
    <w:uiPriority w:val="0"/>
    <w:pPr>
      <w:ind w:firstLine="525" w:firstLineChars="200"/>
      <w:jc w:val="left"/>
    </w:pPr>
    <w:rPr>
      <w:color w:val="7030A0"/>
      <w:sz w:val="24"/>
      <w:szCs w:val="20"/>
    </w:rPr>
  </w:style>
  <w:style w:type="paragraph" w:customStyle="1" w:styleId="442">
    <w:name w:val="UserStyle_3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20"/>
      <w:szCs w:val="20"/>
    </w:rPr>
  </w:style>
  <w:style w:type="paragraph" w:customStyle="1" w:styleId="443">
    <w:name w:val="UserStyle_367"/>
    <w:basedOn w:val="1"/>
    <w:qFormat/>
    <w:uiPriority w:val="0"/>
    <w:pPr>
      <w:snapToGrid w:val="0"/>
      <w:spacing w:line="360" w:lineRule="auto"/>
      <w:ind w:firstLine="425" w:firstLineChars="200"/>
      <w:jc w:val="left"/>
    </w:pPr>
    <w:rPr>
      <w:rFonts w:ascii="宋体" w:hAnsi="宋体"/>
      <w:color w:val="7030A0"/>
      <w:szCs w:val="20"/>
    </w:rPr>
  </w:style>
  <w:style w:type="paragraph" w:customStyle="1" w:styleId="444">
    <w:name w:val="UserStyle_368"/>
    <w:basedOn w:val="1"/>
    <w:qFormat/>
    <w:uiPriority w:val="0"/>
    <w:pPr>
      <w:spacing w:before="100" w:beforeAutospacing="1" w:after="100" w:afterAutospacing="1"/>
      <w:jc w:val="left"/>
    </w:pPr>
    <w:rPr>
      <w:rFonts w:ascii="宋体" w:hAnsi="宋体"/>
      <w:kern w:val="0"/>
      <w:szCs w:val="21"/>
    </w:rPr>
  </w:style>
  <w:style w:type="paragraph" w:customStyle="1" w:styleId="445">
    <w:name w:val="UserStyle_369"/>
    <w:basedOn w:val="1"/>
    <w:qFormat/>
    <w:uiPriority w:val="0"/>
    <w:pPr>
      <w:snapToGrid w:val="0"/>
      <w:ind w:firstLine="200" w:firstLineChars="200"/>
      <w:jc w:val="center"/>
    </w:pPr>
    <w:rPr>
      <w:rFonts w:hAnsi="Arial"/>
      <w:color w:val="7030A0"/>
      <w:kern w:val="0"/>
    </w:rPr>
  </w:style>
  <w:style w:type="paragraph" w:customStyle="1" w:styleId="446">
    <w:name w:val="UserStyle_370"/>
    <w:basedOn w:val="1"/>
    <w:qFormat/>
    <w:uiPriority w:val="0"/>
    <w:pPr>
      <w:shd w:val="clear" w:color="auto" w:fill="000080"/>
      <w:ind w:firstLine="200" w:firstLineChars="200"/>
      <w:jc w:val="left"/>
    </w:pPr>
    <w:rPr>
      <w:color w:val="7030A0"/>
      <w:szCs w:val="20"/>
    </w:rPr>
  </w:style>
  <w:style w:type="paragraph" w:customStyle="1" w:styleId="447">
    <w:name w:val="UserStyle_371"/>
    <w:basedOn w:val="1"/>
    <w:qFormat/>
    <w:uiPriority w:val="0"/>
    <w:pPr>
      <w:spacing w:line="336" w:lineRule="auto"/>
      <w:ind w:firstLine="200" w:firstLineChars="200"/>
      <w:jc w:val="left"/>
    </w:pPr>
    <w:rPr>
      <w:color w:val="7030A0"/>
      <w:sz w:val="24"/>
    </w:rPr>
  </w:style>
  <w:style w:type="paragraph" w:customStyle="1" w:styleId="448">
    <w:name w:val="UserStyle_372"/>
    <w:basedOn w:val="1"/>
    <w:next w:val="1"/>
    <w:qFormat/>
    <w:uiPriority w:val="0"/>
    <w:pPr>
      <w:spacing w:line="480" w:lineRule="exact"/>
      <w:ind w:left="400" w:leftChars="400" w:firstLine="200" w:firstLineChars="200"/>
      <w:jc w:val="left"/>
    </w:pPr>
    <w:rPr>
      <w:color w:val="7030A0"/>
      <w:sz w:val="24"/>
    </w:rPr>
  </w:style>
  <w:style w:type="paragraph" w:customStyle="1" w:styleId="449">
    <w:name w:val="UserStyle_373"/>
    <w:basedOn w:val="1"/>
    <w:next w:val="1"/>
    <w:qFormat/>
    <w:uiPriority w:val="0"/>
    <w:pPr>
      <w:tabs>
        <w:tab w:val="left" w:pos="1080"/>
      </w:tabs>
      <w:spacing w:line="500" w:lineRule="exact"/>
      <w:ind w:left="1080" w:hanging="1080"/>
    </w:pPr>
    <w:rPr>
      <w:sz w:val="28"/>
      <w:szCs w:val="20"/>
    </w:rPr>
  </w:style>
  <w:style w:type="paragraph" w:customStyle="1" w:styleId="450">
    <w:name w:val="UserStyle_374"/>
    <w:basedOn w:val="1"/>
    <w:qFormat/>
    <w:uiPriority w:val="0"/>
    <w:pPr>
      <w:pBdr>
        <w:top w:val="single" w:color="000000" w:sz="4" w:space="0"/>
        <w:left w:val="single" w:color="000000" w:sz="4" w:space="0"/>
      </w:pBdr>
      <w:spacing w:before="100" w:after="100"/>
      <w:ind w:firstLine="200" w:firstLineChars="200"/>
      <w:jc w:val="center"/>
      <w:textAlignment w:val="center"/>
    </w:pPr>
    <w:rPr>
      <w:rFonts w:ascii="Arial Unicode MS" w:hAnsi="Arial Unicode MS" w:eastAsia="Arial Unicode MS"/>
      <w:color w:val="7030A0"/>
      <w:kern w:val="0"/>
      <w:szCs w:val="20"/>
    </w:rPr>
  </w:style>
  <w:style w:type="paragraph" w:customStyle="1" w:styleId="451">
    <w:name w:val="UserStyle_375"/>
    <w:basedOn w:val="1"/>
    <w:qFormat/>
    <w:uiPriority w:val="0"/>
    <w:pPr>
      <w:snapToGrid w:val="0"/>
      <w:spacing w:after="50" w:line="360" w:lineRule="auto"/>
    </w:pPr>
    <w:rPr>
      <w:sz w:val="24"/>
    </w:rPr>
  </w:style>
  <w:style w:type="paragraph" w:customStyle="1" w:styleId="452">
    <w:name w:val="UserStyle_376"/>
    <w:basedOn w:val="383"/>
    <w:qFormat/>
    <w:uiPriority w:val="0"/>
    <w:pPr>
      <w:tabs>
        <w:tab w:val="left" w:pos="560"/>
      </w:tabs>
      <w:ind w:left="200" w:firstLine="0" w:firstLineChars="0"/>
    </w:pPr>
  </w:style>
  <w:style w:type="paragraph" w:customStyle="1" w:styleId="453">
    <w:name w:val="UserStyle_377"/>
    <w:basedOn w:val="1"/>
    <w:qFormat/>
    <w:uiPriority w:val="0"/>
    <w:pPr>
      <w:ind w:firstLine="200" w:firstLineChars="200"/>
      <w:jc w:val="center"/>
    </w:pPr>
    <w:rPr>
      <w:rFonts w:eastAsia="黑体"/>
      <w:color w:val="7030A0"/>
      <w:sz w:val="24"/>
      <w:szCs w:val="20"/>
    </w:rPr>
  </w:style>
  <w:style w:type="paragraph" w:customStyle="1" w:styleId="454">
    <w:name w:val="UserStyle_378"/>
    <w:next w:val="1"/>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455">
    <w:name w:val="UserStyle_379"/>
    <w:basedOn w:val="1"/>
    <w:qFormat/>
    <w:uiPriority w:val="0"/>
    <w:pPr>
      <w:tabs>
        <w:tab w:val="left" w:pos="1200"/>
      </w:tabs>
      <w:spacing w:line="360" w:lineRule="auto"/>
      <w:ind w:left="1200" w:hanging="360"/>
      <w:jc w:val="left"/>
    </w:pPr>
    <w:rPr>
      <w:rFonts w:ascii="宋体" w:hAnsi="宋体"/>
      <w:color w:val="7030A0"/>
      <w:sz w:val="24"/>
      <w:szCs w:val="20"/>
    </w:rPr>
  </w:style>
  <w:style w:type="paragraph" w:customStyle="1" w:styleId="456">
    <w:name w:val="UserStyle_380"/>
    <w:basedOn w:val="1"/>
    <w:qFormat/>
    <w:uiPriority w:val="0"/>
    <w:pPr>
      <w:spacing w:line="360" w:lineRule="auto"/>
    </w:pPr>
    <w:rPr>
      <w:sz w:val="28"/>
    </w:rPr>
  </w:style>
  <w:style w:type="paragraph" w:customStyle="1" w:styleId="457">
    <w:name w:val="UserStyle_381"/>
    <w:basedOn w:val="1"/>
    <w:qFormat/>
    <w:uiPriority w:val="0"/>
    <w:pPr>
      <w:jc w:val="left"/>
    </w:pPr>
    <w:rPr>
      <w:rFonts w:ascii="Arial" w:hAnsi="Arial" w:eastAsia="PMingLiU"/>
      <w:kern w:val="0"/>
      <w:sz w:val="18"/>
      <w:szCs w:val="18"/>
    </w:rPr>
  </w:style>
  <w:style w:type="paragraph" w:customStyle="1" w:styleId="458">
    <w:name w:val="UserStyle_382"/>
    <w:basedOn w:val="231"/>
    <w:qFormat/>
    <w:uiPriority w:val="0"/>
    <w:pPr>
      <w:tabs>
        <w:tab w:val="left" w:pos="420"/>
        <w:tab w:val="left" w:pos="525"/>
        <w:tab w:val="left" w:pos="1680"/>
        <w:tab w:val="right" w:leader="dot" w:pos="8495"/>
        <w:tab w:val="right" w:pos="9060"/>
      </w:tabs>
      <w:spacing w:line="240" w:lineRule="auto"/>
      <w:ind w:left="525" w:hanging="425"/>
    </w:pPr>
    <w:rPr>
      <w:bCs w:val="0"/>
      <w:iCs w:val="0"/>
      <w:caps w:val="0"/>
      <w:color w:val="7030A0"/>
      <w:kern w:val="2"/>
      <w:sz w:val="21"/>
      <w:szCs w:val="20"/>
    </w:rPr>
  </w:style>
  <w:style w:type="paragraph" w:customStyle="1" w:styleId="459">
    <w:name w:val="UserStyle_383"/>
    <w:basedOn w:val="1"/>
    <w:next w:val="1"/>
    <w:qFormat/>
    <w:uiPriority w:val="0"/>
    <w:pPr>
      <w:tabs>
        <w:tab w:val="left" w:pos="900"/>
      </w:tabs>
      <w:spacing w:line="400" w:lineRule="exact"/>
      <w:ind w:left="900" w:firstLine="200" w:firstLineChars="200"/>
      <w:jc w:val="left"/>
    </w:pPr>
    <w:rPr>
      <w:rFonts w:ascii="宋体"/>
      <w:color w:val="7030A0"/>
      <w:sz w:val="24"/>
    </w:rPr>
  </w:style>
  <w:style w:type="paragraph" w:customStyle="1" w:styleId="460">
    <w:name w:val="UserStyle_384"/>
    <w:basedOn w:val="1"/>
    <w:qFormat/>
    <w:uiPriority w:val="0"/>
    <w:pPr>
      <w:pBdr>
        <w:top w:val="single" w:color="000000" w:sz="4" w:space="0"/>
        <w:bottom w:val="single" w:color="000000" w:sz="4" w:space="0"/>
      </w:pBdr>
      <w:spacing w:before="100" w:beforeAutospacing="1" w:after="100" w:afterAutospacing="1"/>
      <w:jc w:val="left"/>
    </w:pPr>
    <w:rPr>
      <w:kern w:val="0"/>
      <w:sz w:val="24"/>
    </w:rPr>
  </w:style>
  <w:style w:type="paragraph" w:customStyle="1" w:styleId="461">
    <w:name w:val="UserStyle_3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20"/>
      <w:szCs w:val="20"/>
    </w:rPr>
  </w:style>
  <w:style w:type="paragraph" w:customStyle="1" w:styleId="462">
    <w:name w:val="179"/>
    <w:basedOn w:val="1"/>
    <w:qFormat/>
    <w:uiPriority w:val="0"/>
    <w:pPr>
      <w:spacing w:before="100" w:beforeAutospacing="1" w:after="100" w:afterAutospacing="1" w:line="276" w:lineRule="auto"/>
      <w:ind w:left="720"/>
      <w:jc w:val="left"/>
    </w:pPr>
    <w:rPr>
      <w:kern w:val="0"/>
      <w:sz w:val="20"/>
      <w:szCs w:val="20"/>
    </w:rPr>
  </w:style>
  <w:style w:type="paragraph" w:customStyle="1" w:styleId="463">
    <w:name w:val="UserStyle_386"/>
    <w:basedOn w:val="1"/>
    <w:qFormat/>
    <w:uiPriority w:val="0"/>
    <w:pPr>
      <w:snapToGrid w:val="0"/>
      <w:ind w:left="200" w:leftChars="200" w:firstLine="200" w:firstLineChars="200"/>
      <w:jc w:val="left"/>
    </w:pPr>
    <w:rPr>
      <w:rFonts w:ascii="宋体"/>
      <w:color w:val="7030A0"/>
      <w:sz w:val="24"/>
      <w:szCs w:val="20"/>
    </w:rPr>
  </w:style>
  <w:style w:type="paragraph" w:customStyle="1" w:styleId="464">
    <w:name w:val="UserStyle_387"/>
    <w:basedOn w:val="1"/>
    <w:qFormat/>
    <w:uiPriority w:val="0"/>
    <w:pPr>
      <w:ind w:firstLine="200" w:firstLineChars="200"/>
      <w:jc w:val="left"/>
    </w:pPr>
    <w:rPr>
      <w:rFonts w:ascii="宋体" w:hAnsi="宋体"/>
      <w:color w:val="7030A0"/>
      <w:szCs w:val="20"/>
    </w:rPr>
  </w:style>
  <w:style w:type="paragraph" w:customStyle="1" w:styleId="465">
    <w:name w:val="UserStyle_3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466">
    <w:name w:val="UserStyle_389"/>
    <w:basedOn w:val="1"/>
    <w:qFormat/>
    <w:uiPriority w:val="0"/>
    <w:pPr>
      <w:ind w:left="838" w:hanging="838" w:hangingChars="262"/>
    </w:pPr>
    <w:rPr>
      <w:rFonts w:ascii="宋体"/>
      <w:b/>
      <w:color w:val="000000"/>
      <w:sz w:val="32"/>
      <w:szCs w:val="20"/>
    </w:rPr>
  </w:style>
  <w:style w:type="paragraph" w:customStyle="1" w:styleId="467">
    <w:name w:val="UserStyle_39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kern w:val="0"/>
      <w:sz w:val="24"/>
    </w:rPr>
  </w:style>
  <w:style w:type="table" w:customStyle="1" w:styleId="468">
    <w:name w:val="TableGrid"/>
    <w:basedOn w:val="40"/>
    <w:qFormat/>
    <w:uiPriority w:val="0"/>
  </w:style>
  <w:style w:type="paragraph" w:customStyle="1" w:styleId="469">
    <w:name w:val="列出段落1"/>
    <w:basedOn w:val="1"/>
    <w:qFormat/>
    <w:uiPriority w:val="34"/>
    <w:pPr>
      <w:ind w:firstLine="420" w:firstLineChars="200"/>
    </w:pPr>
    <w:rPr>
      <w:szCs w:val="20"/>
    </w:rPr>
  </w:style>
  <w:style w:type="paragraph" w:styleId="470">
    <w:name w:val="List Paragraph"/>
    <w:basedOn w:val="1"/>
    <w:unhideWhenUsed/>
    <w:qFormat/>
    <w:uiPriority w:val="99"/>
    <w:pPr>
      <w:ind w:firstLine="420" w:firstLineChars="200"/>
    </w:pPr>
  </w:style>
  <w:style w:type="character" w:customStyle="1" w:styleId="471">
    <w:name w:val="纯文本 Char"/>
    <w:link w:val="472"/>
    <w:qFormat/>
    <w:uiPriority w:val="0"/>
    <w:rPr>
      <w:rFonts w:ascii="宋体" w:hAnsi="Courier New" w:cs="Courier New"/>
      <w:kern w:val="2"/>
      <w:sz w:val="21"/>
      <w:szCs w:val="21"/>
    </w:rPr>
  </w:style>
  <w:style w:type="paragraph" w:customStyle="1" w:styleId="472">
    <w:name w:val="纯文本1"/>
    <w:basedOn w:val="1"/>
    <w:link w:val="471"/>
    <w:qFormat/>
    <w:uiPriority w:val="0"/>
    <w:pPr>
      <w:widowControl w:val="0"/>
      <w:textAlignment w:val="auto"/>
    </w:pPr>
    <w:rPr>
      <w:rFonts w:ascii="宋体" w:hAnsi="Courier New" w:cs="Courier New"/>
      <w:szCs w:val="21"/>
    </w:rPr>
  </w:style>
  <w:style w:type="paragraph" w:customStyle="1" w:styleId="473">
    <w:name w:val="footnote description"/>
    <w:next w:val="1"/>
    <w:link w:val="474"/>
    <w:qFormat/>
    <w:uiPriority w:val="0"/>
    <w:pPr>
      <w:spacing w:line="259" w:lineRule="auto"/>
      <w:ind w:left="14"/>
    </w:pPr>
    <w:rPr>
      <w:rFonts w:ascii="宋体" w:hAnsi="宋体" w:eastAsia="宋体" w:cs="宋体"/>
      <w:color w:val="000000"/>
      <w:kern w:val="2"/>
      <w:sz w:val="18"/>
      <w:szCs w:val="22"/>
      <w:lang w:val="en-US" w:eastAsia="zh-CN" w:bidi="ar-SA"/>
    </w:rPr>
  </w:style>
  <w:style w:type="character" w:customStyle="1" w:styleId="474">
    <w:name w:val="footnote description Char"/>
    <w:link w:val="473"/>
    <w:qFormat/>
    <w:uiPriority w:val="0"/>
    <w:rPr>
      <w:rFonts w:ascii="宋体" w:hAnsi="宋体" w:cs="宋体"/>
      <w:color w:val="000000"/>
      <w:kern w:val="2"/>
      <w:sz w:val="18"/>
      <w:szCs w:val="22"/>
    </w:rPr>
  </w:style>
  <w:style w:type="character" w:customStyle="1" w:styleId="475">
    <w:name w:val="footnote mark"/>
    <w:qFormat/>
    <w:uiPriority w:val="0"/>
    <w:rPr>
      <w:rFonts w:ascii="Times New Roman" w:hAnsi="Times New Roman" w:eastAsia="Times New Roman" w:cs="Times New Roman"/>
      <w:color w:val="000000"/>
      <w:sz w:val="18"/>
      <w:vertAlign w:val="superscript"/>
    </w:rPr>
  </w:style>
  <w:style w:type="paragraph" w:customStyle="1" w:styleId="476">
    <w:name w:val="para"/>
    <w:basedOn w:val="1"/>
    <w:qFormat/>
    <w:uiPriority w:val="0"/>
    <w:pPr>
      <w:spacing w:before="80" w:after="80" w:line="264" w:lineRule="auto"/>
      <w:ind w:left="1134"/>
    </w:pPr>
    <w:rPr>
      <w:rFonts w:ascii="宋体" w:hAnsi="宋体"/>
      <w:spacing w:val="2"/>
      <w:sz w:val="24"/>
      <w:szCs w:val="20"/>
    </w:rPr>
  </w:style>
  <w:style w:type="character" w:customStyle="1" w:styleId="477">
    <w:name w:val="morewin"/>
    <w:basedOn w:val="17"/>
    <w:qFormat/>
    <w:uiPriority w:val="0"/>
  </w:style>
  <w:style w:type="character" w:customStyle="1" w:styleId="478">
    <w:name w:val="label"/>
    <w:basedOn w:val="17"/>
    <w:qFormat/>
    <w:uiPriority w:val="0"/>
  </w:style>
  <w:style w:type="character" w:customStyle="1" w:styleId="479">
    <w:name w:val="error"/>
    <w:basedOn w:val="17"/>
    <w:qFormat/>
    <w:uiPriority w:val="0"/>
    <w:rPr>
      <w:color w:val="CC0000"/>
    </w:rPr>
  </w:style>
  <w:style w:type="character" w:customStyle="1" w:styleId="480">
    <w:name w:val="refresh"/>
    <w:basedOn w:val="17"/>
    <w:qFormat/>
    <w:uiPriority w:val="0"/>
  </w:style>
  <w:style w:type="character" w:customStyle="1" w:styleId="481">
    <w:name w:val="mod"/>
    <w:basedOn w:val="17"/>
    <w:qFormat/>
    <w:uiPriority w:val="0"/>
  </w:style>
  <w:style w:type="character" w:customStyle="1" w:styleId="482">
    <w:name w:val="add"/>
    <w:basedOn w:val="17"/>
    <w:qFormat/>
    <w:uiPriority w:val="0"/>
  </w:style>
  <w:style w:type="character" w:customStyle="1" w:styleId="483">
    <w:name w:val="del"/>
    <w:basedOn w:val="17"/>
    <w:qFormat/>
    <w:uiPriority w:val="0"/>
  </w:style>
  <w:style w:type="character" w:customStyle="1" w:styleId="484">
    <w:name w:val="open"/>
    <w:basedOn w:val="17"/>
    <w:qFormat/>
    <w:uiPriority w:val="0"/>
  </w:style>
  <w:style w:type="character" w:customStyle="1" w:styleId="485">
    <w:name w:val="error4"/>
    <w:basedOn w:val="17"/>
    <w:qFormat/>
    <w:uiPriority w:val="0"/>
    <w:rPr>
      <w:color w:val="CC0000"/>
    </w:rPr>
  </w:style>
  <w:style w:type="character" w:customStyle="1" w:styleId="486">
    <w:name w:val="font31"/>
    <w:basedOn w:val="17"/>
    <w:qFormat/>
    <w:uiPriority w:val="0"/>
    <w:rPr>
      <w:rFonts w:hint="eastAsia" w:ascii="宋体" w:hAnsi="宋体" w:eastAsia="宋体" w:cs="宋体"/>
      <w:color w:val="191919"/>
      <w:sz w:val="24"/>
      <w:szCs w:val="24"/>
      <w:u w:val="none"/>
    </w:rPr>
  </w:style>
  <w:style w:type="character" w:customStyle="1" w:styleId="487">
    <w:name w:val="font121"/>
    <w:basedOn w:val="17"/>
    <w:qFormat/>
    <w:uiPriority w:val="0"/>
    <w:rPr>
      <w:rFonts w:hint="default" w:ascii="Times New Roman" w:hAnsi="Times New Roman" w:cs="Times New Roman"/>
      <w:color w:val="191919"/>
      <w:sz w:val="24"/>
      <w:szCs w:val="24"/>
      <w:u w:val="none"/>
    </w:rPr>
  </w:style>
  <w:style w:type="character" w:customStyle="1" w:styleId="488">
    <w:name w:val="font131"/>
    <w:basedOn w:val="17"/>
    <w:qFormat/>
    <w:uiPriority w:val="0"/>
    <w:rPr>
      <w:rFonts w:hint="eastAsia" w:ascii="宋体" w:hAnsi="宋体" w:eastAsia="宋体" w:cs="宋体"/>
      <w:color w:val="000000"/>
      <w:sz w:val="24"/>
      <w:szCs w:val="24"/>
      <w:u w:val="none"/>
    </w:rPr>
  </w:style>
  <w:style w:type="character" w:customStyle="1" w:styleId="489">
    <w:name w:val="font51"/>
    <w:basedOn w:val="17"/>
    <w:qFormat/>
    <w:uiPriority w:val="0"/>
    <w:rPr>
      <w:rFonts w:hint="eastAsia" w:ascii="宋体" w:hAnsi="宋体" w:eastAsia="宋体" w:cs="宋体"/>
      <w:color w:val="000000"/>
      <w:sz w:val="24"/>
      <w:szCs w:val="24"/>
      <w:u w:val="none"/>
    </w:rPr>
  </w:style>
  <w:style w:type="character" w:customStyle="1" w:styleId="490">
    <w:name w:val="font141"/>
    <w:basedOn w:val="17"/>
    <w:qFormat/>
    <w:uiPriority w:val="0"/>
    <w:rPr>
      <w:rFonts w:ascii="Calibri" w:hAnsi="Calibri" w:cs="Calibri"/>
      <w:color w:val="000000"/>
      <w:sz w:val="21"/>
      <w:szCs w:val="21"/>
      <w:u w:val="none"/>
    </w:rPr>
  </w:style>
  <w:style w:type="character" w:customStyle="1" w:styleId="491">
    <w:name w:val="font101"/>
    <w:basedOn w:val="17"/>
    <w:qFormat/>
    <w:uiPriority w:val="0"/>
    <w:rPr>
      <w:rFonts w:hint="eastAsia" w:ascii="宋体" w:hAnsi="宋体" w:eastAsia="宋体" w:cs="宋体"/>
      <w:color w:val="000000"/>
      <w:sz w:val="21"/>
      <w:szCs w:val="21"/>
      <w:u w:val="none"/>
    </w:rPr>
  </w:style>
  <w:style w:type="character" w:customStyle="1" w:styleId="492">
    <w:name w:val="font122"/>
    <w:basedOn w:val="17"/>
    <w:qFormat/>
    <w:uiPriority w:val="0"/>
    <w:rPr>
      <w:rFonts w:hint="default" w:ascii="Times New Roman" w:hAnsi="Times New Roman" w:cs="Times New Roman"/>
      <w:color w:val="191919"/>
      <w:sz w:val="24"/>
      <w:szCs w:val="24"/>
      <w:u w:val="none"/>
    </w:rPr>
  </w:style>
  <w:style w:type="character" w:customStyle="1" w:styleId="493">
    <w:name w:val="font01"/>
    <w:basedOn w:val="17"/>
    <w:qFormat/>
    <w:uiPriority w:val="0"/>
    <w:rPr>
      <w:rFonts w:hint="eastAsia" w:ascii="宋体" w:hAnsi="宋体" w:eastAsia="宋体" w:cs="宋体"/>
      <w:color w:val="000000"/>
      <w:sz w:val="24"/>
      <w:szCs w:val="24"/>
      <w:u w:val="none"/>
    </w:rPr>
  </w:style>
  <w:style w:type="paragraph" w:customStyle="1" w:styleId="494">
    <w:name w:val="style4"/>
    <w:basedOn w:val="1"/>
    <w:qFormat/>
    <w:uiPriority w:val="0"/>
    <w:pPr>
      <w:spacing w:before="100" w:beforeAutospacing="1" w:after="100" w:afterAutospacing="1"/>
      <w:jc w:val="left"/>
    </w:pPr>
    <w:rPr>
      <w:rFonts w:ascii="宋体" w:hAnsi="宋体" w:cs="宋体"/>
      <w:kern w:val="0"/>
      <w:sz w:val="24"/>
    </w:rPr>
  </w:style>
  <w:style w:type="paragraph" w:customStyle="1" w:styleId="495">
    <w:name w:val="列出段落"/>
    <w:basedOn w:val="1"/>
    <w:qFormat/>
    <w:uiPriority w:val="99"/>
    <w:pPr>
      <w:ind w:firstLine="420" w:firstLineChars="200"/>
    </w:pPr>
  </w:style>
  <w:style w:type="character" w:customStyle="1" w:styleId="496">
    <w:name w:val="font61"/>
    <w:basedOn w:val="17"/>
    <w:qFormat/>
    <w:uiPriority w:val="0"/>
    <w:rPr>
      <w:rFonts w:hint="eastAsia" w:ascii="宋体" w:hAnsi="宋体" w:eastAsia="宋体" w:cs="宋体"/>
      <w:color w:val="191919"/>
      <w:sz w:val="24"/>
      <w:szCs w:val="24"/>
      <w:u w:val="none"/>
    </w:rPr>
  </w:style>
  <w:style w:type="character" w:customStyle="1" w:styleId="497">
    <w:name w:val="font151"/>
    <w:basedOn w:val="17"/>
    <w:qFormat/>
    <w:uiPriority w:val="0"/>
    <w:rPr>
      <w:rFonts w:hint="eastAsia" w:ascii="宋体" w:hAnsi="宋体" w:eastAsia="宋体" w:cs="宋体"/>
      <w:color w:val="000000"/>
      <w:sz w:val="24"/>
      <w:szCs w:val="24"/>
      <w:u w:val="none"/>
    </w:rPr>
  </w:style>
  <w:style w:type="character" w:customStyle="1" w:styleId="498">
    <w:name w:val="font41"/>
    <w:basedOn w:val="17"/>
    <w:qFormat/>
    <w:uiPriority w:val="0"/>
    <w:rPr>
      <w:rFonts w:hint="eastAsia" w:ascii="宋体" w:hAnsi="宋体" w:eastAsia="宋体" w:cs="宋体"/>
      <w:color w:val="000000"/>
      <w:sz w:val="24"/>
      <w:szCs w:val="24"/>
      <w:u w:val="none"/>
    </w:rPr>
  </w:style>
  <w:style w:type="character" w:customStyle="1" w:styleId="499">
    <w:name w:val="font161"/>
    <w:basedOn w:val="17"/>
    <w:qFormat/>
    <w:uiPriority w:val="0"/>
    <w:rPr>
      <w:rFonts w:ascii="Calibri" w:hAnsi="Calibri" w:cs="Calibri"/>
      <w:color w:val="000000"/>
      <w:sz w:val="21"/>
      <w:szCs w:val="21"/>
      <w:u w:val="none"/>
    </w:rPr>
  </w:style>
  <w:style w:type="paragraph" w:customStyle="1" w:styleId="500">
    <w:name w:val="样式1"/>
    <w:basedOn w:val="4"/>
    <w:qFormat/>
    <w:uiPriority w:val="0"/>
    <w:pPr>
      <w:spacing w:before="100" w:beforeAutospacing="1" w:after="100" w:afterAutospacing="1"/>
      <w:ind w:right="100" w:rightChars="100"/>
    </w:pPr>
    <w:rPr>
      <w:sz w:val="21"/>
    </w:rPr>
  </w:style>
  <w:style w:type="paragraph" w:customStyle="1" w:styleId="501">
    <w:name w:val="列表段落1"/>
    <w:basedOn w:val="1"/>
    <w:qFormat/>
    <w:uiPriority w:val="34"/>
    <w:pPr>
      <w:ind w:firstLine="420" w:firstLineChars="200"/>
    </w:pPr>
  </w:style>
  <w:style w:type="character" w:customStyle="1" w:styleId="502">
    <w:name w:val="font11"/>
    <w:basedOn w:val="17"/>
    <w:qFormat/>
    <w:uiPriority w:val="0"/>
    <w:rPr>
      <w:rFonts w:hint="eastAsia" w:ascii="宋体" w:hAnsi="宋体" w:eastAsia="宋体" w:cs="宋体"/>
      <w:color w:val="000000"/>
      <w:sz w:val="20"/>
      <w:szCs w:val="20"/>
      <w:u w:val="none"/>
    </w:rPr>
  </w:style>
  <w:style w:type="character" w:customStyle="1" w:styleId="503">
    <w:name w:val="font71"/>
    <w:basedOn w:val="17"/>
    <w:qFormat/>
    <w:uiPriority w:val="0"/>
    <w:rPr>
      <w:rFonts w:hint="eastAsia" w:ascii="宋体" w:hAnsi="宋体" w:eastAsia="宋体" w:cs="宋体"/>
      <w:b/>
      <w:bCs/>
      <w:color w:val="000000"/>
      <w:sz w:val="20"/>
      <w:szCs w:val="20"/>
      <w:u w:val="none"/>
    </w:rPr>
  </w:style>
  <w:style w:type="character" w:customStyle="1" w:styleId="504">
    <w:name w:val="font91"/>
    <w:basedOn w:val="17"/>
    <w:qFormat/>
    <w:uiPriority w:val="0"/>
    <w:rPr>
      <w:rFonts w:hint="default" w:ascii="Times New Roman" w:hAnsi="Times New Roman" w:cs="Times New Roman"/>
      <w:color w:val="000000"/>
      <w:sz w:val="20"/>
      <w:szCs w:val="20"/>
      <w:u w:val="none"/>
    </w:rPr>
  </w:style>
  <w:style w:type="paragraph" w:customStyle="1" w:styleId="505">
    <w:name w:val="List Paragraph_68ba03c2-010b-4a74-90d4-2f7eb3fe5019"/>
    <w:basedOn w:val="1"/>
    <w:qFormat/>
    <w:uiPriority w:val="34"/>
    <w:pPr>
      <w:ind w:firstLine="420" w:firstLineChars="200"/>
    </w:pPr>
  </w:style>
  <w:style w:type="paragraph" w:customStyle="1" w:styleId="506">
    <w:name w:val="无间隔1"/>
    <w:basedOn w:val="1"/>
    <w:qFormat/>
    <w:uiPriority w:val="0"/>
    <w:pPr>
      <w:jc w:val="left"/>
    </w:pPr>
    <w:rPr>
      <w:kern w:val="0"/>
      <w:sz w:val="22"/>
      <w:szCs w:val="20"/>
      <w:lang w:eastAsia="en-US" w:bidi="en-US"/>
    </w:rPr>
  </w:style>
  <w:style w:type="paragraph" w:customStyle="1" w:styleId="507">
    <w:name w:val="列出段落11"/>
    <w:basedOn w:val="1"/>
    <w:qFormat/>
    <w:uiPriority w:val="0"/>
    <w:pPr>
      <w:spacing w:before="40" w:after="160"/>
      <w:ind w:firstLine="420" w:firstLineChars="200"/>
      <w:textAlignment w:val="auto"/>
    </w:pPr>
    <w:rPr>
      <w:rFonts w:ascii="Cambria" w:hAnsi="Cambria" w:eastAsia="微软雅黑" w:cs="Cambria"/>
      <w:color w:val="565656"/>
      <w:kern w:val="20"/>
      <w:szCs w:val="21"/>
      <w:lang w:val="zh-CN"/>
    </w:rPr>
  </w:style>
  <w:style w:type="paragraph" w:customStyle="1" w:styleId="508">
    <w:name w:val="Text"/>
    <w:basedOn w:val="1"/>
    <w:qFormat/>
    <w:uiPriority w:val="0"/>
    <w:pPr>
      <w:autoSpaceDE w:val="0"/>
      <w:autoSpaceDN w:val="0"/>
      <w:adjustRightInd w:val="0"/>
      <w:spacing w:before="60" w:after="40"/>
      <w:jc w:val="left"/>
    </w:pPr>
    <w:rPr>
      <w:rFonts w:ascii="宋体"/>
      <w:kern w:val="0"/>
      <w:sz w:val="20"/>
      <w:szCs w:val="20"/>
    </w:rPr>
  </w:style>
  <w:style w:type="paragraph" w:customStyle="1" w:styleId="509">
    <w:name w:val="Other|1"/>
    <w:basedOn w:val="1"/>
    <w:qFormat/>
    <w:uiPriority w:val="0"/>
    <w:pPr>
      <w:widowControl w:val="0"/>
      <w:jc w:val="center"/>
    </w:pPr>
    <w:rPr>
      <w:rFonts w:ascii="宋体" w:hAnsi="宋体" w:cs="宋体"/>
      <w:lang w:val="zh-TW" w:eastAsia="zh-TW" w:bidi="zh-TW"/>
    </w:rPr>
  </w:style>
  <w:style w:type="paragraph" w:styleId="510">
    <w:name w:val="No Spacing"/>
    <w:qFormat/>
    <w:uiPriority w:val="1"/>
    <w:rPr>
      <w:rFonts w:ascii="Times New Roman" w:hAnsi="Times New Roman" w:eastAsia="宋体" w:cs="Times New Roman"/>
      <w:sz w:val="24"/>
      <w:szCs w:val="24"/>
      <w:lang w:val="en-US" w:eastAsia="zh-CN" w:bidi="ar-SA"/>
    </w:rPr>
  </w:style>
  <w:style w:type="paragraph" w:customStyle="1" w:styleId="511">
    <w:name w:val="_Style 8"/>
    <w:basedOn w:val="1"/>
    <w:next w:val="1"/>
    <w:qFormat/>
    <w:uiPriority w:val="0"/>
    <w:pPr>
      <w:pBdr>
        <w:top w:val="single" w:color="auto" w:sz="6" w:space="1"/>
      </w:pBdr>
      <w:jc w:val="center"/>
    </w:pPr>
    <w:rPr>
      <w:rFonts w:ascii="Arial"/>
      <w:vanish/>
      <w:sz w:val="16"/>
    </w:rPr>
  </w:style>
  <w:style w:type="paragraph" w:customStyle="1" w:styleId="512">
    <w:name w:val="_Style 7"/>
    <w:basedOn w:val="1"/>
    <w:next w:val="1"/>
    <w:qFormat/>
    <w:uiPriority w:val="0"/>
    <w:pPr>
      <w:pBdr>
        <w:bottom w:val="single" w:color="auto" w:sz="6" w:space="1"/>
      </w:pBdr>
      <w:jc w:val="center"/>
    </w:pPr>
    <w:rPr>
      <w:rFonts w:ascii="Arial"/>
      <w:vanish/>
      <w:sz w:val="16"/>
    </w:rPr>
  </w:style>
  <w:style w:type="paragraph" w:customStyle="1" w:styleId="513">
    <w:name w:val="正文 A"/>
    <w:qFormat/>
    <w:uiPriority w:val="0"/>
    <w:rPr>
      <w:rFonts w:hint="eastAsia" w:ascii="Arial Unicode MS" w:hAnsi="Arial Unicode MS" w:eastAsia="Arial Unicode MS" w:cs="Arial Unicode MS"/>
      <w:color w:val="000000"/>
      <w:sz w:val="22"/>
      <w:szCs w:val="22"/>
      <w:u w:color="000000"/>
      <w:lang w:val="zh-TW" w:eastAsia="zh-TW" w:bidi="ar-SA"/>
    </w:rPr>
  </w:style>
  <w:style w:type="character" w:customStyle="1" w:styleId="514">
    <w:name w:val="font21"/>
    <w:basedOn w:val="17"/>
    <w:qFormat/>
    <w:uiPriority w:val="0"/>
    <w:rPr>
      <w:rFonts w:hint="eastAsia" w:ascii="宋体" w:hAnsi="宋体" w:eastAsia="宋体" w:cs="宋体"/>
      <w:color w:val="000000"/>
      <w:sz w:val="22"/>
      <w:szCs w:val="22"/>
      <w:u w:val="none"/>
    </w:rPr>
  </w:style>
  <w:style w:type="paragraph" w:customStyle="1" w:styleId="5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516">
    <w:name w:val="二级条标题"/>
    <w:basedOn w:val="517"/>
    <w:next w:val="515"/>
    <w:qFormat/>
    <w:uiPriority w:val="0"/>
    <w:pPr>
      <w:numPr>
        <w:ilvl w:val="2"/>
      </w:numPr>
      <w:spacing w:before="50" w:beforeLines="0" w:after="50" w:afterLines="0"/>
      <w:outlineLvl w:val="3"/>
    </w:pPr>
  </w:style>
  <w:style w:type="paragraph" w:customStyle="1" w:styleId="517">
    <w:name w:val="一级条标题"/>
    <w:next w:val="515"/>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518">
    <w:name w:val="l-btn-empty"/>
    <w:basedOn w:val="17"/>
    <w:qFormat/>
    <w:uiPriority w:val="0"/>
  </w:style>
  <w:style w:type="character" w:customStyle="1" w:styleId="519">
    <w:name w:val="edui-clickable"/>
    <w:basedOn w:val="17"/>
    <w:qFormat/>
    <w:uiPriority w:val="0"/>
    <w:rPr>
      <w:color w:val="0000FF"/>
      <w:u w:val="single"/>
    </w:rPr>
  </w:style>
  <w:style w:type="character" w:customStyle="1" w:styleId="520">
    <w:name w:val="field-validation-error"/>
    <w:basedOn w:val="17"/>
    <w:qFormat/>
    <w:uiPriority w:val="0"/>
  </w:style>
  <w:style w:type="character" w:customStyle="1" w:styleId="521">
    <w:name w:val="l-btn-left2"/>
    <w:basedOn w:val="17"/>
    <w:qFormat/>
    <w:uiPriority w:val="0"/>
  </w:style>
  <w:style w:type="character" w:customStyle="1" w:styleId="522">
    <w:name w:val="l-btn-left3"/>
    <w:basedOn w:val="17"/>
    <w:qFormat/>
    <w:uiPriority w:val="0"/>
  </w:style>
  <w:style w:type="character" w:customStyle="1" w:styleId="523">
    <w:name w:val="l-btn-left4"/>
    <w:basedOn w:val="17"/>
    <w:qFormat/>
    <w:uiPriority w:val="0"/>
  </w:style>
  <w:style w:type="character" w:customStyle="1" w:styleId="524">
    <w:name w:val="u_name"/>
    <w:basedOn w:val="17"/>
    <w:qFormat/>
    <w:uiPriority w:val="0"/>
    <w:rPr>
      <w:color w:val="555555"/>
    </w:rPr>
  </w:style>
  <w:style w:type="character" w:customStyle="1" w:styleId="525">
    <w:name w:val="u_name1"/>
    <w:basedOn w:val="17"/>
    <w:qFormat/>
    <w:uiPriority w:val="0"/>
    <w:rPr>
      <w:color w:val="FF0000"/>
    </w:rPr>
  </w:style>
  <w:style w:type="character" w:customStyle="1" w:styleId="526">
    <w:name w:val="l-btn-text"/>
    <w:basedOn w:val="17"/>
    <w:qFormat/>
    <w:uiPriority w:val="0"/>
  </w:style>
  <w:style w:type="character" w:customStyle="1" w:styleId="527">
    <w:name w:val="edui-unclickable"/>
    <w:basedOn w:val="17"/>
    <w:qFormat/>
    <w:uiPriority w:val="0"/>
    <w:rPr>
      <w:color w:val="808080"/>
    </w:rPr>
  </w:style>
  <w:style w:type="character" w:customStyle="1" w:styleId="528">
    <w:name w:val="red"/>
    <w:basedOn w:val="17"/>
    <w:qFormat/>
    <w:uiPriority w:val="0"/>
    <w:rPr>
      <w:rFonts w:ascii="Arial" w:hAnsi="Arial" w:cs="Arial"/>
      <w:color w:val="FF0000"/>
      <w:sz w:val="16"/>
      <w:szCs w:val="16"/>
    </w:rPr>
  </w:style>
  <w:style w:type="character" w:customStyle="1" w:styleId="529">
    <w:name w:val="i_listnum"/>
    <w:basedOn w:val="17"/>
    <w:qFormat/>
    <w:uiPriority w:val="0"/>
    <w:rPr>
      <w:color w:val="FFFFFF"/>
      <w:sz w:val="16"/>
      <w:szCs w:val="16"/>
    </w:rPr>
  </w:style>
  <w:style w:type="character" w:customStyle="1" w:styleId="530">
    <w:name w:val="edui-clickable2"/>
    <w:basedOn w:val="17"/>
    <w:qFormat/>
    <w:uiPriority w:val="0"/>
    <w:rPr>
      <w:color w:val="0000FF"/>
      <w:u w:val="single"/>
    </w:rPr>
  </w:style>
  <w:style w:type="character" w:customStyle="1" w:styleId="531">
    <w:name w:val="l-btn-left5"/>
    <w:basedOn w:val="17"/>
    <w:qFormat/>
    <w:uiPriority w:val="0"/>
  </w:style>
  <w:style w:type="paragraph" w:customStyle="1" w:styleId="53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533">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8FF62-6F73-4BBB-9598-8328AEE891A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90</Pages>
  <Words>40401</Words>
  <Characters>43084</Characters>
  <Lines>342</Lines>
  <Paragraphs>96</Paragraphs>
  <TotalTime>7</TotalTime>
  <ScaleCrop>false</ScaleCrop>
  <LinksUpToDate>false</LinksUpToDate>
  <CharactersWithSpaces>44727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2020-12-22T08:01:00Z</dcterms:created>
  <dc:creator>Administrator</dc:creator>
  <cp:lastModifiedBy>吓到我了丶赔钱</cp:lastModifiedBy>
  <cp:lastPrinted>2022-11-18T08:17:00Z</cp:lastPrinted>
  <dcterms:modified xsi:type="dcterms:W3CDTF">2023-06-16T08:38:33Z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1C184503C54A40D19CC299761FFE2CD5_13</vt:lpwstr>
  </property>
  <property fmtid="{D5CDD505-2E9C-101B-9397-08002B2CF9AE}" pid="4" name="MSIP_Label_defa4170-0d19-0005-0004-bc88714345d2_Enabled">
    <vt:lpwstr>true</vt:lpwstr>
  </property>
  <property fmtid="{D5CDD505-2E9C-101B-9397-08002B2CF9AE}" pid="5" name="MSIP_Label_defa4170-0d19-0005-0004-bc88714345d2_SetDate">
    <vt:lpwstr>2023-06-15T13:28:41Z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db9ef90d-d146-4497-8dff-65be1f9bd367</vt:lpwstr>
  </property>
  <property fmtid="{D5CDD505-2E9C-101B-9397-08002B2CF9AE}" pid="9" name="MSIP_Label_defa4170-0d19-0005-0004-bc88714345d2_ActionId">
    <vt:lpwstr>67eb9e16-ddf7-4585-a707-2b802a4ad778</vt:lpwstr>
  </property>
  <property fmtid="{D5CDD505-2E9C-101B-9397-08002B2CF9AE}" pid="10" name="MSIP_Label_defa4170-0d19-0005-0004-bc88714345d2_ContentBits">
    <vt:lpwstr>0</vt:lpwstr>
  </property>
</Properties>
</file>