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8"/>
        <w:adjustRightInd w:val="0"/>
        <w:snapToGrid w:val="0"/>
        <w:spacing w:line="360" w:lineRule="auto"/>
        <w:jc w:val="center"/>
        <w:rPr>
          <w:rFonts w:hint="eastAsia"/>
          <w:b/>
          <w:bCs/>
          <w:sz w:val="48"/>
          <w:szCs w:val="48"/>
          <w:highlight w:val="none"/>
          <w:lang w:eastAsia="zh-CN"/>
        </w:rPr>
      </w:pPr>
    </w:p>
    <w:p>
      <w:pPr>
        <w:pStyle w:val="18"/>
        <w:adjustRightInd w:val="0"/>
        <w:snapToGrid w:val="0"/>
        <w:spacing w:line="360" w:lineRule="auto"/>
        <w:jc w:val="center"/>
        <w:rPr>
          <w:rFonts w:hint="default" w:eastAsia="宋体"/>
          <w:b/>
          <w:bCs/>
          <w:sz w:val="48"/>
          <w:szCs w:val="48"/>
          <w:highlight w:val="none"/>
          <w:lang w:val="en-US" w:eastAsia="zh-CN"/>
        </w:rPr>
      </w:pPr>
      <w:r>
        <w:rPr>
          <w:rFonts w:hint="eastAsia"/>
          <w:b/>
          <w:bCs/>
          <w:sz w:val="48"/>
          <w:szCs w:val="48"/>
          <w:highlight w:val="none"/>
          <w:lang w:eastAsia="zh-CN"/>
        </w:rPr>
        <w:t>2023年曲水县“十三五”期间政府项目（2000万-5000万）审计</w:t>
      </w:r>
    </w:p>
    <w:p>
      <w:pPr>
        <w:pStyle w:val="18"/>
        <w:tabs>
          <w:tab w:val="left" w:pos="569"/>
          <w:tab w:val="center" w:pos="4683"/>
        </w:tabs>
        <w:spacing w:line="360" w:lineRule="auto"/>
        <w:jc w:val="left"/>
        <w:rPr>
          <w:rFonts w:hint="eastAsia" w:eastAsia="宋体"/>
          <w:b/>
          <w:bCs/>
          <w:sz w:val="32"/>
          <w:szCs w:val="32"/>
          <w:highlight w:val="none"/>
          <w:lang w:eastAsia="zh-CN"/>
        </w:rPr>
      </w:pPr>
      <w:r>
        <w:rPr>
          <w:rFonts w:hint="eastAsia"/>
          <w:b/>
          <w:bCs/>
          <w:sz w:val="32"/>
          <w:szCs w:val="32"/>
          <w:highlight w:val="none"/>
        </w:rPr>
        <w:tab/>
      </w:r>
      <w:r>
        <w:rPr>
          <w:rFonts w:hint="eastAsia"/>
          <w:b/>
          <w:bCs/>
          <w:sz w:val="32"/>
          <w:szCs w:val="32"/>
          <w:highlight w:val="none"/>
        </w:rPr>
        <w:tab/>
      </w:r>
      <w:r>
        <w:rPr>
          <w:rFonts w:hint="eastAsia"/>
          <w:b/>
          <w:bCs/>
          <w:sz w:val="32"/>
          <w:szCs w:val="32"/>
          <w:highlight w:val="none"/>
          <w:lang w:val="en-US" w:eastAsia="zh-CN"/>
        </w:rPr>
        <w:t>项目</w:t>
      </w:r>
      <w:r>
        <w:rPr>
          <w:rFonts w:hint="eastAsia"/>
          <w:b/>
          <w:bCs/>
          <w:sz w:val="32"/>
          <w:szCs w:val="32"/>
          <w:highlight w:val="none"/>
        </w:rPr>
        <w:t>编号：</w:t>
      </w:r>
      <w:r>
        <w:rPr>
          <w:rFonts w:hint="eastAsia"/>
          <w:b/>
          <w:bCs/>
          <w:sz w:val="32"/>
          <w:szCs w:val="32"/>
          <w:highlight w:val="none"/>
          <w:lang w:eastAsia="zh-CN"/>
        </w:rPr>
        <w:t>ZZ2300338DQ10024</w:t>
      </w:r>
    </w:p>
    <w:p>
      <w:pPr>
        <w:pStyle w:val="18"/>
        <w:spacing w:line="360" w:lineRule="auto"/>
        <w:rPr>
          <w:rFonts w:hint="eastAsia"/>
          <w:b/>
          <w:bCs/>
          <w:sz w:val="84"/>
          <w:szCs w:val="84"/>
          <w:highlight w:val="none"/>
        </w:rPr>
      </w:pPr>
    </w:p>
    <w:p>
      <w:pPr>
        <w:rPr>
          <w:rFonts w:hint="eastAsia"/>
          <w:highlight w:val="none"/>
        </w:rPr>
      </w:pPr>
    </w:p>
    <w:p>
      <w:pPr>
        <w:pStyle w:val="18"/>
        <w:spacing w:line="360" w:lineRule="auto"/>
        <w:jc w:val="center"/>
        <w:rPr>
          <w:rFonts w:hint="eastAsia"/>
          <w:b/>
          <w:bCs/>
          <w:sz w:val="84"/>
          <w:szCs w:val="84"/>
          <w:highlight w:val="none"/>
        </w:rPr>
      </w:pPr>
    </w:p>
    <w:p>
      <w:pPr>
        <w:pStyle w:val="18"/>
        <w:spacing w:line="360" w:lineRule="auto"/>
        <w:jc w:val="center"/>
        <w:rPr>
          <w:rFonts w:hint="eastAsia"/>
          <w:b/>
          <w:bCs/>
          <w:sz w:val="84"/>
          <w:szCs w:val="84"/>
          <w:highlight w:val="none"/>
        </w:rPr>
      </w:pPr>
      <w:r>
        <w:rPr>
          <w:rFonts w:hint="eastAsia"/>
          <w:b/>
          <w:bCs/>
          <w:sz w:val="84"/>
          <w:szCs w:val="84"/>
          <w:highlight w:val="none"/>
        </w:rPr>
        <w:t>招 标 文 件</w:t>
      </w:r>
    </w:p>
    <w:p>
      <w:pPr>
        <w:pStyle w:val="18"/>
        <w:spacing w:line="360" w:lineRule="auto"/>
        <w:rPr>
          <w:rFonts w:hint="eastAsia"/>
          <w:highlight w:val="none"/>
        </w:rPr>
      </w:pPr>
    </w:p>
    <w:p>
      <w:pPr>
        <w:pStyle w:val="18"/>
        <w:spacing w:line="360" w:lineRule="auto"/>
        <w:rPr>
          <w:rFonts w:hint="eastAsia"/>
          <w:highlight w:val="none"/>
        </w:rPr>
      </w:pPr>
    </w:p>
    <w:p>
      <w:pPr>
        <w:pStyle w:val="18"/>
        <w:spacing w:line="360" w:lineRule="auto"/>
        <w:rPr>
          <w:rFonts w:hint="eastAsia"/>
          <w:highlight w:val="none"/>
        </w:rPr>
      </w:pPr>
    </w:p>
    <w:p>
      <w:pPr>
        <w:pStyle w:val="18"/>
        <w:spacing w:line="360" w:lineRule="auto"/>
        <w:rPr>
          <w:rFonts w:hint="eastAsia"/>
          <w:highlight w:val="none"/>
        </w:rPr>
      </w:pPr>
    </w:p>
    <w:p>
      <w:pPr>
        <w:rPr>
          <w:rFonts w:hint="eastAsia"/>
          <w:highlight w:val="none"/>
        </w:rPr>
      </w:pPr>
    </w:p>
    <w:p>
      <w:pPr>
        <w:rPr>
          <w:rFonts w:hint="eastAsia"/>
          <w:highlight w:val="none"/>
        </w:rPr>
      </w:pPr>
    </w:p>
    <w:p>
      <w:pPr>
        <w:rPr>
          <w:rFonts w:hint="eastAsia"/>
          <w:highlight w:val="none"/>
        </w:rPr>
      </w:pPr>
    </w:p>
    <w:p>
      <w:pPr>
        <w:pStyle w:val="18"/>
        <w:spacing w:line="360" w:lineRule="auto"/>
        <w:rPr>
          <w:rFonts w:hint="eastAsia"/>
          <w:b/>
          <w:bCs/>
          <w:sz w:val="32"/>
          <w:highlight w:val="none"/>
        </w:rPr>
      </w:pPr>
    </w:p>
    <w:p>
      <w:pPr>
        <w:pStyle w:val="18"/>
        <w:keepNext/>
        <w:keepLines w:val="0"/>
        <w:pageBreakBefore w:val="0"/>
        <w:widowControl w:val="0"/>
        <w:kinsoku/>
        <w:wordWrap/>
        <w:overflowPunct/>
        <w:topLinePunct w:val="0"/>
        <w:autoSpaceDE/>
        <w:autoSpaceDN/>
        <w:bidi w:val="0"/>
        <w:adjustRightInd/>
        <w:snapToGrid/>
        <w:spacing w:line="360" w:lineRule="auto"/>
        <w:ind w:firstLine="1280" w:firstLineChars="400"/>
        <w:textAlignment w:val="auto"/>
        <w:rPr>
          <w:rFonts w:hint="eastAsia" w:eastAsia="宋体"/>
          <w:b/>
          <w:bCs/>
          <w:sz w:val="32"/>
          <w:szCs w:val="32"/>
          <w:highlight w:val="none"/>
          <w:lang w:eastAsia="zh-CN"/>
        </w:rPr>
      </w:pPr>
      <w:r>
        <w:rPr>
          <w:rFonts w:hint="eastAsia"/>
          <w:b/>
          <w:bCs/>
          <w:sz w:val="32"/>
          <w:szCs w:val="32"/>
          <w:highlight w:val="none"/>
        </w:rPr>
        <w:t>采购人：</w:t>
      </w:r>
      <w:r>
        <w:rPr>
          <w:rFonts w:hint="eastAsia"/>
          <w:b/>
          <w:bCs/>
          <w:sz w:val="32"/>
          <w:szCs w:val="32"/>
          <w:highlight w:val="none"/>
          <w:lang w:eastAsia="zh-CN"/>
        </w:rPr>
        <w:t>曲水县审计局</w:t>
      </w:r>
    </w:p>
    <w:p>
      <w:pPr>
        <w:pStyle w:val="18"/>
        <w:keepNext/>
        <w:keepLines w:val="0"/>
        <w:pageBreakBefore w:val="0"/>
        <w:widowControl w:val="0"/>
        <w:kinsoku/>
        <w:wordWrap/>
        <w:overflowPunct/>
        <w:topLinePunct w:val="0"/>
        <w:autoSpaceDE/>
        <w:autoSpaceDN/>
        <w:bidi w:val="0"/>
        <w:adjustRightInd/>
        <w:snapToGrid/>
        <w:spacing w:line="360" w:lineRule="auto"/>
        <w:ind w:firstLine="1280" w:firstLineChars="400"/>
        <w:textAlignment w:val="auto"/>
        <w:rPr>
          <w:rFonts w:hint="eastAsia"/>
          <w:b/>
          <w:bCs/>
          <w:sz w:val="32"/>
          <w:szCs w:val="32"/>
          <w:highlight w:val="none"/>
        </w:rPr>
      </w:pPr>
      <w:r>
        <w:rPr>
          <w:rFonts w:hint="eastAsia"/>
          <w:b/>
          <w:bCs/>
          <w:sz w:val="32"/>
          <w:szCs w:val="32"/>
          <w:highlight w:val="none"/>
        </w:rPr>
        <w:t>采购代理机构：云南中咨海外咨询有限公司</w:t>
      </w:r>
    </w:p>
    <w:p>
      <w:pPr>
        <w:pStyle w:val="18"/>
        <w:keepNext/>
        <w:keepLines w:val="0"/>
        <w:pageBreakBefore w:val="0"/>
        <w:widowControl w:val="0"/>
        <w:kinsoku/>
        <w:wordWrap/>
        <w:overflowPunct/>
        <w:topLinePunct w:val="0"/>
        <w:autoSpaceDE/>
        <w:autoSpaceDN/>
        <w:bidi w:val="0"/>
        <w:adjustRightInd/>
        <w:snapToGrid/>
        <w:spacing w:line="360" w:lineRule="auto"/>
        <w:ind w:firstLine="1280" w:firstLineChars="400"/>
        <w:textAlignment w:val="auto"/>
        <w:rPr>
          <w:b/>
          <w:sz w:val="44"/>
          <w:highlight w:val="none"/>
        </w:rPr>
        <w:sectPr>
          <w:footerReference r:id="rId6" w:type="first"/>
          <w:headerReference r:id="rId3" w:type="default"/>
          <w:footerReference r:id="rId4" w:type="default"/>
          <w:footerReference r:id="rId5" w:type="even"/>
          <w:pgSz w:w="11850" w:h="16783"/>
          <w:pgMar w:top="1418" w:right="1134" w:bottom="1134" w:left="1418" w:header="779" w:footer="720" w:gutter="0"/>
          <w:pgNumType w:start="0"/>
          <w:cols w:space="708" w:num="1"/>
          <w:titlePg/>
          <w:docGrid w:type="linesAndChars" w:linePitch="331" w:charSpace="0"/>
        </w:sectPr>
      </w:pPr>
      <w:r>
        <w:rPr>
          <w:rFonts w:hint="eastAsia"/>
          <w:b/>
          <w:bCs/>
          <w:sz w:val="32"/>
          <w:szCs w:val="32"/>
          <w:highlight w:val="none"/>
        </w:rPr>
        <w:t>日        期：二〇二</w:t>
      </w:r>
      <w:r>
        <w:rPr>
          <w:rFonts w:hint="eastAsia"/>
          <w:b/>
          <w:bCs/>
          <w:sz w:val="32"/>
          <w:szCs w:val="32"/>
          <w:highlight w:val="none"/>
          <w:lang w:val="en-US" w:eastAsia="zh-CN"/>
        </w:rPr>
        <w:t>三</w:t>
      </w:r>
      <w:r>
        <w:rPr>
          <w:rFonts w:hint="eastAsia"/>
          <w:b/>
          <w:bCs/>
          <w:sz w:val="32"/>
          <w:szCs w:val="32"/>
          <w:highlight w:val="none"/>
        </w:rPr>
        <w:t>年</w:t>
      </w:r>
      <w:r>
        <w:rPr>
          <w:rFonts w:hint="eastAsia"/>
          <w:b/>
          <w:bCs/>
          <w:sz w:val="32"/>
          <w:szCs w:val="32"/>
          <w:highlight w:val="none"/>
          <w:lang w:val="en-US" w:eastAsia="zh-CN"/>
        </w:rPr>
        <w:t>四</w:t>
      </w:r>
      <w:r>
        <w:rPr>
          <w:rFonts w:hint="eastAsia"/>
          <w:b/>
          <w:bCs/>
          <w:sz w:val="32"/>
          <w:szCs w:val="32"/>
          <w:highlight w:val="none"/>
        </w:rPr>
        <w:t>月</w:t>
      </w:r>
    </w:p>
    <w:p>
      <w:pPr>
        <w:pStyle w:val="18"/>
        <w:spacing w:line="360" w:lineRule="auto"/>
        <w:jc w:val="center"/>
        <w:rPr>
          <w:rFonts w:hint="eastAsia"/>
          <w:b/>
          <w:sz w:val="36"/>
          <w:szCs w:val="36"/>
          <w:highlight w:val="none"/>
        </w:rPr>
      </w:pPr>
      <w:r>
        <w:rPr>
          <w:rFonts w:hint="eastAsia"/>
          <w:b/>
          <w:sz w:val="36"/>
          <w:szCs w:val="36"/>
          <w:highlight w:val="none"/>
        </w:rPr>
        <w:t>目  录</w:t>
      </w:r>
    </w:p>
    <w:p>
      <w:pPr>
        <w:pStyle w:val="24"/>
        <w:keepNext w:val="0"/>
        <w:keepLines w:val="0"/>
        <w:pageBreakBefore w:val="0"/>
        <w:widowControl w:val="0"/>
        <w:tabs>
          <w:tab w:val="right" w:leader="dot" w:pos="8710"/>
        </w:tabs>
        <w:kinsoku/>
        <w:wordWrap/>
        <w:overflowPunct/>
        <w:topLinePunct w:val="0"/>
        <w:autoSpaceDE/>
        <w:autoSpaceDN/>
        <w:bidi w:val="0"/>
        <w:snapToGrid/>
        <w:spacing w:before="0" w:after="0" w:line="360" w:lineRule="auto"/>
        <w:textAlignment w:val="auto"/>
        <w:rPr>
          <w:rFonts w:hint="eastAsia" w:ascii="宋体" w:hAnsi="宋体" w:eastAsia="宋体" w:cs="宋体"/>
          <w:sz w:val="21"/>
          <w:szCs w:val="21"/>
          <w:highlight w:val="none"/>
        </w:rPr>
      </w:pPr>
      <w:bookmarkStart w:id="0" w:name="_Toc14250"/>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TOC \o "1-3" \h \u </w:instrText>
      </w:r>
      <w:r>
        <w:rPr>
          <w:rFonts w:hint="eastAsia" w:ascii="宋体" w:hAnsi="宋体" w:eastAsia="宋体" w:cs="宋体"/>
          <w:sz w:val="24"/>
          <w:szCs w:val="24"/>
          <w:highlight w:val="none"/>
        </w:rPr>
        <w:fldChar w:fldCharType="separate"/>
      </w:r>
      <w:bookmarkEnd w:id="0"/>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HYPERLINK \l _Toc27872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第一章  招标公告</w:t>
      </w:r>
      <w:r>
        <w:rPr>
          <w:rFonts w:hint="eastAsia" w:ascii="宋体" w:hAnsi="宋体" w:eastAsia="宋体" w:cs="宋体"/>
          <w:sz w:val="21"/>
          <w:szCs w:val="21"/>
          <w:highlight w:val="none"/>
        </w:rPr>
        <w:tab/>
      </w: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PAGEREF _Toc27872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4</w:t>
      </w:r>
      <w:r>
        <w:rPr>
          <w:rFonts w:hint="eastAsia" w:ascii="宋体" w:hAnsi="宋体" w:eastAsia="宋体" w:cs="宋体"/>
          <w:sz w:val="21"/>
          <w:szCs w:val="21"/>
          <w:highlight w:val="none"/>
        </w:rPr>
        <w:fldChar w:fldCharType="end"/>
      </w:r>
      <w:r>
        <w:rPr>
          <w:rFonts w:hint="eastAsia" w:ascii="宋体" w:hAnsi="宋体" w:eastAsia="宋体" w:cs="宋体"/>
          <w:sz w:val="21"/>
          <w:szCs w:val="21"/>
          <w:highlight w:val="none"/>
        </w:rPr>
        <w:fldChar w:fldCharType="end"/>
      </w:r>
    </w:p>
    <w:p>
      <w:pPr>
        <w:pStyle w:val="28"/>
        <w:keepNext w:val="0"/>
        <w:keepLines w:val="0"/>
        <w:pageBreakBefore w:val="0"/>
        <w:widowControl w:val="0"/>
        <w:tabs>
          <w:tab w:val="right" w:leader="dot" w:pos="8710"/>
          <w:tab w:val="clear" w:pos="9344"/>
        </w:tabs>
        <w:kinsoku/>
        <w:wordWrap/>
        <w:overflowPunct/>
        <w:topLinePunct w:val="0"/>
        <w:autoSpaceDE/>
        <w:autoSpaceDN/>
        <w:bidi w:val="0"/>
        <w:snapToGrid/>
        <w:spacing w:line="360"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HYPERLINK \l _Toc23653 </w:instrText>
      </w:r>
      <w:r>
        <w:rPr>
          <w:rFonts w:hint="eastAsia" w:ascii="宋体" w:hAnsi="宋体" w:eastAsia="宋体" w:cs="宋体"/>
          <w:sz w:val="21"/>
          <w:szCs w:val="21"/>
          <w:highlight w:val="none"/>
        </w:rPr>
        <w:fldChar w:fldCharType="separate"/>
      </w:r>
      <w:r>
        <w:rPr>
          <w:rFonts w:hint="eastAsia" w:ascii="宋体" w:hAnsi="宋体" w:eastAsia="宋体" w:cs="宋体"/>
          <w:bCs/>
          <w:sz w:val="21"/>
          <w:szCs w:val="21"/>
          <w:highlight w:val="none"/>
        </w:rPr>
        <w:t>项目概况</w:t>
      </w:r>
      <w:r>
        <w:rPr>
          <w:rFonts w:hint="eastAsia" w:ascii="宋体" w:hAnsi="宋体" w:eastAsia="宋体" w:cs="宋体"/>
          <w:sz w:val="21"/>
          <w:szCs w:val="21"/>
          <w:highlight w:val="none"/>
        </w:rPr>
        <w:tab/>
      </w: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PAGEREF _Toc23653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4</w:t>
      </w:r>
      <w:r>
        <w:rPr>
          <w:rFonts w:hint="eastAsia" w:ascii="宋体" w:hAnsi="宋体" w:eastAsia="宋体" w:cs="宋体"/>
          <w:sz w:val="21"/>
          <w:szCs w:val="21"/>
          <w:highlight w:val="none"/>
        </w:rPr>
        <w:fldChar w:fldCharType="end"/>
      </w:r>
      <w:r>
        <w:rPr>
          <w:rFonts w:hint="eastAsia" w:ascii="宋体" w:hAnsi="宋体" w:eastAsia="宋体" w:cs="宋体"/>
          <w:sz w:val="21"/>
          <w:szCs w:val="21"/>
          <w:highlight w:val="none"/>
        </w:rPr>
        <w:fldChar w:fldCharType="end"/>
      </w:r>
    </w:p>
    <w:p>
      <w:pPr>
        <w:pStyle w:val="28"/>
        <w:keepNext w:val="0"/>
        <w:keepLines w:val="0"/>
        <w:pageBreakBefore w:val="0"/>
        <w:widowControl w:val="0"/>
        <w:tabs>
          <w:tab w:val="right" w:leader="dot" w:pos="8710"/>
          <w:tab w:val="clear" w:pos="9344"/>
        </w:tabs>
        <w:kinsoku/>
        <w:wordWrap/>
        <w:overflowPunct/>
        <w:topLinePunct w:val="0"/>
        <w:autoSpaceDE/>
        <w:autoSpaceDN/>
        <w:bidi w:val="0"/>
        <w:snapToGrid/>
        <w:spacing w:line="360"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HYPERLINK \l _Toc7737 </w:instrText>
      </w:r>
      <w:r>
        <w:rPr>
          <w:rFonts w:hint="eastAsia" w:ascii="宋体" w:hAnsi="宋体" w:eastAsia="宋体" w:cs="宋体"/>
          <w:sz w:val="21"/>
          <w:szCs w:val="21"/>
          <w:highlight w:val="none"/>
        </w:rPr>
        <w:fldChar w:fldCharType="separate"/>
      </w:r>
      <w:r>
        <w:rPr>
          <w:rFonts w:hint="eastAsia" w:ascii="宋体" w:hAnsi="宋体" w:eastAsia="宋体" w:cs="宋体"/>
          <w:bCs w:val="0"/>
          <w:sz w:val="21"/>
          <w:szCs w:val="21"/>
          <w:highlight w:val="none"/>
        </w:rPr>
        <w:t>一、项目基本情况</w:t>
      </w:r>
      <w:r>
        <w:rPr>
          <w:rFonts w:hint="eastAsia" w:ascii="宋体" w:hAnsi="宋体" w:eastAsia="宋体" w:cs="宋体"/>
          <w:sz w:val="21"/>
          <w:szCs w:val="21"/>
          <w:highlight w:val="none"/>
        </w:rPr>
        <w:tab/>
      </w: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PAGEREF _Toc7737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4</w:t>
      </w:r>
      <w:r>
        <w:rPr>
          <w:rFonts w:hint="eastAsia" w:ascii="宋体" w:hAnsi="宋体" w:eastAsia="宋体" w:cs="宋体"/>
          <w:sz w:val="21"/>
          <w:szCs w:val="21"/>
          <w:highlight w:val="none"/>
        </w:rPr>
        <w:fldChar w:fldCharType="end"/>
      </w:r>
      <w:r>
        <w:rPr>
          <w:rFonts w:hint="eastAsia" w:ascii="宋体" w:hAnsi="宋体" w:eastAsia="宋体" w:cs="宋体"/>
          <w:sz w:val="21"/>
          <w:szCs w:val="21"/>
          <w:highlight w:val="none"/>
        </w:rPr>
        <w:fldChar w:fldCharType="end"/>
      </w:r>
    </w:p>
    <w:p>
      <w:pPr>
        <w:pStyle w:val="28"/>
        <w:keepNext w:val="0"/>
        <w:keepLines w:val="0"/>
        <w:pageBreakBefore w:val="0"/>
        <w:widowControl w:val="0"/>
        <w:tabs>
          <w:tab w:val="right" w:leader="dot" w:pos="8710"/>
          <w:tab w:val="clear" w:pos="9344"/>
        </w:tabs>
        <w:kinsoku/>
        <w:wordWrap/>
        <w:overflowPunct/>
        <w:topLinePunct w:val="0"/>
        <w:autoSpaceDE/>
        <w:autoSpaceDN/>
        <w:bidi w:val="0"/>
        <w:snapToGrid/>
        <w:spacing w:line="360"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HYPERLINK \l _Toc23557 </w:instrText>
      </w:r>
      <w:r>
        <w:rPr>
          <w:rFonts w:hint="eastAsia" w:ascii="宋体" w:hAnsi="宋体" w:eastAsia="宋体" w:cs="宋体"/>
          <w:sz w:val="21"/>
          <w:szCs w:val="21"/>
          <w:highlight w:val="none"/>
        </w:rPr>
        <w:fldChar w:fldCharType="separate"/>
      </w:r>
      <w:r>
        <w:rPr>
          <w:rFonts w:hint="eastAsia" w:ascii="宋体" w:hAnsi="宋体" w:eastAsia="宋体" w:cs="宋体"/>
          <w:bCs w:val="0"/>
          <w:sz w:val="21"/>
          <w:szCs w:val="21"/>
          <w:highlight w:val="none"/>
        </w:rPr>
        <w:t>二、</w:t>
      </w:r>
      <w:r>
        <w:rPr>
          <w:rFonts w:hint="eastAsia" w:ascii="宋体" w:hAnsi="宋体" w:eastAsia="宋体" w:cs="宋体"/>
          <w:bCs w:val="0"/>
          <w:sz w:val="21"/>
          <w:szCs w:val="21"/>
          <w:highlight w:val="none"/>
          <w:lang w:val="en-US" w:eastAsia="zh-CN"/>
        </w:rPr>
        <w:t>申请人</w:t>
      </w:r>
      <w:r>
        <w:rPr>
          <w:rFonts w:hint="eastAsia" w:ascii="宋体" w:hAnsi="宋体" w:eastAsia="宋体" w:cs="宋体"/>
          <w:bCs w:val="0"/>
          <w:sz w:val="21"/>
          <w:szCs w:val="21"/>
          <w:highlight w:val="none"/>
        </w:rPr>
        <w:t>的资格要求：</w:t>
      </w:r>
      <w:r>
        <w:rPr>
          <w:rFonts w:hint="eastAsia" w:ascii="宋体" w:hAnsi="宋体" w:eastAsia="宋体" w:cs="宋体"/>
          <w:sz w:val="21"/>
          <w:szCs w:val="21"/>
          <w:highlight w:val="none"/>
        </w:rPr>
        <w:tab/>
      </w: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PAGEREF _Toc23557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4</w:t>
      </w:r>
      <w:r>
        <w:rPr>
          <w:rFonts w:hint="eastAsia" w:ascii="宋体" w:hAnsi="宋体" w:eastAsia="宋体" w:cs="宋体"/>
          <w:sz w:val="21"/>
          <w:szCs w:val="21"/>
          <w:highlight w:val="none"/>
        </w:rPr>
        <w:fldChar w:fldCharType="end"/>
      </w:r>
      <w:r>
        <w:rPr>
          <w:rFonts w:hint="eastAsia" w:ascii="宋体" w:hAnsi="宋体" w:eastAsia="宋体" w:cs="宋体"/>
          <w:sz w:val="21"/>
          <w:szCs w:val="21"/>
          <w:highlight w:val="none"/>
        </w:rPr>
        <w:fldChar w:fldCharType="end"/>
      </w:r>
    </w:p>
    <w:p>
      <w:pPr>
        <w:pStyle w:val="28"/>
        <w:keepNext w:val="0"/>
        <w:keepLines w:val="0"/>
        <w:pageBreakBefore w:val="0"/>
        <w:widowControl w:val="0"/>
        <w:tabs>
          <w:tab w:val="right" w:leader="dot" w:pos="8710"/>
          <w:tab w:val="clear" w:pos="9344"/>
        </w:tabs>
        <w:kinsoku/>
        <w:wordWrap/>
        <w:overflowPunct/>
        <w:topLinePunct w:val="0"/>
        <w:autoSpaceDE/>
        <w:autoSpaceDN/>
        <w:bidi w:val="0"/>
        <w:snapToGrid/>
        <w:spacing w:line="360"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HYPERLINK \l _Toc15224 </w:instrText>
      </w:r>
      <w:r>
        <w:rPr>
          <w:rFonts w:hint="eastAsia" w:ascii="宋体" w:hAnsi="宋体" w:eastAsia="宋体" w:cs="宋体"/>
          <w:sz w:val="21"/>
          <w:szCs w:val="21"/>
          <w:highlight w:val="none"/>
        </w:rPr>
        <w:fldChar w:fldCharType="separate"/>
      </w:r>
      <w:r>
        <w:rPr>
          <w:rFonts w:hint="eastAsia" w:ascii="宋体" w:hAnsi="宋体" w:eastAsia="宋体" w:cs="宋体"/>
          <w:bCs w:val="0"/>
          <w:sz w:val="21"/>
          <w:szCs w:val="21"/>
          <w:highlight w:val="none"/>
        </w:rPr>
        <w:t>三、获取招标文件</w:t>
      </w:r>
      <w:r>
        <w:rPr>
          <w:rFonts w:hint="eastAsia" w:ascii="宋体" w:hAnsi="宋体" w:eastAsia="宋体" w:cs="宋体"/>
          <w:sz w:val="21"/>
          <w:szCs w:val="21"/>
          <w:highlight w:val="none"/>
        </w:rPr>
        <w:tab/>
      </w: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PAGEREF _Toc15224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5</w:t>
      </w:r>
      <w:r>
        <w:rPr>
          <w:rFonts w:hint="eastAsia" w:ascii="宋体" w:hAnsi="宋体" w:eastAsia="宋体" w:cs="宋体"/>
          <w:sz w:val="21"/>
          <w:szCs w:val="21"/>
          <w:highlight w:val="none"/>
        </w:rPr>
        <w:fldChar w:fldCharType="end"/>
      </w:r>
      <w:r>
        <w:rPr>
          <w:rFonts w:hint="eastAsia" w:ascii="宋体" w:hAnsi="宋体" w:eastAsia="宋体" w:cs="宋体"/>
          <w:sz w:val="21"/>
          <w:szCs w:val="21"/>
          <w:highlight w:val="none"/>
        </w:rPr>
        <w:fldChar w:fldCharType="end"/>
      </w:r>
    </w:p>
    <w:p>
      <w:pPr>
        <w:pStyle w:val="28"/>
        <w:keepNext w:val="0"/>
        <w:keepLines w:val="0"/>
        <w:pageBreakBefore w:val="0"/>
        <w:widowControl w:val="0"/>
        <w:tabs>
          <w:tab w:val="right" w:leader="dot" w:pos="8710"/>
          <w:tab w:val="clear" w:pos="9344"/>
        </w:tabs>
        <w:kinsoku/>
        <w:wordWrap/>
        <w:overflowPunct/>
        <w:topLinePunct w:val="0"/>
        <w:autoSpaceDE/>
        <w:autoSpaceDN/>
        <w:bidi w:val="0"/>
        <w:snapToGrid/>
        <w:spacing w:line="360"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HYPERLINK \l _Toc10895 </w:instrText>
      </w:r>
      <w:r>
        <w:rPr>
          <w:rFonts w:hint="eastAsia" w:ascii="宋体" w:hAnsi="宋体" w:eastAsia="宋体" w:cs="宋体"/>
          <w:sz w:val="21"/>
          <w:szCs w:val="21"/>
          <w:highlight w:val="none"/>
        </w:rPr>
        <w:fldChar w:fldCharType="separate"/>
      </w:r>
      <w:r>
        <w:rPr>
          <w:rFonts w:hint="eastAsia" w:ascii="宋体" w:hAnsi="宋体" w:eastAsia="宋体" w:cs="宋体"/>
          <w:bCs w:val="0"/>
          <w:sz w:val="21"/>
          <w:szCs w:val="21"/>
          <w:highlight w:val="none"/>
        </w:rPr>
        <w:t>四、提交投标文件截止时间、开标时间和地点</w:t>
      </w:r>
      <w:r>
        <w:rPr>
          <w:rFonts w:hint="eastAsia" w:ascii="宋体" w:hAnsi="宋体" w:eastAsia="宋体" w:cs="宋体"/>
          <w:sz w:val="21"/>
          <w:szCs w:val="21"/>
          <w:highlight w:val="none"/>
        </w:rPr>
        <w:tab/>
      </w: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PAGEREF _Toc10895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5</w:t>
      </w:r>
      <w:r>
        <w:rPr>
          <w:rFonts w:hint="eastAsia" w:ascii="宋体" w:hAnsi="宋体" w:eastAsia="宋体" w:cs="宋体"/>
          <w:sz w:val="21"/>
          <w:szCs w:val="21"/>
          <w:highlight w:val="none"/>
        </w:rPr>
        <w:fldChar w:fldCharType="end"/>
      </w:r>
      <w:r>
        <w:rPr>
          <w:rFonts w:hint="eastAsia" w:ascii="宋体" w:hAnsi="宋体" w:eastAsia="宋体" w:cs="宋体"/>
          <w:sz w:val="21"/>
          <w:szCs w:val="21"/>
          <w:highlight w:val="none"/>
        </w:rPr>
        <w:fldChar w:fldCharType="end"/>
      </w:r>
    </w:p>
    <w:p>
      <w:pPr>
        <w:pStyle w:val="28"/>
        <w:keepNext w:val="0"/>
        <w:keepLines w:val="0"/>
        <w:pageBreakBefore w:val="0"/>
        <w:widowControl w:val="0"/>
        <w:tabs>
          <w:tab w:val="right" w:leader="dot" w:pos="8710"/>
          <w:tab w:val="clear" w:pos="9344"/>
        </w:tabs>
        <w:kinsoku/>
        <w:wordWrap/>
        <w:overflowPunct/>
        <w:topLinePunct w:val="0"/>
        <w:autoSpaceDE/>
        <w:autoSpaceDN/>
        <w:bidi w:val="0"/>
        <w:snapToGrid/>
        <w:spacing w:line="360"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HYPERLINK \l _Toc27945 </w:instrText>
      </w:r>
      <w:r>
        <w:rPr>
          <w:rFonts w:hint="eastAsia" w:ascii="宋体" w:hAnsi="宋体" w:eastAsia="宋体" w:cs="宋体"/>
          <w:sz w:val="21"/>
          <w:szCs w:val="21"/>
          <w:highlight w:val="none"/>
        </w:rPr>
        <w:fldChar w:fldCharType="separate"/>
      </w:r>
      <w:r>
        <w:rPr>
          <w:rFonts w:hint="eastAsia" w:ascii="宋体" w:hAnsi="宋体" w:eastAsia="宋体" w:cs="宋体"/>
          <w:bCs w:val="0"/>
          <w:sz w:val="21"/>
          <w:szCs w:val="21"/>
          <w:highlight w:val="none"/>
        </w:rPr>
        <w:t>五、公告期限</w:t>
      </w:r>
      <w:r>
        <w:rPr>
          <w:rFonts w:hint="eastAsia" w:ascii="宋体" w:hAnsi="宋体" w:eastAsia="宋体" w:cs="宋体"/>
          <w:sz w:val="21"/>
          <w:szCs w:val="21"/>
          <w:highlight w:val="none"/>
        </w:rPr>
        <w:tab/>
      </w: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PAGEREF _Toc27945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5</w:t>
      </w:r>
      <w:r>
        <w:rPr>
          <w:rFonts w:hint="eastAsia" w:ascii="宋体" w:hAnsi="宋体" w:eastAsia="宋体" w:cs="宋体"/>
          <w:sz w:val="21"/>
          <w:szCs w:val="21"/>
          <w:highlight w:val="none"/>
        </w:rPr>
        <w:fldChar w:fldCharType="end"/>
      </w:r>
      <w:r>
        <w:rPr>
          <w:rFonts w:hint="eastAsia" w:ascii="宋体" w:hAnsi="宋体" w:eastAsia="宋体" w:cs="宋体"/>
          <w:sz w:val="21"/>
          <w:szCs w:val="21"/>
          <w:highlight w:val="none"/>
        </w:rPr>
        <w:fldChar w:fldCharType="end"/>
      </w:r>
    </w:p>
    <w:p>
      <w:pPr>
        <w:pStyle w:val="28"/>
        <w:keepNext w:val="0"/>
        <w:keepLines w:val="0"/>
        <w:pageBreakBefore w:val="0"/>
        <w:widowControl w:val="0"/>
        <w:tabs>
          <w:tab w:val="right" w:leader="dot" w:pos="8710"/>
          <w:tab w:val="clear" w:pos="9344"/>
        </w:tabs>
        <w:kinsoku/>
        <w:wordWrap/>
        <w:overflowPunct/>
        <w:topLinePunct w:val="0"/>
        <w:autoSpaceDE/>
        <w:autoSpaceDN/>
        <w:bidi w:val="0"/>
        <w:snapToGrid/>
        <w:spacing w:line="360"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HYPERLINK \l _Toc3372 </w:instrText>
      </w:r>
      <w:r>
        <w:rPr>
          <w:rFonts w:hint="eastAsia" w:ascii="宋体" w:hAnsi="宋体" w:eastAsia="宋体" w:cs="宋体"/>
          <w:sz w:val="21"/>
          <w:szCs w:val="21"/>
          <w:highlight w:val="none"/>
        </w:rPr>
        <w:fldChar w:fldCharType="separate"/>
      </w:r>
      <w:r>
        <w:rPr>
          <w:rFonts w:hint="eastAsia" w:ascii="宋体" w:hAnsi="宋体" w:eastAsia="宋体" w:cs="宋体"/>
          <w:bCs w:val="0"/>
          <w:sz w:val="21"/>
          <w:szCs w:val="21"/>
          <w:highlight w:val="none"/>
        </w:rPr>
        <w:t>六、其他补充事宜</w:t>
      </w:r>
      <w:r>
        <w:rPr>
          <w:rFonts w:hint="eastAsia" w:ascii="宋体" w:hAnsi="宋体" w:eastAsia="宋体" w:cs="宋体"/>
          <w:sz w:val="21"/>
          <w:szCs w:val="21"/>
          <w:highlight w:val="none"/>
        </w:rPr>
        <w:tab/>
      </w: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PAGEREF _Toc3372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5</w:t>
      </w:r>
      <w:r>
        <w:rPr>
          <w:rFonts w:hint="eastAsia" w:ascii="宋体" w:hAnsi="宋体" w:eastAsia="宋体" w:cs="宋体"/>
          <w:sz w:val="21"/>
          <w:szCs w:val="21"/>
          <w:highlight w:val="none"/>
        </w:rPr>
        <w:fldChar w:fldCharType="end"/>
      </w:r>
      <w:r>
        <w:rPr>
          <w:rFonts w:hint="eastAsia" w:ascii="宋体" w:hAnsi="宋体" w:eastAsia="宋体" w:cs="宋体"/>
          <w:sz w:val="21"/>
          <w:szCs w:val="21"/>
          <w:highlight w:val="none"/>
        </w:rPr>
        <w:fldChar w:fldCharType="end"/>
      </w:r>
    </w:p>
    <w:p>
      <w:pPr>
        <w:pStyle w:val="28"/>
        <w:keepNext w:val="0"/>
        <w:keepLines w:val="0"/>
        <w:pageBreakBefore w:val="0"/>
        <w:widowControl w:val="0"/>
        <w:tabs>
          <w:tab w:val="right" w:leader="dot" w:pos="8710"/>
          <w:tab w:val="clear" w:pos="9344"/>
        </w:tabs>
        <w:kinsoku/>
        <w:wordWrap/>
        <w:overflowPunct/>
        <w:topLinePunct w:val="0"/>
        <w:autoSpaceDE/>
        <w:autoSpaceDN/>
        <w:bidi w:val="0"/>
        <w:snapToGrid/>
        <w:spacing w:line="360"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HYPERLINK \l _Toc28508 </w:instrText>
      </w:r>
      <w:r>
        <w:rPr>
          <w:rFonts w:hint="eastAsia" w:ascii="宋体" w:hAnsi="宋体" w:eastAsia="宋体" w:cs="宋体"/>
          <w:sz w:val="21"/>
          <w:szCs w:val="21"/>
          <w:highlight w:val="none"/>
        </w:rPr>
        <w:fldChar w:fldCharType="separate"/>
      </w:r>
      <w:r>
        <w:rPr>
          <w:rFonts w:hint="eastAsia" w:ascii="宋体" w:hAnsi="宋体" w:eastAsia="宋体" w:cs="宋体"/>
          <w:bCs w:val="0"/>
          <w:sz w:val="21"/>
          <w:szCs w:val="21"/>
          <w:highlight w:val="none"/>
        </w:rPr>
        <w:t>七、对本次招标提出询问，请按以下方式联系</w:t>
      </w:r>
      <w:r>
        <w:rPr>
          <w:rFonts w:hint="eastAsia" w:ascii="宋体" w:hAnsi="宋体" w:eastAsia="宋体" w:cs="宋体"/>
          <w:sz w:val="21"/>
          <w:szCs w:val="21"/>
          <w:highlight w:val="none"/>
        </w:rPr>
        <w:tab/>
      </w: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PAGEREF _Toc28508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6</w:t>
      </w:r>
      <w:r>
        <w:rPr>
          <w:rFonts w:hint="eastAsia" w:ascii="宋体" w:hAnsi="宋体" w:eastAsia="宋体" w:cs="宋体"/>
          <w:sz w:val="21"/>
          <w:szCs w:val="21"/>
          <w:highlight w:val="none"/>
        </w:rPr>
        <w:fldChar w:fldCharType="end"/>
      </w:r>
      <w:r>
        <w:rPr>
          <w:rFonts w:hint="eastAsia" w:ascii="宋体" w:hAnsi="宋体" w:eastAsia="宋体" w:cs="宋体"/>
          <w:sz w:val="21"/>
          <w:szCs w:val="21"/>
          <w:highlight w:val="none"/>
        </w:rPr>
        <w:fldChar w:fldCharType="end"/>
      </w:r>
    </w:p>
    <w:p>
      <w:pPr>
        <w:pStyle w:val="24"/>
        <w:keepNext w:val="0"/>
        <w:keepLines w:val="0"/>
        <w:pageBreakBefore w:val="0"/>
        <w:widowControl w:val="0"/>
        <w:tabs>
          <w:tab w:val="right" w:leader="dot" w:pos="8710"/>
        </w:tabs>
        <w:kinsoku/>
        <w:wordWrap/>
        <w:overflowPunct/>
        <w:topLinePunct w:val="0"/>
        <w:autoSpaceDE/>
        <w:autoSpaceDN/>
        <w:bidi w:val="0"/>
        <w:snapToGrid/>
        <w:spacing w:before="0" w:after="0" w:line="360"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HYPERLINK \l _Toc30248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第二章  投标人须知</w:t>
      </w:r>
      <w:r>
        <w:rPr>
          <w:rFonts w:hint="eastAsia" w:ascii="宋体" w:hAnsi="宋体" w:eastAsia="宋体" w:cs="宋体"/>
          <w:sz w:val="21"/>
          <w:szCs w:val="21"/>
          <w:highlight w:val="none"/>
        </w:rPr>
        <w:tab/>
      </w: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PAGEREF _Toc30248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8</w:t>
      </w:r>
      <w:r>
        <w:rPr>
          <w:rFonts w:hint="eastAsia" w:ascii="宋体" w:hAnsi="宋体" w:eastAsia="宋体" w:cs="宋体"/>
          <w:sz w:val="21"/>
          <w:szCs w:val="21"/>
          <w:highlight w:val="none"/>
        </w:rPr>
        <w:fldChar w:fldCharType="end"/>
      </w:r>
      <w:r>
        <w:rPr>
          <w:rFonts w:hint="eastAsia" w:ascii="宋体" w:hAnsi="宋体" w:eastAsia="宋体" w:cs="宋体"/>
          <w:sz w:val="21"/>
          <w:szCs w:val="21"/>
          <w:highlight w:val="none"/>
        </w:rPr>
        <w:fldChar w:fldCharType="end"/>
      </w:r>
    </w:p>
    <w:p>
      <w:pPr>
        <w:pStyle w:val="28"/>
        <w:keepNext w:val="0"/>
        <w:keepLines w:val="0"/>
        <w:pageBreakBefore w:val="0"/>
        <w:widowControl w:val="0"/>
        <w:tabs>
          <w:tab w:val="right" w:leader="dot" w:pos="8710"/>
          <w:tab w:val="clear" w:pos="9344"/>
        </w:tabs>
        <w:kinsoku/>
        <w:wordWrap/>
        <w:overflowPunct/>
        <w:topLinePunct w:val="0"/>
        <w:autoSpaceDE/>
        <w:autoSpaceDN/>
        <w:bidi w:val="0"/>
        <w:snapToGrid/>
        <w:spacing w:line="360"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HYPERLINK \l _Toc23784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投标人须知前附表</w:t>
      </w:r>
      <w:r>
        <w:rPr>
          <w:rFonts w:hint="eastAsia" w:ascii="宋体" w:hAnsi="宋体" w:eastAsia="宋体" w:cs="宋体"/>
          <w:sz w:val="21"/>
          <w:szCs w:val="21"/>
          <w:highlight w:val="none"/>
        </w:rPr>
        <w:tab/>
      </w: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PAGEREF _Toc23784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8</w:t>
      </w:r>
      <w:r>
        <w:rPr>
          <w:rFonts w:hint="eastAsia" w:ascii="宋体" w:hAnsi="宋体" w:eastAsia="宋体" w:cs="宋体"/>
          <w:sz w:val="21"/>
          <w:szCs w:val="21"/>
          <w:highlight w:val="none"/>
        </w:rPr>
        <w:fldChar w:fldCharType="end"/>
      </w:r>
      <w:r>
        <w:rPr>
          <w:rFonts w:hint="eastAsia" w:ascii="宋体" w:hAnsi="宋体" w:eastAsia="宋体" w:cs="宋体"/>
          <w:sz w:val="21"/>
          <w:szCs w:val="21"/>
          <w:highlight w:val="none"/>
        </w:rPr>
        <w:fldChar w:fldCharType="end"/>
      </w:r>
    </w:p>
    <w:p>
      <w:pPr>
        <w:pStyle w:val="28"/>
        <w:keepNext w:val="0"/>
        <w:keepLines w:val="0"/>
        <w:pageBreakBefore w:val="0"/>
        <w:widowControl w:val="0"/>
        <w:tabs>
          <w:tab w:val="right" w:leader="dot" w:pos="8710"/>
          <w:tab w:val="clear" w:pos="9344"/>
        </w:tabs>
        <w:kinsoku/>
        <w:wordWrap/>
        <w:overflowPunct/>
        <w:topLinePunct w:val="0"/>
        <w:autoSpaceDE/>
        <w:autoSpaceDN/>
        <w:bidi w:val="0"/>
        <w:snapToGrid/>
        <w:spacing w:line="360"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HYPERLINK \l _Toc818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一、总则</w:t>
      </w:r>
      <w:r>
        <w:rPr>
          <w:rFonts w:hint="eastAsia" w:ascii="宋体" w:hAnsi="宋体" w:eastAsia="宋体" w:cs="宋体"/>
          <w:sz w:val="21"/>
          <w:szCs w:val="21"/>
          <w:highlight w:val="none"/>
        </w:rPr>
        <w:tab/>
      </w: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PAGEREF _Toc818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14</w:t>
      </w:r>
      <w:r>
        <w:rPr>
          <w:rFonts w:hint="eastAsia" w:ascii="宋体" w:hAnsi="宋体" w:eastAsia="宋体" w:cs="宋体"/>
          <w:sz w:val="21"/>
          <w:szCs w:val="21"/>
          <w:highlight w:val="none"/>
        </w:rPr>
        <w:fldChar w:fldCharType="end"/>
      </w:r>
      <w:r>
        <w:rPr>
          <w:rFonts w:hint="eastAsia" w:ascii="宋体" w:hAnsi="宋体" w:eastAsia="宋体" w:cs="宋体"/>
          <w:sz w:val="21"/>
          <w:szCs w:val="21"/>
          <w:highlight w:val="none"/>
        </w:rPr>
        <w:fldChar w:fldCharType="end"/>
      </w:r>
    </w:p>
    <w:p>
      <w:pPr>
        <w:pStyle w:val="17"/>
        <w:keepNext w:val="0"/>
        <w:keepLines w:val="0"/>
        <w:pageBreakBefore w:val="0"/>
        <w:widowControl w:val="0"/>
        <w:tabs>
          <w:tab w:val="right" w:leader="dot" w:pos="8710"/>
        </w:tabs>
        <w:kinsoku/>
        <w:wordWrap/>
        <w:overflowPunct/>
        <w:topLinePunct w:val="0"/>
        <w:autoSpaceDE/>
        <w:autoSpaceDN/>
        <w:bidi w:val="0"/>
        <w:snapToGrid/>
        <w:spacing w:line="360"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HYPERLINK \l _Toc1762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1. 项目概况</w:t>
      </w:r>
      <w:r>
        <w:rPr>
          <w:rFonts w:hint="eastAsia" w:ascii="宋体" w:hAnsi="宋体" w:eastAsia="宋体" w:cs="宋体"/>
          <w:sz w:val="21"/>
          <w:szCs w:val="21"/>
          <w:highlight w:val="none"/>
        </w:rPr>
        <w:tab/>
      </w: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PAGEREF _Toc1762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14</w:t>
      </w:r>
      <w:r>
        <w:rPr>
          <w:rFonts w:hint="eastAsia" w:ascii="宋体" w:hAnsi="宋体" w:eastAsia="宋体" w:cs="宋体"/>
          <w:sz w:val="21"/>
          <w:szCs w:val="21"/>
          <w:highlight w:val="none"/>
        </w:rPr>
        <w:fldChar w:fldCharType="end"/>
      </w:r>
      <w:r>
        <w:rPr>
          <w:rFonts w:hint="eastAsia" w:ascii="宋体" w:hAnsi="宋体" w:eastAsia="宋体" w:cs="宋体"/>
          <w:sz w:val="21"/>
          <w:szCs w:val="21"/>
          <w:highlight w:val="none"/>
        </w:rPr>
        <w:fldChar w:fldCharType="end"/>
      </w:r>
    </w:p>
    <w:p>
      <w:pPr>
        <w:pStyle w:val="17"/>
        <w:keepNext w:val="0"/>
        <w:keepLines w:val="0"/>
        <w:pageBreakBefore w:val="0"/>
        <w:widowControl w:val="0"/>
        <w:tabs>
          <w:tab w:val="right" w:leader="dot" w:pos="8710"/>
        </w:tabs>
        <w:kinsoku/>
        <w:wordWrap/>
        <w:overflowPunct/>
        <w:topLinePunct w:val="0"/>
        <w:autoSpaceDE/>
        <w:autoSpaceDN/>
        <w:bidi w:val="0"/>
        <w:snapToGrid/>
        <w:spacing w:line="360"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HYPERLINK \l _Toc17821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2. 招标范围、</w:t>
      </w:r>
      <w:r>
        <w:rPr>
          <w:rFonts w:hint="eastAsia" w:ascii="宋体" w:hAnsi="宋体" w:cs="宋体"/>
          <w:sz w:val="21"/>
          <w:szCs w:val="21"/>
          <w:highlight w:val="none"/>
          <w:lang w:eastAsia="zh-CN"/>
        </w:rPr>
        <w:t>服务期</w:t>
      </w:r>
      <w:r>
        <w:rPr>
          <w:rFonts w:hint="eastAsia" w:ascii="宋体" w:hAnsi="宋体" w:eastAsia="宋体" w:cs="宋体"/>
          <w:sz w:val="21"/>
          <w:szCs w:val="21"/>
          <w:highlight w:val="none"/>
        </w:rPr>
        <w:t>及</w:t>
      </w:r>
      <w:r>
        <w:rPr>
          <w:rFonts w:hint="eastAsia" w:ascii="宋体" w:hAnsi="宋体" w:cs="宋体"/>
          <w:sz w:val="21"/>
          <w:szCs w:val="21"/>
          <w:highlight w:val="none"/>
          <w:lang w:eastAsia="zh-CN"/>
        </w:rPr>
        <w:t>服务地点</w:t>
      </w:r>
      <w:r>
        <w:rPr>
          <w:rFonts w:hint="eastAsia" w:ascii="宋体" w:hAnsi="宋体" w:eastAsia="宋体" w:cs="宋体"/>
          <w:sz w:val="21"/>
          <w:szCs w:val="21"/>
          <w:highlight w:val="none"/>
        </w:rPr>
        <w:tab/>
      </w: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PAGEREF _Toc17821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14</w:t>
      </w:r>
      <w:r>
        <w:rPr>
          <w:rFonts w:hint="eastAsia" w:ascii="宋体" w:hAnsi="宋体" w:eastAsia="宋体" w:cs="宋体"/>
          <w:sz w:val="21"/>
          <w:szCs w:val="21"/>
          <w:highlight w:val="none"/>
        </w:rPr>
        <w:fldChar w:fldCharType="end"/>
      </w:r>
      <w:r>
        <w:rPr>
          <w:rFonts w:hint="eastAsia" w:ascii="宋体" w:hAnsi="宋体" w:eastAsia="宋体" w:cs="宋体"/>
          <w:sz w:val="21"/>
          <w:szCs w:val="21"/>
          <w:highlight w:val="none"/>
        </w:rPr>
        <w:fldChar w:fldCharType="end"/>
      </w:r>
    </w:p>
    <w:p>
      <w:pPr>
        <w:pStyle w:val="17"/>
        <w:keepNext w:val="0"/>
        <w:keepLines w:val="0"/>
        <w:pageBreakBefore w:val="0"/>
        <w:widowControl w:val="0"/>
        <w:tabs>
          <w:tab w:val="right" w:leader="dot" w:pos="8710"/>
        </w:tabs>
        <w:kinsoku/>
        <w:wordWrap/>
        <w:overflowPunct/>
        <w:topLinePunct w:val="0"/>
        <w:autoSpaceDE/>
        <w:autoSpaceDN/>
        <w:bidi w:val="0"/>
        <w:snapToGrid/>
        <w:spacing w:line="360"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HYPERLINK \l _Toc25533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★3. 投标人资格要求</w:t>
      </w:r>
      <w:r>
        <w:rPr>
          <w:rFonts w:hint="eastAsia" w:ascii="宋体" w:hAnsi="宋体" w:eastAsia="宋体" w:cs="宋体"/>
          <w:sz w:val="21"/>
          <w:szCs w:val="21"/>
          <w:highlight w:val="none"/>
        </w:rPr>
        <w:tab/>
      </w: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PAGEREF _Toc25533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14</w:t>
      </w:r>
      <w:r>
        <w:rPr>
          <w:rFonts w:hint="eastAsia" w:ascii="宋体" w:hAnsi="宋体" w:eastAsia="宋体" w:cs="宋体"/>
          <w:sz w:val="21"/>
          <w:szCs w:val="21"/>
          <w:highlight w:val="none"/>
        </w:rPr>
        <w:fldChar w:fldCharType="end"/>
      </w:r>
      <w:r>
        <w:rPr>
          <w:rFonts w:hint="eastAsia" w:ascii="宋体" w:hAnsi="宋体" w:eastAsia="宋体" w:cs="宋体"/>
          <w:sz w:val="21"/>
          <w:szCs w:val="21"/>
          <w:highlight w:val="none"/>
        </w:rPr>
        <w:fldChar w:fldCharType="end"/>
      </w:r>
    </w:p>
    <w:p>
      <w:pPr>
        <w:pStyle w:val="17"/>
        <w:keepNext w:val="0"/>
        <w:keepLines w:val="0"/>
        <w:pageBreakBefore w:val="0"/>
        <w:widowControl w:val="0"/>
        <w:tabs>
          <w:tab w:val="right" w:leader="dot" w:pos="8710"/>
        </w:tabs>
        <w:kinsoku/>
        <w:wordWrap/>
        <w:overflowPunct/>
        <w:topLinePunct w:val="0"/>
        <w:autoSpaceDE/>
        <w:autoSpaceDN/>
        <w:bidi w:val="0"/>
        <w:snapToGrid/>
        <w:spacing w:line="360"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HYPERLINK \l _Toc4952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4. 费用承担</w:t>
      </w:r>
      <w:r>
        <w:rPr>
          <w:rFonts w:hint="eastAsia" w:ascii="宋体" w:hAnsi="宋体" w:eastAsia="宋体" w:cs="宋体"/>
          <w:sz w:val="21"/>
          <w:szCs w:val="21"/>
          <w:highlight w:val="none"/>
        </w:rPr>
        <w:tab/>
      </w: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PAGEREF _Toc4952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15</w:t>
      </w:r>
      <w:r>
        <w:rPr>
          <w:rFonts w:hint="eastAsia" w:ascii="宋体" w:hAnsi="宋体" w:eastAsia="宋体" w:cs="宋体"/>
          <w:sz w:val="21"/>
          <w:szCs w:val="21"/>
          <w:highlight w:val="none"/>
        </w:rPr>
        <w:fldChar w:fldCharType="end"/>
      </w:r>
      <w:r>
        <w:rPr>
          <w:rFonts w:hint="eastAsia" w:ascii="宋体" w:hAnsi="宋体" w:eastAsia="宋体" w:cs="宋体"/>
          <w:sz w:val="21"/>
          <w:szCs w:val="21"/>
          <w:highlight w:val="none"/>
        </w:rPr>
        <w:fldChar w:fldCharType="end"/>
      </w:r>
    </w:p>
    <w:p>
      <w:pPr>
        <w:pStyle w:val="17"/>
        <w:keepNext w:val="0"/>
        <w:keepLines w:val="0"/>
        <w:pageBreakBefore w:val="0"/>
        <w:widowControl w:val="0"/>
        <w:tabs>
          <w:tab w:val="right" w:leader="dot" w:pos="8710"/>
        </w:tabs>
        <w:kinsoku/>
        <w:wordWrap/>
        <w:overflowPunct/>
        <w:topLinePunct w:val="0"/>
        <w:autoSpaceDE/>
        <w:autoSpaceDN/>
        <w:bidi w:val="0"/>
        <w:snapToGrid/>
        <w:spacing w:line="360"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HYPERLINK \l _Toc23493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5. 保密</w:t>
      </w:r>
      <w:r>
        <w:rPr>
          <w:rFonts w:hint="eastAsia" w:ascii="宋体" w:hAnsi="宋体" w:eastAsia="宋体" w:cs="宋体"/>
          <w:sz w:val="21"/>
          <w:szCs w:val="21"/>
          <w:highlight w:val="none"/>
        </w:rPr>
        <w:tab/>
      </w: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PAGEREF _Toc23493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15</w:t>
      </w:r>
      <w:r>
        <w:rPr>
          <w:rFonts w:hint="eastAsia" w:ascii="宋体" w:hAnsi="宋体" w:eastAsia="宋体" w:cs="宋体"/>
          <w:sz w:val="21"/>
          <w:szCs w:val="21"/>
          <w:highlight w:val="none"/>
        </w:rPr>
        <w:fldChar w:fldCharType="end"/>
      </w:r>
      <w:r>
        <w:rPr>
          <w:rFonts w:hint="eastAsia" w:ascii="宋体" w:hAnsi="宋体" w:eastAsia="宋体" w:cs="宋体"/>
          <w:sz w:val="21"/>
          <w:szCs w:val="21"/>
          <w:highlight w:val="none"/>
        </w:rPr>
        <w:fldChar w:fldCharType="end"/>
      </w:r>
    </w:p>
    <w:p>
      <w:pPr>
        <w:pStyle w:val="17"/>
        <w:keepNext w:val="0"/>
        <w:keepLines w:val="0"/>
        <w:pageBreakBefore w:val="0"/>
        <w:widowControl w:val="0"/>
        <w:tabs>
          <w:tab w:val="right" w:leader="dot" w:pos="8710"/>
        </w:tabs>
        <w:kinsoku/>
        <w:wordWrap/>
        <w:overflowPunct/>
        <w:topLinePunct w:val="0"/>
        <w:autoSpaceDE/>
        <w:autoSpaceDN/>
        <w:bidi w:val="0"/>
        <w:snapToGrid/>
        <w:spacing w:line="360"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HYPERLINK \l _Toc23860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6. 语言文字</w:t>
      </w:r>
      <w:r>
        <w:rPr>
          <w:rFonts w:hint="eastAsia" w:ascii="宋体" w:hAnsi="宋体" w:eastAsia="宋体" w:cs="宋体"/>
          <w:sz w:val="21"/>
          <w:szCs w:val="21"/>
          <w:highlight w:val="none"/>
        </w:rPr>
        <w:tab/>
      </w: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PAGEREF _Toc23860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15</w:t>
      </w:r>
      <w:r>
        <w:rPr>
          <w:rFonts w:hint="eastAsia" w:ascii="宋体" w:hAnsi="宋体" w:eastAsia="宋体" w:cs="宋体"/>
          <w:sz w:val="21"/>
          <w:szCs w:val="21"/>
          <w:highlight w:val="none"/>
        </w:rPr>
        <w:fldChar w:fldCharType="end"/>
      </w:r>
      <w:r>
        <w:rPr>
          <w:rFonts w:hint="eastAsia" w:ascii="宋体" w:hAnsi="宋体" w:eastAsia="宋体" w:cs="宋体"/>
          <w:sz w:val="21"/>
          <w:szCs w:val="21"/>
          <w:highlight w:val="none"/>
        </w:rPr>
        <w:fldChar w:fldCharType="end"/>
      </w:r>
    </w:p>
    <w:p>
      <w:pPr>
        <w:pStyle w:val="17"/>
        <w:keepNext w:val="0"/>
        <w:keepLines w:val="0"/>
        <w:pageBreakBefore w:val="0"/>
        <w:widowControl w:val="0"/>
        <w:tabs>
          <w:tab w:val="right" w:leader="dot" w:pos="8710"/>
        </w:tabs>
        <w:kinsoku/>
        <w:wordWrap/>
        <w:overflowPunct/>
        <w:topLinePunct w:val="0"/>
        <w:autoSpaceDE/>
        <w:autoSpaceDN/>
        <w:bidi w:val="0"/>
        <w:snapToGrid/>
        <w:spacing w:line="360"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HYPERLINK \l _Toc26479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7. 计量单位</w:t>
      </w:r>
      <w:r>
        <w:rPr>
          <w:rFonts w:hint="eastAsia" w:ascii="宋体" w:hAnsi="宋体" w:eastAsia="宋体" w:cs="宋体"/>
          <w:sz w:val="21"/>
          <w:szCs w:val="21"/>
          <w:highlight w:val="none"/>
        </w:rPr>
        <w:tab/>
      </w: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PAGEREF _Toc26479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15</w:t>
      </w:r>
      <w:r>
        <w:rPr>
          <w:rFonts w:hint="eastAsia" w:ascii="宋体" w:hAnsi="宋体" w:eastAsia="宋体" w:cs="宋体"/>
          <w:sz w:val="21"/>
          <w:szCs w:val="21"/>
          <w:highlight w:val="none"/>
        </w:rPr>
        <w:fldChar w:fldCharType="end"/>
      </w:r>
      <w:r>
        <w:rPr>
          <w:rFonts w:hint="eastAsia" w:ascii="宋体" w:hAnsi="宋体" w:eastAsia="宋体" w:cs="宋体"/>
          <w:sz w:val="21"/>
          <w:szCs w:val="21"/>
          <w:highlight w:val="none"/>
        </w:rPr>
        <w:fldChar w:fldCharType="end"/>
      </w:r>
    </w:p>
    <w:p>
      <w:pPr>
        <w:pStyle w:val="17"/>
        <w:keepNext w:val="0"/>
        <w:keepLines w:val="0"/>
        <w:pageBreakBefore w:val="0"/>
        <w:widowControl w:val="0"/>
        <w:tabs>
          <w:tab w:val="right" w:leader="dot" w:pos="8710"/>
        </w:tabs>
        <w:kinsoku/>
        <w:wordWrap/>
        <w:overflowPunct/>
        <w:topLinePunct w:val="0"/>
        <w:autoSpaceDE/>
        <w:autoSpaceDN/>
        <w:bidi w:val="0"/>
        <w:snapToGrid/>
        <w:spacing w:line="360"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HYPERLINK \l _Toc8011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8. 现场考察</w:t>
      </w:r>
      <w:r>
        <w:rPr>
          <w:rFonts w:hint="eastAsia" w:ascii="宋体" w:hAnsi="宋体" w:eastAsia="宋体" w:cs="宋体"/>
          <w:sz w:val="21"/>
          <w:szCs w:val="21"/>
          <w:highlight w:val="none"/>
        </w:rPr>
        <w:tab/>
      </w: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PAGEREF _Toc8011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15</w:t>
      </w:r>
      <w:r>
        <w:rPr>
          <w:rFonts w:hint="eastAsia" w:ascii="宋体" w:hAnsi="宋体" w:eastAsia="宋体" w:cs="宋体"/>
          <w:sz w:val="21"/>
          <w:szCs w:val="21"/>
          <w:highlight w:val="none"/>
        </w:rPr>
        <w:fldChar w:fldCharType="end"/>
      </w:r>
      <w:r>
        <w:rPr>
          <w:rFonts w:hint="eastAsia" w:ascii="宋体" w:hAnsi="宋体" w:eastAsia="宋体" w:cs="宋体"/>
          <w:sz w:val="21"/>
          <w:szCs w:val="21"/>
          <w:highlight w:val="none"/>
        </w:rPr>
        <w:fldChar w:fldCharType="end"/>
      </w:r>
    </w:p>
    <w:p>
      <w:pPr>
        <w:pStyle w:val="17"/>
        <w:keepNext w:val="0"/>
        <w:keepLines w:val="0"/>
        <w:pageBreakBefore w:val="0"/>
        <w:widowControl w:val="0"/>
        <w:tabs>
          <w:tab w:val="right" w:leader="dot" w:pos="8710"/>
        </w:tabs>
        <w:kinsoku/>
        <w:wordWrap/>
        <w:overflowPunct/>
        <w:topLinePunct w:val="0"/>
        <w:autoSpaceDE/>
        <w:autoSpaceDN/>
        <w:bidi w:val="0"/>
        <w:snapToGrid/>
        <w:spacing w:line="360"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HYPERLINK \l _Toc1695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9. 开标前答疑会</w:t>
      </w:r>
      <w:r>
        <w:rPr>
          <w:rFonts w:hint="eastAsia" w:ascii="宋体" w:hAnsi="宋体" w:eastAsia="宋体" w:cs="宋体"/>
          <w:sz w:val="21"/>
          <w:szCs w:val="21"/>
          <w:highlight w:val="none"/>
        </w:rPr>
        <w:tab/>
      </w: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PAGEREF _Toc1695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15</w:t>
      </w:r>
      <w:r>
        <w:rPr>
          <w:rFonts w:hint="eastAsia" w:ascii="宋体" w:hAnsi="宋体" w:eastAsia="宋体" w:cs="宋体"/>
          <w:sz w:val="21"/>
          <w:szCs w:val="21"/>
          <w:highlight w:val="none"/>
        </w:rPr>
        <w:fldChar w:fldCharType="end"/>
      </w:r>
      <w:r>
        <w:rPr>
          <w:rFonts w:hint="eastAsia" w:ascii="宋体" w:hAnsi="宋体" w:eastAsia="宋体" w:cs="宋体"/>
          <w:sz w:val="21"/>
          <w:szCs w:val="21"/>
          <w:highlight w:val="none"/>
        </w:rPr>
        <w:fldChar w:fldCharType="end"/>
      </w:r>
    </w:p>
    <w:p>
      <w:pPr>
        <w:pStyle w:val="17"/>
        <w:keepNext w:val="0"/>
        <w:keepLines w:val="0"/>
        <w:pageBreakBefore w:val="0"/>
        <w:widowControl w:val="0"/>
        <w:tabs>
          <w:tab w:val="right" w:leader="dot" w:pos="8710"/>
        </w:tabs>
        <w:kinsoku/>
        <w:wordWrap/>
        <w:overflowPunct/>
        <w:topLinePunct w:val="0"/>
        <w:autoSpaceDE/>
        <w:autoSpaceDN/>
        <w:bidi w:val="0"/>
        <w:snapToGrid/>
        <w:spacing w:line="360"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HYPERLINK \l _Toc16510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10.质疑</w:t>
      </w:r>
      <w:r>
        <w:rPr>
          <w:rFonts w:hint="eastAsia" w:ascii="宋体" w:hAnsi="宋体" w:eastAsia="宋体" w:cs="宋体"/>
          <w:sz w:val="21"/>
          <w:szCs w:val="21"/>
          <w:highlight w:val="none"/>
        </w:rPr>
        <w:tab/>
      </w: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PAGEREF _Toc16510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15</w:t>
      </w:r>
      <w:r>
        <w:rPr>
          <w:rFonts w:hint="eastAsia" w:ascii="宋体" w:hAnsi="宋体" w:eastAsia="宋体" w:cs="宋体"/>
          <w:sz w:val="21"/>
          <w:szCs w:val="21"/>
          <w:highlight w:val="none"/>
        </w:rPr>
        <w:fldChar w:fldCharType="end"/>
      </w:r>
      <w:r>
        <w:rPr>
          <w:rFonts w:hint="eastAsia" w:ascii="宋体" w:hAnsi="宋体" w:eastAsia="宋体" w:cs="宋体"/>
          <w:sz w:val="21"/>
          <w:szCs w:val="21"/>
          <w:highlight w:val="none"/>
        </w:rPr>
        <w:fldChar w:fldCharType="end"/>
      </w:r>
    </w:p>
    <w:p>
      <w:pPr>
        <w:pStyle w:val="17"/>
        <w:keepNext w:val="0"/>
        <w:keepLines w:val="0"/>
        <w:pageBreakBefore w:val="0"/>
        <w:widowControl w:val="0"/>
        <w:tabs>
          <w:tab w:val="right" w:leader="dot" w:pos="8710"/>
        </w:tabs>
        <w:kinsoku/>
        <w:wordWrap/>
        <w:overflowPunct/>
        <w:topLinePunct w:val="0"/>
        <w:autoSpaceDE/>
        <w:autoSpaceDN/>
        <w:bidi w:val="0"/>
        <w:snapToGrid/>
        <w:spacing w:line="360"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HYPERLINK \l _Toc25151 </w:instrText>
      </w:r>
      <w:r>
        <w:rPr>
          <w:rFonts w:hint="eastAsia" w:ascii="宋体" w:hAnsi="宋体" w:eastAsia="宋体" w:cs="宋体"/>
          <w:sz w:val="21"/>
          <w:szCs w:val="21"/>
          <w:highlight w:val="none"/>
        </w:rPr>
        <w:fldChar w:fldCharType="separate"/>
      </w:r>
      <w:r>
        <w:rPr>
          <w:rFonts w:hint="eastAsia" w:ascii="宋体" w:hAnsi="宋体" w:eastAsia="宋体" w:cs="宋体"/>
          <w:bCs/>
          <w:sz w:val="21"/>
          <w:szCs w:val="21"/>
          <w:highlight w:val="none"/>
        </w:rPr>
        <w:t>11.投诉</w:t>
      </w:r>
      <w:r>
        <w:rPr>
          <w:rFonts w:hint="eastAsia" w:ascii="宋体" w:hAnsi="宋体" w:eastAsia="宋体" w:cs="宋体"/>
          <w:sz w:val="21"/>
          <w:szCs w:val="21"/>
          <w:highlight w:val="none"/>
        </w:rPr>
        <w:tab/>
      </w: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PAGEREF _Toc25151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16</w:t>
      </w:r>
      <w:r>
        <w:rPr>
          <w:rFonts w:hint="eastAsia" w:ascii="宋体" w:hAnsi="宋体" w:eastAsia="宋体" w:cs="宋体"/>
          <w:sz w:val="21"/>
          <w:szCs w:val="21"/>
          <w:highlight w:val="none"/>
        </w:rPr>
        <w:fldChar w:fldCharType="end"/>
      </w:r>
      <w:r>
        <w:rPr>
          <w:rFonts w:hint="eastAsia" w:ascii="宋体" w:hAnsi="宋体" w:eastAsia="宋体" w:cs="宋体"/>
          <w:sz w:val="21"/>
          <w:szCs w:val="21"/>
          <w:highlight w:val="none"/>
        </w:rPr>
        <w:fldChar w:fldCharType="end"/>
      </w:r>
    </w:p>
    <w:p>
      <w:pPr>
        <w:pStyle w:val="28"/>
        <w:keepNext w:val="0"/>
        <w:keepLines w:val="0"/>
        <w:pageBreakBefore w:val="0"/>
        <w:widowControl w:val="0"/>
        <w:tabs>
          <w:tab w:val="right" w:leader="dot" w:pos="8710"/>
          <w:tab w:val="clear" w:pos="9344"/>
        </w:tabs>
        <w:kinsoku/>
        <w:wordWrap/>
        <w:overflowPunct/>
        <w:topLinePunct w:val="0"/>
        <w:autoSpaceDE/>
        <w:autoSpaceDN/>
        <w:bidi w:val="0"/>
        <w:snapToGrid/>
        <w:spacing w:line="360"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HYPERLINK \l _Toc29199 </w:instrText>
      </w:r>
      <w:r>
        <w:rPr>
          <w:rFonts w:hint="eastAsia" w:ascii="宋体" w:hAnsi="宋体" w:eastAsia="宋体" w:cs="宋体"/>
          <w:sz w:val="21"/>
          <w:szCs w:val="21"/>
          <w:highlight w:val="none"/>
        </w:rPr>
        <w:fldChar w:fldCharType="separate"/>
      </w:r>
      <w:r>
        <w:rPr>
          <w:rFonts w:hint="eastAsia" w:ascii="宋体" w:hAnsi="宋体" w:eastAsia="宋体" w:cs="宋体"/>
          <w:spacing w:val="40"/>
          <w:sz w:val="21"/>
          <w:szCs w:val="21"/>
          <w:highlight w:val="none"/>
        </w:rPr>
        <w:t>二、招标文件</w:t>
      </w:r>
      <w:r>
        <w:rPr>
          <w:rFonts w:hint="eastAsia" w:ascii="宋体" w:hAnsi="宋体" w:eastAsia="宋体" w:cs="宋体"/>
          <w:sz w:val="21"/>
          <w:szCs w:val="21"/>
          <w:highlight w:val="none"/>
        </w:rPr>
        <w:tab/>
      </w: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PAGEREF _Toc29199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17</w:t>
      </w:r>
      <w:r>
        <w:rPr>
          <w:rFonts w:hint="eastAsia" w:ascii="宋体" w:hAnsi="宋体" w:eastAsia="宋体" w:cs="宋体"/>
          <w:sz w:val="21"/>
          <w:szCs w:val="21"/>
          <w:highlight w:val="none"/>
        </w:rPr>
        <w:fldChar w:fldCharType="end"/>
      </w:r>
      <w:r>
        <w:rPr>
          <w:rFonts w:hint="eastAsia" w:ascii="宋体" w:hAnsi="宋体" w:eastAsia="宋体" w:cs="宋体"/>
          <w:sz w:val="21"/>
          <w:szCs w:val="21"/>
          <w:highlight w:val="none"/>
        </w:rPr>
        <w:fldChar w:fldCharType="end"/>
      </w:r>
    </w:p>
    <w:p>
      <w:pPr>
        <w:pStyle w:val="17"/>
        <w:keepNext w:val="0"/>
        <w:keepLines w:val="0"/>
        <w:pageBreakBefore w:val="0"/>
        <w:widowControl w:val="0"/>
        <w:tabs>
          <w:tab w:val="right" w:leader="dot" w:pos="8710"/>
        </w:tabs>
        <w:kinsoku/>
        <w:wordWrap/>
        <w:overflowPunct/>
        <w:topLinePunct w:val="0"/>
        <w:autoSpaceDE/>
        <w:autoSpaceDN/>
        <w:bidi w:val="0"/>
        <w:snapToGrid/>
        <w:spacing w:line="360"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HYPERLINK \l _Toc31191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12.招标文件编制依据</w:t>
      </w:r>
      <w:r>
        <w:rPr>
          <w:rFonts w:hint="eastAsia" w:ascii="宋体" w:hAnsi="宋体" w:eastAsia="宋体" w:cs="宋体"/>
          <w:sz w:val="21"/>
          <w:szCs w:val="21"/>
          <w:highlight w:val="none"/>
        </w:rPr>
        <w:tab/>
      </w: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PAGEREF _Toc31191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17</w:t>
      </w:r>
      <w:r>
        <w:rPr>
          <w:rFonts w:hint="eastAsia" w:ascii="宋体" w:hAnsi="宋体" w:eastAsia="宋体" w:cs="宋体"/>
          <w:sz w:val="21"/>
          <w:szCs w:val="21"/>
          <w:highlight w:val="none"/>
        </w:rPr>
        <w:fldChar w:fldCharType="end"/>
      </w:r>
      <w:r>
        <w:rPr>
          <w:rFonts w:hint="eastAsia" w:ascii="宋体" w:hAnsi="宋体" w:eastAsia="宋体" w:cs="宋体"/>
          <w:sz w:val="21"/>
          <w:szCs w:val="21"/>
          <w:highlight w:val="none"/>
        </w:rPr>
        <w:fldChar w:fldCharType="end"/>
      </w:r>
    </w:p>
    <w:p>
      <w:pPr>
        <w:pStyle w:val="17"/>
        <w:keepNext w:val="0"/>
        <w:keepLines w:val="0"/>
        <w:pageBreakBefore w:val="0"/>
        <w:widowControl w:val="0"/>
        <w:tabs>
          <w:tab w:val="right" w:leader="dot" w:pos="8710"/>
        </w:tabs>
        <w:kinsoku/>
        <w:wordWrap/>
        <w:overflowPunct/>
        <w:topLinePunct w:val="0"/>
        <w:autoSpaceDE/>
        <w:autoSpaceDN/>
        <w:bidi w:val="0"/>
        <w:snapToGrid/>
        <w:spacing w:line="360"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HYPERLINK \l _Toc14728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13. 招标文件的构成</w:t>
      </w:r>
      <w:r>
        <w:rPr>
          <w:rFonts w:hint="eastAsia" w:ascii="宋体" w:hAnsi="宋体" w:eastAsia="宋体" w:cs="宋体"/>
          <w:sz w:val="21"/>
          <w:szCs w:val="21"/>
          <w:highlight w:val="none"/>
        </w:rPr>
        <w:tab/>
      </w: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PAGEREF _Toc14728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17</w:t>
      </w:r>
      <w:r>
        <w:rPr>
          <w:rFonts w:hint="eastAsia" w:ascii="宋体" w:hAnsi="宋体" w:eastAsia="宋体" w:cs="宋体"/>
          <w:sz w:val="21"/>
          <w:szCs w:val="21"/>
          <w:highlight w:val="none"/>
        </w:rPr>
        <w:fldChar w:fldCharType="end"/>
      </w:r>
      <w:r>
        <w:rPr>
          <w:rFonts w:hint="eastAsia" w:ascii="宋体" w:hAnsi="宋体" w:eastAsia="宋体" w:cs="宋体"/>
          <w:sz w:val="21"/>
          <w:szCs w:val="21"/>
          <w:highlight w:val="none"/>
        </w:rPr>
        <w:fldChar w:fldCharType="end"/>
      </w:r>
    </w:p>
    <w:p>
      <w:pPr>
        <w:pStyle w:val="17"/>
        <w:keepNext w:val="0"/>
        <w:keepLines w:val="0"/>
        <w:pageBreakBefore w:val="0"/>
        <w:widowControl w:val="0"/>
        <w:tabs>
          <w:tab w:val="right" w:leader="dot" w:pos="8710"/>
        </w:tabs>
        <w:kinsoku/>
        <w:wordWrap/>
        <w:overflowPunct/>
        <w:topLinePunct w:val="0"/>
        <w:autoSpaceDE/>
        <w:autoSpaceDN/>
        <w:bidi w:val="0"/>
        <w:snapToGrid/>
        <w:spacing w:line="360"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HYPERLINK \l _Toc16201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14. 招标文件的询问、澄清、修改</w:t>
      </w:r>
      <w:r>
        <w:rPr>
          <w:rFonts w:hint="eastAsia" w:ascii="宋体" w:hAnsi="宋体" w:eastAsia="宋体" w:cs="宋体"/>
          <w:sz w:val="21"/>
          <w:szCs w:val="21"/>
          <w:highlight w:val="none"/>
        </w:rPr>
        <w:tab/>
      </w: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PAGEREF _Toc16201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17</w:t>
      </w:r>
      <w:r>
        <w:rPr>
          <w:rFonts w:hint="eastAsia" w:ascii="宋体" w:hAnsi="宋体" w:eastAsia="宋体" w:cs="宋体"/>
          <w:sz w:val="21"/>
          <w:szCs w:val="21"/>
          <w:highlight w:val="none"/>
        </w:rPr>
        <w:fldChar w:fldCharType="end"/>
      </w:r>
      <w:r>
        <w:rPr>
          <w:rFonts w:hint="eastAsia" w:ascii="宋体" w:hAnsi="宋体" w:eastAsia="宋体" w:cs="宋体"/>
          <w:sz w:val="21"/>
          <w:szCs w:val="21"/>
          <w:highlight w:val="none"/>
        </w:rPr>
        <w:fldChar w:fldCharType="end"/>
      </w:r>
    </w:p>
    <w:p>
      <w:pPr>
        <w:pStyle w:val="28"/>
        <w:keepNext w:val="0"/>
        <w:keepLines w:val="0"/>
        <w:pageBreakBefore w:val="0"/>
        <w:widowControl w:val="0"/>
        <w:tabs>
          <w:tab w:val="right" w:leader="dot" w:pos="8710"/>
          <w:tab w:val="clear" w:pos="9344"/>
        </w:tabs>
        <w:kinsoku/>
        <w:wordWrap/>
        <w:overflowPunct/>
        <w:topLinePunct w:val="0"/>
        <w:autoSpaceDE/>
        <w:autoSpaceDN/>
        <w:bidi w:val="0"/>
        <w:snapToGrid/>
        <w:spacing w:line="360"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HYPERLINK \l _Toc16829 </w:instrText>
      </w:r>
      <w:r>
        <w:rPr>
          <w:rFonts w:hint="eastAsia" w:ascii="宋体" w:hAnsi="宋体" w:eastAsia="宋体" w:cs="宋体"/>
          <w:sz w:val="21"/>
          <w:szCs w:val="21"/>
          <w:highlight w:val="none"/>
        </w:rPr>
        <w:fldChar w:fldCharType="separate"/>
      </w:r>
      <w:r>
        <w:rPr>
          <w:rFonts w:hint="eastAsia" w:ascii="宋体" w:hAnsi="宋体" w:eastAsia="宋体" w:cs="宋体"/>
          <w:spacing w:val="40"/>
          <w:sz w:val="21"/>
          <w:szCs w:val="21"/>
          <w:highlight w:val="none"/>
        </w:rPr>
        <w:t>三、投标文件</w:t>
      </w:r>
      <w:r>
        <w:rPr>
          <w:rFonts w:hint="eastAsia" w:ascii="宋体" w:hAnsi="宋体" w:eastAsia="宋体" w:cs="宋体"/>
          <w:sz w:val="21"/>
          <w:szCs w:val="21"/>
          <w:highlight w:val="none"/>
        </w:rPr>
        <w:tab/>
      </w: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PAGEREF _Toc16829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18</w:t>
      </w:r>
      <w:r>
        <w:rPr>
          <w:rFonts w:hint="eastAsia" w:ascii="宋体" w:hAnsi="宋体" w:eastAsia="宋体" w:cs="宋体"/>
          <w:sz w:val="21"/>
          <w:szCs w:val="21"/>
          <w:highlight w:val="none"/>
        </w:rPr>
        <w:fldChar w:fldCharType="end"/>
      </w:r>
      <w:r>
        <w:rPr>
          <w:rFonts w:hint="eastAsia" w:ascii="宋体" w:hAnsi="宋体" w:eastAsia="宋体" w:cs="宋体"/>
          <w:sz w:val="21"/>
          <w:szCs w:val="21"/>
          <w:highlight w:val="none"/>
        </w:rPr>
        <w:fldChar w:fldCharType="end"/>
      </w:r>
    </w:p>
    <w:p>
      <w:pPr>
        <w:pStyle w:val="17"/>
        <w:keepNext w:val="0"/>
        <w:keepLines w:val="0"/>
        <w:pageBreakBefore w:val="0"/>
        <w:widowControl w:val="0"/>
        <w:tabs>
          <w:tab w:val="right" w:leader="dot" w:pos="8710"/>
        </w:tabs>
        <w:kinsoku/>
        <w:wordWrap/>
        <w:overflowPunct/>
        <w:topLinePunct w:val="0"/>
        <w:autoSpaceDE/>
        <w:autoSpaceDN/>
        <w:bidi w:val="0"/>
        <w:snapToGrid/>
        <w:spacing w:line="360"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HYPERLINK \l _Toc6312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15.投标文件编写注意事项</w:t>
      </w:r>
      <w:r>
        <w:rPr>
          <w:rFonts w:hint="eastAsia" w:ascii="宋体" w:hAnsi="宋体" w:eastAsia="宋体" w:cs="宋体"/>
          <w:sz w:val="21"/>
          <w:szCs w:val="21"/>
          <w:highlight w:val="none"/>
        </w:rPr>
        <w:tab/>
      </w: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PAGEREF _Toc6312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18</w:t>
      </w:r>
      <w:r>
        <w:rPr>
          <w:rFonts w:hint="eastAsia" w:ascii="宋体" w:hAnsi="宋体" w:eastAsia="宋体" w:cs="宋体"/>
          <w:sz w:val="21"/>
          <w:szCs w:val="21"/>
          <w:highlight w:val="none"/>
        </w:rPr>
        <w:fldChar w:fldCharType="end"/>
      </w:r>
      <w:r>
        <w:rPr>
          <w:rFonts w:hint="eastAsia" w:ascii="宋体" w:hAnsi="宋体" w:eastAsia="宋体" w:cs="宋体"/>
          <w:sz w:val="21"/>
          <w:szCs w:val="21"/>
          <w:highlight w:val="none"/>
        </w:rPr>
        <w:fldChar w:fldCharType="end"/>
      </w:r>
    </w:p>
    <w:p>
      <w:pPr>
        <w:pStyle w:val="17"/>
        <w:keepNext w:val="0"/>
        <w:keepLines w:val="0"/>
        <w:pageBreakBefore w:val="0"/>
        <w:widowControl w:val="0"/>
        <w:tabs>
          <w:tab w:val="right" w:leader="dot" w:pos="8710"/>
        </w:tabs>
        <w:kinsoku/>
        <w:wordWrap/>
        <w:overflowPunct/>
        <w:topLinePunct w:val="0"/>
        <w:autoSpaceDE/>
        <w:autoSpaceDN/>
        <w:bidi w:val="0"/>
        <w:snapToGrid/>
        <w:spacing w:line="360"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HYPERLINK \l _Toc27836 </w:instrText>
      </w:r>
      <w:r>
        <w:rPr>
          <w:rFonts w:hint="eastAsia" w:ascii="宋体" w:hAnsi="宋体" w:eastAsia="宋体" w:cs="宋体"/>
          <w:sz w:val="21"/>
          <w:szCs w:val="21"/>
          <w:highlight w:val="none"/>
        </w:rPr>
        <w:fldChar w:fldCharType="separate"/>
      </w:r>
      <w:r>
        <w:rPr>
          <w:rFonts w:hint="eastAsia" w:ascii="宋体" w:hAnsi="宋体" w:eastAsia="宋体" w:cs="宋体"/>
          <w:bCs/>
          <w:sz w:val="21"/>
          <w:szCs w:val="21"/>
          <w:highlight w:val="none"/>
        </w:rPr>
        <w:t>16. 投标文件的组成</w:t>
      </w:r>
      <w:r>
        <w:rPr>
          <w:rFonts w:hint="eastAsia" w:ascii="宋体" w:hAnsi="宋体" w:eastAsia="宋体" w:cs="宋体"/>
          <w:sz w:val="21"/>
          <w:szCs w:val="21"/>
          <w:highlight w:val="none"/>
        </w:rPr>
        <w:tab/>
      </w: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PAGEREF _Toc27836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18</w:t>
      </w:r>
      <w:r>
        <w:rPr>
          <w:rFonts w:hint="eastAsia" w:ascii="宋体" w:hAnsi="宋体" w:eastAsia="宋体" w:cs="宋体"/>
          <w:sz w:val="21"/>
          <w:szCs w:val="21"/>
          <w:highlight w:val="none"/>
        </w:rPr>
        <w:fldChar w:fldCharType="end"/>
      </w:r>
      <w:r>
        <w:rPr>
          <w:rFonts w:hint="eastAsia" w:ascii="宋体" w:hAnsi="宋体" w:eastAsia="宋体" w:cs="宋体"/>
          <w:sz w:val="21"/>
          <w:szCs w:val="21"/>
          <w:highlight w:val="none"/>
        </w:rPr>
        <w:fldChar w:fldCharType="end"/>
      </w:r>
    </w:p>
    <w:p>
      <w:pPr>
        <w:pStyle w:val="17"/>
        <w:keepNext w:val="0"/>
        <w:keepLines w:val="0"/>
        <w:pageBreakBefore w:val="0"/>
        <w:widowControl w:val="0"/>
        <w:tabs>
          <w:tab w:val="right" w:leader="dot" w:pos="8710"/>
        </w:tabs>
        <w:kinsoku/>
        <w:wordWrap/>
        <w:overflowPunct/>
        <w:topLinePunct w:val="0"/>
        <w:autoSpaceDE/>
        <w:autoSpaceDN/>
        <w:bidi w:val="0"/>
        <w:snapToGrid/>
        <w:spacing w:line="360"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HYPERLINK \l _Toc19187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17. 投标报价</w:t>
      </w:r>
      <w:r>
        <w:rPr>
          <w:rFonts w:hint="eastAsia" w:ascii="宋体" w:hAnsi="宋体" w:eastAsia="宋体" w:cs="宋体"/>
          <w:sz w:val="21"/>
          <w:szCs w:val="21"/>
          <w:highlight w:val="none"/>
        </w:rPr>
        <w:tab/>
      </w: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PAGEREF _Toc19187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18</w:t>
      </w:r>
      <w:r>
        <w:rPr>
          <w:rFonts w:hint="eastAsia" w:ascii="宋体" w:hAnsi="宋体" w:eastAsia="宋体" w:cs="宋体"/>
          <w:sz w:val="21"/>
          <w:szCs w:val="21"/>
          <w:highlight w:val="none"/>
        </w:rPr>
        <w:fldChar w:fldCharType="end"/>
      </w:r>
      <w:r>
        <w:rPr>
          <w:rFonts w:hint="eastAsia" w:ascii="宋体" w:hAnsi="宋体" w:eastAsia="宋体" w:cs="宋体"/>
          <w:sz w:val="21"/>
          <w:szCs w:val="21"/>
          <w:highlight w:val="none"/>
        </w:rPr>
        <w:fldChar w:fldCharType="end"/>
      </w:r>
    </w:p>
    <w:p>
      <w:pPr>
        <w:pStyle w:val="17"/>
        <w:keepNext w:val="0"/>
        <w:keepLines w:val="0"/>
        <w:pageBreakBefore w:val="0"/>
        <w:widowControl w:val="0"/>
        <w:tabs>
          <w:tab w:val="right" w:leader="dot" w:pos="8710"/>
        </w:tabs>
        <w:kinsoku/>
        <w:wordWrap/>
        <w:overflowPunct/>
        <w:topLinePunct w:val="0"/>
        <w:autoSpaceDE/>
        <w:autoSpaceDN/>
        <w:bidi w:val="0"/>
        <w:snapToGrid/>
        <w:spacing w:line="360"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HYPERLINK \l _Toc12840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18. 投标有效期</w:t>
      </w:r>
      <w:r>
        <w:rPr>
          <w:rFonts w:hint="eastAsia" w:ascii="宋体" w:hAnsi="宋体" w:eastAsia="宋体" w:cs="宋体"/>
          <w:sz w:val="21"/>
          <w:szCs w:val="21"/>
          <w:highlight w:val="none"/>
        </w:rPr>
        <w:tab/>
      </w: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PAGEREF _Toc12840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19</w:t>
      </w:r>
      <w:r>
        <w:rPr>
          <w:rFonts w:hint="eastAsia" w:ascii="宋体" w:hAnsi="宋体" w:eastAsia="宋体" w:cs="宋体"/>
          <w:sz w:val="21"/>
          <w:szCs w:val="21"/>
          <w:highlight w:val="none"/>
        </w:rPr>
        <w:fldChar w:fldCharType="end"/>
      </w:r>
      <w:r>
        <w:rPr>
          <w:rFonts w:hint="eastAsia" w:ascii="宋体" w:hAnsi="宋体" w:eastAsia="宋体" w:cs="宋体"/>
          <w:sz w:val="21"/>
          <w:szCs w:val="21"/>
          <w:highlight w:val="none"/>
        </w:rPr>
        <w:fldChar w:fldCharType="end"/>
      </w:r>
    </w:p>
    <w:p>
      <w:pPr>
        <w:pStyle w:val="17"/>
        <w:keepNext w:val="0"/>
        <w:keepLines w:val="0"/>
        <w:pageBreakBefore w:val="0"/>
        <w:widowControl w:val="0"/>
        <w:tabs>
          <w:tab w:val="right" w:leader="dot" w:pos="8710"/>
        </w:tabs>
        <w:kinsoku/>
        <w:wordWrap/>
        <w:overflowPunct/>
        <w:topLinePunct w:val="0"/>
        <w:autoSpaceDE/>
        <w:autoSpaceDN/>
        <w:bidi w:val="0"/>
        <w:snapToGrid/>
        <w:spacing w:line="360"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HYPERLINK \l _Toc880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19.投标保证金</w:t>
      </w:r>
      <w:r>
        <w:rPr>
          <w:rFonts w:hint="eastAsia" w:ascii="宋体" w:hAnsi="宋体" w:eastAsia="宋体" w:cs="宋体"/>
          <w:sz w:val="21"/>
          <w:szCs w:val="21"/>
          <w:highlight w:val="none"/>
        </w:rPr>
        <w:tab/>
      </w: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PAGEREF _Toc880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20</w:t>
      </w:r>
      <w:r>
        <w:rPr>
          <w:rFonts w:hint="eastAsia" w:ascii="宋体" w:hAnsi="宋体" w:eastAsia="宋体" w:cs="宋体"/>
          <w:sz w:val="21"/>
          <w:szCs w:val="21"/>
          <w:highlight w:val="none"/>
        </w:rPr>
        <w:fldChar w:fldCharType="end"/>
      </w:r>
      <w:r>
        <w:rPr>
          <w:rFonts w:hint="eastAsia" w:ascii="宋体" w:hAnsi="宋体" w:eastAsia="宋体" w:cs="宋体"/>
          <w:sz w:val="21"/>
          <w:szCs w:val="21"/>
          <w:highlight w:val="none"/>
        </w:rPr>
        <w:fldChar w:fldCharType="end"/>
      </w:r>
    </w:p>
    <w:p>
      <w:pPr>
        <w:pStyle w:val="17"/>
        <w:keepNext w:val="0"/>
        <w:keepLines w:val="0"/>
        <w:pageBreakBefore w:val="0"/>
        <w:widowControl w:val="0"/>
        <w:tabs>
          <w:tab w:val="right" w:leader="dot" w:pos="8710"/>
        </w:tabs>
        <w:kinsoku/>
        <w:wordWrap/>
        <w:overflowPunct/>
        <w:topLinePunct w:val="0"/>
        <w:autoSpaceDE/>
        <w:autoSpaceDN/>
        <w:bidi w:val="0"/>
        <w:snapToGrid/>
        <w:spacing w:line="360"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HYPERLINK \l _Toc5522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20.投标文件的编制</w:t>
      </w:r>
      <w:r>
        <w:rPr>
          <w:rFonts w:hint="eastAsia" w:ascii="宋体" w:hAnsi="宋体" w:eastAsia="宋体" w:cs="宋体"/>
          <w:sz w:val="21"/>
          <w:szCs w:val="21"/>
          <w:highlight w:val="none"/>
        </w:rPr>
        <w:tab/>
      </w: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PAGEREF _Toc5522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20</w:t>
      </w:r>
      <w:r>
        <w:rPr>
          <w:rFonts w:hint="eastAsia" w:ascii="宋体" w:hAnsi="宋体" w:eastAsia="宋体" w:cs="宋体"/>
          <w:sz w:val="21"/>
          <w:szCs w:val="21"/>
          <w:highlight w:val="none"/>
        </w:rPr>
        <w:fldChar w:fldCharType="end"/>
      </w:r>
      <w:r>
        <w:rPr>
          <w:rFonts w:hint="eastAsia" w:ascii="宋体" w:hAnsi="宋体" w:eastAsia="宋体" w:cs="宋体"/>
          <w:sz w:val="21"/>
          <w:szCs w:val="21"/>
          <w:highlight w:val="none"/>
        </w:rPr>
        <w:fldChar w:fldCharType="end"/>
      </w:r>
    </w:p>
    <w:p>
      <w:pPr>
        <w:pStyle w:val="28"/>
        <w:keepNext w:val="0"/>
        <w:keepLines w:val="0"/>
        <w:pageBreakBefore w:val="0"/>
        <w:widowControl w:val="0"/>
        <w:tabs>
          <w:tab w:val="right" w:leader="dot" w:pos="8710"/>
          <w:tab w:val="clear" w:pos="9344"/>
        </w:tabs>
        <w:kinsoku/>
        <w:wordWrap/>
        <w:overflowPunct/>
        <w:topLinePunct w:val="0"/>
        <w:autoSpaceDE/>
        <w:autoSpaceDN/>
        <w:bidi w:val="0"/>
        <w:snapToGrid/>
        <w:spacing w:line="360"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HYPERLINK \l _Toc15658 </w:instrText>
      </w:r>
      <w:r>
        <w:rPr>
          <w:rFonts w:hint="eastAsia" w:ascii="宋体" w:hAnsi="宋体" w:eastAsia="宋体" w:cs="宋体"/>
          <w:sz w:val="21"/>
          <w:szCs w:val="21"/>
          <w:highlight w:val="none"/>
        </w:rPr>
        <w:fldChar w:fldCharType="separate"/>
      </w:r>
      <w:r>
        <w:rPr>
          <w:rFonts w:hint="eastAsia" w:ascii="宋体" w:hAnsi="宋体" w:eastAsia="宋体" w:cs="宋体"/>
          <w:spacing w:val="40"/>
          <w:sz w:val="21"/>
          <w:szCs w:val="21"/>
          <w:highlight w:val="none"/>
        </w:rPr>
        <w:t>四、投标</w:t>
      </w:r>
      <w:r>
        <w:rPr>
          <w:rFonts w:hint="eastAsia" w:ascii="宋体" w:hAnsi="宋体" w:eastAsia="宋体" w:cs="宋体"/>
          <w:sz w:val="21"/>
          <w:szCs w:val="21"/>
          <w:highlight w:val="none"/>
        </w:rPr>
        <w:tab/>
      </w: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PAGEREF _Toc15658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21</w:t>
      </w:r>
      <w:r>
        <w:rPr>
          <w:rFonts w:hint="eastAsia" w:ascii="宋体" w:hAnsi="宋体" w:eastAsia="宋体" w:cs="宋体"/>
          <w:sz w:val="21"/>
          <w:szCs w:val="21"/>
          <w:highlight w:val="none"/>
        </w:rPr>
        <w:fldChar w:fldCharType="end"/>
      </w:r>
      <w:r>
        <w:rPr>
          <w:rFonts w:hint="eastAsia" w:ascii="宋体" w:hAnsi="宋体" w:eastAsia="宋体" w:cs="宋体"/>
          <w:sz w:val="21"/>
          <w:szCs w:val="21"/>
          <w:highlight w:val="none"/>
        </w:rPr>
        <w:fldChar w:fldCharType="end"/>
      </w:r>
    </w:p>
    <w:p>
      <w:pPr>
        <w:pStyle w:val="17"/>
        <w:keepNext w:val="0"/>
        <w:keepLines w:val="0"/>
        <w:pageBreakBefore w:val="0"/>
        <w:widowControl w:val="0"/>
        <w:tabs>
          <w:tab w:val="right" w:leader="dot" w:pos="8710"/>
        </w:tabs>
        <w:kinsoku/>
        <w:wordWrap/>
        <w:overflowPunct/>
        <w:topLinePunct w:val="0"/>
        <w:autoSpaceDE/>
        <w:autoSpaceDN/>
        <w:bidi w:val="0"/>
        <w:snapToGrid/>
        <w:spacing w:line="360"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HYPERLINK \l _Toc7318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21. 投标文件的密封和标记</w:t>
      </w:r>
      <w:r>
        <w:rPr>
          <w:rFonts w:hint="eastAsia" w:ascii="宋体" w:hAnsi="宋体" w:eastAsia="宋体" w:cs="宋体"/>
          <w:sz w:val="21"/>
          <w:szCs w:val="21"/>
          <w:highlight w:val="none"/>
        </w:rPr>
        <w:tab/>
      </w: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PAGEREF _Toc7318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21</w:t>
      </w:r>
      <w:r>
        <w:rPr>
          <w:rFonts w:hint="eastAsia" w:ascii="宋体" w:hAnsi="宋体" w:eastAsia="宋体" w:cs="宋体"/>
          <w:sz w:val="21"/>
          <w:szCs w:val="21"/>
          <w:highlight w:val="none"/>
        </w:rPr>
        <w:fldChar w:fldCharType="end"/>
      </w:r>
      <w:r>
        <w:rPr>
          <w:rFonts w:hint="eastAsia" w:ascii="宋体" w:hAnsi="宋体" w:eastAsia="宋体" w:cs="宋体"/>
          <w:sz w:val="21"/>
          <w:szCs w:val="21"/>
          <w:highlight w:val="none"/>
        </w:rPr>
        <w:fldChar w:fldCharType="end"/>
      </w:r>
    </w:p>
    <w:p>
      <w:pPr>
        <w:pStyle w:val="17"/>
        <w:keepNext w:val="0"/>
        <w:keepLines w:val="0"/>
        <w:pageBreakBefore w:val="0"/>
        <w:widowControl w:val="0"/>
        <w:tabs>
          <w:tab w:val="right" w:leader="dot" w:pos="8710"/>
        </w:tabs>
        <w:kinsoku/>
        <w:wordWrap/>
        <w:overflowPunct/>
        <w:topLinePunct w:val="0"/>
        <w:autoSpaceDE/>
        <w:autoSpaceDN/>
        <w:bidi w:val="0"/>
        <w:snapToGrid/>
        <w:spacing w:line="360"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HYPERLINK \l _Toc27428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22. 投标文件的提交</w:t>
      </w:r>
      <w:r>
        <w:rPr>
          <w:rFonts w:hint="eastAsia" w:ascii="宋体" w:hAnsi="宋体" w:eastAsia="宋体" w:cs="宋体"/>
          <w:sz w:val="21"/>
          <w:szCs w:val="21"/>
          <w:highlight w:val="none"/>
        </w:rPr>
        <w:tab/>
      </w: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PAGEREF _Toc27428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21</w:t>
      </w:r>
      <w:r>
        <w:rPr>
          <w:rFonts w:hint="eastAsia" w:ascii="宋体" w:hAnsi="宋体" w:eastAsia="宋体" w:cs="宋体"/>
          <w:sz w:val="21"/>
          <w:szCs w:val="21"/>
          <w:highlight w:val="none"/>
        </w:rPr>
        <w:fldChar w:fldCharType="end"/>
      </w:r>
      <w:r>
        <w:rPr>
          <w:rFonts w:hint="eastAsia" w:ascii="宋体" w:hAnsi="宋体" w:eastAsia="宋体" w:cs="宋体"/>
          <w:sz w:val="21"/>
          <w:szCs w:val="21"/>
          <w:highlight w:val="none"/>
        </w:rPr>
        <w:fldChar w:fldCharType="end"/>
      </w:r>
    </w:p>
    <w:p>
      <w:pPr>
        <w:pStyle w:val="17"/>
        <w:keepNext w:val="0"/>
        <w:keepLines w:val="0"/>
        <w:pageBreakBefore w:val="0"/>
        <w:widowControl w:val="0"/>
        <w:tabs>
          <w:tab w:val="right" w:leader="dot" w:pos="8710"/>
        </w:tabs>
        <w:kinsoku/>
        <w:wordWrap/>
        <w:overflowPunct/>
        <w:topLinePunct w:val="0"/>
        <w:autoSpaceDE/>
        <w:autoSpaceDN/>
        <w:bidi w:val="0"/>
        <w:snapToGrid/>
        <w:spacing w:line="360"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HYPERLINK \l _Toc10937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23. 投标文件的补充、修改或者撤回</w:t>
      </w:r>
      <w:r>
        <w:rPr>
          <w:rFonts w:hint="eastAsia" w:ascii="宋体" w:hAnsi="宋体" w:eastAsia="宋体" w:cs="宋体"/>
          <w:sz w:val="21"/>
          <w:szCs w:val="21"/>
          <w:highlight w:val="none"/>
        </w:rPr>
        <w:tab/>
      </w: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PAGEREF _Toc10937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21</w:t>
      </w:r>
      <w:r>
        <w:rPr>
          <w:rFonts w:hint="eastAsia" w:ascii="宋体" w:hAnsi="宋体" w:eastAsia="宋体" w:cs="宋体"/>
          <w:sz w:val="21"/>
          <w:szCs w:val="21"/>
          <w:highlight w:val="none"/>
        </w:rPr>
        <w:fldChar w:fldCharType="end"/>
      </w:r>
      <w:r>
        <w:rPr>
          <w:rFonts w:hint="eastAsia" w:ascii="宋体" w:hAnsi="宋体" w:eastAsia="宋体" w:cs="宋体"/>
          <w:sz w:val="21"/>
          <w:szCs w:val="21"/>
          <w:highlight w:val="none"/>
        </w:rPr>
        <w:fldChar w:fldCharType="end"/>
      </w:r>
    </w:p>
    <w:p>
      <w:pPr>
        <w:pStyle w:val="28"/>
        <w:keepNext w:val="0"/>
        <w:keepLines w:val="0"/>
        <w:pageBreakBefore w:val="0"/>
        <w:widowControl w:val="0"/>
        <w:tabs>
          <w:tab w:val="right" w:leader="dot" w:pos="8710"/>
          <w:tab w:val="clear" w:pos="9344"/>
        </w:tabs>
        <w:kinsoku/>
        <w:wordWrap/>
        <w:overflowPunct/>
        <w:topLinePunct w:val="0"/>
        <w:autoSpaceDE/>
        <w:autoSpaceDN/>
        <w:bidi w:val="0"/>
        <w:snapToGrid/>
        <w:spacing w:line="360"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HYPERLINK \l _Toc21806 </w:instrText>
      </w:r>
      <w:r>
        <w:rPr>
          <w:rFonts w:hint="eastAsia" w:ascii="宋体" w:hAnsi="宋体" w:eastAsia="宋体" w:cs="宋体"/>
          <w:sz w:val="21"/>
          <w:szCs w:val="21"/>
          <w:highlight w:val="none"/>
        </w:rPr>
        <w:fldChar w:fldCharType="separate"/>
      </w:r>
      <w:r>
        <w:rPr>
          <w:rFonts w:hint="eastAsia" w:ascii="宋体" w:hAnsi="宋体" w:eastAsia="宋体" w:cs="宋体"/>
          <w:spacing w:val="40"/>
          <w:sz w:val="21"/>
          <w:szCs w:val="21"/>
          <w:highlight w:val="none"/>
        </w:rPr>
        <w:t>五、开标</w:t>
      </w:r>
      <w:r>
        <w:rPr>
          <w:rFonts w:hint="eastAsia" w:ascii="宋体" w:hAnsi="宋体" w:eastAsia="宋体" w:cs="宋体"/>
          <w:sz w:val="21"/>
          <w:szCs w:val="21"/>
          <w:highlight w:val="none"/>
        </w:rPr>
        <w:tab/>
      </w: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PAGEREF _Toc21806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21</w:t>
      </w:r>
      <w:r>
        <w:rPr>
          <w:rFonts w:hint="eastAsia" w:ascii="宋体" w:hAnsi="宋体" w:eastAsia="宋体" w:cs="宋体"/>
          <w:sz w:val="21"/>
          <w:szCs w:val="21"/>
          <w:highlight w:val="none"/>
        </w:rPr>
        <w:fldChar w:fldCharType="end"/>
      </w:r>
      <w:r>
        <w:rPr>
          <w:rFonts w:hint="eastAsia" w:ascii="宋体" w:hAnsi="宋体" w:eastAsia="宋体" w:cs="宋体"/>
          <w:sz w:val="21"/>
          <w:szCs w:val="21"/>
          <w:highlight w:val="none"/>
        </w:rPr>
        <w:fldChar w:fldCharType="end"/>
      </w:r>
    </w:p>
    <w:p>
      <w:pPr>
        <w:pStyle w:val="17"/>
        <w:keepNext w:val="0"/>
        <w:keepLines w:val="0"/>
        <w:pageBreakBefore w:val="0"/>
        <w:widowControl w:val="0"/>
        <w:tabs>
          <w:tab w:val="right" w:leader="dot" w:pos="8710"/>
        </w:tabs>
        <w:kinsoku/>
        <w:wordWrap/>
        <w:overflowPunct/>
        <w:topLinePunct w:val="0"/>
        <w:autoSpaceDE/>
        <w:autoSpaceDN/>
        <w:bidi w:val="0"/>
        <w:snapToGrid/>
        <w:spacing w:line="360"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HYPERLINK \l _Toc6494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24. 开标</w:t>
      </w:r>
      <w:r>
        <w:rPr>
          <w:rFonts w:hint="eastAsia" w:ascii="宋体" w:hAnsi="宋体" w:eastAsia="宋体" w:cs="宋体"/>
          <w:sz w:val="21"/>
          <w:szCs w:val="21"/>
          <w:highlight w:val="none"/>
        </w:rPr>
        <w:tab/>
      </w: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PAGEREF _Toc6494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21</w:t>
      </w:r>
      <w:r>
        <w:rPr>
          <w:rFonts w:hint="eastAsia" w:ascii="宋体" w:hAnsi="宋体" w:eastAsia="宋体" w:cs="宋体"/>
          <w:sz w:val="21"/>
          <w:szCs w:val="21"/>
          <w:highlight w:val="none"/>
        </w:rPr>
        <w:fldChar w:fldCharType="end"/>
      </w:r>
      <w:r>
        <w:rPr>
          <w:rFonts w:hint="eastAsia" w:ascii="宋体" w:hAnsi="宋体" w:eastAsia="宋体" w:cs="宋体"/>
          <w:sz w:val="21"/>
          <w:szCs w:val="21"/>
          <w:highlight w:val="none"/>
        </w:rPr>
        <w:fldChar w:fldCharType="end"/>
      </w:r>
    </w:p>
    <w:p>
      <w:pPr>
        <w:pStyle w:val="28"/>
        <w:keepNext w:val="0"/>
        <w:keepLines w:val="0"/>
        <w:pageBreakBefore w:val="0"/>
        <w:widowControl w:val="0"/>
        <w:tabs>
          <w:tab w:val="right" w:leader="dot" w:pos="8710"/>
          <w:tab w:val="clear" w:pos="9344"/>
        </w:tabs>
        <w:kinsoku/>
        <w:wordWrap/>
        <w:overflowPunct/>
        <w:topLinePunct w:val="0"/>
        <w:autoSpaceDE/>
        <w:autoSpaceDN/>
        <w:bidi w:val="0"/>
        <w:snapToGrid/>
        <w:spacing w:line="360"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HYPERLINK \l _Toc17555 </w:instrText>
      </w:r>
      <w:r>
        <w:rPr>
          <w:rFonts w:hint="eastAsia" w:ascii="宋体" w:hAnsi="宋体" w:eastAsia="宋体" w:cs="宋体"/>
          <w:sz w:val="21"/>
          <w:szCs w:val="21"/>
          <w:highlight w:val="none"/>
        </w:rPr>
        <w:fldChar w:fldCharType="separate"/>
      </w:r>
      <w:r>
        <w:rPr>
          <w:rFonts w:hint="eastAsia" w:ascii="宋体" w:hAnsi="宋体" w:eastAsia="宋体" w:cs="宋体"/>
          <w:spacing w:val="40"/>
          <w:sz w:val="21"/>
          <w:szCs w:val="21"/>
          <w:highlight w:val="none"/>
        </w:rPr>
        <w:t>六、资格审查及评标</w:t>
      </w:r>
      <w:r>
        <w:rPr>
          <w:rFonts w:hint="eastAsia" w:ascii="宋体" w:hAnsi="宋体" w:eastAsia="宋体" w:cs="宋体"/>
          <w:sz w:val="21"/>
          <w:szCs w:val="21"/>
          <w:highlight w:val="none"/>
        </w:rPr>
        <w:tab/>
      </w: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PAGEREF _Toc17555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22</w:t>
      </w:r>
      <w:r>
        <w:rPr>
          <w:rFonts w:hint="eastAsia" w:ascii="宋体" w:hAnsi="宋体" w:eastAsia="宋体" w:cs="宋体"/>
          <w:sz w:val="21"/>
          <w:szCs w:val="21"/>
          <w:highlight w:val="none"/>
        </w:rPr>
        <w:fldChar w:fldCharType="end"/>
      </w:r>
      <w:r>
        <w:rPr>
          <w:rFonts w:hint="eastAsia" w:ascii="宋体" w:hAnsi="宋体" w:eastAsia="宋体" w:cs="宋体"/>
          <w:sz w:val="21"/>
          <w:szCs w:val="21"/>
          <w:highlight w:val="none"/>
        </w:rPr>
        <w:fldChar w:fldCharType="end"/>
      </w:r>
    </w:p>
    <w:p>
      <w:pPr>
        <w:pStyle w:val="17"/>
        <w:keepNext w:val="0"/>
        <w:keepLines w:val="0"/>
        <w:pageBreakBefore w:val="0"/>
        <w:widowControl w:val="0"/>
        <w:tabs>
          <w:tab w:val="right" w:leader="dot" w:pos="8710"/>
        </w:tabs>
        <w:kinsoku/>
        <w:wordWrap/>
        <w:overflowPunct/>
        <w:topLinePunct w:val="0"/>
        <w:autoSpaceDE/>
        <w:autoSpaceDN/>
        <w:bidi w:val="0"/>
        <w:snapToGrid/>
        <w:spacing w:line="360"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HYPERLINK \l _Toc21585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25.资格审查</w:t>
      </w:r>
      <w:r>
        <w:rPr>
          <w:rFonts w:hint="eastAsia" w:ascii="宋体" w:hAnsi="宋体" w:eastAsia="宋体" w:cs="宋体"/>
          <w:sz w:val="21"/>
          <w:szCs w:val="21"/>
          <w:highlight w:val="none"/>
        </w:rPr>
        <w:tab/>
      </w: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PAGEREF _Toc21585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22</w:t>
      </w:r>
      <w:r>
        <w:rPr>
          <w:rFonts w:hint="eastAsia" w:ascii="宋体" w:hAnsi="宋体" w:eastAsia="宋体" w:cs="宋体"/>
          <w:sz w:val="21"/>
          <w:szCs w:val="21"/>
          <w:highlight w:val="none"/>
        </w:rPr>
        <w:fldChar w:fldCharType="end"/>
      </w:r>
      <w:r>
        <w:rPr>
          <w:rFonts w:hint="eastAsia" w:ascii="宋体" w:hAnsi="宋体" w:eastAsia="宋体" w:cs="宋体"/>
          <w:sz w:val="21"/>
          <w:szCs w:val="21"/>
          <w:highlight w:val="none"/>
        </w:rPr>
        <w:fldChar w:fldCharType="end"/>
      </w:r>
    </w:p>
    <w:p>
      <w:pPr>
        <w:pStyle w:val="17"/>
        <w:keepNext w:val="0"/>
        <w:keepLines w:val="0"/>
        <w:pageBreakBefore w:val="0"/>
        <w:widowControl w:val="0"/>
        <w:tabs>
          <w:tab w:val="right" w:leader="dot" w:pos="8710"/>
        </w:tabs>
        <w:kinsoku/>
        <w:wordWrap/>
        <w:overflowPunct/>
        <w:topLinePunct w:val="0"/>
        <w:autoSpaceDE/>
        <w:autoSpaceDN/>
        <w:bidi w:val="0"/>
        <w:snapToGrid/>
        <w:spacing w:line="360"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HYPERLINK \l _Toc18161 </w:instrText>
      </w:r>
      <w:r>
        <w:rPr>
          <w:rFonts w:hint="eastAsia" w:ascii="宋体" w:hAnsi="宋体" w:eastAsia="宋体" w:cs="宋体"/>
          <w:sz w:val="21"/>
          <w:szCs w:val="21"/>
          <w:highlight w:val="none"/>
        </w:rPr>
        <w:fldChar w:fldCharType="separate"/>
      </w:r>
      <w:r>
        <w:rPr>
          <w:rFonts w:hint="eastAsia" w:ascii="宋体" w:hAnsi="宋体" w:eastAsia="宋体" w:cs="宋体"/>
          <w:bCs/>
          <w:sz w:val="21"/>
          <w:szCs w:val="21"/>
          <w:highlight w:val="none"/>
        </w:rPr>
        <w:t>26.</w:t>
      </w:r>
      <w:r>
        <w:rPr>
          <w:rFonts w:hint="eastAsia" w:ascii="宋体" w:hAnsi="宋体" w:eastAsia="宋体" w:cs="宋体"/>
          <w:sz w:val="21"/>
          <w:szCs w:val="21"/>
          <w:highlight w:val="none"/>
        </w:rPr>
        <w:t>评标</w:t>
      </w:r>
      <w:r>
        <w:rPr>
          <w:rFonts w:hint="eastAsia" w:ascii="宋体" w:hAnsi="宋体" w:eastAsia="宋体" w:cs="宋体"/>
          <w:sz w:val="21"/>
          <w:szCs w:val="21"/>
          <w:highlight w:val="none"/>
        </w:rPr>
        <w:tab/>
      </w: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PAGEREF _Toc18161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22</w:t>
      </w:r>
      <w:r>
        <w:rPr>
          <w:rFonts w:hint="eastAsia" w:ascii="宋体" w:hAnsi="宋体" w:eastAsia="宋体" w:cs="宋体"/>
          <w:sz w:val="21"/>
          <w:szCs w:val="21"/>
          <w:highlight w:val="none"/>
        </w:rPr>
        <w:fldChar w:fldCharType="end"/>
      </w:r>
      <w:r>
        <w:rPr>
          <w:rFonts w:hint="eastAsia" w:ascii="宋体" w:hAnsi="宋体" w:eastAsia="宋体" w:cs="宋体"/>
          <w:sz w:val="21"/>
          <w:szCs w:val="21"/>
          <w:highlight w:val="none"/>
        </w:rPr>
        <w:fldChar w:fldCharType="end"/>
      </w:r>
    </w:p>
    <w:p>
      <w:pPr>
        <w:pStyle w:val="17"/>
        <w:keepNext w:val="0"/>
        <w:keepLines w:val="0"/>
        <w:pageBreakBefore w:val="0"/>
        <w:widowControl w:val="0"/>
        <w:tabs>
          <w:tab w:val="right" w:leader="dot" w:pos="8710"/>
        </w:tabs>
        <w:kinsoku/>
        <w:wordWrap/>
        <w:overflowPunct/>
        <w:topLinePunct w:val="0"/>
        <w:autoSpaceDE/>
        <w:autoSpaceDN/>
        <w:bidi w:val="0"/>
        <w:snapToGrid/>
        <w:spacing w:line="360"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HYPERLINK \l _Toc18358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w:t>
      </w:r>
      <w:r>
        <w:rPr>
          <w:rFonts w:hint="eastAsia" w:ascii="宋体" w:hAnsi="宋体" w:eastAsia="宋体" w:cs="宋体"/>
          <w:bCs/>
          <w:sz w:val="21"/>
          <w:szCs w:val="21"/>
          <w:highlight w:val="none"/>
        </w:rPr>
        <w:t>27.投标人存在下列情况之一的，投标无效：</w:t>
      </w:r>
      <w:r>
        <w:rPr>
          <w:rFonts w:hint="eastAsia" w:ascii="宋体" w:hAnsi="宋体" w:eastAsia="宋体" w:cs="宋体"/>
          <w:sz w:val="21"/>
          <w:szCs w:val="21"/>
          <w:highlight w:val="none"/>
        </w:rPr>
        <w:tab/>
      </w: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PAGEREF _Toc18358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22</w:t>
      </w:r>
      <w:r>
        <w:rPr>
          <w:rFonts w:hint="eastAsia" w:ascii="宋体" w:hAnsi="宋体" w:eastAsia="宋体" w:cs="宋体"/>
          <w:sz w:val="21"/>
          <w:szCs w:val="21"/>
          <w:highlight w:val="none"/>
        </w:rPr>
        <w:fldChar w:fldCharType="end"/>
      </w:r>
      <w:r>
        <w:rPr>
          <w:rFonts w:hint="eastAsia" w:ascii="宋体" w:hAnsi="宋体" w:eastAsia="宋体" w:cs="宋体"/>
          <w:sz w:val="21"/>
          <w:szCs w:val="21"/>
          <w:highlight w:val="none"/>
        </w:rPr>
        <w:fldChar w:fldCharType="end"/>
      </w:r>
    </w:p>
    <w:p>
      <w:pPr>
        <w:pStyle w:val="17"/>
        <w:keepNext w:val="0"/>
        <w:keepLines w:val="0"/>
        <w:pageBreakBefore w:val="0"/>
        <w:widowControl w:val="0"/>
        <w:tabs>
          <w:tab w:val="right" w:leader="dot" w:pos="8710"/>
        </w:tabs>
        <w:kinsoku/>
        <w:wordWrap/>
        <w:overflowPunct/>
        <w:topLinePunct w:val="0"/>
        <w:autoSpaceDE/>
        <w:autoSpaceDN/>
        <w:bidi w:val="0"/>
        <w:snapToGrid/>
        <w:spacing w:line="360"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HYPERLINK \l _Toc16623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w:t>
      </w:r>
      <w:r>
        <w:rPr>
          <w:rFonts w:hint="eastAsia" w:ascii="宋体" w:hAnsi="宋体" w:eastAsia="宋体" w:cs="宋体"/>
          <w:bCs/>
          <w:sz w:val="21"/>
          <w:szCs w:val="21"/>
          <w:highlight w:val="none"/>
        </w:rPr>
        <w:t>28.有下列情形之一的，视为投标人串通投标，其投标无效：</w:t>
      </w:r>
      <w:r>
        <w:rPr>
          <w:rFonts w:hint="eastAsia" w:ascii="宋体" w:hAnsi="宋体" w:eastAsia="宋体" w:cs="宋体"/>
          <w:sz w:val="21"/>
          <w:szCs w:val="21"/>
          <w:highlight w:val="none"/>
        </w:rPr>
        <w:tab/>
      </w: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PAGEREF _Toc16623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23</w:t>
      </w:r>
      <w:r>
        <w:rPr>
          <w:rFonts w:hint="eastAsia" w:ascii="宋体" w:hAnsi="宋体" w:eastAsia="宋体" w:cs="宋体"/>
          <w:sz w:val="21"/>
          <w:szCs w:val="21"/>
          <w:highlight w:val="none"/>
        </w:rPr>
        <w:fldChar w:fldCharType="end"/>
      </w:r>
      <w:r>
        <w:rPr>
          <w:rFonts w:hint="eastAsia" w:ascii="宋体" w:hAnsi="宋体" w:eastAsia="宋体" w:cs="宋体"/>
          <w:sz w:val="21"/>
          <w:szCs w:val="21"/>
          <w:highlight w:val="none"/>
        </w:rPr>
        <w:fldChar w:fldCharType="end"/>
      </w:r>
    </w:p>
    <w:p>
      <w:pPr>
        <w:pStyle w:val="17"/>
        <w:keepNext w:val="0"/>
        <w:keepLines w:val="0"/>
        <w:pageBreakBefore w:val="0"/>
        <w:widowControl w:val="0"/>
        <w:tabs>
          <w:tab w:val="right" w:leader="dot" w:pos="8710"/>
        </w:tabs>
        <w:kinsoku/>
        <w:wordWrap/>
        <w:overflowPunct/>
        <w:topLinePunct w:val="0"/>
        <w:autoSpaceDE/>
        <w:autoSpaceDN/>
        <w:bidi w:val="0"/>
        <w:snapToGrid/>
        <w:spacing w:line="360"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HYPERLINK \l _Toc4699 </w:instrText>
      </w:r>
      <w:r>
        <w:rPr>
          <w:rFonts w:hint="eastAsia" w:ascii="宋体" w:hAnsi="宋体" w:eastAsia="宋体" w:cs="宋体"/>
          <w:sz w:val="21"/>
          <w:szCs w:val="21"/>
          <w:highlight w:val="none"/>
        </w:rPr>
        <w:fldChar w:fldCharType="separate"/>
      </w:r>
      <w:r>
        <w:rPr>
          <w:rFonts w:hint="eastAsia" w:ascii="宋体" w:hAnsi="宋体" w:eastAsia="宋体" w:cs="宋体"/>
          <w:bCs/>
          <w:sz w:val="21"/>
          <w:szCs w:val="21"/>
          <w:highlight w:val="none"/>
        </w:rPr>
        <w:t>29.在招标采购中，出现下列情形之一的，应予废标：</w:t>
      </w:r>
      <w:r>
        <w:rPr>
          <w:rFonts w:hint="eastAsia" w:ascii="宋体" w:hAnsi="宋体" w:eastAsia="宋体" w:cs="宋体"/>
          <w:sz w:val="21"/>
          <w:szCs w:val="21"/>
          <w:highlight w:val="none"/>
        </w:rPr>
        <w:tab/>
      </w: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PAGEREF _Toc4699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23</w:t>
      </w:r>
      <w:r>
        <w:rPr>
          <w:rFonts w:hint="eastAsia" w:ascii="宋体" w:hAnsi="宋体" w:eastAsia="宋体" w:cs="宋体"/>
          <w:sz w:val="21"/>
          <w:szCs w:val="21"/>
          <w:highlight w:val="none"/>
        </w:rPr>
        <w:fldChar w:fldCharType="end"/>
      </w:r>
      <w:r>
        <w:rPr>
          <w:rFonts w:hint="eastAsia" w:ascii="宋体" w:hAnsi="宋体" w:eastAsia="宋体" w:cs="宋体"/>
          <w:sz w:val="21"/>
          <w:szCs w:val="21"/>
          <w:highlight w:val="none"/>
        </w:rPr>
        <w:fldChar w:fldCharType="end"/>
      </w:r>
    </w:p>
    <w:p>
      <w:pPr>
        <w:pStyle w:val="28"/>
        <w:keepNext w:val="0"/>
        <w:keepLines w:val="0"/>
        <w:pageBreakBefore w:val="0"/>
        <w:widowControl w:val="0"/>
        <w:tabs>
          <w:tab w:val="right" w:leader="dot" w:pos="8710"/>
          <w:tab w:val="clear" w:pos="9344"/>
        </w:tabs>
        <w:kinsoku/>
        <w:wordWrap/>
        <w:overflowPunct/>
        <w:topLinePunct w:val="0"/>
        <w:autoSpaceDE/>
        <w:autoSpaceDN/>
        <w:bidi w:val="0"/>
        <w:snapToGrid/>
        <w:spacing w:line="360"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HYPERLINK \l _Toc6080 </w:instrText>
      </w:r>
      <w:r>
        <w:rPr>
          <w:rFonts w:hint="eastAsia" w:ascii="宋体" w:hAnsi="宋体" w:eastAsia="宋体" w:cs="宋体"/>
          <w:sz w:val="21"/>
          <w:szCs w:val="21"/>
          <w:highlight w:val="none"/>
        </w:rPr>
        <w:fldChar w:fldCharType="separate"/>
      </w:r>
      <w:r>
        <w:rPr>
          <w:rFonts w:hint="eastAsia" w:ascii="宋体" w:hAnsi="宋体" w:eastAsia="宋体" w:cs="宋体"/>
          <w:spacing w:val="40"/>
          <w:sz w:val="21"/>
          <w:szCs w:val="21"/>
          <w:highlight w:val="none"/>
        </w:rPr>
        <w:t>七、中标结果</w:t>
      </w:r>
      <w:r>
        <w:rPr>
          <w:rFonts w:hint="eastAsia" w:ascii="宋体" w:hAnsi="宋体" w:eastAsia="宋体" w:cs="宋体"/>
          <w:sz w:val="21"/>
          <w:szCs w:val="21"/>
          <w:highlight w:val="none"/>
        </w:rPr>
        <w:tab/>
      </w: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PAGEREF _Toc6080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23</w:t>
      </w:r>
      <w:r>
        <w:rPr>
          <w:rFonts w:hint="eastAsia" w:ascii="宋体" w:hAnsi="宋体" w:eastAsia="宋体" w:cs="宋体"/>
          <w:sz w:val="21"/>
          <w:szCs w:val="21"/>
          <w:highlight w:val="none"/>
        </w:rPr>
        <w:fldChar w:fldCharType="end"/>
      </w:r>
      <w:r>
        <w:rPr>
          <w:rFonts w:hint="eastAsia" w:ascii="宋体" w:hAnsi="宋体" w:eastAsia="宋体" w:cs="宋体"/>
          <w:sz w:val="21"/>
          <w:szCs w:val="21"/>
          <w:highlight w:val="none"/>
        </w:rPr>
        <w:fldChar w:fldCharType="end"/>
      </w:r>
    </w:p>
    <w:p>
      <w:pPr>
        <w:pStyle w:val="17"/>
        <w:keepNext w:val="0"/>
        <w:keepLines w:val="0"/>
        <w:pageBreakBefore w:val="0"/>
        <w:widowControl w:val="0"/>
        <w:tabs>
          <w:tab w:val="right" w:leader="dot" w:pos="8710"/>
        </w:tabs>
        <w:kinsoku/>
        <w:wordWrap/>
        <w:overflowPunct/>
        <w:topLinePunct w:val="0"/>
        <w:autoSpaceDE/>
        <w:autoSpaceDN/>
        <w:bidi w:val="0"/>
        <w:snapToGrid/>
        <w:spacing w:line="360"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HYPERLINK \l _Toc18374 </w:instrText>
      </w:r>
      <w:r>
        <w:rPr>
          <w:rFonts w:hint="eastAsia" w:ascii="宋体" w:hAnsi="宋体" w:eastAsia="宋体" w:cs="宋体"/>
          <w:sz w:val="21"/>
          <w:szCs w:val="21"/>
          <w:highlight w:val="none"/>
        </w:rPr>
        <w:fldChar w:fldCharType="separate"/>
      </w:r>
      <w:r>
        <w:rPr>
          <w:rFonts w:hint="eastAsia" w:ascii="宋体" w:hAnsi="宋体" w:eastAsia="宋体" w:cs="宋体"/>
          <w:bCs/>
          <w:sz w:val="21"/>
          <w:szCs w:val="21"/>
          <w:highlight w:val="none"/>
        </w:rPr>
        <w:t>30.中标投标人的确定</w:t>
      </w:r>
      <w:r>
        <w:rPr>
          <w:rFonts w:hint="eastAsia" w:ascii="宋体" w:hAnsi="宋体" w:eastAsia="宋体" w:cs="宋体"/>
          <w:sz w:val="21"/>
          <w:szCs w:val="21"/>
          <w:highlight w:val="none"/>
        </w:rPr>
        <w:tab/>
      </w: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PAGEREF _Toc18374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23</w:t>
      </w:r>
      <w:r>
        <w:rPr>
          <w:rFonts w:hint="eastAsia" w:ascii="宋体" w:hAnsi="宋体" w:eastAsia="宋体" w:cs="宋体"/>
          <w:sz w:val="21"/>
          <w:szCs w:val="21"/>
          <w:highlight w:val="none"/>
        </w:rPr>
        <w:fldChar w:fldCharType="end"/>
      </w:r>
      <w:r>
        <w:rPr>
          <w:rFonts w:hint="eastAsia" w:ascii="宋体" w:hAnsi="宋体" w:eastAsia="宋体" w:cs="宋体"/>
          <w:sz w:val="21"/>
          <w:szCs w:val="21"/>
          <w:highlight w:val="none"/>
        </w:rPr>
        <w:fldChar w:fldCharType="end"/>
      </w:r>
    </w:p>
    <w:p>
      <w:pPr>
        <w:pStyle w:val="17"/>
        <w:keepNext w:val="0"/>
        <w:keepLines w:val="0"/>
        <w:pageBreakBefore w:val="0"/>
        <w:widowControl w:val="0"/>
        <w:tabs>
          <w:tab w:val="right" w:leader="dot" w:pos="8710"/>
        </w:tabs>
        <w:kinsoku/>
        <w:wordWrap/>
        <w:overflowPunct/>
        <w:topLinePunct w:val="0"/>
        <w:autoSpaceDE/>
        <w:autoSpaceDN/>
        <w:bidi w:val="0"/>
        <w:snapToGrid/>
        <w:spacing w:line="360"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HYPERLINK \l _Toc12169 </w:instrText>
      </w:r>
      <w:r>
        <w:rPr>
          <w:rFonts w:hint="eastAsia" w:ascii="宋体" w:hAnsi="宋体" w:eastAsia="宋体" w:cs="宋体"/>
          <w:sz w:val="21"/>
          <w:szCs w:val="21"/>
          <w:highlight w:val="none"/>
        </w:rPr>
        <w:fldChar w:fldCharType="separate"/>
      </w:r>
      <w:r>
        <w:rPr>
          <w:rFonts w:hint="eastAsia" w:ascii="宋体" w:hAnsi="宋体" w:eastAsia="宋体" w:cs="宋体"/>
          <w:bCs/>
          <w:sz w:val="21"/>
          <w:szCs w:val="21"/>
          <w:highlight w:val="none"/>
        </w:rPr>
        <w:t>31. 中标通知</w:t>
      </w:r>
      <w:r>
        <w:rPr>
          <w:rFonts w:hint="eastAsia" w:ascii="宋体" w:hAnsi="宋体" w:eastAsia="宋体" w:cs="宋体"/>
          <w:sz w:val="21"/>
          <w:szCs w:val="21"/>
          <w:highlight w:val="none"/>
        </w:rPr>
        <w:tab/>
      </w: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PAGEREF _Toc12169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23</w:t>
      </w:r>
      <w:r>
        <w:rPr>
          <w:rFonts w:hint="eastAsia" w:ascii="宋体" w:hAnsi="宋体" w:eastAsia="宋体" w:cs="宋体"/>
          <w:sz w:val="21"/>
          <w:szCs w:val="21"/>
          <w:highlight w:val="none"/>
        </w:rPr>
        <w:fldChar w:fldCharType="end"/>
      </w:r>
      <w:r>
        <w:rPr>
          <w:rFonts w:hint="eastAsia" w:ascii="宋体" w:hAnsi="宋体" w:eastAsia="宋体" w:cs="宋体"/>
          <w:sz w:val="21"/>
          <w:szCs w:val="21"/>
          <w:highlight w:val="none"/>
        </w:rPr>
        <w:fldChar w:fldCharType="end"/>
      </w:r>
    </w:p>
    <w:p>
      <w:pPr>
        <w:pStyle w:val="17"/>
        <w:keepNext w:val="0"/>
        <w:keepLines w:val="0"/>
        <w:pageBreakBefore w:val="0"/>
        <w:widowControl w:val="0"/>
        <w:tabs>
          <w:tab w:val="right" w:leader="dot" w:pos="8710"/>
        </w:tabs>
        <w:kinsoku/>
        <w:wordWrap/>
        <w:overflowPunct/>
        <w:topLinePunct w:val="0"/>
        <w:autoSpaceDE/>
        <w:autoSpaceDN/>
        <w:bidi w:val="0"/>
        <w:snapToGrid/>
        <w:spacing w:line="360"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HYPERLINK \l _Toc10094 </w:instrText>
      </w:r>
      <w:r>
        <w:rPr>
          <w:rFonts w:hint="eastAsia" w:ascii="宋体" w:hAnsi="宋体" w:eastAsia="宋体" w:cs="宋体"/>
          <w:sz w:val="21"/>
          <w:szCs w:val="21"/>
          <w:highlight w:val="none"/>
        </w:rPr>
        <w:fldChar w:fldCharType="separate"/>
      </w:r>
      <w:r>
        <w:rPr>
          <w:rFonts w:hint="eastAsia" w:ascii="宋体" w:hAnsi="宋体" w:eastAsia="宋体" w:cs="宋体"/>
          <w:bCs/>
          <w:sz w:val="21"/>
          <w:szCs w:val="21"/>
          <w:highlight w:val="none"/>
        </w:rPr>
        <w:t>32. 签订合同</w:t>
      </w:r>
      <w:r>
        <w:rPr>
          <w:rFonts w:hint="eastAsia" w:ascii="宋体" w:hAnsi="宋体" w:eastAsia="宋体" w:cs="宋体"/>
          <w:sz w:val="21"/>
          <w:szCs w:val="21"/>
          <w:highlight w:val="none"/>
        </w:rPr>
        <w:tab/>
      </w: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PAGEREF _Toc10094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23</w:t>
      </w:r>
      <w:r>
        <w:rPr>
          <w:rFonts w:hint="eastAsia" w:ascii="宋体" w:hAnsi="宋体" w:eastAsia="宋体" w:cs="宋体"/>
          <w:sz w:val="21"/>
          <w:szCs w:val="21"/>
          <w:highlight w:val="none"/>
        </w:rPr>
        <w:fldChar w:fldCharType="end"/>
      </w:r>
      <w:r>
        <w:rPr>
          <w:rFonts w:hint="eastAsia" w:ascii="宋体" w:hAnsi="宋体" w:eastAsia="宋体" w:cs="宋体"/>
          <w:sz w:val="21"/>
          <w:szCs w:val="21"/>
          <w:highlight w:val="none"/>
        </w:rPr>
        <w:fldChar w:fldCharType="end"/>
      </w:r>
    </w:p>
    <w:p>
      <w:pPr>
        <w:pStyle w:val="17"/>
        <w:keepNext w:val="0"/>
        <w:keepLines w:val="0"/>
        <w:pageBreakBefore w:val="0"/>
        <w:widowControl w:val="0"/>
        <w:tabs>
          <w:tab w:val="right" w:leader="dot" w:pos="8710"/>
        </w:tabs>
        <w:kinsoku/>
        <w:wordWrap/>
        <w:overflowPunct/>
        <w:topLinePunct w:val="0"/>
        <w:autoSpaceDE/>
        <w:autoSpaceDN/>
        <w:bidi w:val="0"/>
        <w:snapToGrid/>
        <w:spacing w:line="360"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HYPERLINK \l _Toc11812 </w:instrText>
      </w:r>
      <w:r>
        <w:rPr>
          <w:rFonts w:hint="eastAsia" w:ascii="宋体" w:hAnsi="宋体" w:eastAsia="宋体" w:cs="宋体"/>
          <w:sz w:val="21"/>
          <w:szCs w:val="21"/>
          <w:highlight w:val="none"/>
        </w:rPr>
        <w:fldChar w:fldCharType="separate"/>
      </w:r>
      <w:r>
        <w:rPr>
          <w:rFonts w:hint="eastAsia" w:ascii="宋体" w:hAnsi="宋体" w:eastAsia="宋体" w:cs="宋体"/>
          <w:bCs/>
          <w:sz w:val="21"/>
          <w:szCs w:val="21"/>
          <w:highlight w:val="none"/>
        </w:rPr>
        <w:t>33.履约保证金</w:t>
      </w:r>
      <w:r>
        <w:rPr>
          <w:rFonts w:hint="eastAsia" w:ascii="宋体" w:hAnsi="宋体" w:eastAsia="宋体" w:cs="宋体"/>
          <w:sz w:val="21"/>
          <w:szCs w:val="21"/>
          <w:highlight w:val="none"/>
        </w:rPr>
        <w:tab/>
      </w: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PAGEREF _Toc11812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24</w:t>
      </w:r>
      <w:r>
        <w:rPr>
          <w:rFonts w:hint="eastAsia" w:ascii="宋体" w:hAnsi="宋体" w:eastAsia="宋体" w:cs="宋体"/>
          <w:sz w:val="21"/>
          <w:szCs w:val="21"/>
          <w:highlight w:val="none"/>
        </w:rPr>
        <w:fldChar w:fldCharType="end"/>
      </w:r>
      <w:r>
        <w:rPr>
          <w:rFonts w:hint="eastAsia" w:ascii="宋体" w:hAnsi="宋体" w:eastAsia="宋体" w:cs="宋体"/>
          <w:sz w:val="21"/>
          <w:szCs w:val="21"/>
          <w:highlight w:val="none"/>
        </w:rPr>
        <w:fldChar w:fldCharType="end"/>
      </w:r>
    </w:p>
    <w:p>
      <w:pPr>
        <w:pStyle w:val="17"/>
        <w:keepNext w:val="0"/>
        <w:keepLines w:val="0"/>
        <w:pageBreakBefore w:val="0"/>
        <w:widowControl w:val="0"/>
        <w:tabs>
          <w:tab w:val="right" w:leader="dot" w:pos="8710"/>
        </w:tabs>
        <w:kinsoku/>
        <w:wordWrap/>
        <w:overflowPunct/>
        <w:topLinePunct w:val="0"/>
        <w:autoSpaceDE/>
        <w:autoSpaceDN/>
        <w:bidi w:val="0"/>
        <w:snapToGrid/>
        <w:spacing w:line="360"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HYPERLINK \l _Toc6913 </w:instrText>
      </w:r>
      <w:r>
        <w:rPr>
          <w:rFonts w:hint="eastAsia" w:ascii="宋体" w:hAnsi="宋体" w:eastAsia="宋体" w:cs="宋体"/>
          <w:sz w:val="21"/>
          <w:szCs w:val="21"/>
          <w:highlight w:val="none"/>
        </w:rPr>
        <w:fldChar w:fldCharType="separate"/>
      </w:r>
      <w:r>
        <w:rPr>
          <w:rFonts w:hint="eastAsia" w:ascii="宋体" w:hAnsi="宋体" w:eastAsia="宋体" w:cs="宋体"/>
          <w:bCs/>
          <w:sz w:val="21"/>
          <w:szCs w:val="21"/>
          <w:highlight w:val="none"/>
        </w:rPr>
        <w:t>34.解释权</w:t>
      </w:r>
      <w:r>
        <w:rPr>
          <w:rFonts w:hint="eastAsia" w:ascii="宋体" w:hAnsi="宋体" w:eastAsia="宋体" w:cs="宋体"/>
          <w:sz w:val="21"/>
          <w:szCs w:val="21"/>
          <w:highlight w:val="none"/>
        </w:rPr>
        <w:tab/>
      </w: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PAGEREF _Toc6913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24</w:t>
      </w:r>
      <w:r>
        <w:rPr>
          <w:rFonts w:hint="eastAsia" w:ascii="宋体" w:hAnsi="宋体" w:eastAsia="宋体" w:cs="宋体"/>
          <w:sz w:val="21"/>
          <w:szCs w:val="21"/>
          <w:highlight w:val="none"/>
        </w:rPr>
        <w:fldChar w:fldCharType="end"/>
      </w:r>
      <w:r>
        <w:rPr>
          <w:rFonts w:hint="eastAsia" w:ascii="宋体" w:hAnsi="宋体" w:eastAsia="宋体" w:cs="宋体"/>
          <w:sz w:val="21"/>
          <w:szCs w:val="21"/>
          <w:highlight w:val="none"/>
        </w:rPr>
        <w:fldChar w:fldCharType="end"/>
      </w:r>
    </w:p>
    <w:p>
      <w:pPr>
        <w:pStyle w:val="28"/>
        <w:keepNext w:val="0"/>
        <w:keepLines w:val="0"/>
        <w:pageBreakBefore w:val="0"/>
        <w:widowControl w:val="0"/>
        <w:tabs>
          <w:tab w:val="right" w:leader="dot" w:pos="8710"/>
          <w:tab w:val="clear" w:pos="9344"/>
        </w:tabs>
        <w:kinsoku/>
        <w:wordWrap/>
        <w:overflowPunct/>
        <w:topLinePunct w:val="0"/>
        <w:autoSpaceDE/>
        <w:autoSpaceDN/>
        <w:bidi w:val="0"/>
        <w:snapToGrid/>
        <w:spacing w:line="360"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HYPERLINK \l _Toc11484 </w:instrText>
      </w:r>
      <w:r>
        <w:rPr>
          <w:rFonts w:hint="eastAsia" w:ascii="宋体" w:hAnsi="宋体" w:eastAsia="宋体" w:cs="宋体"/>
          <w:sz w:val="21"/>
          <w:szCs w:val="21"/>
          <w:highlight w:val="none"/>
        </w:rPr>
        <w:fldChar w:fldCharType="separate"/>
      </w:r>
      <w:r>
        <w:rPr>
          <w:rFonts w:hint="eastAsia" w:ascii="宋体" w:hAnsi="宋体" w:eastAsia="宋体" w:cs="宋体"/>
          <w:spacing w:val="40"/>
          <w:sz w:val="21"/>
          <w:szCs w:val="21"/>
          <w:highlight w:val="none"/>
        </w:rPr>
        <w:t>八、其他事项</w:t>
      </w:r>
      <w:r>
        <w:rPr>
          <w:rFonts w:hint="eastAsia" w:ascii="宋体" w:hAnsi="宋体" w:eastAsia="宋体" w:cs="宋体"/>
          <w:sz w:val="21"/>
          <w:szCs w:val="21"/>
          <w:highlight w:val="none"/>
        </w:rPr>
        <w:tab/>
      </w: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PAGEREF _Toc11484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24</w:t>
      </w:r>
      <w:r>
        <w:rPr>
          <w:rFonts w:hint="eastAsia" w:ascii="宋体" w:hAnsi="宋体" w:eastAsia="宋体" w:cs="宋体"/>
          <w:sz w:val="21"/>
          <w:szCs w:val="21"/>
          <w:highlight w:val="none"/>
        </w:rPr>
        <w:fldChar w:fldCharType="end"/>
      </w:r>
      <w:r>
        <w:rPr>
          <w:rFonts w:hint="eastAsia" w:ascii="宋体" w:hAnsi="宋体" w:eastAsia="宋体" w:cs="宋体"/>
          <w:sz w:val="21"/>
          <w:szCs w:val="21"/>
          <w:highlight w:val="none"/>
        </w:rPr>
        <w:fldChar w:fldCharType="end"/>
      </w:r>
    </w:p>
    <w:p>
      <w:pPr>
        <w:pStyle w:val="17"/>
        <w:keepNext w:val="0"/>
        <w:keepLines w:val="0"/>
        <w:pageBreakBefore w:val="0"/>
        <w:widowControl w:val="0"/>
        <w:tabs>
          <w:tab w:val="right" w:leader="dot" w:pos="8710"/>
        </w:tabs>
        <w:kinsoku/>
        <w:wordWrap/>
        <w:overflowPunct/>
        <w:topLinePunct w:val="0"/>
        <w:autoSpaceDE/>
        <w:autoSpaceDN/>
        <w:bidi w:val="0"/>
        <w:snapToGrid/>
        <w:spacing w:line="360"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HYPERLINK \l _Toc7083 </w:instrText>
      </w:r>
      <w:r>
        <w:rPr>
          <w:rFonts w:hint="eastAsia" w:ascii="宋体" w:hAnsi="宋体" w:eastAsia="宋体" w:cs="宋体"/>
          <w:sz w:val="21"/>
          <w:szCs w:val="21"/>
          <w:highlight w:val="none"/>
        </w:rPr>
        <w:fldChar w:fldCharType="separate"/>
      </w:r>
      <w:r>
        <w:rPr>
          <w:rFonts w:hint="eastAsia" w:ascii="宋体" w:hAnsi="宋体" w:eastAsia="宋体" w:cs="宋体"/>
          <w:bCs/>
          <w:sz w:val="21"/>
          <w:szCs w:val="21"/>
          <w:highlight w:val="none"/>
        </w:rPr>
        <w:t>35.需要补充的其他内容</w:t>
      </w:r>
      <w:r>
        <w:rPr>
          <w:rFonts w:hint="eastAsia" w:ascii="宋体" w:hAnsi="宋体" w:eastAsia="宋体" w:cs="宋体"/>
          <w:sz w:val="21"/>
          <w:szCs w:val="21"/>
          <w:highlight w:val="none"/>
        </w:rPr>
        <w:tab/>
      </w: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PAGEREF _Toc7083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24</w:t>
      </w:r>
      <w:r>
        <w:rPr>
          <w:rFonts w:hint="eastAsia" w:ascii="宋体" w:hAnsi="宋体" w:eastAsia="宋体" w:cs="宋体"/>
          <w:sz w:val="21"/>
          <w:szCs w:val="21"/>
          <w:highlight w:val="none"/>
        </w:rPr>
        <w:fldChar w:fldCharType="end"/>
      </w:r>
      <w:r>
        <w:rPr>
          <w:rFonts w:hint="eastAsia" w:ascii="宋体" w:hAnsi="宋体" w:eastAsia="宋体" w:cs="宋体"/>
          <w:sz w:val="21"/>
          <w:szCs w:val="21"/>
          <w:highlight w:val="none"/>
        </w:rPr>
        <w:fldChar w:fldCharType="end"/>
      </w:r>
    </w:p>
    <w:p>
      <w:pPr>
        <w:pStyle w:val="24"/>
        <w:keepNext w:val="0"/>
        <w:keepLines w:val="0"/>
        <w:pageBreakBefore w:val="0"/>
        <w:widowControl w:val="0"/>
        <w:tabs>
          <w:tab w:val="right" w:leader="dot" w:pos="8710"/>
        </w:tabs>
        <w:kinsoku/>
        <w:wordWrap/>
        <w:overflowPunct/>
        <w:topLinePunct w:val="0"/>
        <w:autoSpaceDE/>
        <w:autoSpaceDN/>
        <w:bidi w:val="0"/>
        <w:snapToGrid/>
        <w:spacing w:before="0" w:after="0" w:line="360"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HYPERLINK \l _Toc6411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第三章  合同书样式及主要条款</w:t>
      </w:r>
      <w:r>
        <w:rPr>
          <w:rFonts w:hint="eastAsia" w:ascii="宋体" w:hAnsi="宋体" w:eastAsia="宋体" w:cs="宋体"/>
          <w:sz w:val="21"/>
          <w:szCs w:val="21"/>
          <w:highlight w:val="none"/>
        </w:rPr>
        <w:tab/>
      </w: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PAGEREF _Toc6411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28</w:t>
      </w:r>
      <w:r>
        <w:rPr>
          <w:rFonts w:hint="eastAsia" w:ascii="宋体" w:hAnsi="宋体" w:eastAsia="宋体" w:cs="宋体"/>
          <w:sz w:val="21"/>
          <w:szCs w:val="21"/>
          <w:highlight w:val="none"/>
        </w:rPr>
        <w:fldChar w:fldCharType="end"/>
      </w:r>
      <w:r>
        <w:rPr>
          <w:rFonts w:hint="eastAsia" w:ascii="宋体" w:hAnsi="宋体" w:eastAsia="宋体" w:cs="宋体"/>
          <w:sz w:val="21"/>
          <w:szCs w:val="21"/>
          <w:highlight w:val="none"/>
        </w:rPr>
        <w:fldChar w:fldCharType="end"/>
      </w:r>
    </w:p>
    <w:p>
      <w:pPr>
        <w:pStyle w:val="28"/>
        <w:keepNext w:val="0"/>
        <w:keepLines w:val="0"/>
        <w:pageBreakBefore w:val="0"/>
        <w:widowControl w:val="0"/>
        <w:tabs>
          <w:tab w:val="right" w:leader="dot" w:pos="8710"/>
          <w:tab w:val="clear" w:pos="9344"/>
        </w:tabs>
        <w:kinsoku/>
        <w:wordWrap/>
        <w:overflowPunct/>
        <w:topLinePunct w:val="0"/>
        <w:autoSpaceDE/>
        <w:autoSpaceDN/>
        <w:bidi w:val="0"/>
        <w:adjustRightInd/>
        <w:snapToGrid/>
        <w:spacing w:line="360"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HYPERLINK \l _Toc24244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一、主要合同条件</w:t>
      </w:r>
      <w:r>
        <w:rPr>
          <w:rFonts w:hint="eastAsia" w:ascii="宋体" w:hAnsi="宋体" w:eastAsia="宋体" w:cs="宋体"/>
          <w:sz w:val="21"/>
          <w:szCs w:val="21"/>
          <w:highlight w:val="none"/>
        </w:rPr>
        <w:tab/>
      </w: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PAGEREF _Toc24244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28</w:t>
      </w:r>
      <w:r>
        <w:rPr>
          <w:rFonts w:hint="eastAsia" w:ascii="宋体" w:hAnsi="宋体" w:eastAsia="宋体" w:cs="宋体"/>
          <w:sz w:val="21"/>
          <w:szCs w:val="21"/>
          <w:highlight w:val="none"/>
        </w:rPr>
        <w:fldChar w:fldCharType="end"/>
      </w:r>
      <w:r>
        <w:rPr>
          <w:rFonts w:hint="eastAsia" w:ascii="宋体" w:hAnsi="宋体" w:eastAsia="宋体" w:cs="宋体"/>
          <w:sz w:val="21"/>
          <w:szCs w:val="21"/>
          <w:highlight w:val="none"/>
        </w:rPr>
        <w:fldChar w:fldCharType="end"/>
      </w:r>
    </w:p>
    <w:p>
      <w:pPr>
        <w:pStyle w:val="28"/>
        <w:keepNext w:val="0"/>
        <w:keepLines w:val="0"/>
        <w:pageBreakBefore w:val="0"/>
        <w:widowControl w:val="0"/>
        <w:tabs>
          <w:tab w:val="right" w:leader="dot" w:pos="8710"/>
          <w:tab w:val="clear" w:pos="9344"/>
        </w:tabs>
        <w:kinsoku/>
        <w:wordWrap/>
        <w:overflowPunct/>
        <w:topLinePunct w:val="0"/>
        <w:autoSpaceDE/>
        <w:autoSpaceDN/>
        <w:bidi w:val="0"/>
        <w:snapToGrid/>
        <w:spacing w:line="360"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HYPERLINK \l _Toc17101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二、合同格式</w:t>
      </w:r>
      <w:r>
        <w:rPr>
          <w:rFonts w:hint="eastAsia" w:ascii="宋体" w:hAnsi="宋体" w:eastAsia="宋体" w:cs="宋体"/>
          <w:sz w:val="21"/>
          <w:szCs w:val="21"/>
          <w:highlight w:val="none"/>
        </w:rPr>
        <w:tab/>
      </w: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PAGEREF _Toc17101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28</w:t>
      </w:r>
      <w:r>
        <w:rPr>
          <w:rFonts w:hint="eastAsia" w:ascii="宋体" w:hAnsi="宋体" w:eastAsia="宋体" w:cs="宋体"/>
          <w:sz w:val="21"/>
          <w:szCs w:val="21"/>
          <w:highlight w:val="none"/>
        </w:rPr>
        <w:fldChar w:fldCharType="end"/>
      </w:r>
      <w:r>
        <w:rPr>
          <w:rFonts w:hint="eastAsia" w:ascii="宋体" w:hAnsi="宋体" w:eastAsia="宋体" w:cs="宋体"/>
          <w:sz w:val="21"/>
          <w:szCs w:val="21"/>
          <w:highlight w:val="none"/>
        </w:rPr>
        <w:fldChar w:fldCharType="end"/>
      </w:r>
    </w:p>
    <w:p>
      <w:pPr>
        <w:pStyle w:val="24"/>
        <w:keepNext w:val="0"/>
        <w:keepLines w:val="0"/>
        <w:pageBreakBefore w:val="0"/>
        <w:widowControl w:val="0"/>
        <w:tabs>
          <w:tab w:val="right" w:leader="dot" w:pos="8710"/>
        </w:tabs>
        <w:kinsoku/>
        <w:wordWrap/>
        <w:overflowPunct/>
        <w:topLinePunct w:val="0"/>
        <w:autoSpaceDE/>
        <w:autoSpaceDN/>
        <w:bidi w:val="0"/>
        <w:snapToGrid/>
        <w:spacing w:before="0" w:after="0" w:line="360"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HYPERLINK \l _Toc27635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第四章  投标文件格式</w:t>
      </w:r>
      <w:r>
        <w:rPr>
          <w:rFonts w:hint="eastAsia" w:ascii="宋体" w:hAnsi="宋体" w:eastAsia="宋体" w:cs="宋体"/>
          <w:sz w:val="21"/>
          <w:szCs w:val="21"/>
          <w:highlight w:val="none"/>
        </w:rPr>
        <w:tab/>
      </w: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PAGEREF _Toc27635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34</w:t>
      </w:r>
      <w:r>
        <w:rPr>
          <w:rFonts w:hint="eastAsia" w:ascii="宋体" w:hAnsi="宋体" w:eastAsia="宋体" w:cs="宋体"/>
          <w:sz w:val="21"/>
          <w:szCs w:val="21"/>
          <w:highlight w:val="none"/>
        </w:rPr>
        <w:fldChar w:fldCharType="end"/>
      </w:r>
      <w:r>
        <w:rPr>
          <w:rFonts w:hint="eastAsia" w:ascii="宋体" w:hAnsi="宋体" w:eastAsia="宋体" w:cs="宋体"/>
          <w:sz w:val="21"/>
          <w:szCs w:val="21"/>
          <w:highlight w:val="none"/>
        </w:rPr>
        <w:fldChar w:fldCharType="end"/>
      </w:r>
    </w:p>
    <w:p>
      <w:pPr>
        <w:pStyle w:val="24"/>
        <w:keepNext w:val="0"/>
        <w:keepLines w:val="0"/>
        <w:pageBreakBefore w:val="0"/>
        <w:widowControl w:val="0"/>
        <w:tabs>
          <w:tab w:val="right" w:leader="dot" w:pos="8710"/>
        </w:tabs>
        <w:kinsoku/>
        <w:wordWrap/>
        <w:overflowPunct/>
        <w:topLinePunct w:val="0"/>
        <w:autoSpaceDE/>
        <w:autoSpaceDN/>
        <w:bidi w:val="0"/>
        <w:snapToGrid/>
        <w:spacing w:before="0" w:after="0" w:line="360"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HYPERLINK \l _Toc21027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第五章  采购需求</w:t>
      </w:r>
      <w:r>
        <w:rPr>
          <w:rFonts w:hint="eastAsia" w:ascii="宋体" w:hAnsi="宋体" w:eastAsia="宋体" w:cs="宋体"/>
          <w:sz w:val="21"/>
          <w:szCs w:val="21"/>
          <w:highlight w:val="none"/>
        </w:rPr>
        <w:tab/>
      </w: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PAGEREF _Toc21027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61</w:t>
      </w:r>
      <w:r>
        <w:rPr>
          <w:rFonts w:hint="eastAsia" w:ascii="宋体" w:hAnsi="宋体" w:eastAsia="宋体" w:cs="宋体"/>
          <w:sz w:val="21"/>
          <w:szCs w:val="21"/>
          <w:highlight w:val="none"/>
        </w:rPr>
        <w:fldChar w:fldCharType="end"/>
      </w:r>
      <w:r>
        <w:rPr>
          <w:rFonts w:hint="eastAsia" w:ascii="宋体" w:hAnsi="宋体" w:eastAsia="宋体" w:cs="宋体"/>
          <w:sz w:val="21"/>
          <w:szCs w:val="21"/>
          <w:highlight w:val="none"/>
        </w:rPr>
        <w:fldChar w:fldCharType="end"/>
      </w:r>
    </w:p>
    <w:p>
      <w:pPr>
        <w:pStyle w:val="24"/>
        <w:keepNext w:val="0"/>
        <w:keepLines w:val="0"/>
        <w:pageBreakBefore w:val="0"/>
        <w:widowControl w:val="0"/>
        <w:tabs>
          <w:tab w:val="right" w:leader="dot" w:pos="8710"/>
        </w:tabs>
        <w:kinsoku/>
        <w:wordWrap/>
        <w:overflowPunct/>
        <w:topLinePunct w:val="0"/>
        <w:autoSpaceDE/>
        <w:autoSpaceDN/>
        <w:bidi w:val="0"/>
        <w:snapToGrid/>
        <w:spacing w:before="0" w:after="0" w:line="360"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HYPERLINK \l _Toc28485 </w:instrText>
      </w:r>
      <w:r>
        <w:rPr>
          <w:rFonts w:hint="eastAsia" w:ascii="宋体" w:hAnsi="宋体" w:eastAsia="宋体" w:cs="宋体"/>
          <w:sz w:val="21"/>
          <w:szCs w:val="21"/>
          <w:highlight w:val="none"/>
        </w:rPr>
        <w:fldChar w:fldCharType="separate"/>
      </w:r>
      <w:r>
        <w:rPr>
          <w:rFonts w:hint="eastAsia" w:ascii="宋体" w:hAnsi="宋体" w:eastAsia="宋体" w:cs="宋体"/>
          <w:bCs/>
          <w:sz w:val="21"/>
          <w:szCs w:val="21"/>
          <w:highlight w:val="none"/>
        </w:rPr>
        <w:t>第六章  评标办法</w:t>
      </w:r>
      <w:r>
        <w:rPr>
          <w:rFonts w:hint="eastAsia" w:ascii="宋体" w:hAnsi="宋体" w:eastAsia="宋体" w:cs="宋体"/>
          <w:sz w:val="21"/>
          <w:szCs w:val="21"/>
          <w:highlight w:val="none"/>
        </w:rPr>
        <w:tab/>
      </w: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PAGEREF _Toc28485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63</w:t>
      </w:r>
      <w:r>
        <w:rPr>
          <w:rFonts w:hint="eastAsia" w:ascii="宋体" w:hAnsi="宋体" w:eastAsia="宋体" w:cs="宋体"/>
          <w:sz w:val="21"/>
          <w:szCs w:val="21"/>
          <w:highlight w:val="none"/>
        </w:rPr>
        <w:fldChar w:fldCharType="end"/>
      </w:r>
      <w:r>
        <w:rPr>
          <w:rFonts w:hint="eastAsia" w:ascii="宋体" w:hAnsi="宋体" w:eastAsia="宋体" w:cs="宋体"/>
          <w:sz w:val="21"/>
          <w:szCs w:val="21"/>
          <w:highlight w:val="none"/>
        </w:rPr>
        <w:fldChar w:fldCharType="end"/>
      </w:r>
    </w:p>
    <w:p>
      <w:pPr>
        <w:pStyle w:val="28"/>
        <w:keepNext w:val="0"/>
        <w:keepLines w:val="0"/>
        <w:pageBreakBefore w:val="0"/>
        <w:widowControl w:val="0"/>
        <w:tabs>
          <w:tab w:val="right" w:leader="dot" w:pos="8710"/>
          <w:tab w:val="clear" w:pos="9344"/>
        </w:tabs>
        <w:kinsoku/>
        <w:wordWrap/>
        <w:overflowPunct/>
        <w:topLinePunct w:val="0"/>
        <w:autoSpaceDE/>
        <w:autoSpaceDN/>
        <w:bidi w:val="0"/>
        <w:snapToGrid/>
        <w:spacing w:line="360"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HYPERLINK \l _Toc15760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一、资格审查</w:t>
      </w:r>
      <w:r>
        <w:rPr>
          <w:rFonts w:hint="eastAsia" w:ascii="宋体" w:hAnsi="宋体" w:eastAsia="宋体" w:cs="宋体"/>
          <w:sz w:val="21"/>
          <w:szCs w:val="21"/>
          <w:highlight w:val="none"/>
        </w:rPr>
        <w:tab/>
      </w: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PAGEREF _Toc15760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63</w:t>
      </w:r>
      <w:r>
        <w:rPr>
          <w:rFonts w:hint="eastAsia" w:ascii="宋体" w:hAnsi="宋体" w:eastAsia="宋体" w:cs="宋体"/>
          <w:sz w:val="21"/>
          <w:szCs w:val="21"/>
          <w:highlight w:val="none"/>
        </w:rPr>
        <w:fldChar w:fldCharType="end"/>
      </w:r>
      <w:r>
        <w:rPr>
          <w:rFonts w:hint="eastAsia" w:ascii="宋体" w:hAnsi="宋体" w:eastAsia="宋体" w:cs="宋体"/>
          <w:sz w:val="21"/>
          <w:szCs w:val="21"/>
          <w:highlight w:val="none"/>
        </w:rPr>
        <w:fldChar w:fldCharType="end"/>
      </w:r>
    </w:p>
    <w:p>
      <w:pPr>
        <w:pStyle w:val="28"/>
        <w:keepNext w:val="0"/>
        <w:keepLines w:val="0"/>
        <w:pageBreakBefore w:val="0"/>
        <w:widowControl w:val="0"/>
        <w:tabs>
          <w:tab w:val="right" w:leader="dot" w:pos="8710"/>
          <w:tab w:val="clear" w:pos="9344"/>
        </w:tabs>
        <w:kinsoku/>
        <w:wordWrap/>
        <w:overflowPunct/>
        <w:topLinePunct w:val="0"/>
        <w:autoSpaceDE/>
        <w:autoSpaceDN/>
        <w:bidi w:val="0"/>
        <w:snapToGrid/>
        <w:spacing w:line="360"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HYPERLINK \l _Toc3279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资格审查前附表</w:t>
      </w:r>
      <w:r>
        <w:rPr>
          <w:rFonts w:hint="eastAsia" w:ascii="宋体" w:hAnsi="宋体" w:eastAsia="宋体" w:cs="宋体"/>
          <w:sz w:val="21"/>
          <w:szCs w:val="21"/>
          <w:highlight w:val="none"/>
        </w:rPr>
        <w:tab/>
      </w: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PAGEREF _Toc3279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63</w:t>
      </w:r>
      <w:r>
        <w:rPr>
          <w:rFonts w:hint="eastAsia" w:ascii="宋体" w:hAnsi="宋体" w:eastAsia="宋体" w:cs="宋体"/>
          <w:sz w:val="21"/>
          <w:szCs w:val="21"/>
          <w:highlight w:val="none"/>
        </w:rPr>
        <w:fldChar w:fldCharType="end"/>
      </w:r>
      <w:r>
        <w:rPr>
          <w:rFonts w:hint="eastAsia" w:ascii="宋体" w:hAnsi="宋体" w:eastAsia="宋体" w:cs="宋体"/>
          <w:sz w:val="21"/>
          <w:szCs w:val="21"/>
          <w:highlight w:val="none"/>
        </w:rPr>
        <w:fldChar w:fldCharType="end"/>
      </w:r>
    </w:p>
    <w:p>
      <w:pPr>
        <w:pStyle w:val="17"/>
        <w:keepNext w:val="0"/>
        <w:keepLines w:val="0"/>
        <w:pageBreakBefore w:val="0"/>
        <w:widowControl w:val="0"/>
        <w:tabs>
          <w:tab w:val="right" w:leader="dot" w:pos="8710"/>
        </w:tabs>
        <w:kinsoku/>
        <w:wordWrap/>
        <w:overflowPunct/>
        <w:topLinePunct w:val="0"/>
        <w:autoSpaceDE/>
        <w:autoSpaceDN/>
        <w:bidi w:val="0"/>
        <w:snapToGrid/>
        <w:spacing w:line="360"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HYPERLINK \l _Toc30877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1. 资格审查</w:t>
      </w:r>
      <w:r>
        <w:rPr>
          <w:rFonts w:hint="eastAsia" w:ascii="宋体" w:hAnsi="宋体" w:eastAsia="宋体" w:cs="宋体"/>
          <w:sz w:val="21"/>
          <w:szCs w:val="21"/>
          <w:highlight w:val="none"/>
        </w:rPr>
        <w:tab/>
      </w: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PAGEREF _Toc30877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63</w:t>
      </w:r>
      <w:r>
        <w:rPr>
          <w:rFonts w:hint="eastAsia" w:ascii="宋体" w:hAnsi="宋体" w:eastAsia="宋体" w:cs="宋体"/>
          <w:sz w:val="21"/>
          <w:szCs w:val="21"/>
          <w:highlight w:val="none"/>
        </w:rPr>
        <w:fldChar w:fldCharType="end"/>
      </w:r>
      <w:r>
        <w:rPr>
          <w:rFonts w:hint="eastAsia" w:ascii="宋体" w:hAnsi="宋体" w:eastAsia="宋体" w:cs="宋体"/>
          <w:sz w:val="21"/>
          <w:szCs w:val="21"/>
          <w:highlight w:val="none"/>
        </w:rPr>
        <w:fldChar w:fldCharType="end"/>
      </w:r>
    </w:p>
    <w:p>
      <w:pPr>
        <w:pStyle w:val="17"/>
        <w:keepNext w:val="0"/>
        <w:keepLines w:val="0"/>
        <w:pageBreakBefore w:val="0"/>
        <w:widowControl w:val="0"/>
        <w:tabs>
          <w:tab w:val="right" w:leader="dot" w:pos="8710"/>
        </w:tabs>
        <w:kinsoku/>
        <w:wordWrap/>
        <w:overflowPunct/>
        <w:topLinePunct w:val="0"/>
        <w:autoSpaceDE/>
        <w:autoSpaceDN/>
        <w:bidi w:val="0"/>
        <w:snapToGrid/>
        <w:spacing w:line="360"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HYPERLINK \l _Toc20671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2. 资格审查标准</w:t>
      </w:r>
      <w:r>
        <w:rPr>
          <w:rFonts w:hint="eastAsia" w:ascii="宋体" w:hAnsi="宋体" w:eastAsia="宋体" w:cs="宋体"/>
          <w:sz w:val="21"/>
          <w:szCs w:val="21"/>
          <w:highlight w:val="none"/>
        </w:rPr>
        <w:tab/>
      </w: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PAGEREF _Toc20671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63</w:t>
      </w:r>
      <w:r>
        <w:rPr>
          <w:rFonts w:hint="eastAsia" w:ascii="宋体" w:hAnsi="宋体" w:eastAsia="宋体" w:cs="宋体"/>
          <w:sz w:val="21"/>
          <w:szCs w:val="21"/>
          <w:highlight w:val="none"/>
        </w:rPr>
        <w:fldChar w:fldCharType="end"/>
      </w:r>
      <w:r>
        <w:rPr>
          <w:rFonts w:hint="eastAsia" w:ascii="宋体" w:hAnsi="宋体" w:eastAsia="宋体" w:cs="宋体"/>
          <w:sz w:val="21"/>
          <w:szCs w:val="21"/>
          <w:highlight w:val="none"/>
        </w:rPr>
        <w:fldChar w:fldCharType="end"/>
      </w:r>
    </w:p>
    <w:p>
      <w:pPr>
        <w:pStyle w:val="17"/>
        <w:keepNext w:val="0"/>
        <w:keepLines w:val="0"/>
        <w:pageBreakBefore w:val="0"/>
        <w:widowControl w:val="0"/>
        <w:tabs>
          <w:tab w:val="right" w:leader="dot" w:pos="8710"/>
        </w:tabs>
        <w:kinsoku/>
        <w:wordWrap/>
        <w:overflowPunct/>
        <w:topLinePunct w:val="0"/>
        <w:autoSpaceDE/>
        <w:autoSpaceDN/>
        <w:bidi w:val="0"/>
        <w:snapToGrid/>
        <w:spacing w:line="360"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HYPERLINK \l _Toc15656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3. 资格审查程序</w:t>
      </w:r>
      <w:r>
        <w:rPr>
          <w:rFonts w:hint="eastAsia" w:ascii="宋体" w:hAnsi="宋体" w:eastAsia="宋体" w:cs="宋体"/>
          <w:sz w:val="21"/>
          <w:szCs w:val="21"/>
          <w:highlight w:val="none"/>
        </w:rPr>
        <w:tab/>
      </w: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PAGEREF _Toc15656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63</w:t>
      </w:r>
      <w:r>
        <w:rPr>
          <w:rFonts w:hint="eastAsia" w:ascii="宋体" w:hAnsi="宋体" w:eastAsia="宋体" w:cs="宋体"/>
          <w:sz w:val="21"/>
          <w:szCs w:val="21"/>
          <w:highlight w:val="none"/>
        </w:rPr>
        <w:fldChar w:fldCharType="end"/>
      </w:r>
      <w:r>
        <w:rPr>
          <w:rFonts w:hint="eastAsia" w:ascii="宋体" w:hAnsi="宋体" w:eastAsia="宋体" w:cs="宋体"/>
          <w:sz w:val="21"/>
          <w:szCs w:val="21"/>
          <w:highlight w:val="none"/>
        </w:rPr>
        <w:fldChar w:fldCharType="end"/>
      </w:r>
    </w:p>
    <w:p>
      <w:pPr>
        <w:pStyle w:val="28"/>
        <w:keepNext w:val="0"/>
        <w:keepLines w:val="0"/>
        <w:pageBreakBefore w:val="0"/>
        <w:widowControl w:val="0"/>
        <w:tabs>
          <w:tab w:val="right" w:leader="dot" w:pos="8710"/>
          <w:tab w:val="clear" w:pos="9344"/>
        </w:tabs>
        <w:kinsoku/>
        <w:wordWrap/>
        <w:overflowPunct/>
        <w:topLinePunct w:val="0"/>
        <w:autoSpaceDE/>
        <w:autoSpaceDN/>
        <w:bidi w:val="0"/>
        <w:snapToGrid/>
        <w:spacing w:line="360"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HYPERLINK \l _Toc815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二、评标办法（综合评分法）</w:t>
      </w:r>
      <w:r>
        <w:rPr>
          <w:rFonts w:hint="eastAsia" w:ascii="宋体" w:hAnsi="宋体" w:eastAsia="宋体" w:cs="宋体"/>
          <w:sz w:val="21"/>
          <w:szCs w:val="21"/>
          <w:highlight w:val="none"/>
        </w:rPr>
        <w:tab/>
      </w: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PAGEREF _Toc815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64</w:t>
      </w:r>
      <w:r>
        <w:rPr>
          <w:rFonts w:hint="eastAsia" w:ascii="宋体" w:hAnsi="宋体" w:eastAsia="宋体" w:cs="宋体"/>
          <w:sz w:val="21"/>
          <w:szCs w:val="21"/>
          <w:highlight w:val="none"/>
        </w:rPr>
        <w:fldChar w:fldCharType="end"/>
      </w:r>
      <w:r>
        <w:rPr>
          <w:rFonts w:hint="eastAsia" w:ascii="宋体" w:hAnsi="宋体" w:eastAsia="宋体" w:cs="宋体"/>
          <w:sz w:val="21"/>
          <w:szCs w:val="21"/>
          <w:highlight w:val="none"/>
        </w:rPr>
        <w:fldChar w:fldCharType="end"/>
      </w:r>
    </w:p>
    <w:p>
      <w:pPr>
        <w:pStyle w:val="28"/>
        <w:keepNext w:val="0"/>
        <w:keepLines w:val="0"/>
        <w:pageBreakBefore w:val="0"/>
        <w:widowControl w:val="0"/>
        <w:tabs>
          <w:tab w:val="right" w:leader="dot" w:pos="8710"/>
          <w:tab w:val="clear" w:pos="9344"/>
        </w:tabs>
        <w:kinsoku/>
        <w:wordWrap/>
        <w:overflowPunct/>
        <w:topLinePunct w:val="0"/>
        <w:autoSpaceDE/>
        <w:autoSpaceDN/>
        <w:bidi w:val="0"/>
        <w:snapToGrid/>
        <w:spacing w:line="360"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HYPERLINK \l _Toc4670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评标办法前附表</w:t>
      </w:r>
      <w:r>
        <w:rPr>
          <w:rFonts w:hint="eastAsia" w:ascii="宋体" w:hAnsi="宋体" w:eastAsia="宋体" w:cs="宋体"/>
          <w:sz w:val="21"/>
          <w:szCs w:val="21"/>
          <w:highlight w:val="none"/>
        </w:rPr>
        <w:tab/>
      </w: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PAGEREF _Toc4670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64</w:t>
      </w:r>
      <w:r>
        <w:rPr>
          <w:rFonts w:hint="eastAsia" w:ascii="宋体" w:hAnsi="宋体" w:eastAsia="宋体" w:cs="宋体"/>
          <w:sz w:val="21"/>
          <w:szCs w:val="21"/>
          <w:highlight w:val="none"/>
        </w:rPr>
        <w:fldChar w:fldCharType="end"/>
      </w:r>
      <w:r>
        <w:rPr>
          <w:rFonts w:hint="eastAsia" w:ascii="宋体" w:hAnsi="宋体" w:eastAsia="宋体" w:cs="宋体"/>
          <w:sz w:val="21"/>
          <w:szCs w:val="21"/>
          <w:highlight w:val="none"/>
        </w:rPr>
        <w:fldChar w:fldCharType="end"/>
      </w:r>
    </w:p>
    <w:p>
      <w:pPr>
        <w:pStyle w:val="17"/>
        <w:keepNext w:val="0"/>
        <w:keepLines w:val="0"/>
        <w:pageBreakBefore w:val="0"/>
        <w:widowControl w:val="0"/>
        <w:tabs>
          <w:tab w:val="right" w:leader="dot" w:pos="8710"/>
        </w:tabs>
        <w:kinsoku/>
        <w:wordWrap/>
        <w:overflowPunct/>
        <w:topLinePunct w:val="0"/>
        <w:autoSpaceDE/>
        <w:autoSpaceDN/>
        <w:bidi w:val="0"/>
        <w:snapToGrid/>
        <w:spacing w:line="360"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HYPERLINK \l _Toc30933 </w:instrText>
      </w:r>
      <w:r>
        <w:rPr>
          <w:rFonts w:hint="eastAsia" w:ascii="宋体" w:hAnsi="宋体" w:eastAsia="宋体" w:cs="宋体"/>
          <w:sz w:val="21"/>
          <w:szCs w:val="21"/>
          <w:highlight w:val="none"/>
        </w:rPr>
        <w:fldChar w:fldCharType="separate"/>
      </w:r>
      <w:r>
        <w:rPr>
          <w:rFonts w:hint="eastAsia" w:ascii="宋体" w:hAnsi="宋体" w:eastAsia="宋体" w:cs="宋体"/>
          <w:bCs/>
          <w:sz w:val="21"/>
          <w:szCs w:val="21"/>
          <w:highlight w:val="none"/>
        </w:rPr>
        <w:t>1.评标方法</w:t>
      </w:r>
      <w:r>
        <w:rPr>
          <w:rFonts w:hint="eastAsia" w:ascii="宋体" w:hAnsi="宋体" w:eastAsia="宋体" w:cs="宋体"/>
          <w:sz w:val="21"/>
          <w:szCs w:val="21"/>
          <w:highlight w:val="none"/>
        </w:rPr>
        <w:tab/>
      </w: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PAGEREF _Toc30933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68</w:t>
      </w:r>
      <w:r>
        <w:rPr>
          <w:rFonts w:hint="eastAsia" w:ascii="宋体" w:hAnsi="宋体" w:eastAsia="宋体" w:cs="宋体"/>
          <w:sz w:val="21"/>
          <w:szCs w:val="21"/>
          <w:highlight w:val="none"/>
        </w:rPr>
        <w:fldChar w:fldCharType="end"/>
      </w:r>
      <w:r>
        <w:rPr>
          <w:rFonts w:hint="eastAsia" w:ascii="宋体" w:hAnsi="宋体" w:eastAsia="宋体" w:cs="宋体"/>
          <w:sz w:val="21"/>
          <w:szCs w:val="21"/>
          <w:highlight w:val="none"/>
        </w:rPr>
        <w:fldChar w:fldCharType="end"/>
      </w:r>
    </w:p>
    <w:p>
      <w:pPr>
        <w:pStyle w:val="17"/>
        <w:keepNext w:val="0"/>
        <w:keepLines w:val="0"/>
        <w:pageBreakBefore w:val="0"/>
        <w:widowControl w:val="0"/>
        <w:tabs>
          <w:tab w:val="right" w:leader="dot" w:pos="8710"/>
        </w:tabs>
        <w:kinsoku/>
        <w:wordWrap/>
        <w:overflowPunct/>
        <w:topLinePunct w:val="0"/>
        <w:autoSpaceDE/>
        <w:autoSpaceDN/>
        <w:bidi w:val="0"/>
        <w:snapToGrid/>
        <w:spacing w:line="360"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HYPERLINK \l _Toc9269 </w:instrText>
      </w:r>
      <w:r>
        <w:rPr>
          <w:rFonts w:hint="eastAsia" w:ascii="宋体" w:hAnsi="宋体" w:eastAsia="宋体" w:cs="宋体"/>
          <w:sz w:val="21"/>
          <w:szCs w:val="21"/>
          <w:highlight w:val="none"/>
        </w:rPr>
        <w:fldChar w:fldCharType="separate"/>
      </w:r>
      <w:r>
        <w:rPr>
          <w:rFonts w:hint="eastAsia" w:ascii="宋体" w:hAnsi="宋体" w:eastAsia="宋体" w:cs="宋体"/>
          <w:bCs/>
          <w:sz w:val="21"/>
          <w:szCs w:val="21"/>
          <w:highlight w:val="none"/>
        </w:rPr>
        <w:t>2. 评审标准及评标程序</w:t>
      </w:r>
      <w:r>
        <w:rPr>
          <w:rFonts w:hint="eastAsia" w:ascii="宋体" w:hAnsi="宋体" w:eastAsia="宋体" w:cs="宋体"/>
          <w:sz w:val="21"/>
          <w:szCs w:val="21"/>
          <w:highlight w:val="none"/>
        </w:rPr>
        <w:tab/>
      </w: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PAGEREF _Toc9269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68</w:t>
      </w:r>
      <w:r>
        <w:rPr>
          <w:rFonts w:hint="eastAsia" w:ascii="宋体" w:hAnsi="宋体" w:eastAsia="宋体" w:cs="宋体"/>
          <w:sz w:val="21"/>
          <w:szCs w:val="21"/>
          <w:highlight w:val="none"/>
        </w:rPr>
        <w:fldChar w:fldCharType="end"/>
      </w:r>
      <w:r>
        <w:rPr>
          <w:rFonts w:hint="eastAsia" w:ascii="宋体" w:hAnsi="宋体" w:eastAsia="宋体" w:cs="宋体"/>
          <w:sz w:val="21"/>
          <w:szCs w:val="21"/>
          <w:highlight w:val="none"/>
        </w:rPr>
        <w:fldChar w:fldCharType="end"/>
      </w:r>
    </w:p>
    <w:p>
      <w:pPr>
        <w:pStyle w:val="17"/>
        <w:keepNext w:val="0"/>
        <w:keepLines w:val="0"/>
        <w:pageBreakBefore w:val="0"/>
        <w:widowControl w:val="0"/>
        <w:tabs>
          <w:tab w:val="right" w:leader="dot" w:pos="8710"/>
        </w:tabs>
        <w:kinsoku/>
        <w:wordWrap/>
        <w:overflowPunct/>
        <w:topLinePunct w:val="0"/>
        <w:autoSpaceDE/>
        <w:autoSpaceDN/>
        <w:bidi w:val="0"/>
        <w:snapToGrid/>
        <w:spacing w:line="360"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HYPERLINK \l _Toc30040 </w:instrText>
      </w:r>
      <w:r>
        <w:rPr>
          <w:rFonts w:hint="eastAsia" w:ascii="宋体" w:hAnsi="宋体" w:eastAsia="宋体" w:cs="宋体"/>
          <w:sz w:val="21"/>
          <w:szCs w:val="21"/>
          <w:highlight w:val="none"/>
        </w:rPr>
        <w:fldChar w:fldCharType="separate"/>
      </w:r>
      <w:r>
        <w:rPr>
          <w:rFonts w:hint="eastAsia" w:ascii="宋体" w:hAnsi="宋体" w:eastAsia="宋体" w:cs="宋体"/>
          <w:bCs/>
          <w:sz w:val="21"/>
          <w:szCs w:val="21"/>
          <w:highlight w:val="none"/>
        </w:rPr>
        <w:t>3.评标程序</w:t>
      </w:r>
      <w:r>
        <w:rPr>
          <w:rFonts w:hint="eastAsia" w:ascii="宋体" w:hAnsi="宋体" w:eastAsia="宋体" w:cs="宋体"/>
          <w:sz w:val="21"/>
          <w:szCs w:val="21"/>
          <w:highlight w:val="none"/>
        </w:rPr>
        <w:tab/>
      </w: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PAGEREF _Toc30040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68</w:t>
      </w:r>
      <w:r>
        <w:rPr>
          <w:rFonts w:hint="eastAsia" w:ascii="宋体" w:hAnsi="宋体" w:eastAsia="宋体" w:cs="宋体"/>
          <w:sz w:val="21"/>
          <w:szCs w:val="21"/>
          <w:highlight w:val="none"/>
        </w:rPr>
        <w:fldChar w:fldCharType="end"/>
      </w:r>
      <w:r>
        <w:rPr>
          <w:rFonts w:hint="eastAsia" w:ascii="宋体" w:hAnsi="宋体" w:eastAsia="宋体" w:cs="宋体"/>
          <w:sz w:val="21"/>
          <w:szCs w:val="21"/>
          <w:highlight w:val="none"/>
        </w:rPr>
        <w:fldChar w:fldCharType="end"/>
      </w:r>
    </w:p>
    <w:p>
      <w:pPr>
        <w:pStyle w:val="17"/>
        <w:keepNext w:val="0"/>
        <w:keepLines w:val="0"/>
        <w:pageBreakBefore w:val="0"/>
        <w:widowControl w:val="0"/>
        <w:tabs>
          <w:tab w:val="right" w:leader="dot" w:pos="8710"/>
        </w:tabs>
        <w:kinsoku/>
        <w:wordWrap/>
        <w:overflowPunct/>
        <w:topLinePunct w:val="0"/>
        <w:autoSpaceDE/>
        <w:autoSpaceDN/>
        <w:bidi w:val="0"/>
        <w:snapToGrid/>
        <w:spacing w:line="360"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HYPERLINK \l _Toc30232 </w:instrText>
      </w:r>
      <w:r>
        <w:rPr>
          <w:rFonts w:hint="eastAsia" w:ascii="宋体" w:hAnsi="宋体" w:eastAsia="宋体" w:cs="宋体"/>
          <w:sz w:val="21"/>
          <w:szCs w:val="21"/>
          <w:highlight w:val="none"/>
        </w:rPr>
        <w:fldChar w:fldCharType="separate"/>
      </w:r>
      <w:r>
        <w:rPr>
          <w:rFonts w:hint="eastAsia" w:ascii="宋体" w:hAnsi="宋体" w:eastAsia="宋体" w:cs="宋体"/>
          <w:bCs/>
          <w:sz w:val="21"/>
          <w:szCs w:val="21"/>
          <w:highlight w:val="none"/>
        </w:rPr>
        <w:t>4.评标结果</w:t>
      </w:r>
      <w:r>
        <w:rPr>
          <w:rFonts w:hint="eastAsia" w:ascii="宋体" w:hAnsi="宋体" w:eastAsia="宋体" w:cs="宋体"/>
          <w:sz w:val="21"/>
          <w:szCs w:val="21"/>
          <w:highlight w:val="none"/>
        </w:rPr>
        <w:tab/>
      </w: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PAGEREF _Toc30232 </w:instrText>
      </w:r>
      <w:r>
        <w:rPr>
          <w:rFonts w:hint="eastAsia" w:ascii="宋体" w:hAnsi="宋体" w:eastAsia="宋体" w:cs="宋体"/>
          <w:sz w:val="21"/>
          <w:szCs w:val="21"/>
          <w:highlight w:val="none"/>
        </w:rPr>
        <w:fldChar w:fldCharType="separate"/>
      </w:r>
      <w:r>
        <w:rPr>
          <w:rFonts w:hint="eastAsia" w:ascii="宋体" w:hAnsi="宋体" w:eastAsia="宋体" w:cs="宋体"/>
          <w:sz w:val="21"/>
          <w:szCs w:val="21"/>
          <w:highlight w:val="none"/>
        </w:rPr>
        <w:t>69</w:t>
      </w:r>
      <w:r>
        <w:rPr>
          <w:rFonts w:hint="eastAsia" w:ascii="宋体" w:hAnsi="宋体" w:eastAsia="宋体" w:cs="宋体"/>
          <w:sz w:val="21"/>
          <w:szCs w:val="21"/>
          <w:highlight w:val="none"/>
        </w:rPr>
        <w:fldChar w:fldCharType="end"/>
      </w:r>
      <w:r>
        <w:rPr>
          <w:rFonts w:hint="eastAsia" w:ascii="宋体" w:hAnsi="宋体" w:eastAsia="宋体" w:cs="宋体"/>
          <w:sz w:val="21"/>
          <w:szCs w:val="21"/>
          <w:highlight w:val="none"/>
        </w:rPr>
        <w:fldChar w:fldCharType="end"/>
      </w:r>
    </w:p>
    <w:p>
      <w:pPr>
        <w:keepNext w:val="0"/>
        <w:keepLines w:val="0"/>
        <w:pageBreakBefore w:val="0"/>
        <w:widowControl w:val="0"/>
        <w:kinsoku/>
        <w:wordWrap/>
        <w:overflowPunct/>
        <w:topLinePunct w:val="0"/>
        <w:autoSpaceDE/>
        <w:autoSpaceDN/>
        <w:bidi w:val="0"/>
        <w:snapToGrid/>
        <w:spacing w:line="360" w:lineRule="auto"/>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fldChar w:fldCharType="end"/>
      </w:r>
    </w:p>
    <w:p>
      <w:pPr>
        <w:pStyle w:val="17"/>
        <w:tabs>
          <w:tab w:val="right" w:leader="dot" w:pos="9353"/>
        </w:tabs>
        <w:snapToGrid w:val="0"/>
        <w:spacing w:line="300" w:lineRule="exact"/>
        <w:ind w:left="630"/>
        <w:rPr>
          <w:highlight w:val="none"/>
        </w:rPr>
      </w:pPr>
    </w:p>
    <w:p>
      <w:pPr>
        <w:rPr>
          <w:rFonts w:hint="eastAsia"/>
          <w:highlight w:val="none"/>
        </w:rPr>
      </w:pPr>
    </w:p>
    <w:p>
      <w:pPr>
        <w:pStyle w:val="3"/>
        <w:numPr>
          <w:ilvl w:val="0"/>
          <w:numId w:val="0"/>
        </w:numPr>
        <w:spacing w:before="0"/>
        <w:jc w:val="center"/>
        <w:rPr>
          <w:rFonts w:hint="eastAsia" w:ascii="黑体"/>
          <w:sz w:val="32"/>
          <w:szCs w:val="32"/>
          <w:highlight w:val="none"/>
        </w:rPr>
      </w:pPr>
      <w:r>
        <w:rPr>
          <w:rFonts w:ascii="黑体"/>
          <w:sz w:val="32"/>
          <w:szCs w:val="32"/>
          <w:highlight w:val="none"/>
        </w:rPr>
        <w:br w:type="page"/>
      </w:r>
      <w:bookmarkStart w:id="1" w:name="_Toc18256"/>
      <w:bookmarkStart w:id="2" w:name="_Toc27872"/>
      <w:bookmarkStart w:id="3" w:name="_Toc430"/>
      <w:r>
        <w:rPr>
          <w:rFonts w:hint="eastAsia" w:ascii="黑体"/>
          <w:sz w:val="32"/>
          <w:szCs w:val="32"/>
          <w:highlight w:val="none"/>
        </w:rPr>
        <w:t xml:space="preserve">第一章  </w:t>
      </w:r>
      <w:bookmarkEnd w:id="1"/>
      <w:bookmarkEnd w:id="2"/>
      <w:bookmarkEnd w:id="3"/>
      <w:r>
        <w:rPr>
          <w:rFonts w:hint="eastAsia" w:ascii="黑体"/>
          <w:sz w:val="32"/>
          <w:szCs w:val="32"/>
          <w:highlight w:val="none"/>
        </w:rPr>
        <w:t>招标公告</w:t>
      </w:r>
    </w:p>
    <w:p>
      <w:pPr>
        <w:spacing w:line="400" w:lineRule="exact"/>
        <w:rPr>
          <w:rFonts w:hint="eastAsia" w:ascii="宋体" w:hAnsi="宋体"/>
          <w:b/>
          <w:szCs w:val="21"/>
          <w:highlight w:val="none"/>
        </w:rPr>
      </w:pPr>
    </w:p>
    <w:p>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440" w:lineRule="exact"/>
        <w:ind w:left="0" w:leftChars="0" w:firstLine="0" w:firstLineChars="0"/>
        <w:jc w:val="center"/>
        <w:textAlignment w:val="auto"/>
        <w:outlineLvl w:val="1"/>
        <w:rPr>
          <w:rFonts w:hint="eastAsia" w:ascii="宋体" w:hAnsi="宋体" w:eastAsia="宋体" w:cs="宋体"/>
          <w:b/>
          <w:bCs/>
          <w:sz w:val="28"/>
          <w:szCs w:val="28"/>
          <w:highlight w:val="none"/>
        </w:rPr>
      </w:pPr>
      <w:bookmarkStart w:id="4" w:name="_Toc13287"/>
      <w:bookmarkStart w:id="5" w:name="_Toc23653"/>
      <w:r>
        <w:rPr>
          <w:rFonts w:hint="eastAsia" w:ascii="宋体" w:hAnsi="宋体" w:eastAsia="宋体" w:cs="宋体"/>
          <w:b/>
          <w:bCs/>
          <w:sz w:val="28"/>
          <w:szCs w:val="28"/>
          <w:highlight w:val="none"/>
        </w:rPr>
        <w:t>项目概况</w:t>
      </w:r>
      <w:bookmarkEnd w:id="4"/>
      <w:bookmarkEnd w:id="5"/>
    </w:p>
    <w:p>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440" w:lineRule="exact"/>
        <w:ind w:firstLine="420" w:firstLineChars="200"/>
        <w:textAlignment w:val="auto"/>
        <w:rPr>
          <w:rFonts w:hint="eastAsia" w:ascii="宋体" w:hAnsi="宋体" w:eastAsia="宋体" w:cs="宋体"/>
          <w:sz w:val="21"/>
          <w:szCs w:val="21"/>
          <w:highlight w:val="none"/>
        </w:rPr>
      </w:pPr>
      <w:r>
        <w:rPr>
          <w:rFonts w:hint="eastAsia" w:ascii="宋体" w:hAnsi="宋体" w:cs="宋体"/>
          <w:sz w:val="21"/>
          <w:szCs w:val="21"/>
          <w:highlight w:val="none"/>
          <w:lang w:eastAsia="zh-CN"/>
        </w:rPr>
        <w:t>2023年曲水县“十三五”期间政府项目（2000万-5000万）审计</w:t>
      </w:r>
      <w:r>
        <w:rPr>
          <w:rFonts w:hint="eastAsia" w:ascii="宋体" w:hAnsi="宋体" w:eastAsia="宋体" w:cs="宋体"/>
          <w:sz w:val="21"/>
          <w:szCs w:val="21"/>
          <w:highlight w:val="none"/>
        </w:rPr>
        <w:t>的潜在投标人应在</w:t>
      </w:r>
      <w:r>
        <w:rPr>
          <w:rFonts w:hint="eastAsia" w:hAnsi="宋体" w:cs="宋体"/>
          <w:szCs w:val="21"/>
          <w:lang w:eastAsia="zh-CN"/>
        </w:rPr>
        <w:t>拉萨市公共资源交易网 （http://ggzy.lasa.gov.cn/）</w:t>
      </w:r>
      <w:r>
        <w:rPr>
          <w:rFonts w:hint="eastAsia" w:ascii="宋体" w:hAnsi="宋体" w:eastAsia="宋体" w:cs="宋体"/>
          <w:sz w:val="21"/>
          <w:szCs w:val="21"/>
          <w:highlight w:val="none"/>
        </w:rPr>
        <w:t>，网上获取</w:t>
      </w:r>
      <w:r>
        <w:rPr>
          <w:rFonts w:hint="eastAsia" w:ascii="宋体" w:hAnsi="宋体" w:eastAsia="宋体" w:cs="宋体"/>
          <w:color w:val="auto"/>
          <w:sz w:val="21"/>
          <w:szCs w:val="21"/>
          <w:highlight w:val="none"/>
        </w:rPr>
        <w:t>招标文件，并于20</w:t>
      </w:r>
      <w:r>
        <w:rPr>
          <w:rFonts w:hint="eastAsia" w:ascii="宋体" w:hAnsi="宋体" w:eastAsia="宋体" w:cs="宋体"/>
          <w:color w:val="auto"/>
          <w:sz w:val="21"/>
          <w:szCs w:val="21"/>
          <w:highlight w:val="none"/>
          <w:lang w:val="en-US" w:eastAsia="zh-CN"/>
        </w:rPr>
        <w:t>2</w:t>
      </w: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rPr>
        <w:t>年</w:t>
      </w:r>
      <w:r>
        <w:rPr>
          <w:rFonts w:hint="eastAsia" w:ascii="宋体" w:hAnsi="宋体" w:cs="宋体"/>
          <w:color w:val="auto"/>
          <w:sz w:val="21"/>
          <w:szCs w:val="21"/>
          <w:highlight w:val="none"/>
          <w:lang w:val="en-US" w:eastAsia="zh-CN"/>
        </w:rPr>
        <w:t>04</w:t>
      </w:r>
      <w:r>
        <w:rPr>
          <w:rFonts w:hint="eastAsia" w:ascii="宋体" w:hAnsi="宋体" w:eastAsia="宋体" w:cs="宋体"/>
          <w:color w:val="auto"/>
          <w:sz w:val="21"/>
          <w:szCs w:val="21"/>
          <w:highlight w:val="none"/>
        </w:rPr>
        <w:t>月</w:t>
      </w:r>
      <w:r>
        <w:rPr>
          <w:rFonts w:hint="eastAsia" w:ascii="宋体" w:hAnsi="宋体" w:cs="宋体"/>
          <w:color w:val="auto"/>
          <w:sz w:val="21"/>
          <w:szCs w:val="21"/>
          <w:highlight w:val="none"/>
          <w:lang w:val="en-US" w:eastAsia="zh-CN"/>
        </w:rPr>
        <w:t>27</w:t>
      </w:r>
      <w:r>
        <w:rPr>
          <w:rFonts w:hint="eastAsia" w:ascii="宋体" w:hAnsi="宋体" w:eastAsia="宋体" w:cs="宋体"/>
          <w:color w:val="auto"/>
          <w:sz w:val="21"/>
          <w:szCs w:val="21"/>
          <w:highlight w:val="none"/>
        </w:rPr>
        <w:t>日</w:t>
      </w:r>
      <w:r>
        <w:rPr>
          <w:rFonts w:hint="eastAsia" w:ascii="宋体" w:hAnsi="宋体" w:cs="宋体"/>
          <w:color w:val="auto"/>
          <w:sz w:val="21"/>
          <w:szCs w:val="21"/>
          <w:highlight w:val="none"/>
          <w:lang w:val="en-US" w:eastAsia="zh-CN"/>
        </w:rPr>
        <w:t>10</w:t>
      </w:r>
      <w:r>
        <w:rPr>
          <w:rFonts w:hint="eastAsia" w:ascii="宋体" w:hAnsi="宋体" w:eastAsia="宋体" w:cs="宋体"/>
          <w:bCs/>
          <w:color w:val="auto"/>
          <w:sz w:val="21"/>
          <w:szCs w:val="21"/>
          <w:highlight w:val="none"/>
          <w:u w:val="none"/>
          <w:lang w:val="en-US" w:eastAsia="zh-CN"/>
        </w:rPr>
        <w:t>时</w:t>
      </w:r>
      <w:r>
        <w:rPr>
          <w:rFonts w:hint="eastAsia" w:ascii="宋体" w:hAnsi="宋体" w:cs="宋体"/>
          <w:bCs/>
          <w:color w:val="auto"/>
          <w:sz w:val="21"/>
          <w:szCs w:val="21"/>
          <w:highlight w:val="none"/>
          <w:u w:val="none"/>
          <w:lang w:val="en-US" w:eastAsia="zh-CN"/>
        </w:rPr>
        <w:t>00</w:t>
      </w:r>
      <w:r>
        <w:rPr>
          <w:rFonts w:hint="eastAsia" w:ascii="宋体" w:hAnsi="宋体" w:eastAsia="宋体" w:cs="宋体"/>
          <w:bCs/>
          <w:color w:val="auto"/>
          <w:sz w:val="21"/>
          <w:szCs w:val="21"/>
          <w:highlight w:val="none"/>
          <w:u w:val="none"/>
        </w:rPr>
        <w:t>分（</w:t>
      </w:r>
      <w:r>
        <w:rPr>
          <w:rFonts w:hint="eastAsia" w:ascii="宋体" w:hAnsi="宋体" w:eastAsia="宋体" w:cs="宋体"/>
          <w:bCs/>
          <w:color w:val="auto"/>
          <w:sz w:val="21"/>
          <w:szCs w:val="21"/>
          <w:highlight w:val="none"/>
        </w:rPr>
        <w:t>北京</w:t>
      </w:r>
      <w:r>
        <w:rPr>
          <w:rFonts w:hint="eastAsia" w:ascii="宋体" w:hAnsi="宋体" w:eastAsia="宋体" w:cs="宋体"/>
          <w:bCs/>
          <w:sz w:val="21"/>
          <w:szCs w:val="21"/>
          <w:highlight w:val="none"/>
        </w:rPr>
        <w:t>时间）前递交投标文件</w:t>
      </w:r>
      <w:r>
        <w:rPr>
          <w:rFonts w:hint="eastAsia" w:ascii="宋体" w:hAnsi="宋体" w:eastAsia="宋体" w:cs="宋体"/>
          <w:sz w:val="21"/>
          <w:szCs w:val="21"/>
          <w:highlight w:val="none"/>
        </w:rPr>
        <w:t>。</w:t>
      </w:r>
    </w:p>
    <w:p>
      <w:pPr>
        <w:keepNext/>
        <w:keepLines/>
        <w:pageBreakBefore w:val="0"/>
        <w:widowControl w:val="0"/>
        <w:numPr>
          <w:ilvl w:val="0"/>
          <w:numId w:val="0"/>
        </w:numPr>
        <w:tabs>
          <w:tab w:val="left" w:pos="1021"/>
        </w:tabs>
        <w:kinsoku/>
        <w:wordWrap/>
        <w:overflowPunct/>
        <w:topLinePunct w:val="0"/>
        <w:autoSpaceDE/>
        <w:autoSpaceDN/>
        <w:bidi w:val="0"/>
        <w:adjustRightInd/>
        <w:snapToGrid/>
        <w:spacing w:before="0" w:after="0" w:line="440" w:lineRule="exact"/>
        <w:textAlignment w:val="auto"/>
        <w:outlineLvl w:val="9"/>
        <w:rPr>
          <w:rFonts w:hint="eastAsia" w:ascii="宋体" w:hAnsi="宋体" w:eastAsia="宋体" w:cs="宋体"/>
          <w:b/>
          <w:bCs w:val="0"/>
          <w:sz w:val="28"/>
          <w:szCs w:val="28"/>
          <w:highlight w:val="none"/>
        </w:rPr>
      </w:pPr>
      <w:bookmarkStart w:id="6" w:name="_Toc35393621"/>
      <w:bookmarkStart w:id="7" w:name="_Toc35393790"/>
      <w:bookmarkStart w:id="8" w:name="_Toc28359079"/>
      <w:bookmarkStart w:id="9" w:name="_Toc28359002"/>
      <w:bookmarkStart w:id="10" w:name="_Hlk24379207"/>
    </w:p>
    <w:p>
      <w:pPr>
        <w:pStyle w:val="4"/>
        <w:keepNext/>
        <w:keepLines/>
        <w:pageBreakBefore w:val="0"/>
        <w:widowControl w:val="0"/>
        <w:numPr>
          <w:ilvl w:val="0"/>
          <w:numId w:val="0"/>
        </w:numPr>
        <w:kinsoku/>
        <w:wordWrap/>
        <w:overflowPunct/>
        <w:topLinePunct w:val="0"/>
        <w:autoSpaceDE/>
        <w:autoSpaceDN/>
        <w:bidi w:val="0"/>
        <w:adjustRightInd/>
        <w:snapToGrid/>
        <w:spacing w:before="0" w:after="0" w:line="440" w:lineRule="exact"/>
        <w:textAlignment w:val="auto"/>
        <w:rPr>
          <w:rFonts w:hint="eastAsia" w:ascii="宋体" w:hAnsi="宋体" w:eastAsia="宋体" w:cs="宋体"/>
          <w:b/>
          <w:bCs w:val="0"/>
          <w:sz w:val="28"/>
          <w:szCs w:val="28"/>
          <w:highlight w:val="none"/>
        </w:rPr>
      </w:pPr>
      <w:bookmarkStart w:id="11" w:name="_Toc6367"/>
      <w:bookmarkStart w:id="12" w:name="_Toc7737"/>
      <w:r>
        <w:rPr>
          <w:rFonts w:hint="eastAsia" w:ascii="宋体" w:hAnsi="宋体" w:eastAsia="宋体" w:cs="宋体"/>
          <w:b/>
          <w:bCs w:val="0"/>
          <w:sz w:val="28"/>
          <w:szCs w:val="28"/>
          <w:highlight w:val="none"/>
        </w:rPr>
        <w:t>一、项目基本情况</w:t>
      </w:r>
      <w:bookmarkEnd w:id="6"/>
      <w:bookmarkEnd w:id="7"/>
      <w:bookmarkEnd w:id="8"/>
      <w:bookmarkEnd w:id="9"/>
      <w:bookmarkEnd w:id="11"/>
      <w:bookmarkEnd w:id="12"/>
    </w:p>
    <w:p>
      <w:pPr>
        <w:pageBreakBefore w:val="0"/>
        <w:kinsoku/>
        <w:wordWrap/>
        <w:overflowPunct/>
        <w:topLinePunct w:val="0"/>
        <w:autoSpaceDE/>
        <w:autoSpaceDN/>
        <w:bidi w:val="0"/>
        <w:adjustRightInd/>
        <w:snapToGrid/>
        <w:spacing w:line="440" w:lineRule="exact"/>
        <w:ind w:firstLine="420" w:firstLineChars="200"/>
        <w:rPr>
          <w:rFonts w:hint="eastAsia" w:ascii="宋体" w:hAnsi="宋体" w:eastAsia="宋体" w:cs="宋体"/>
          <w:color w:val="FF0000"/>
          <w:sz w:val="21"/>
          <w:szCs w:val="21"/>
          <w:highlight w:val="none"/>
          <w:lang w:eastAsia="zh-CN"/>
        </w:rPr>
      </w:pPr>
      <w:r>
        <w:rPr>
          <w:rFonts w:hint="eastAsia" w:ascii="宋体" w:hAnsi="宋体" w:eastAsia="宋体" w:cs="宋体"/>
          <w:sz w:val="21"/>
          <w:szCs w:val="21"/>
          <w:highlight w:val="none"/>
        </w:rPr>
        <w:t>项目编号：</w:t>
      </w:r>
      <w:r>
        <w:rPr>
          <w:rFonts w:hint="eastAsia" w:ascii="宋体" w:hAnsi="宋体" w:cs="宋体"/>
          <w:sz w:val="21"/>
          <w:szCs w:val="21"/>
          <w:highlight w:val="none"/>
          <w:lang w:eastAsia="zh-CN"/>
        </w:rPr>
        <w:t>ZZ2300338DQ10024</w:t>
      </w:r>
      <w:r>
        <w:rPr>
          <w:rFonts w:hint="eastAsia" w:ascii="宋体" w:hAnsi="宋体" w:cs="宋体"/>
          <w:sz w:val="21"/>
          <w:szCs w:val="21"/>
          <w:highlight w:val="none"/>
          <w:lang w:val="en-US" w:eastAsia="zh-CN"/>
        </w:rPr>
        <w:t xml:space="preserve">   </w:t>
      </w:r>
    </w:p>
    <w:p>
      <w:pPr>
        <w:pageBreakBefore w:val="0"/>
        <w:kinsoku/>
        <w:wordWrap/>
        <w:overflowPunct/>
        <w:topLinePunct w:val="0"/>
        <w:autoSpaceDE/>
        <w:autoSpaceDN/>
        <w:bidi w:val="0"/>
        <w:adjustRightInd/>
        <w:snapToGrid/>
        <w:spacing w:line="440" w:lineRule="exact"/>
        <w:ind w:firstLine="420" w:firstLineChars="200"/>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rPr>
        <w:t>项目名称：</w:t>
      </w:r>
      <w:r>
        <w:rPr>
          <w:rFonts w:hint="eastAsia" w:ascii="宋体" w:hAnsi="宋体" w:cs="宋体"/>
          <w:sz w:val="21"/>
          <w:szCs w:val="21"/>
          <w:highlight w:val="none"/>
          <w:lang w:eastAsia="zh-CN"/>
        </w:rPr>
        <w:t>2023年曲水县“十三五”期间政府项目（2000万-5000万）审计</w:t>
      </w:r>
      <w:r>
        <w:rPr>
          <w:rFonts w:hint="eastAsia" w:ascii="宋体" w:hAnsi="宋体" w:eastAsia="宋体" w:cs="宋体"/>
          <w:sz w:val="21"/>
          <w:szCs w:val="21"/>
          <w:highlight w:val="none"/>
          <w:lang w:eastAsia="zh-CN"/>
        </w:rPr>
        <w:t>；</w:t>
      </w:r>
    </w:p>
    <w:bookmarkEnd w:id="10"/>
    <w:p>
      <w:pPr>
        <w:pageBreakBefore w:val="0"/>
        <w:kinsoku/>
        <w:wordWrap/>
        <w:overflowPunct/>
        <w:topLinePunct w:val="0"/>
        <w:autoSpaceDE/>
        <w:autoSpaceDN/>
        <w:bidi w:val="0"/>
        <w:adjustRightInd/>
        <w:snapToGrid/>
        <w:spacing w:line="440" w:lineRule="exact"/>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预算金额：</w:t>
      </w:r>
      <w:r>
        <w:rPr>
          <w:rFonts w:hint="eastAsia" w:ascii="宋体" w:hAnsi="宋体" w:cs="宋体"/>
          <w:sz w:val="21"/>
          <w:szCs w:val="21"/>
          <w:highlight w:val="none"/>
          <w:lang w:val="en-US" w:eastAsia="zh-CN"/>
        </w:rPr>
        <w:t>1250000.00</w:t>
      </w:r>
      <w:r>
        <w:rPr>
          <w:rFonts w:hint="eastAsia" w:ascii="宋体" w:hAnsi="宋体" w:eastAsia="宋体" w:cs="宋体"/>
          <w:sz w:val="21"/>
          <w:szCs w:val="21"/>
          <w:highlight w:val="none"/>
        </w:rPr>
        <w:t>元；</w:t>
      </w:r>
    </w:p>
    <w:p>
      <w:pPr>
        <w:pageBreakBefore w:val="0"/>
        <w:kinsoku/>
        <w:wordWrap/>
        <w:overflowPunct/>
        <w:topLinePunct w:val="0"/>
        <w:autoSpaceDE/>
        <w:autoSpaceDN/>
        <w:bidi w:val="0"/>
        <w:adjustRightInd/>
        <w:snapToGrid/>
        <w:spacing w:line="440" w:lineRule="exact"/>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最高限价：</w:t>
      </w:r>
      <w:r>
        <w:rPr>
          <w:rFonts w:hint="eastAsia" w:ascii="宋体" w:hAnsi="宋体" w:cs="宋体"/>
          <w:sz w:val="21"/>
          <w:szCs w:val="21"/>
          <w:highlight w:val="none"/>
          <w:lang w:val="en-US" w:eastAsia="zh-CN"/>
        </w:rPr>
        <w:t>1250000.00</w:t>
      </w:r>
      <w:r>
        <w:rPr>
          <w:rFonts w:hint="eastAsia" w:ascii="宋体" w:hAnsi="宋体" w:eastAsia="宋体" w:cs="宋体"/>
          <w:sz w:val="21"/>
          <w:szCs w:val="21"/>
          <w:highlight w:val="none"/>
        </w:rPr>
        <w:t>元；</w:t>
      </w:r>
    </w:p>
    <w:p>
      <w:pPr>
        <w:pageBreakBefore w:val="0"/>
        <w:kinsoku/>
        <w:wordWrap/>
        <w:overflowPunct/>
        <w:topLinePunct w:val="0"/>
        <w:autoSpaceDE/>
        <w:autoSpaceDN/>
        <w:bidi w:val="0"/>
        <w:adjustRightInd/>
        <w:snapToGrid/>
        <w:spacing w:line="440" w:lineRule="exact"/>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采购需求：</w:t>
      </w:r>
      <w:r>
        <w:rPr>
          <w:rFonts w:hint="eastAsia" w:ascii="宋体" w:hAnsi="宋体" w:cs="宋体"/>
          <w:sz w:val="21"/>
          <w:szCs w:val="21"/>
          <w:highlight w:val="none"/>
          <w:lang w:val="en-US" w:eastAsia="zh-CN"/>
        </w:rPr>
        <w:t>选择一家审计服务机构</w:t>
      </w:r>
      <w:r>
        <w:rPr>
          <w:rFonts w:hint="eastAsia" w:ascii="宋体" w:hAnsi="宋体" w:eastAsia="宋体" w:cs="宋体"/>
          <w:sz w:val="21"/>
          <w:szCs w:val="21"/>
          <w:highlight w:val="none"/>
        </w:rPr>
        <w:t>对曲水县“十三五”期间11个政府投资项目进行审计，通过政府投资项目审计，揭示和反映政府投资领域政策落实、投资决策、建设程序、资金管理、招标投标、环境保护、征地拆迁、工程造价、质量安全等方面存在的问题</w:t>
      </w:r>
      <w:r>
        <w:rPr>
          <w:rFonts w:hint="eastAsia" w:ascii="宋体" w:hAnsi="宋体" w:cs="宋体"/>
          <w:sz w:val="21"/>
          <w:szCs w:val="21"/>
          <w:highlight w:val="none"/>
          <w:lang w:eastAsia="zh-CN"/>
        </w:rPr>
        <w:t>。</w:t>
      </w:r>
      <w:r>
        <w:rPr>
          <w:rFonts w:hint="eastAsia" w:ascii="宋体" w:hAnsi="宋体" w:eastAsia="宋体" w:cs="宋体"/>
          <w:sz w:val="21"/>
          <w:szCs w:val="21"/>
          <w:highlight w:val="none"/>
        </w:rPr>
        <w:t>按照《关于印发西藏自治区审计厅政府投资项目协审中介机构聘用及管理办法（试行）的通知》（藏审发〔2019〕46号）文件规定，本次政府投资项目审计费用由基础报酬和绩效报酬两部分组成。其中基础报酬</w:t>
      </w:r>
      <w:r>
        <w:rPr>
          <w:rFonts w:hint="eastAsia" w:ascii="宋体" w:hAnsi="宋体" w:cs="宋体"/>
          <w:sz w:val="21"/>
          <w:szCs w:val="21"/>
          <w:highlight w:val="none"/>
          <w:lang w:val="en-US" w:eastAsia="zh-CN"/>
        </w:rPr>
        <w:t>最高限价</w:t>
      </w:r>
      <w:r>
        <w:rPr>
          <w:rFonts w:hint="eastAsia" w:ascii="宋体" w:hAnsi="宋体" w:eastAsia="宋体" w:cs="宋体"/>
          <w:sz w:val="21"/>
          <w:szCs w:val="21"/>
          <w:highlight w:val="none"/>
        </w:rPr>
        <w:t>为3</w:t>
      </w:r>
      <w:r>
        <w:rPr>
          <w:rFonts w:hint="eastAsia" w:ascii="宋体" w:hAnsi="宋体" w:cs="宋体"/>
          <w:sz w:val="21"/>
          <w:szCs w:val="21"/>
          <w:highlight w:val="none"/>
          <w:lang w:val="en-US" w:eastAsia="zh-CN"/>
        </w:rPr>
        <w:t>3</w:t>
      </w:r>
      <w:r>
        <w:rPr>
          <w:rFonts w:hint="eastAsia" w:ascii="宋体" w:hAnsi="宋体" w:eastAsia="宋体" w:cs="宋体"/>
          <w:sz w:val="21"/>
          <w:szCs w:val="21"/>
          <w:highlight w:val="none"/>
        </w:rPr>
        <w:t>万元；绩效报酬</w:t>
      </w:r>
      <w:r>
        <w:rPr>
          <w:rFonts w:hint="eastAsia" w:ascii="宋体" w:hAnsi="宋体" w:cs="宋体"/>
          <w:sz w:val="21"/>
          <w:szCs w:val="21"/>
          <w:highlight w:val="none"/>
          <w:lang w:val="en-US" w:eastAsia="zh-CN"/>
        </w:rPr>
        <w:t>最高限价为92万元，绩效报酬</w:t>
      </w:r>
      <w:r>
        <w:rPr>
          <w:rFonts w:hint="eastAsia" w:ascii="宋体" w:hAnsi="宋体" w:eastAsia="宋体" w:cs="宋体"/>
          <w:sz w:val="21"/>
          <w:szCs w:val="21"/>
          <w:highlight w:val="none"/>
        </w:rPr>
        <w:t>按照工程造价审计核减率确定比例。具体为：核减率为5%（含）以内的，按核减总额的3.5%提成；核减率为5%以上7.5%（含）以内的，按核减总额的4%提成；核减率为7.5%以上10%（含）以内的，按核减总额的4.5%提成；核减率为10%以上的，按核减总额的5%提成</w:t>
      </w:r>
      <w:r>
        <w:rPr>
          <w:rFonts w:hint="eastAsia" w:ascii="宋体" w:hAnsi="宋体" w:eastAsia="宋体" w:cs="宋体"/>
          <w:sz w:val="21"/>
          <w:szCs w:val="21"/>
          <w:highlight w:val="none"/>
          <w:lang w:val="en-US" w:eastAsia="zh-CN"/>
        </w:rPr>
        <w:t>，具体绩效报酬以审计服务合同为准。</w:t>
      </w:r>
      <w:r>
        <w:rPr>
          <w:rFonts w:hint="eastAsia" w:ascii="宋体" w:hAnsi="宋体" w:eastAsia="宋体" w:cs="宋体"/>
          <w:sz w:val="21"/>
          <w:szCs w:val="21"/>
          <w:highlight w:val="none"/>
        </w:rPr>
        <w:t>本项目共划分一个标段</w:t>
      </w:r>
      <w:r>
        <w:rPr>
          <w:rFonts w:hint="eastAsia" w:ascii="宋体" w:hAnsi="宋体" w:cs="宋体"/>
          <w:sz w:val="21"/>
          <w:szCs w:val="21"/>
          <w:highlight w:val="none"/>
          <w:lang w:eastAsia="zh-CN"/>
        </w:rPr>
        <w:t>，</w:t>
      </w:r>
      <w:r>
        <w:rPr>
          <w:rFonts w:hint="eastAsia" w:ascii="宋体" w:hAnsi="宋体" w:eastAsia="宋体" w:cs="宋体"/>
          <w:sz w:val="21"/>
          <w:szCs w:val="21"/>
          <w:highlight w:val="none"/>
          <w:lang w:val="en-US" w:eastAsia="zh-CN"/>
        </w:rPr>
        <w:t>供应商必须对所投标段内所有内容进行完整唯一报价，不得缺项、漏项，否则该标段投标文件将按无效处理。</w:t>
      </w:r>
      <w:r>
        <w:rPr>
          <w:rFonts w:hint="eastAsia" w:ascii="宋体" w:hAnsi="宋体" w:eastAsia="宋体" w:cs="宋体"/>
          <w:sz w:val="21"/>
          <w:szCs w:val="21"/>
          <w:highlight w:val="none"/>
        </w:rPr>
        <w:t>具体要求等详见本招标文件第五章《采购需求》。</w:t>
      </w:r>
    </w:p>
    <w:p>
      <w:pPr>
        <w:pageBreakBefore w:val="0"/>
        <w:kinsoku/>
        <w:wordWrap/>
        <w:overflowPunct/>
        <w:topLinePunct w:val="0"/>
        <w:autoSpaceDE/>
        <w:autoSpaceDN/>
        <w:bidi w:val="0"/>
        <w:adjustRightInd/>
        <w:snapToGrid/>
        <w:spacing w:line="440" w:lineRule="exact"/>
        <w:ind w:firstLine="420" w:firstLineChars="200"/>
        <w:rPr>
          <w:rFonts w:hint="eastAsia" w:ascii="宋体" w:hAnsi="宋体" w:eastAsia="宋体" w:cs="宋体"/>
          <w:sz w:val="21"/>
          <w:szCs w:val="21"/>
          <w:highlight w:val="none"/>
          <w:lang w:eastAsia="zh-CN"/>
        </w:rPr>
      </w:pPr>
      <w:r>
        <w:rPr>
          <w:rFonts w:hint="eastAsia" w:ascii="宋体" w:hAnsi="宋体" w:cs="宋体"/>
          <w:sz w:val="21"/>
          <w:szCs w:val="21"/>
          <w:highlight w:val="none"/>
          <w:lang w:val="en-US" w:eastAsia="zh-CN"/>
        </w:rPr>
        <w:t>服务</w:t>
      </w:r>
      <w:r>
        <w:rPr>
          <w:rFonts w:hint="eastAsia" w:ascii="宋体" w:hAnsi="宋体" w:eastAsia="宋体" w:cs="宋体"/>
          <w:sz w:val="21"/>
          <w:szCs w:val="21"/>
          <w:highlight w:val="none"/>
          <w:lang w:eastAsia="zh-CN"/>
        </w:rPr>
        <w:t>期：</w:t>
      </w:r>
      <w:r>
        <w:rPr>
          <w:rFonts w:hint="eastAsia" w:ascii="宋体" w:hAnsi="宋体" w:cs="宋体"/>
          <w:sz w:val="21"/>
          <w:szCs w:val="21"/>
          <w:highlight w:val="none"/>
          <w:lang w:val="en-US" w:eastAsia="zh-CN"/>
        </w:rPr>
        <w:t>收到完整的结算资料后60天完成（如遇重大或特殊情况，具体工作完成时限以招标人下达的任务书为准）</w:t>
      </w:r>
      <w:r>
        <w:rPr>
          <w:rFonts w:hint="eastAsia" w:ascii="宋体" w:hAnsi="宋体" w:eastAsia="宋体" w:cs="宋体"/>
          <w:sz w:val="21"/>
          <w:szCs w:val="21"/>
          <w:highlight w:val="none"/>
          <w:lang w:eastAsia="zh-CN"/>
        </w:rPr>
        <w:t>。</w:t>
      </w:r>
    </w:p>
    <w:p>
      <w:pPr>
        <w:pageBreakBefore w:val="0"/>
        <w:kinsoku/>
        <w:wordWrap/>
        <w:overflowPunct/>
        <w:topLinePunct w:val="0"/>
        <w:autoSpaceDE/>
        <w:autoSpaceDN/>
        <w:bidi w:val="0"/>
        <w:adjustRightInd/>
        <w:snapToGrid/>
        <w:spacing w:line="440" w:lineRule="exact"/>
        <w:ind w:firstLine="420" w:firstLineChars="200"/>
        <w:rPr>
          <w:rFonts w:hint="eastAsia"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服务地点</w:t>
      </w:r>
      <w:r>
        <w:rPr>
          <w:rFonts w:hint="eastAsia" w:ascii="宋体" w:hAnsi="宋体" w:eastAsia="宋体" w:cs="宋体"/>
          <w:sz w:val="21"/>
          <w:szCs w:val="21"/>
          <w:highlight w:val="none"/>
          <w:lang w:val="en-US" w:eastAsia="zh-CN"/>
        </w:rPr>
        <w:t>：</w:t>
      </w:r>
      <w:r>
        <w:rPr>
          <w:rFonts w:hint="eastAsia" w:ascii="宋体" w:hAnsi="宋体" w:cs="宋体"/>
          <w:sz w:val="21"/>
          <w:szCs w:val="21"/>
          <w:highlight w:val="none"/>
          <w:lang w:val="en-US" w:eastAsia="zh-CN"/>
        </w:rPr>
        <w:t>西藏自治区曲水县</w:t>
      </w:r>
      <w:r>
        <w:rPr>
          <w:rFonts w:hint="eastAsia" w:ascii="宋体" w:hAnsi="宋体" w:eastAsia="宋体" w:cs="宋体"/>
          <w:sz w:val="21"/>
          <w:szCs w:val="21"/>
          <w:highlight w:val="none"/>
          <w:lang w:val="en-US" w:eastAsia="zh-CN"/>
        </w:rPr>
        <w:t>。</w:t>
      </w:r>
    </w:p>
    <w:p>
      <w:pPr>
        <w:pageBreakBefore w:val="0"/>
        <w:kinsoku/>
        <w:wordWrap/>
        <w:overflowPunct/>
        <w:topLinePunct w:val="0"/>
        <w:autoSpaceDE/>
        <w:autoSpaceDN/>
        <w:bidi w:val="0"/>
        <w:adjustRightInd/>
        <w:snapToGrid/>
        <w:spacing w:line="440" w:lineRule="exact"/>
        <w:ind w:firstLine="420" w:firstLineChars="200"/>
        <w:rPr>
          <w:rFonts w:hint="eastAsia" w:ascii="宋体" w:hAnsi="宋体" w:eastAsia="宋体" w:cs="宋体"/>
          <w:sz w:val="21"/>
          <w:szCs w:val="21"/>
          <w:highlight w:val="none"/>
          <w:lang w:val="en-US" w:eastAsia="zh-CN"/>
        </w:rPr>
      </w:pPr>
      <w:r>
        <w:rPr>
          <w:rFonts w:hint="eastAsia" w:ascii="宋体" w:hAnsi="宋体"/>
          <w:bCs/>
          <w:szCs w:val="21"/>
          <w:highlight w:val="none"/>
          <w:lang w:eastAsia="zh-CN"/>
        </w:rPr>
        <w:t>合同履行期限：自本项目政府采购合同签订之日起至成交供应商完成本项目政府采购合同约定内容之日止。（具体内容以采购人、成交供应商具体签订合同内容为准）。</w:t>
      </w:r>
    </w:p>
    <w:p>
      <w:pPr>
        <w:pageBreakBefore w:val="0"/>
        <w:kinsoku/>
        <w:wordWrap/>
        <w:overflowPunct/>
        <w:topLinePunct w:val="0"/>
        <w:autoSpaceDE/>
        <w:autoSpaceDN/>
        <w:bidi w:val="0"/>
        <w:adjustRightInd/>
        <w:snapToGrid/>
        <w:spacing w:line="44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本项目</w:t>
      </w:r>
      <w:r>
        <w:rPr>
          <w:rFonts w:hint="eastAsia" w:ascii="宋体" w:hAnsi="宋体" w:cs="宋体"/>
          <w:color w:val="auto"/>
          <w:sz w:val="21"/>
          <w:szCs w:val="21"/>
          <w:highlight w:val="none"/>
          <w:lang w:val="en-US" w:eastAsia="zh-CN"/>
        </w:rPr>
        <w:t>不</w:t>
      </w:r>
      <w:r>
        <w:rPr>
          <w:rFonts w:hint="eastAsia" w:ascii="宋体" w:hAnsi="宋体" w:eastAsia="宋体" w:cs="宋体"/>
          <w:color w:val="auto"/>
          <w:sz w:val="21"/>
          <w:szCs w:val="21"/>
          <w:highlight w:val="none"/>
        </w:rPr>
        <w:t>接受联合体投标。</w:t>
      </w:r>
    </w:p>
    <w:p>
      <w:pPr>
        <w:pStyle w:val="4"/>
        <w:keepNext/>
        <w:keepLines/>
        <w:pageBreakBefore w:val="0"/>
        <w:widowControl w:val="0"/>
        <w:numPr>
          <w:ilvl w:val="0"/>
          <w:numId w:val="0"/>
        </w:numPr>
        <w:kinsoku/>
        <w:wordWrap/>
        <w:overflowPunct/>
        <w:topLinePunct w:val="0"/>
        <w:autoSpaceDE/>
        <w:autoSpaceDN/>
        <w:bidi w:val="0"/>
        <w:adjustRightInd/>
        <w:snapToGrid/>
        <w:spacing w:before="0" w:after="0" w:line="440" w:lineRule="exact"/>
        <w:textAlignment w:val="auto"/>
        <w:rPr>
          <w:rFonts w:hint="eastAsia" w:ascii="宋体" w:hAnsi="宋体" w:eastAsia="宋体" w:cs="宋体"/>
          <w:b/>
          <w:bCs w:val="0"/>
          <w:color w:val="auto"/>
          <w:sz w:val="28"/>
          <w:szCs w:val="28"/>
          <w:highlight w:val="none"/>
        </w:rPr>
      </w:pPr>
      <w:bookmarkStart w:id="13" w:name="_Toc18348"/>
      <w:bookmarkStart w:id="14" w:name="_Toc23557"/>
      <w:bookmarkStart w:id="15" w:name="_Toc35393622"/>
      <w:bookmarkStart w:id="16" w:name="_Toc28359080"/>
      <w:bookmarkStart w:id="17" w:name="_Toc35393791"/>
      <w:bookmarkStart w:id="18" w:name="_Toc28359003"/>
      <w:r>
        <w:rPr>
          <w:rFonts w:hint="eastAsia" w:ascii="宋体" w:hAnsi="宋体" w:eastAsia="宋体" w:cs="宋体"/>
          <w:b/>
          <w:bCs w:val="0"/>
          <w:color w:val="auto"/>
          <w:sz w:val="28"/>
          <w:szCs w:val="28"/>
          <w:highlight w:val="none"/>
        </w:rPr>
        <w:t>二、</w:t>
      </w:r>
      <w:r>
        <w:rPr>
          <w:rFonts w:hint="eastAsia" w:ascii="宋体" w:hAnsi="宋体" w:eastAsia="宋体" w:cs="宋体"/>
          <w:b/>
          <w:bCs w:val="0"/>
          <w:color w:val="auto"/>
          <w:sz w:val="28"/>
          <w:szCs w:val="28"/>
          <w:highlight w:val="none"/>
          <w:lang w:val="en-US" w:eastAsia="zh-CN"/>
        </w:rPr>
        <w:t>申请人</w:t>
      </w:r>
      <w:r>
        <w:rPr>
          <w:rFonts w:hint="eastAsia" w:ascii="宋体" w:hAnsi="宋体" w:eastAsia="宋体" w:cs="宋体"/>
          <w:b/>
          <w:bCs w:val="0"/>
          <w:color w:val="auto"/>
          <w:sz w:val="28"/>
          <w:szCs w:val="28"/>
          <w:highlight w:val="none"/>
        </w:rPr>
        <w:t>的资格要求：</w:t>
      </w:r>
      <w:bookmarkEnd w:id="13"/>
      <w:bookmarkEnd w:id="14"/>
      <w:bookmarkEnd w:id="15"/>
      <w:bookmarkEnd w:id="16"/>
      <w:bookmarkEnd w:id="17"/>
      <w:bookmarkEnd w:id="18"/>
    </w:p>
    <w:p>
      <w:pPr>
        <w:pageBreakBefore w:val="0"/>
        <w:kinsoku/>
        <w:wordWrap/>
        <w:overflowPunct/>
        <w:topLinePunct w:val="0"/>
        <w:autoSpaceDE/>
        <w:autoSpaceDN/>
        <w:bidi w:val="0"/>
        <w:adjustRightInd/>
        <w:snapToGrid/>
        <w:spacing w:line="440" w:lineRule="exact"/>
        <w:ind w:firstLine="420" w:firstLineChars="200"/>
        <w:rPr>
          <w:rFonts w:hint="eastAsia" w:ascii="宋体" w:hAnsi="宋体" w:eastAsia="宋体" w:cs="宋体"/>
          <w:sz w:val="21"/>
          <w:szCs w:val="21"/>
          <w:highlight w:val="none"/>
          <w:lang w:eastAsia="zh-CN"/>
        </w:rPr>
      </w:pPr>
      <w:r>
        <w:rPr>
          <w:rFonts w:hint="eastAsia" w:ascii="宋体" w:hAnsi="宋体" w:eastAsia="宋体" w:cs="宋体"/>
          <w:color w:val="auto"/>
          <w:sz w:val="21"/>
          <w:szCs w:val="21"/>
          <w:highlight w:val="none"/>
        </w:rPr>
        <w:t>1.满足《中华人民共和国政府采购法》第</w:t>
      </w:r>
      <w:r>
        <w:rPr>
          <w:rFonts w:hint="eastAsia" w:ascii="宋体" w:hAnsi="宋体" w:eastAsia="宋体" w:cs="宋体"/>
          <w:sz w:val="21"/>
          <w:szCs w:val="21"/>
          <w:highlight w:val="none"/>
        </w:rPr>
        <w:t>二十二条规定</w:t>
      </w:r>
      <w:r>
        <w:rPr>
          <w:rFonts w:hint="eastAsia" w:ascii="宋体" w:hAnsi="宋体" w:eastAsia="宋体" w:cs="宋体"/>
          <w:sz w:val="21"/>
          <w:szCs w:val="21"/>
          <w:highlight w:val="none"/>
          <w:lang w:eastAsia="zh-CN"/>
        </w:rPr>
        <w:t>：</w:t>
      </w:r>
    </w:p>
    <w:p>
      <w:pPr>
        <w:pageBreakBefore w:val="0"/>
        <w:kinsoku/>
        <w:wordWrap/>
        <w:overflowPunct/>
        <w:topLinePunct w:val="0"/>
        <w:autoSpaceDE/>
        <w:autoSpaceDN/>
        <w:bidi w:val="0"/>
        <w:adjustRightInd/>
        <w:snapToGrid/>
        <w:spacing w:line="440" w:lineRule="exact"/>
        <w:ind w:firstLine="420" w:firstLineChars="200"/>
        <w:rPr>
          <w:rFonts w:hint="eastAsia" w:ascii="宋体" w:hAnsi="宋体" w:eastAsia="宋体" w:cs="宋体"/>
          <w:color w:val="auto"/>
          <w:sz w:val="21"/>
          <w:szCs w:val="21"/>
          <w:highlight w:val="none"/>
          <w:lang w:eastAsia="zh-CN"/>
        </w:rPr>
      </w:pPr>
      <w:bookmarkStart w:id="19" w:name="_Toc28359081"/>
      <w:bookmarkStart w:id="20" w:name="_Toc28359004"/>
      <w:r>
        <w:rPr>
          <w:rFonts w:hint="eastAsia" w:ascii="宋体" w:hAnsi="宋体" w:eastAsia="宋体" w:cs="宋体"/>
          <w:color w:val="auto"/>
          <w:sz w:val="21"/>
          <w:szCs w:val="21"/>
          <w:highlight w:val="none"/>
        </w:rPr>
        <w:t>2.落实政府采购政策需满足的资格要求：</w:t>
      </w:r>
      <w:r>
        <w:rPr>
          <w:rFonts w:hint="eastAsia" w:ascii="宋体" w:hAnsi="宋体" w:eastAsia="宋体" w:cs="宋体"/>
          <w:color w:val="auto"/>
          <w:sz w:val="21"/>
          <w:szCs w:val="21"/>
          <w:highlight w:val="none"/>
          <w:lang w:eastAsia="zh-CN"/>
        </w:rPr>
        <w:t>无；</w:t>
      </w:r>
    </w:p>
    <w:p>
      <w:pPr>
        <w:pageBreakBefore w:val="0"/>
        <w:kinsoku/>
        <w:wordWrap/>
        <w:overflowPunct/>
        <w:topLinePunct w:val="0"/>
        <w:autoSpaceDE/>
        <w:autoSpaceDN/>
        <w:bidi w:val="0"/>
        <w:adjustRightInd/>
        <w:snapToGrid/>
        <w:spacing w:line="440" w:lineRule="exact"/>
        <w:ind w:firstLine="420" w:firstLineChars="200"/>
        <w:rPr>
          <w:rFonts w:hint="eastAsia" w:ascii="宋体" w:hAnsi="宋体" w:eastAsia="宋体" w:cs="宋体"/>
          <w:i/>
          <w:iCs/>
          <w:color w:val="auto"/>
          <w:sz w:val="21"/>
          <w:szCs w:val="21"/>
          <w:highlight w:val="none"/>
          <w:u w:val="single"/>
          <w:lang w:eastAsia="zh-CN"/>
        </w:r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本项目的特定资格要求：</w:t>
      </w:r>
      <w:r>
        <w:rPr>
          <w:rFonts w:hint="eastAsia" w:ascii="宋体" w:hAnsi="宋体" w:cs="宋体"/>
          <w:color w:val="auto"/>
          <w:sz w:val="21"/>
          <w:szCs w:val="21"/>
          <w:highlight w:val="none"/>
          <w:lang w:val="en-US" w:eastAsia="zh-CN"/>
        </w:rPr>
        <w:t>供应商拟派本项目项目组成员不少于5人，其中项目负责人须具备一级造价工程师</w:t>
      </w:r>
      <w:r>
        <w:rPr>
          <w:rFonts w:hint="eastAsia" w:ascii="宋体" w:hAnsi="宋体" w:eastAsia="宋体" w:cs="宋体"/>
          <w:color w:val="auto"/>
          <w:sz w:val="21"/>
          <w:szCs w:val="21"/>
          <w:highlight w:val="none"/>
          <w:lang w:eastAsia="zh-CN"/>
        </w:rPr>
        <w:t>。</w:t>
      </w:r>
    </w:p>
    <w:p>
      <w:pPr>
        <w:pStyle w:val="4"/>
        <w:keepNext/>
        <w:keepLines/>
        <w:pageBreakBefore w:val="0"/>
        <w:widowControl w:val="0"/>
        <w:numPr>
          <w:ilvl w:val="0"/>
          <w:numId w:val="0"/>
        </w:numPr>
        <w:kinsoku/>
        <w:wordWrap/>
        <w:overflowPunct/>
        <w:topLinePunct w:val="0"/>
        <w:autoSpaceDE/>
        <w:autoSpaceDN/>
        <w:bidi w:val="0"/>
        <w:adjustRightInd/>
        <w:snapToGrid/>
        <w:spacing w:before="0" w:after="0" w:line="440" w:lineRule="exact"/>
        <w:textAlignment w:val="auto"/>
        <w:rPr>
          <w:rFonts w:hint="eastAsia" w:ascii="宋体" w:hAnsi="宋体" w:eastAsia="宋体" w:cs="宋体"/>
          <w:b/>
          <w:bCs w:val="0"/>
          <w:color w:val="auto"/>
          <w:sz w:val="28"/>
          <w:szCs w:val="28"/>
          <w:highlight w:val="none"/>
        </w:rPr>
      </w:pPr>
      <w:bookmarkStart w:id="21" w:name="_Toc15224"/>
      <w:bookmarkStart w:id="22" w:name="_Toc35393792"/>
      <w:bookmarkStart w:id="23" w:name="_Toc35393623"/>
      <w:bookmarkStart w:id="24" w:name="_Toc18520"/>
      <w:r>
        <w:rPr>
          <w:rFonts w:hint="eastAsia" w:ascii="宋体" w:hAnsi="宋体" w:eastAsia="宋体" w:cs="宋体"/>
          <w:b/>
          <w:bCs w:val="0"/>
          <w:color w:val="auto"/>
          <w:sz w:val="28"/>
          <w:szCs w:val="28"/>
          <w:highlight w:val="none"/>
        </w:rPr>
        <w:t>三、获取招标文件</w:t>
      </w:r>
      <w:bookmarkEnd w:id="19"/>
      <w:bookmarkEnd w:id="20"/>
      <w:bookmarkEnd w:id="21"/>
      <w:bookmarkEnd w:id="22"/>
      <w:bookmarkEnd w:id="23"/>
      <w:bookmarkEnd w:id="24"/>
    </w:p>
    <w:p>
      <w:pPr>
        <w:keepNext w:val="0"/>
        <w:keepLines w:val="0"/>
        <w:pageBreakBefore w:val="0"/>
        <w:widowControl w:val="0"/>
        <w:kinsoku/>
        <w:wordWrap/>
        <w:overflowPunct/>
        <w:topLinePunct w:val="0"/>
        <w:autoSpaceDE/>
        <w:autoSpaceDN/>
        <w:bidi w:val="0"/>
        <w:adjustRightInd/>
        <w:snapToGrid/>
        <w:spacing w:after="0" w:line="360" w:lineRule="auto"/>
        <w:ind w:firstLine="420" w:firstLineChars="200"/>
        <w:textAlignment w:val="auto"/>
        <w:rPr>
          <w:rFonts w:ascii="宋体" w:hAnsi="宋体" w:cs="宋体"/>
          <w:szCs w:val="21"/>
          <w:highlight w:val="none"/>
        </w:rPr>
      </w:pPr>
      <w:r>
        <w:rPr>
          <w:rFonts w:hint="eastAsia" w:ascii="宋体" w:hAnsi="宋体" w:cs="宋体"/>
          <w:szCs w:val="21"/>
          <w:highlight w:val="none"/>
        </w:rPr>
        <w:t>时间：202</w:t>
      </w:r>
      <w:r>
        <w:rPr>
          <w:rFonts w:hint="eastAsia" w:ascii="宋体" w:hAnsi="宋体" w:cs="宋体"/>
          <w:szCs w:val="21"/>
          <w:highlight w:val="none"/>
          <w:lang w:val="en-US" w:eastAsia="zh-CN"/>
        </w:rPr>
        <w:t>3</w:t>
      </w:r>
      <w:r>
        <w:rPr>
          <w:rFonts w:hint="eastAsia" w:ascii="宋体" w:hAnsi="宋体" w:cs="宋体"/>
          <w:szCs w:val="21"/>
          <w:highlight w:val="none"/>
        </w:rPr>
        <w:t>年</w:t>
      </w:r>
      <w:r>
        <w:rPr>
          <w:rFonts w:hint="eastAsia" w:ascii="宋体" w:hAnsi="宋体" w:cs="宋体"/>
          <w:szCs w:val="21"/>
          <w:highlight w:val="none"/>
          <w:lang w:val="en-US" w:eastAsia="zh-CN"/>
        </w:rPr>
        <w:t>04</w:t>
      </w:r>
      <w:r>
        <w:rPr>
          <w:rFonts w:hint="eastAsia" w:ascii="宋体" w:hAnsi="宋体" w:cs="宋体"/>
          <w:szCs w:val="21"/>
          <w:highlight w:val="none"/>
        </w:rPr>
        <w:t>月</w:t>
      </w:r>
      <w:r>
        <w:rPr>
          <w:rFonts w:hint="eastAsia" w:ascii="宋体" w:hAnsi="宋体" w:cs="宋体"/>
          <w:szCs w:val="21"/>
          <w:highlight w:val="none"/>
          <w:lang w:val="en-US" w:eastAsia="zh-CN"/>
        </w:rPr>
        <w:t>06</w:t>
      </w:r>
      <w:r>
        <w:rPr>
          <w:rFonts w:hint="eastAsia" w:ascii="宋体" w:hAnsi="宋体" w:cs="宋体"/>
          <w:szCs w:val="21"/>
          <w:highlight w:val="none"/>
        </w:rPr>
        <w:t>日</w:t>
      </w:r>
      <w:r>
        <w:rPr>
          <w:rFonts w:hint="eastAsia" w:ascii="宋体" w:hAnsi="宋体" w:cs="宋体"/>
          <w:szCs w:val="21"/>
          <w:highlight w:val="none"/>
          <w:lang w:val="en-US" w:eastAsia="zh-CN"/>
        </w:rPr>
        <w:t>20</w:t>
      </w:r>
      <w:r>
        <w:rPr>
          <w:rFonts w:hint="eastAsia" w:ascii="宋体" w:hAnsi="宋体" w:cs="宋体"/>
          <w:szCs w:val="21"/>
          <w:highlight w:val="none"/>
        </w:rPr>
        <w:t>时</w:t>
      </w:r>
      <w:r>
        <w:rPr>
          <w:rFonts w:hint="eastAsia" w:ascii="宋体" w:hAnsi="宋体" w:cs="宋体"/>
          <w:szCs w:val="21"/>
          <w:highlight w:val="none"/>
          <w:lang w:val="en-US" w:eastAsia="zh-CN"/>
        </w:rPr>
        <w:t>00分</w:t>
      </w:r>
      <w:r>
        <w:rPr>
          <w:rFonts w:hint="eastAsia" w:ascii="宋体" w:hAnsi="宋体" w:cs="宋体"/>
          <w:szCs w:val="21"/>
          <w:highlight w:val="none"/>
        </w:rPr>
        <w:t>至202</w:t>
      </w:r>
      <w:r>
        <w:rPr>
          <w:rFonts w:hint="eastAsia" w:ascii="宋体" w:hAnsi="宋体" w:cs="宋体"/>
          <w:szCs w:val="21"/>
          <w:highlight w:val="none"/>
          <w:lang w:val="en-US" w:eastAsia="zh-CN"/>
        </w:rPr>
        <w:t>3</w:t>
      </w:r>
      <w:r>
        <w:rPr>
          <w:rFonts w:hint="eastAsia" w:ascii="宋体" w:hAnsi="宋体" w:cs="宋体"/>
          <w:szCs w:val="21"/>
          <w:highlight w:val="none"/>
        </w:rPr>
        <w:t>年</w:t>
      </w:r>
      <w:r>
        <w:rPr>
          <w:rFonts w:hint="eastAsia" w:ascii="宋体" w:hAnsi="宋体" w:cs="宋体"/>
          <w:szCs w:val="21"/>
          <w:highlight w:val="none"/>
          <w:lang w:val="en-US" w:eastAsia="zh-CN"/>
        </w:rPr>
        <w:t>04</w:t>
      </w:r>
      <w:r>
        <w:rPr>
          <w:rFonts w:hint="eastAsia" w:ascii="宋体" w:hAnsi="宋体" w:cs="宋体"/>
          <w:szCs w:val="21"/>
          <w:highlight w:val="none"/>
        </w:rPr>
        <w:t>月</w:t>
      </w:r>
      <w:r>
        <w:rPr>
          <w:rFonts w:hint="eastAsia" w:ascii="宋体" w:hAnsi="宋体" w:cs="宋体"/>
          <w:szCs w:val="21"/>
          <w:highlight w:val="none"/>
          <w:lang w:val="en-US" w:eastAsia="zh-CN"/>
        </w:rPr>
        <w:t>13</w:t>
      </w:r>
      <w:r>
        <w:rPr>
          <w:rFonts w:hint="eastAsia" w:ascii="宋体" w:hAnsi="宋体" w:cs="宋体"/>
          <w:szCs w:val="21"/>
          <w:highlight w:val="none"/>
        </w:rPr>
        <w:t>日</w:t>
      </w:r>
      <w:r>
        <w:rPr>
          <w:rFonts w:hint="eastAsia" w:ascii="宋体" w:hAnsi="宋体" w:cs="宋体"/>
          <w:szCs w:val="21"/>
          <w:highlight w:val="none"/>
          <w:lang w:val="en-US" w:eastAsia="zh-CN"/>
        </w:rPr>
        <w:t>23</w:t>
      </w:r>
      <w:r>
        <w:rPr>
          <w:rFonts w:hint="eastAsia" w:ascii="宋体" w:hAnsi="宋体" w:cs="宋体"/>
          <w:szCs w:val="21"/>
          <w:highlight w:val="none"/>
        </w:rPr>
        <w:t>时</w:t>
      </w:r>
      <w:r>
        <w:rPr>
          <w:rFonts w:hint="eastAsia" w:ascii="宋体" w:hAnsi="宋体" w:cs="宋体"/>
          <w:szCs w:val="21"/>
          <w:highlight w:val="none"/>
          <w:lang w:val="en-US" w:eastAsia="zh-CN"/>
        </w:rPr>
        <w:t>59分</w:t>
      </w:r>
      <w:r>
        <w:rPr>
          <w:rFonts w:hint="eastAsia" w:ascii="宋体" w:hAnsi="宋体" w:cs="宋体"/>
          <w:szCs w:val="21"/>
          <w:highlight w:val="none"/>
        </w:rPr>
        <w:t>；</w:t>
      </w:r>
    </w:p>
    <w:p>
      <w:pPr>
        <w:keepNext w:val="0"/>
        <w:keepLines w:val="0"/>
        <w:pageBreakBefore w:val="0"/>
        <w:widowControl w:val="0"/>
        <w:kinsoku/>
        <w:wordWrap/>
        <w:overflowPunct/>
        <w:topLinePunct w:val="0"/>
        <w:autoSpaceDE/>
        <w:autoSpaceDN/>
        <w:bidi w:val="0"/>
        <w:adjustRightInd/>
        <w:snapToGrid/>
        <w:spacing w:after="0" w:line="360" w:lineRule="auto"/>
        <w:ind w:firstLine="420" w:firstLineChars="200"/>
        <w:textAlignment w:val="auto"/>
        <w:rPr>
          <w:rFonts w:hint="eastAsia" w:ascii="宋体" w:hAnsi="宋体" w:eastAsia="宋体" w:cs="宋体"/>
          <w:color w:val="auto"/>
          <w:szCs w:val="21"/>
          <w:highlight w:val="none"/>
          <w:lang w:eastAsia="zh-CN"/>
        </w:rPr>
      </w:pPr>
      <w:r>
        <w:rPr>
          <w:rFonts w:hint="eastAsia" w:ascii="宋体" w:hAnsi="宋体" w:cs="宋体"/>
          <w:szCs w:val="21"/>
          <w:highlight w:val="none"/>
        </w:rPr>
        <w:t>地点：</w:t>
      </w:r>
      <w:r>
        <w:rPr>
          <w:rFonts w:hint="eastAsia" w:ascii="宋体" w:hAnsi="宋体" w:eastAsia="宋体" w:cs="宋体"/>
          <w:szCs w:val="21"/>
          <w:lang w:eastAsia="zh-CN"/>
        </w:rPr>
        <w:t>拉萨市公共资源交易网 （http://ggzy.lasa.gov.cn/）</w:t>
      </w:r>
      <w:r>
        <w:rPr>
          <w:rStyle w:val="41"/>
          <w:rFonts w:hint="eastAsia" w:ascii="宋体" w:hAnsi="宋体" w:cs="宋体"/>
          <w:color w:val="auto"/>
          <w:szCs w:val="21"/>
          <w:highlight w:val="none"/>
          <w:lang w:eastAsia="zh-CN"/>
        </w:rPr>
        <w:t>。</w:t>
      </w:r>
    </w:p>
    <w:p>
      <w:pPr>
        <w:keepNext w:val="0"/>
        <w:keepLines w:val="0"/>
        <w:pageBreakBefore w:val="0"/>
        <w:widowControl w:val="0"/>
        <w:kinsoku/>
        <w:wordWrap/>
        <w:overflowPunct/>
        <w:topLinePunct w:val="0"/>
        <w:autoSpaceDE/>
        <w:autoSpaceDN/>
        <w:bidi w:val="0"/>
        <w:adjustRightInd/>
        <w:snapToGrid/>
        <w:spacing w:after="0" w:line="360" w:lineRule="auto"/>
        <w:ind w:firstLine="420" w:firstLineChars="200"/>
        <w:textAlignment w:val="auto"/>
        <w:rPr>
          <w:rFonts w:hint="eastAsia" w:ascii="宋体" w:hAnsi="宋体" w:cs="宋体"/>
          <w:color w:val="auto"/>
          <w:szCs w:val="21"/>
          <w:highlight w:val="none"/>
        </w:rPr>
      </w:pPr>
      <w:r>
        <w:rPr>
          <w:rFonts w:hint="eastAsia" w:ascii="宋体" w:hAnsi="宋体" w:cs="宋体"/>
          <w:color w:val="auto"/>
          <w:szCs w:val="21"/>
          <w:highlight w:val="none"/>
        </w:rPr>
        <w:t>方式：网上下载</w:t>
      </w:r>
      <w:r>
        <w:rPr>
          <w:rFonts w:hint="eastAsia" w:ascii="宋体" w:hAnsi="宋体" w:cs="宋体"/>
          <w:color w:val="auto"/>
          <w:szCs w:val="21"/>
          <w:highlight w:val="none"/>
          <w:lang w:eastAsia="zh-CN"/>
        </w:rPr>
        <w:t>。</w:t>
      </w:r>
      <w:r>
        <w:rPr>
          <w:rFonts w:hint="eastAsia" w:ascii="宋体" w:hAnsi="宋体" w:cs="宋体"/>
          <w:color w:val="auto"/>
          <w:szCs w:val="21"/>
          <w:highlight w:val="none"/>
        </w:rPr>
        <w:t>未按招标文件规定的时间、地点、方式获取招标文件的供应商不得参与本项目投标。</w:t>
      </w:r>
    </w:p>
    <w:p>
      <w:pPr>
        <w:keepNext w:val="0"/>
        <w:keepLines w:val="0"/>
        <w:pageBreakBefore w:val="0"/>
        <w:widowControl w:val="0"/>
        <w:kinsoku/>
        <w:wordWrap/>
        <w:overflowPunct/>
        <w:topLinePunct w:val="0"/>
        <w:autoSpaceDE/>
        <w:autoSpaceDN/>
        <w:bidi w:val="0"/>
        <w:adjustRightInd/>
        <w:snapToGrid/>
        <w:spacing w:after="0" w:line="360" w:lineRule="auto"/>
        <w:ind w:firstLine="420" w:firstLineChars="200"/>
        <w:textAlignment w:val="auto"/>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售价：0元。</w:t>
      </w:r>
    </w:p>
    <w:p>
      <w:pPr>
        <w:pStyle w:val="4"/>
        <w:keepNext/>
        <w:keepLines/>
        <w:pageBreakBefore w:val="0"/>
        <w:widowControl w:val="0"/>
        <w:numPr>
          <w:ilvl w:val="0"/>
          <w:numId w:val="0"/>
        </w:numPr>
        <w:kinsoku/>
        <w:wordWrap/>
        <w:overflowPunct/>
        <w:topLinePunct w:val="0"/>
        <w:autoSpaceDE/>
        <w:autoSpaceDN/>
        <w:bidi w:val="0"/>
        <w:adjustRightInd/>
        <w:snapToGrid/>
        <w:spacing w:before="0" w:after="0" w:line="360" w:lineRule="auto"/>
        <w:textAlignment w:val="auto"/>
        <w:rPr>
          <w:rFonts w:hint="eastAsia" w:ascii="宋体" w:hAnsi="宋体" w:eastAsia="宋体" w:cs="宋体"/>
          <w:b/>
          <w:bCs w:val="0"/>
          <w:color w:val="auto"/>
          <w:sz w:val="28"/>
          <w:szCs w:val="28"/>
          <w:highlight w:val="none"/>
        </w:rPr>
      </w:pPr>
      <w:bookmarkStart w:id="25" w:name="_Toc28359082"/>
      <w:bookmarkStart w:id="26" w:name="_Toc28359005"/>
      <w:bookmarkStart w:id="27" w:name="_Toc35393793"/>
      <w:bookmarkStart w:id="28" w:name="_Toc35393624"/>
      <w:bookmarkStart w:id="29" w:name="_Toc10895"/>
      <w:bookmarkStart w:id="30" w:name="_Toc27783"/>
      <w:r>
        <w:rPr>
          <w:rFonts w:hint="eastAsia" w:ascii="宋体" w:hAnsi="宋体" w:eastAsia="宋体" w:cs="宋体"/>
          <w:b/>
          <w:bCs w:val="0"/>
          <w:color w:val="auto"/>
          <w:sz w:val="28"/>
          <w:szCs w:val="28"/>
          <w:highlight w:val="none"/>
        </w:rPr>
        <w:t>四、提交投标文件</w:t>
      </w:r>
      <w:bookmarkEnd w:id="25"/>
      <w:bookmarkEnd w:id="26"/>
      <w:r>
        <w:rPr>
          <w:rFonts w:hint="eastAsia" w:ascii="宋体" w:hAnsi="宋体" w:eastAsia="宋体" w:cs="宋体"/>
          <w:b/>
          <w:bCs w:val="0"/>
          <w:color w:val="auto"/>
          <w:sz w:val="28"/>
          <w:szCs w:val="28"/>
          <w:highlight w:val="none"/>
        </w:rPr>
        <w:t>截止时间、开标时间和地点</w:t>
      </w:r>
      <w:bookmarkEnd w:id="27"/>
      <w:bookmarkEnd w:id="28"/>
      <w:bookmarkEnd w:id="29"/>
      <w:bookmarkEnd w:id="30"/>
    </w:p>
    <w:p>
      <w:pPr>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bCs/>
          <w:color w:val="auto"/>
          <w:sz w:val="21"/>
          <w:szCs w:val="21"/>
          <w:highlight w:val="none"/>
          <w:u w:val="none"/>
        </w:rPr>
      </w:pPr>
      <w:r>
        <w:rPr>
          <w:rFonts w:hint="eastAsia" w:ascii="宋体" w:hAnsi="宋体" w:eastAsia="宋体" w:cs="宋体"/>
          <w:bCs/>
          <w:color w:val="auto"/>
          <w:sz w:val="21"/>
          <w:szCs w:val="21"/>
          <w:highlight w:val="none"/>
          <w:u w:val="none"/>
        </w:rPr>
        <w:t>提交投标文件截止时间、开标时间：202</w:t>
      </w:r>
      <w:r>
        <w:rPr>
          <w:rFonts w:hint="eastAsia" w:ascii="宋体" w:hAnsi="宋体" w:cs="宋体"/>
          <w:bCs/>
          <w:color w:val="auto"/>
          <w:sz w:val="21"/>
          <w:szCs w:val="21"/>
          <w:highlight w:val="none"/>
          <w:u w:val="none"/>
          <w:lang w:val="en-US" w:eastAsia="zh-CN"/>
        </w:rPr>
        <w:t>3</w:t>
      </w:r>
      <w:r>
        <w:rPr>
          <w:rFonts w:hint="eastAsia" w:ascii="宋体" w:hAnsi="宋体" w:eastAsia="宋体" w:cs="宋体"/>
          <w:bCs/>
          <w:color w:val="auto"/>
          <w:sz w:val="21"/>
          <w:szCs w:val="21"/>
          <w:highlight w:val="none"/>
          <w:u w:val="none"/>
        </w:rPr>
        <w:t>年</w:t>
      </w:r>
      <w:r>
        <w:rPr>
          <w:rFonts w:hint="eastAsia" w:ascii="宋体" w:hAnsi="宋体" w:cs="宋体"/>
          <w:bCs/>
          <w:color w:val="auto"/>
          <w:sz w:val="21"/>
          <w:szCs w:val="21"/>
          <w:highlight w:val="none"/>
          <w:u w:val="none"/>
          <w:lang w:val="en-US" w:eastAsia="zh-CN"/>
        </w:rPr>
        <w:t>04</w:t>
      </w:r>
      <w:r>
        <w:rPr>
          <w:rFonts w:hint="eastAsia" w:ascii="宋体" w:hAnsi="宋体" w:eastAsia="宋体" w:cs="宋体"/>
          <w:bCs/>
          <w:color w:val="auto"/>
          <w:sz w:val="21"/>
          <w:szCs w:val="21"/>
          <w:highlight w:val="none"/>
          <w:u w:val="none"/>
        </w:rPr>
        <w:t>月</w:t>
      </w:r>
      <w:r>
        <w:rPr>
          <w:rFonts w:hint="eastAsia" w:ascii="宋体" w:hAnsi="宋体" w:cs="宋体"/>
          <w:bCs/>
          <w:color w:val="auto"/>
          <w:sz w:val="21"/>
          <w:szCs w:val="21"/>
          <w:highlight w:val="none"/>
          <w:u w:val="none"/>
          <w:lang w:val="en-US" w:eastAsia="zh-CN"/>
        </w:rPr>
        <w:t>27</w:t>
      </w:r>
      <w:r>
        <w:rPr>
          <w:rFonts w:hint="eastAsia" w:ascii="宋体" w:hAnsi="宋体" w:eastAsia="宋体" w:cs="宋体"/>
          <w:bCs/>
          <w:color w:val="auto"/>
          <w:sz w:val="21"/>
          <w:szCs w:val="21"/>
          <w:highlight w:val="none"/>
          <w:u w:val="none"/>
        </w:rPr>
        <w:t>日</w:t>
      </w:r>
      <w:r>
        <w:rPr>
          <w:rFonts w:hint="eastAsia" w:ascii="宋体" w:hAnsi="宋体" w:cs="宋体"/>
          <w:bCs/>
          <w:color w:val="auto"/>
          <w:sz w:val="21"/>
          <w:szCs w:val="21"/>
          <w:highlight w:val="none"/>
          <w:u w:val="none"/>
          <w:lang w:val="en-US" w:eastAsia="zh-CN"/>
        </w:rPr>
        <w:t>10</w:t>
      </w:r>
      <w:r>
        <w:rPr>
          <w:rFonts w:hint="eastAsia" w:ascii="宋体" w:hAnsi="宋体" w:eastAsia="宋体" w:cs="宋体"/>
          <w:bCs/>
          <w:color w:val="auto"/>
          <w:sz w:val="21"/>
          <w:szCs w:val="21"/>
          <w:highlight w:val="none"/>
          <w:u w:val="none"/>
        </w:rPr>
        <w:t>时</w:t>
      </w:r>
      <w:r>
        <w:rPr>
          <w:rFonts w:hint="eastAsia" w:ascii="宋体" w:hAnsi="宋体" w:cs="宋体"/>
          <w:bCs/>
          <w:color w:val="auto"/>
          <w:sz w:val="21"/>
          <w:szCs w:val="21"/>
          <w:highlight w:val="none"/>
          <w:u w:val="none"/>
          <w:lang w:val="en-US" w:eastAsia="zh-CN"/>
        </w:rPr>
        <w:t>00</w:t>
      </w:r>
      <w:r>
        <w:rPr>
          <w:rFonts w:hint="eastAsia" w:ascii="宋体" w:hAnsi="宋体" w:eastAsia="宋体" w:cs="宋体"/>
          <w:bCs/>
          <w:color w:val="auto"/>
          <w:sz w:val="21"/>
          <w:szCs w:val="21"/>
          <w:highlight w:val="none"/>
          <w:u w:val="none"/>
        </w:rPr>
        <w:t>分（北京时间）；</w:t>
      </w:r>
    </w:p>
    <w:p>
      <w:pPr>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bCs/>
          <w:color w:val="auto"/>
          <w:sz w:val="21"/>
          <w:szCs w:val="21"/>
          <w:highlight w:val="none"/>
          <w:u w:val="none"/>
        </w:rPr>
      </w:pPr>
      <w:r>
        <w:rPr>
          <w:rFonts w:hint="eastAsia" w:ascii="宋体" w:hAnsi="宋体" w:eastAsia="宋体" w:cs="宋体"/>
          <w:bCs/>
          <w:color w:val="auto"/>
          <w:sz w:val="21"/>
          <w:szCs w:val="21"/>
          <w:highlight w:val="none"/>
          <w:u w:val="none"/>
        </w:rPr>
        <w:t>地点：西藏自治区公共资源交易中心开标室</w:t>
      </w:r>
      <w:r>
        <w:rPr>
          <w:rFonts w:hint="eastAsia" w:ascii="宋体" w:hAnsi="宋体" w:cs="宋体"/>
          <w:bCs/>
          <w:color w:val="auto"/>
          <w:sz w:val="21"/>
          <w:szCs w:val="21"/>
          <w:highlight w:val="none"/>
          <w:u w:val="single"/>
          <w:lang w:val="en-US" w:eastAsia="zh-CN"/>
        </w:rPr>
        <w:t>202</w:t>
      </w:r>
      <w:r>
        <w:rPr>
          <w:rFonts w:hint="eastAsia" w:ascii="宋体" w:hAnsi="宋体" w:eastAsia="宋体" w:cs="宋体"/>
          <w:bCs/>
          <w:color w:val="auto"/>
          <w:sz w:val="21"/>
          <w:szCs w:val="21"/>
          <w:highlight w:val="none"/>
          <w:u w:val="none"/>
        </w:rPr>
        <w:t>。</w:t>
      </w:r>
    </w:p>
    <w:p>
      <w:pPr>
        <w:pStyle w:val="4"/>
        <w:keepNext/>
        <w:keepLines/>
        <w:pageBreakBefore w:val="0"/>
        <w:widowControl w:val="0"/>
        <w:numPr>
          <w:ilvl w:val="0"/>
          <w:numId w:val="0"/>
        </w:numPr>
        <w:kinsoku/>
        <w:wordWrap/>
        <w:overflowPunct/>
        <w:topLinePunct w:val="0"/>
        <w:autoSpaceDE/>
        <w:autoSpaceDN/>
        <w:bidi w:val="0"/>
        <w:adjustRightInd/>
        <w:snapToGrid/>
        <w:spacing w:before="0" w:after="0" w:line="360" w:lineRule="auto"/>
        <w:textAlignment w:val="auto"/>
        <w:rPr>
          <w:rFonts w:hint="eastAsia" w:ascii="宋体" w:hAnsi="宋体" w:eastAsia="宋体" w:cs="宋体"/>
          <w:b/>
          <w:bCs w:val="0"/>
          <w:color w:val="auto"/>
          <w:sz w:val="28"/>
          <w:szCs w:val="28"/>
          <w:highlight w:val="none"/>
        </w:rPr>
      </w:pPr>
      <w:bookmarkStart w:id="31" w:name="_Toc35393625"/>
      <w:bookmarkStart w:id="32" w:name="_Toc27945"/>
      <w:bookmarkStart w:id="33" w:name="_Toc35393794"/>
      <w:bookmarkStart w:id="34" w:name="_Toc25875"/>
      <w:bookmarkStart w:id="35" w:name="_Toc28359007"/>
      <w:bookmarkStart w:id="36" w:name="_Toc28359084"/>
      <w:r>
        <w:rPr>
          <w:rFonts w:hint="eastAsia" w:ascii="宋体" w:hAnsi="宋体" w:eastAsia="宋体" w:cs="宋体"/>
          <w:b/>
          <w:bCs w:val="0"/>
          <w:color w:val="auto"/>
          <w:sz w:val="28"/>
          <w:szCs w:val="28"/>
          <w:highlight w:val="none"/>
        </w:rPr>
        <w:t>五、公告期限</w:t>
      </w:r>
      <w:bookmarkEnd w:id="31"/>
      <w:bookmarkEnd w:id="32"/>
      <w:bookmarkEnd w:id="33"/>
      <w:bookmarkEnd w:id="34"/>
      <w:bookmarkEnd w:id="35"/>
      <w:bookmarkEnd w:id="36"/>
    </w:p>
    <w:p>
      <w:pPr>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自本公告发布之日起</w:t>
      </w:r>
      <w:r>
        <w:rPr>
          <w:rFonts w:hint="eastAsia" w:ascii="宋体" w:hAnsi="宋体" w:eastAsia="宋体" w:cs="宋体"/>
          <w:color w:val="auto"/>
          <w:kern w:val="0"/>
          <w:sz w:val="21"/>
          <w:szCs w:val="21"/>
          <w:highlight w:val="none"/>
          <w:lang w:val="en-US" w:eastAsia="zh-CN"/>
        </w:rPr>
        <w:t>5</w:t>
      </w:r>
      <w:r>
        <w:rPr>
          <w:rFonts w:hint="eastAsia" w:ascii="宋体" w:hAnsi="宋体" w:eastAsia="宋体" w:cs="宋体"/>
          <w:color w:val="auto"/>
          <w:kern w:val="0"/>
          <w:sz w:val="21"/>
          <w:szCs w:val="21"/>
          <w:highlight w:val="none"/>
        </w:rPr>
        <w:t>个工作日。</w:t>
      </w:r>
    </w:p>
    <w:p>
      <w:pPr>
        <w:pStyle w:val="4"/>
        <w:keepNext/>
        <w:keepLines/>
        <w:pageBreakBefore w:val="0"/>
        <w:widowControl w:val="0"/>
        <w:numPr>
          <w:ilvl w:val="0"/>
          <w:numId w:val="0"/>
        </w:numPr>
        <w:kinsoku/>
        <w:wordWrap/>
        <w:overflowPunct/>
        <w:topLinePunct w:val="0"/>
        <w:autoSpaceDE/>
        <w:autoSpaceDN/>
        <w:bidi w:val="0"/>
        <w:adjustRightInd/>
        <w:snapToGrid/>
        <w:spacing w:before="0" w:after="0" w:line="360" w:lineRule="auto"/>
        <w:textAlignment w:val="auto"/>
        <w:rPr>
          <w:rFonts w:hint="eastAsia" w:ascii="宋体" w:hAnsi="宋体" w:eastAsia="宋体" w:cs="宋体"/>
          <w:b/>
          <w:bCs w:val="0"/>
          <w:color w:val="auto"/>
          <w:sz w:val="28"/>
          <w:szCs w:val="28"/>
          <w:highlight w:val="none"/>
        </w:rPr>
      </w:pPr>
      <w:bookmarkStart w:id="37" w:name="_Toc3372"/>
      <w:bookmarkStart w:id="38" w:name="_Toc35393795"/>
      <w:bookmarkStart w:id="39" w:name="_Toc35393626"/>
      <w:bookmarkStart w:id="40" w:name="_Toc1299"/>
      <w:r>
        <w:rPr>
          <w:rFonts w:hint="eastAsia" w:ascii="宋体" w:hAnsi="宋体" w:eastAsia="宋体" w:cs="宋体"/>
          <w:b/>
          <w:bCs w:val="0"/>
          <w:color w:val="auto"/>
          <w:sz w:val="28"/>
          <w:szCs w:val="28"/>
          <w:highlight w:val="none"/>
        </w:rPr>
        <w:t>六、其他补充事宜</w:t>
      </w:r>
      <w:bookmarkEnd w:id="37"/>
      <w:bookmarkEnd w:id="38"/>
      <w:bookmarkEnd w:id="39"/>
      <w:bookmarkEnd w:id="40"/>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szCs w:val="21"/>
          <w:highlight w:val="none"/>
          <w:lang w:val="en-US" w:eastAsia="zh-CN"/>
        </w:rPr>
      </w:pPr>
      <w:r>
        <w:rPr>
          <w:rFonts w:hint="eastAsia" w:ascii="宋体" w:hAnsi="宋体" w:cs="宋体"/>
          <w:szCs w:val="21"/>
          <w:highlight w:val="none"/>
          <w:lang w:val="en-US" w:eastAsia="zh-CN"/>
        </w:rPr>
        <w:t>1、对申请人资格要求</w:t>
      </w:r>
      <w:r>
        <w:rPr>
          <w:rFonts w:hint="eastAsia" w:ascii="宋体" w:hAnsi="宋体" w:eastAsia="宋体" w:cs="宋体"/>
          <w:szCs w:val="21"/>
          <w:highlight w:val="none"/>
          <w:lang w:val="en-US" w:eastAsia="zh-CN"/>
        </w:rPr>
        <w:t>满足《中华人民共和国政府采购法》第二十二条规定</w:t>
      </w:r>
      <w:r>
        <w:rPr>
          <w:rFonts w:hint="eastAsia" w:ascii="宋体" w:hAnsi="宋体" w:cs="宋体"/>
          <w:szCs w:val="21"/>
          <w:highlight w:val="none"/>
          <w:lang w:val="en-US" w:eastAsia="zh-CN"/>
        </w:rPr>
        <w:t>的补充说明</w:t>
      </w:r>
      <w:r>
        <w:rPr>
          <w:rFonts w:hint="eastAsia" w:ascii="宋体" w:hAnsi="宋体" w:eastAsia="宋体" w:cs="宋体"/>
          <w:szCs w:val="21"/>
          <w:highlight w:val="none"/>
          <w:lang w:val="en-US" w:eastAsia="zh-CN"/>
        </w:rPr>
        <w:t>：</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cs="宋体"/>
          <w:sz w:val="21"/>
          <w:szCs w:val="21"/>
          <w:highlight w:val="none"/>
          <w:lang w:eastAsia="zh-CN"/>
        </w:rPr>
      </w:pPr>
      <w:r>
        <w:rPr>
          <w:rFonts w:hint="eastAsia" w:ascii="宋体" w:hAnsi="宋体" w:cs="宋体"/>
          <w:sz w:val="21"/>
          <w:szCs w:val="21"/>
          <w:highlight w:val="none"/>
          <w:lang w:eastAsia="zh-CN"/>
        </w:rPr>
        <w:t>1.1须具有独立承担民事责任的能力：投标人为法人、其他组织或者自然人；提供有效的营业执照或事业单位法人证书或民办非企业登记证书或社会团体登记证或自然人身份证明（扫描件加盖电子公章）；</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cs="宋体"/>
          <w:sz w:val="21"/>
          <w:szCs w:val="21"/>
          <w:highlight w:val="none"/>
          <w:lang w:eastAsia="zh-CN"/>
        </w:rPr>
      </w:pPr>
      <w:r>
        <w:rPr>
          <w:rFonts w:hint="eastAsia" w:ascii="宋体" w:hAnsi="宋体" w:cs="宋体"/>
          <w:sz w:val="21"/>
          <w:szCs w:val="21"/>
          <w:highlight w:val="none"/>
          <w:lang w:eastAsia="zh-CN"/>
        </w:rPr>
        <w:t>1.2具有良好的商业信誉和健全的财务会计制度：提供投标人20</w:t>
      </w:r>
      <w:r>
        <w:rPr>
          <w:rFonts w:hint="eastAsia" w:ascii="宋体" w:hAnsi="宋体" w:cs="宋体"/>
          <w:sz w:val="21"/>
          <w:szCs w:val="21"/>
          <w:highlight w:val="none"/>
          <w:lang w:val="en-US" w:eastAsia="zh-CN"/>
        </w:rPr>
        <w:t>21或2022</w:t>
      </w:r>
      <w:r>
        <w:rPr>
          <w:rFonts w:hint="eastAsia" w:ascii="宋体" w:hAnsi="宋体" w:cs="宋体"/>
          <w:sz w:val="21"/>
          <w:szCs w:val="21"/>
          <w:highlight w:val="none"/>
          <w:lang w:eastAsia="zh-CN"/>
        </w:rPr>
        <w:t>年度经第三方审计的财务报告及报表（报表至少应包括资产负债表、利润表（损益表）、现金流量表）（</w:t>
      </w:r>
      <w:r>
        <w:rPr>
          <w:rFonts w:hint="eastAsia" w:ascii="宋体" w:hAnsi="宋体" w:cs="宋体"/>
          <w:sz w:val="21"/>
          <w:szCs w:val="21"/>
          <w:highlight w:val="none"/>
          <w:lang w:val="en-US" w:eastAsia="zh-CN"/>
        </w:rPr>
        <w:t>事业单位提供</w:t>
      </w:r>
      <w:r>
        <w:rPr>
          <w:rFonts w:hint="eastAsia" w:ascii="宋体" w:hAnsi="宋体" w:cs="宋体"/>
          <w:sz w:val="21"/>
          <w:szCs w:val="21"/>
          <w:highlight w:val="none"/>
          <w:lang w:eastAsia="zh-CN"/>
        </w:rPr>
        <w:t>20</w:t>
      </w:r>
      <w:r>
        <w:rPr>
          <w:rFonts w:hint="eastAsia" w:ascii="宋体" w:hAnsi="宋体" w:cs="宋体"/>
          <w:sz w:val="21"/>
          <w:szCs w:val="21"/>
          <w:highlight w:val="none"/>
          <w:lang w:val="en-US" w:eastAsia="zh-CN"/>
        </w:rPr>
        <w:t>21或2022</w:t>
      </w:r>
      <w:r>
        <w:rPr>
          <w:rFonts w:hint="eastAsia" w:ascii="宋体" w:hAnsi="宋体" w:cs="宋体"/>
          <w:sz w:val="21"/>
          <w:szCs w:val="21"/>
          <w:highlight w:val="none"/>
          <w:lang w:eastAsia="zh-CN"/>
        </w:rPr>
        <w:t>年度事业单位内部财务报表，</w:t>
      </w:r>
      <w:r>
        <w:rPr>
          <w:rFonts w:hint="eastAsia" w:ascii="宋体" w:hAnsi="宋体" w:cs="宋体"/>
          <w:sz w:val="21"/>
          <w:szCs w:val="21"/>
          <w:highlight w:val="none"/>
          <w:lang w:val="en-US" w:eastAsia="zh-CN"/>
        </w:rPr>
        <w:t>2021年7月后成立的供应商</w:t>
      </w:r>
      <w:r>
        <w:rPr>
          <w:rFonts w:hint="eastAsia" w:ascii="宋体" w:hAnsi="宋体" w:cs="宋体"/>
          <w:sz w:val="21"/>
          <w:szCs w:val="21"/>
          <w:highlight w:val="none"/>
          <w:lang w:eastAsia="zh-CN"/>
        </w:rPr>
        <w:t>，</w:t>
      </w:r>
      <w:r>
        <w:rPr>
          <w:rFonts w:hint="eastAsia" w:ascii="宋体" w:hAnsi="宋体" w:cs="宋体"/>
          <w:sz w:val="21"/>
          <w:szCs w:val="21"/>
          <w:highlight w:val="none"/>
          <w:lang w:val="en-US" w:eastAsia="zh-CN"/>
        </w:rPr>
        <w:t>无法提供</w:t>
      </w:r>
      <w:r>
        <w:rPr>
          <w:rFonts w:hint="eastAsia" w:ascii="宋体" w:hAnsi="宋体" w:cs="宋体"/>
          <w:sz w:val="21"/>
          <w:szCs w:val="21"/>
          <w:highlight w:val="none"/>
          <w:lang w:eastAsia="zh-CN"/>
        </w:rPr>
        <w:t>经第三方审计的财务报告及报表</w:t>
      </w:r>
      <w:r>
        <w:rPr>
          <w:rFonts w:hint="eastAsia" w:ascii="宋体" w:hAnsi="宋体" w:cs="宋体"/>
          <w:sz w:val="21"/>
          <w:szCs w:val="21"/>
          <w:highlight w:val="none"/>
          <w:lang w:val="en-US" w:eastAsia="zh-CN"/>
        </w:rPr>
        <w:t>的，</w:t>
      </w:r>
      <w:r>
        <w:rPr>
          <w:rFonts w:hint="eastAsia" w:ascii="宋体" w:hAnsi="宋体" w:cs="宋体"/>
          <w:sz w:val="21"/>
          <w:szCs w:val="21"/>
          <w:highlight w:val="none"/>
          <w:lang w:eastAsia="zh-CN"/>
        </w:rPr>
        <w:t>可提供自投标文件提交截止时间前三个月内开户银行出具的资信证明）（扫描件加盖电子公章）；</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cs="宋体"/>
          <w:sz w:val="21"/>
          <w:szCs w:val="21"/>
          <w:highlight w:val="none"/>
          <w:lang w:eastAsia="zh-CN"/>
        </w:rPr>
      </w:pPr>
      <w:r>
        <w:rPr>
          <w:rFonts w:hint="eastAsia" w:ascii="宋体" w:hAnsi="宋体" w:cs="宋体"/>
          <w:sz w:val="21"/>
          <w:szCs w:val="21"/>
          <w:highlight w:val="none"/>
          <w:lang w:eastAsia="zh-CN"/>
        </w:rPr>
        <w:t>1.3具有履行合同所必需的设备和专业技术能力证明材料（提供书面声明，扫描件加盖电子公章）；</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cs="宋体"/>
          <w:sz w:val="21"/>
          <w:szCs w:val="21"/>
          <w:highlight w:val="none"/>
          <w:lang w:eastAsia="zh-CN"/>
        </w:rPr>
      </w:pPr>
      <w:r>
        <w:rPr>
          <w:rFonts w:hint="eastAsia" w:ascii="宋体" w:hAnsi="宋体" w:cs="宋体"/>
          <w:sz w:val="21"/>
          <w:szCs w:val="21"/>
          <w:highlight w:val="none"/>
          <w:lang w:eastAsia="zh-CN"/>
        </w:rPr>
        <w:t>1.4具有依法缴纳税收和社会保障资金的良好记录：</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cs="宋体"/>
          <w:sz w:val="21"/>
          <w:szCs w:val="21"/>
          <w:highlight w:val="none"/>
          <w:lang w:eastAsia="zh-CN"/>
        </w:rPr>
      </w:pPr>
      <w:r>
        <w:rPr>
          <w:rFonts w:hint="eastAsia" w:ascii="宋体" w:hAnsi="宋体" w:cs="宋体"/>
          <w:sz w:val="21"/>
          <w:szCs w:val="21"/>
          <w:highlight w:val="none"/>
          <w:lang w:eastAsia="zh-CN"/>
        </w:rPr>
        <w:t>1.4.1投标时须提供缴税所属时间在20</w:t>
      </w:r>
      <w:r>
        <w:rPr>
          <w:rFonts w:hint="eastAsia" w:ascii="宋体" w:hAnsi="宋体" w:cs="宋体"/>
          <w:sz w:val="21"/>
          <w:szCs w:val="21"/>
          <w:highlight w:val="none"/>
          <w:lang w:val="en-US" w:eastAsia="zh-CN"/>
        </w:rPr>
        <w:t>22</w:t>
      </w:r>
      <w:r>
        <w:rPr>
          <w:rFonts w:hint="eastAsia" w:ascii="宋体" w:hAnsi="宋体" w:cs="宋体"/>
          <w:sz w:val="21"/>
          <w:szCs w:val="21"/>
          <w:highlight w:val="none"/>
          <w:lang w:eastAsia="zh-CN"/>
        </w:rPr>
        <w:t>年</w:t>
      </w:r>
      <w:r>
        <w:rPr>
          <w:rFonts w:hint="eastAsia" w:ascii="宋体" w:hAnsi="宋体" w:cs="宋体"/>
          <w:sz w:val="21"/>
          <w:szCs w:val="21"/>
          <w:highlight w:val="none"/>
          <w:lang w:val="en-US" w:eastAsia="zh-CN"/>
        </w:rPr>
        <w:t>3</w:t>
      </w:r>
      <w:r>
        <w:rPr>
          <w:rFonts w:hint="eastAsia" w:ascii="宋体" w:hAnsi="宋体" w:cs="宋体"/>
          <w:sz w:val="21"/>
          <w:szCs w:val="21"/>
          <w:highlight w:val="none"/>
          <w:lang w:eastAsia="zh-CN"/>
        </w:rPr>
        <w:t>月至本项目投标文件提交截止时间前任意</w:t>
      </w:r>
      <w:r>
        <w:rPr>
          <w:rFonts w:hint="eastAsia" w:ascii="宋体" w:hAnsi="宋体" w:cs="宋体"/>
          <w:sz w:val="21"/>
          <w:szCs w:val="21"/>
          <w:highlight w:val="none"/>
          <w:lang w:val="en-US" w:eastAsia="zh-CN"/>
        </w:rPr>
        <w:t>1</w:t>
      </w:r>
      <w:r>
        <w:rPr>
          <w:rFonts w:hint="eastAsia" w:ascii="宋体" w:hAnsi="宋体" w:cs="宋体"/>
          <w:sz w:val="21"/>
          <w:szCs w:val="21"/>
          <w:highlight w:val="none"/>
          <w:lang w:eastAsia="zh-CN"/>
        </w:rPr>
        <w:t>个月的税务局税收通用缴款书或银行电子缴税（费）凭证或税务局出具纳税情况的相关证明，依法免税的，应提供依法免税的相关证明文件（扫描件加盖电子公章）；</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cs="宋体"/>
          <w:sz w:val="21"/>
          <w:szCs w:val="21"/>
          <w:highlight w:val="none"/>
          <w:lang w:eastAsia="zh-CN"/>
        </w:rPr>
      </w:pPr>
      <w:r>
        <w:rPr>
          <w:rFonts w:hint="eastAsia" w:ascii="宋体" w:hAnsi="宋体" w:cs="宋体"/>
          <w:sz w:val="21"/>
          <w:szCs w:val="21"/>
          <w:highlight w:val="none"/>
          <w:lang w:eastAsia="zh-CN"/>
        </w:rPr>
        <w:t>1.4.2投标时须提供缴费所属时间在20</w:t>
      </w:r>
      <w:r>
        <w:rPr>
          <w:rFonts w:hint="eastAsia" w:ascii="宋体" w:hAnsi="宋体" w:cs="宋体"/>
          <w:sz w:val="21"/>
          <w:szCs w:val="21"/>
          <w:highlight w:val="none"/>
          <w:lang w:val="en-US" w:eastAsia="zh-CN"/>
        </w:rPr>
        <w:t>22</w:t>
      </w:r>
      <w:r>
        <w:rPr>
          <w:rFonts w:hint="eastAsia" w:ascii="宋体" w:hAnsi="宋体" w:cs="宋体"/>
          <w:sz w:val="21"/>
          <w:szCs w:val="21"/>
          <w:highlight w:val="none"/>
          <w:lang w:eastAsia="zh-CN"/>
        </w:rPr>
        <w:t>年</w:t>
      </w:r>
      <w:r>
        <w:rPr>
          <w:rFonts w:hint="eastAsia" w:ascii="宋体" w:hAnsi="宋体" w:cs="宋体"/>
          <w:sz w:val="21"/>
          <w:szCs w:val="21"/>
          <w:highlight w:val="none"/>
          <w:lang w:val="en-US" w:eastAsia="zh-CN"/>
        </w:rPr>
        <w:t>3</w:t>
      </w:r>
      <w:r>
        <w:rPr>
          <w:rFonts w:hint="eastAsia" w:ascii="宋体" w:hAnsi="宋体" w:cs="宋体"/>
          <w:sz w:val="21"/>
          <w:szCs w:val="21"/>
          <w:highlight w:val="none"/>
          <w:lang w:eastAsia="zh-CN"/>
        </w:rPr>
        <w:t>月至本项目投标文件提交截止时间前任意</w:t>
      </w:r>
      <w:r>
        <w:rPr>
          <w:rFonts w:hint="eastAsia" w:ascii="宋体" w:hAnsi="宋体" w:cs="宋体"/>
          <w:sz w:val="21"/>
          <w:szCs w:val="21"/>
          <w:highlight w:val="none"/>
          <w:lang w:val="en-US" w:eastAsia="zh-CN"/>
        </w:rPr>
        <w:t>1</w:t>
      </w:r>
      <w:r>
        <w:rPr>
          <w:rFonts w:hint="eastAsia" w:ascii="宋体" w:hAnsi="宋体" w:cs="宋体"/>
          <w:sz w:val="21"/>
          <w:szCs w:val="21"/>
          <w:highlight w:val="none"/>
          <w:lang w:eastAsia="zh-CN"/>
        </w:rPr>
        <w:t>个月的社会保障资金缴款书或银行电子缴税（费）凭证或社保管理部门出具的有效的缴款证明，依法不需要缴纳的，应提供依法不需要缴纳的相关证明文件（扫描件加盖电子公章）；</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cs="宋体"/>
          <w:sz w:val="21"/>
          <w:szCs w:val="21"/>
          <w:highlight w:val="none"/>
          <w:lang w:eastAsia="zh-CN"/>
        </w:rPr>
        <w:t>1.5投标人参加政府采购活动前三年内，在经营活动中没有重大违法记录（重大违法记录，是指投标人因违法经营受到刑事处罚或者责令停产停业、吊销许可证或者执照、较大数额罚款等行政处罚）的书面声明（扫描件加盖电子公章）</w:t>
      </w:r>
      <w:r>
        <w:rPr>
          <w:rFonts w:hint="eastAsia" w:ascii="宋体" w:hAnsi="宋体" w:eastAsia="宋体" w:cs="宋体"/>
          <w:color w:val="auto"/>
          <w:sz w:val="21"/>
          <w:szCs w:val="21"/>
          <w:highlight w:val="none"/>
        </w:rPr>
        <w:t>；</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eastAsia="zh-CN"/>
        </w:rPr>
        <w:t>1.</w:t>
      </w:r>
      <w:r>
        <w:rPr>
          <w:rFonts w:hint="eastAsia" w:ascii="宋体" w:hAnsi="宋体" w:eastAsia="宋体" w:cs="宋体"/>
          <w:color w:val="auto"/>
          <w:sz w:val="21"/>
          <w:szCs w:val="21"/>
          <w:highlight w:val="none"/>
        </w:rPr>
        <w:t>6法律、行政法规规定的其他条件：</w:t>
      </w:r>
      <w:r>
        <w:rPr>
          <w:rFonts w:hint="eastAsia" w:ascii="宋体" w:hAnsi="宋体" w:cs="宋体"/>
          <w:color w:val="auto"/>
          <w:sz w:val="21"/>
          <w:szCs w:val="21"/>
          <w:highlight w:val="none"/>
          <w:lang w:val="en-US" w:eastAsia="zh-CN"/>
        </w:rPr>
        <w:t>投标人</w:t>
      </w:r>
      <w:r>
        <w:rPr>
          <w:rFonts w:hint="eastAsia" w:ascii="宋体" w:hAnsi="宋体" w:cs="宋体"/>
          <w:color w:val="auto"/>
          <w:szCs w:val="21"/>
          <w:highlight w:val="none"/>
        </w:rPr>
        <w:t>在本项目投标文件提交截止时间前</w:t>
      </w:r>
      <w:r>
        <w:rPr>
          <w:rFonts w:hint="eastAsia" w:ascii="宋体" w:hAnsi="宋体" w:eastAsia="宋体" w:cs="宋体"/>
          <w:color w:val="auto"/>
          <w:sz w:val="21"/>
          <w:szCs w:val="21"/>
          <w:highlight w:val="none"/>
        </w:rPr>
        <w:t>未被列入“信用中国”网站（</w:t>
      </w:r>
      <w:r>
        <w:rPr>
          <w:rFonts w:hint="eastAsia" w:ascii="宋体" w:hAnsi="宋体" w:eastAsia="宋体" w:cs="宋体"/>
          <w:color w:val="auto"/>
          <w:sz w:val="21"/>
          <w:szCs w:val="21"/>
          <w:highlight w:val="none"/>
        </w:rPr>
        <w:fldChar w:fldCharType="begin"/>
      </w:r>
      <w:r>
        <w:rPr>
          <w:rFonts w:hint="eastAsia" w:ascii="宋体" w:hAnsi="宋体" w:eastAsia="宋体" w:cs="宋体"/>
          <w:color w:val="auto"/>
          <w:sz w:val="21"/>
          <w:szCs w:val="21"/>
          <w:highlight w:val="none"/>
        </w:rPr>
        <w:instrText xml:space="preserve"> HYPERLINK "http://www.creditchina.gov.cn）失信被执行人、重大税收违法案件当事人名单、政府采购严重违法失信行为记录名单" \t "_blank" </w:instrText>
      </w:r>
      <w:r>
        <w:rPr>
          <w:rFonts w:hint="eastAsia" w:ascii="宋体" w:hAnsi="宋体" w:eastAsia="宋体" w:cs="宋体"/>
          <w:color w:val="auto"/>
          <w:sz w:val="21"/>
          <w:szCs w:val="21"/>
          <w:highlight w:val="none"/>
        </w:rPr>
        <w:fldChar w:fldCharType="separate"/>
      </w:r>
      <w:r>
        <w:rPr>
          <w:rFonts w:hint="eastAsia" w:ascii="宋体" w:hAnsi="宋体" w:eastAsia="宋体" w:cs="宋体"/>
          <w:color w:val="auto"/>
          <w:sz w:val="21"/>
          <w:szCs w:val="21"/>
          <w:highlight w:val="none"/>
        </w:rPr>
        <w:t>www.creditchina.gov.cn）失信被执行人、重大税收违法案件当事人名单、政府采购严重违法失信行为记录名单</w:t>
      </w:r>
      <w:r>
        <w:rPr>
          <w:rFonts w:hint="eastAsia" w:ascii="宋体" w:hAnsi="宋体" w:eastAsia="宋体" w:cs="宋体"/>
          <w:color w:val="auto"/>
          <w:sz w:val="21"/>
          <w:szCs w:val="21"/>
          <w:highlight w:val="none"/>
        </w:rPr>
        <w:fldChar w:fldCharType="end"/>
      </w:r>
      <w:r>
        <w:rPr>
          <w:rFonts w:hint="eastAsia" w:ascii="宋体" w:hAnsi="宋体" w:eastAsia="宋体" w:cs="宋体"/>
          <w:color w:val="auto"/>
          <w:sz w:val="21"/>
          <w:szCs w:val="21"/>
          <w:highlight w:val="none"/>
        </w:rPr>
        <w:t>；未被列入中国政府采购网（</w:t>
      </w:r>
      <w:r>
        <w:rPr>
          <w:rFonts w:hint="eastAsia" w:ascii="宋体" w:hAnsi="宋体" w:eastAsia="宋体" w:cs="宋体"/>
          <w:color w:val="auto"/>
          <w:sz w:val="21"/>
          <w:szCs w:val="21"/>
          <w:highlight w:val="none"/>
        </w:rPr>
        <w:fldChar w:fldCharType="begin"/>
      </w:r>
      <w:r>
        <w:rPr>
          <w:rFonts w:hint="eastAsia" w:ascii="宋体" w:hAnsi="宋体" w:eastAsia="宋体" w:cs="宋体"/>
          <w:color w:val="auto"/>
          <w:sz w:val="21"/>
          <w:szCs w:val="21"/>
          <w:highlight w:val="none"/>
        </w:rPr>
        <w:instrText xml:space="preserve"> HYPERLINK "http://www.ccgp.gov.cn）“政府采购严重违法失信行为信息记录”(被禁止在一定期限内参加政府采购活动但期限届满的除外)" \t "_blank" </w:instrText>
      </w:r>
      <w:r>
        <w:rPr>
          <w:rFonts w:hint="eastAsia" w:ascii="宋体" w:hAnsi="宋体" w:eastAsia="宋体" w:cs="宋体"/>
          <w:color w:val="auto"/>
          <w:sz w:val="21"/>
          <w:szCs w:val="21"/>
          <w:highlight w:val="none"/>
        </w:rPr>
        <w:fldChar w:fldCharType="separate"/>
      </w:r>
      <w:r>
        <w:rPr>
          <w:rFonts w:hint="eastAsia" w:ascii="宋体" w:hAnsi="宋体" w:eastAsia="宋体" w:cs="宋体"/>
          <w:color w:val="auto"/>
          <w:sz w:val="21"/>
          <w:szCs w:val="21"/>
          <w:highlight w:val="none"/>
        </w:rPr>
        <w:t>www.ccgp.gov.cn）“政府采购严重违法失信行为信息记录”(被禁止在一定期限内参加政府采购活动但期限届满的除外)</w:t>
      </w:r>
      <w:r>
        <w:rPr>
          <w:rFonts w:hint="eastAsia" w:ascii="宋体" w:hAnsi="宋体" w:eastAsia="宋体" w:cs="宋体"/>
          <w:color w:val="auto"/>
          <w:sz w:val="21"/>
          <w:szCs w:val="21"/>
          <w:highlight w:val="none"/>
        </w:rPr>
        <w:fldChar w:fldCharType="end"/>
      </w:r>
      <w:r>
        <w:rPr>
          <w:rFonts w:hint="eastAsia" w:ascii="宋体" w:hAnsi="宋体" w:eastAsia="宋体" w:cs="宋体"/>
          <w:color w:val="auto"/>
          <w:sz w:val="21"/>
          <w:szCs w:val="21"/>
          <w:highlight w:val="none"/>
        </w:rPr>
        <w:t>；备注：参与本项目的供应商信用查询截止时点：本项目招标公告发布之日起至投标文件递交截止时间，</w:t>
      </w:r>
      <w:r>
        <w:rPr>
          <w:rFonts w:hint="eastAsia" w:ascii="宋体" w:hAnsi="宋体" w:cs="宋体"/>
          <w:color w:val="auto"/>
          <w:szCs w:val="21"/>
          <w:highlight w:val="none"/>
        </w:rPr>
        <w:t>查询结果以采购人、采购代理机构</w:t>
      </w:r>
      <w:r>
        <w:rPr>
          <w:rFonts w:hint="eastAsia" w:ascii="宋体" w:hAnsi="宋体" w:cs="宋体"/>
          <w:color w:val="auto"/>
          <w:szCs w:val="21"/>
          <w:highlight w:val="none"/>
          <w:lang w:val="en-US" w:eastAsia="zh-CN"/>
        </w:rPr>
        <w:t>在开标结束后</w:t>
      </w:r>
      <w:r>
        <w:rPr>
          <w:rFonts w:hint="eastAsia" w:ascii="宋体" w:hAnsi="宋体" w:eastAsia="宋体" w:cs="宋体"/>
          <w:color w:val="auto"/>
          <w:sz w:val="21"/>
          <w:szCs w:val="21"/>
          <w:highlight w:val="none"/>
        </w:rPr>
        <w:t>通过上述网站查询</w:t>
      </w:r>
      <w:r>
        <w:rPr>
          <w:rFonts w:hint="eastAsia" w:ascii="宋体" w:hAnsi="宋体" w:cs="宋体"/>
          <w:color w:val="auto"/>
          <w:szCs w:val="21"/>
          <w:highlight w:val="none"/>
        </w:rPr>
        <w:t>结果为准，采购人、采购代理机构</w:t>
      </w:r>
      <w:r>
        <w:rPr>
          <w:rFonts w:hint="eastAsia" w:ascii="宋体" w:hAnsi="宋体" w:cs="宋体"/>
          <w:color w:val="auto"/>
          <w:szCs w:val="21"/>
          <w:highlight w:val="none"/>
          <w:lang w:val="en-US" w:eastAsia="zh-CN"/>
        </w:rPr>
        <w:t>将查询结果</w:t>
      </w:r>
      <w:r>
        <w:rPr>
          <w:rFonts w:hint="eastAsia" w:ascii="宋体" w:hAnsi="宋体" w:eastAsia="宋体" w:cs="宋体"/>
          <w:color w:val="auto"/>
          <w:sz w:val="21"/>
          <w:szCs w:val="21"/>
          <w:highlight w:val="none"/>
        </w:rPr>
        <w:t>提供给评标委员会；对存在以上不良信用记录的供应商处理方法和评标标准：按否决投标处理</w:t>
      </w:r>
      <w:r>
        <w:rPr>
          <w:rFonts w:hint="eastAsia" w:ascii="宋体" w:hAnsi="宋体" w:eastAsia="宋体" w:cs="宋体"/>
          <w:color w:val="auto"/>
          <w:sz w:val="21"/>
          <w:szCs w:val="21"/>
          <w:highlight w:val="none"/>
          <w:lang w:eastAsia="zh-CN"/>
        </w:rPr>
        <w:t>。</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default" w:ascii="宋体" w:hAnsi="宋体" w:eastAsia="宋体" w:cs="宋体"/>
          <w:szCs w:val="21"/>
          <w:highlight w:val="none"/>
          <w:lang w:val="en-US" w:eastAsia="zh-CN"/>
        </w:rPr>
      </w:pPr>
      <w:r>
        <w:rPr>
          <w:rFonts w:hint="eastAsia" w:ascii="宋体" w:hAnsi="宋体" w:cs="宋体"/>
          <w:szCs w:val="21"/>
          <w:highlight w:val="none"/>
          <w:lang w:val="en-US" w:eastAsia="zh-CN"/>
        </w:rPr>
        <w:t>2、对本项目信息发布、投标文件递交的补充说明</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1）本项目各项公告在西藏自治区政府采购网、拉萨市公共资源交易网上发布，后续澄清、更正、终止、中标（成交）公告请关注上述媒体。请各潜在投标人及时关注相关媒体、平台，如未获取到相关澄清、更正、终止等信息造成的后果由各潜在投标人自行承担。我公司对其他网站或媒体转载的公告及公告内容不承担任何责任。</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（2）各潜在投标人应在</w:t>
      </w:r>
      <w:r>
        <w:rPr>
          <w:rFonts w:hint="eastAsia" w:hAnsi="宋体" w:cs="宋体"/>
          <w:szCs w:val="21"/>
          <w:lang w:eastAsia="zh-CN"/>
        </w:rPr>
        <w:t>拉萨市公共资源交易网 （http://ggzy.lasa.gov.cn/）</w:t>
      </w:r>
      <w:r>
        <w:rPr>
          <w:rFonts w:hint="eastAsia" w:ascii="宋体" w:hAnsi="宋体" w:eastAsia="宋体" w:cs="宋体"/>
          <w:szCs w:val="21"/>
          <w:highlight w:val="none"/>
          <w:lang w:val="en-US" w:eastAsia="zh-CN"/>
        </w:rPr>
        <w:t>进行单位注册、完善资料等工作，并依照</w:t>
      </w:r>
      <w:r>
        <w:rPr>
          <w:rFonts w:hint="eastAsia" w:ascii="宋体" w:hAnsi="宋体" w:cs="宋体"/>
          <w:szCs w:val="21"/>
          <w:highlight w:val="none"/>
          <w:lang w:val="en-US" w:eastAsia="zh-CN"/>
        </w:rPr>
        <w:t>拉萨市</w:t>
      </w:r>
      <w:r>
        <w:rPr>
          <w:rFonts w:hint="eastAsia" w:ascii="宋体" w:hAnsi="宋体" w:eastAsia="宋体" w:cs="宋体"/>
          <w:szCs w:val="21"/>
          <w:highlight w:val="none"/>
          <w:lang w:val="en-US" w:eastAsia="zh-CN"/>
        </w:rPr>
        <w:t>公共资源交易网相关要求办理CA（数字证书），以便完成获取招标文件、投标等相关操作。各项操作及规范以</w:t>
      </w:r>
      <w:r>
        <w:rPr>
          <w:rFonts w:hint="eastAsia" w:ascii="宋体" w:hAnsi="宋体" w:cs="宋体"/>
          <w:szCs w:val="21"/>
          <w:highlight w:val="none"/>
          <w:lang w:val="en-US" w:eastAsia="zh-CN"/>
        </w:rPr>
        <w:t>拉萨市</w:t>
      </w:r>
      <w:r>
        <w:rPr>
          <w:rFonts w:hint="eastAsia" w:ascii="宋体" w:hAnsi="宋体" w:eastAsia="宋体" w:cs="宋体"/>
          <w:szCs w:val="21"/>
          <w:highlight w:val="none"/>
          <w:lang w:val="en-US" w:eastAsia="zh-CN"/>
        </w:rPr>
        <w:t>公共资源交易网及其交易平台（系统）要求为准，如遇网站、系统平台、CA等相关问题请按照</w:t>
      </w:r>
      <w:r>
        <w:rPr>
          <w:rFonts w:hint="eastAsia" w:ascii="宋体" w:hAnsi="宋体" w:cs="宋体"/>
          <w:szCs w:val="21"/>
          <w:highlight w:val="none"/>
          <w:lang w:val="en-US" w:eastAsia="zh-CN"/>
        </w:rPr>
        <w:t>拉萨市</w:t>
      </w:r>
      <w:r>
        <w:rPr>
          <w:rFonts w:hint="eastAsia" w:ascii="宋体" w:hAnsi="宋体" w:eastAsia="宋体" w:cs="宋体"/>
          <w:szCs w:val="21"/>
          <w:highlight w:val="none"/>
          <w:lang w:val="en-US" w:eastAsia="zh-CN"/>
        </w:rPr>
        <w:t>公共资源交易平台</w:t>
      </w:r>
      <w:r>
        <w:rPr>
          <w:rFonts w:hint="eastAsia" w:ascii="宋体" w:hAnsi="宋体" w:cs="宋体"/>
          <w:szCs w:val="21"/>
          <w:highlight w:val="none"/>
          <w:lang w:val="en-US" w:eastAsia="zh-CN"/>
        </w:rPr>
        <w:t>公布的</w:t>
      </w:r>
      <w:r>
        <w:rPr>
          <w:rFonts w:hint="eastAsia" w:ascii="宋体" w:hAnsi="宋体" w:eastAsia="宋体" w:cs="宋体"/>
          <w:szCs w:val="21"/>
          <w:highlight w:val="none"/>
          <w:lang w:val="en-US" w:eastAsia="zh-CN"/>
        </w:rPr>
        <w:t>联系方式进行咨询。</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szCs w:val="21"/>
          <w:highlight w:val="none"/>
          <w:lang w:val="en-US" w:eastAsia="zh-CN"/>
        </w:rPr>
      </w:pPr>
      <w:r>
        <w:rPr>
          <w:rFonts w:hint="eastAsia" w:ascii="宋体" w:hAnsi="宋体" w:cs="宋体"/>
          <w:szCs w:val="21"/>
          <w:highlight w:val="none"/>
          <w:lang w:val="en-US" w:eastAsia="zh-CN"/>
        </w:rPr>
        <w:t>（3）</w:t>
      </w:r>
      <w:r>
        <w:rPr>
          <w:rFonts w:hint="eastAsia" w:ascii="宋体" w:hAnsi="宋体" w:eastAsia="宋体" w:cs="宋体"/>
          <w:szCs w:val="21"/>
          <w:highlight w:val="none"/>
          <w:lang w:val="en-US" w:eastAsia="zh-CN"/>
        </w:rPr>
        <w:t>投标企业在投标时上传电子投标文件至系统中、并在开标时用企业CA 锁，解密上传的电子标书。投标企业在</w:t>
      </w:r>
      <w:r>
        <w:rPr>
          <w:rFonts w:hint="eastAsia" w:ascii="宋体" w:hAnsi="宋体" w:cs="宋体"/>
          <w:szCs w:val="21"/>
          <w:highlight w:val="none"/>
          <w:lang w:val="en-US" w:eastAsia="zh-CN"/>
        </w:rPr>
        <w:t>拉萨市</w:t>
      </w:r>
      <w:r>
        <w:rPr>
          <w:rFonts w:hint="eastAsia" w:ascii="宋体" w:hAnsi="宋体" w:eastAsia="宋体" w:cs="宋体"/>
          <w:szCs w:val="21"/>
          <w:highlight w:val="none"/>
          <w:lang w:val="en-US" w:eastAsia="zh-CN"/>
        </w:rPr>
        <w:t>公共资源交易平台不见面开标大厅自行进行解密（本项目解密时间为30分钟，若供应商未在规定时间完成以上解密，则视为撤销其投标文件，不再进入评标阶段，由此产生的相关责任、后果由供应商自行承担。备注：请投标人将投标文件中需要签字的页面打印出来签字，并制作成电子文件上传至电子招投标系统中，否则投标文件无效。</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到规定解密截止时间后已解密的投标人不足三家的，按规定重新招标。</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szCs w:val="21"/>
          <w:highlight w:val="none"/>
          <w:lang w:val="en-US" w:eastAsia="zh-CN"/>
        </w:rPr>
      </w:pPr>
      <w:r>
        <w:rPr>
          <w:rFonts w:hint="eastAsia" w:ascii="宋体" w:hAnsi="宋体" w:cs="宋体"/>
          <w:szCs w:val="21"/>
          <w:highlight w:val="none"/>
          <w:lang w:val="en-US" w:eastAsia="zh-CN"/>
        </w:rPr>
        <w:t>3</w:t>
      </w:r>
      <w:r>
        <w:rPr>
          <w:rFonts w:hint="eastAsia" w:ascii="宋体" w:hAnsi="宋体" w:eastAsia="宋体" w:cs="宋体"/>
          <w:szCs w:val="21"/>
          <w:highlight w:val="none"/>
          <w:lang w:val="en-US" w:eastAsia="zh-CN"/>
        </w:rPr>
        <w:t>.本项目需要落实的政府采购政策：政府采购节能产品、环境标志产品政策，政府采购促进中小企业发展政策，政府采购支持监狱企业发展政策，政府采购促进残疾人就业等。</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sz w:val="21"/>
          <w:szCs w:val="21"/>
          <w:highlight w:val="none"/>
          <w:lang w:eastAsia="zh-CN"/>
        </w:rPr>
      </w:pPr>
    </w:p>
    <w:p>
      <w:pPr>
        <w:pStyle w:val="4"/>
        <w:keepNext/>
        <w:keepLines/>
        <w:pageBreakBefore w:val="0"/>
        <w:widowControl w:val="0"/>
        <w:numPr>
          <w:ilvl w:val="0"/>
          <w:numId w:val="0"/>
        </w:numPr>
        <w:kinsoku/>
        <w:wordWrap/>
        <w:overflowPunct/>
        <w:topLinePunct w:val="0"/>
        <w:autoSpaceDE/>
        <w:autoSpaceDN/>
        <w:bidi w:val="0"/>
        <w:adjustRightInd/>
        <w:snapToGrid/>
        <w:spacing w:before="0" w:after="0" w:line="440" w:lineRule="exact"/>
        <w:textAlignment w:val="auto"/>
        <w:rPr>
          <w:rFonts w:hint="eastAsia" w:ascii="宋体" w:hAnsi="宋体" w:eastAsia="宋体" w:cs="宋体"/>
          <w:b/>
          <w:bCs w:val="0"/>
          <w:sz w:val="28"/>
          <w:szCs w:val="28"/>
          <w:highlight w:val="none"/>
        </w:rPr>
      </w:pPr>
      <w:bookmarkStart w:id="41" w:name="_Toc28359085"/>
      <w:bookmarkStart w:id="42" w:name="_Toc7514"/>
      <w:bookmarkStart w:id="43" w:name="_Toc35393796"/>
      <w:bookmarkStart w:id="44" w:name="_Toc28508"/>
      <w:bookmarkStart w:id="45" w:name="_Toc35393627"/>
      <w:bookmarkStart w:id="46" w:name="_Toc28359008"/>
      <w:r>
        <w:rPr>
          <w:rFonts w:hint="eastAsia" w:ascii="宋体" w:hAnsi="宋体" w:eastAsia="宋体" w:cs="宋体"/>
          <w:b/>
          <w:bCs w:val="0"/>
          <w:sz w:val="28"/>
          <w:szCs w:val="28"/>
          <w:highlight w:val="none"/>
        </w:rPr>
        <w:t>七、对本次招标提出询问，请按以下方式联系</w:t>
      </w:r>
      <w:bookmarkEnd w:id="41"/>
      <w:bookmarkEnd w:id="42"/>
      <w:bookmarkEnd w:id="43"/>
      <w:bookmarkEnd w:id="44"/>
      <w:bookmarkEnd w:id="45"/>
      <w:bookmarkEnd w:id="46"/>
    </w:p>
    <w:p>
      <w:pPr>
        <w:keepNext w:val="0"/>
        <w:keepLines w:val="0"/>
        <w:pageBreakBefore w:val="0"/>
        <w:widowControl/>
        <w:kinsoku/>
        <w:wordWrap/>
        <w:overflowPunct/>
        <w:topLinePunct w:val="0"/>
        <w:autoSpaceDE/>
        <w:autoSpaceDN/>
        <w:bidi w:val="0"/>
        <w:adjustRightInd/>
        <w:snapToGrid/>
        <w:spacing w:line="440" w:lineRule="exact"/>
        <w:ind w:left="0" w:leftChars="0" w:firstLine="420" w:firstLineChars="200"/>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1.采购人信息</w:t>
      </w:r>
    </w:p>
    <w:p>
      <w:pPr>
        <w:keepNext w:val="0"/>
        <w:keepLines w:val="0"/>
        <w:pageBreakBefore w:val="0"/>
        <w:kinsoku/>
        <w:wordWrap/>
        <w:overflowPunct/>
        <w:topLinePunct w:val="0"/>
        <w:autoSpaceDE/>
        <w:autoSpaceDN/>
        <w:bidi w:val="0"/>
        <w:adjustRightInd/>
        <w:snapToGrid/>
        <w:spacing w:line="440" w:lineRule="exact"/>
        <w:ind w:left="0" w:leftChars="0" w:firstLine="420" w:firstLineChars="200"/>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名 称：</w:t>
      </w:r>
      <w:r>
        <w:rPr>
          <w:rFonts w:hint="eastAsia" w:ascii="宋体" w:hAnsi="宋体" w:cs="宋体"/>
          <w:bCs/>
          <w:sz w:val="21"/>
          <w:szCs w:val="21"/>
          <w:highlight w:val="none"/>
          <w:lang w:eastAsia="zh-CN"/>
        </w:rPr>
        <w:t>曲水县审计局</w:t>
      </w:r>
    </w:p>
    <w:p>
      <w:pPr>
        <w:keepNext w:val="0"/>
        <w:keepLines w:val="0"/>
        <w:pageBreakBefore w:val="0"/>
        <w:kinsoku/>
        <w:wordWrap/>
        <w:overflowPunct/>
        <w:topLinePunct w:val="0"/>
        <w:autoSpaceDE/>
        <w:autoSpaceDN/>
        <w:bidi w:val="0"/>
        <w:adjustRightInd/>
        <w:snapToGrid/>
        <w:spacing w:line="440" w:lineRule="exact"/>
        <w:ind w:left="0" w:leftChars="0" w:firstLine="420" w:firstLineChars="200"/>
        <w:jc w:val="left"/>
        <w:textAlignment w:val="auto"/>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rPr>
        <w:t>地址：</w:t>
      </w:r>
      <w:r>
        <w:rPr>
          <w:rFonts w:hint="eastAsia" w:ascii="宋体" w:hAnsi="宋体" w:cs="宋体"/>
          <w:sz w:val="21"/>
          <w:szCs w:val="21"/>
          <w:highlight w:val="none"/>
          <w:lang w:eastAsia="zh-CN"/>
        </w:rPr>
        <w:t>西藏自治区曲水县曲水镇扬州路1号</w:t>
      </w:r>
    </w:p>
    <w:p>
      <w:pPr>
        <w:keepNext w:val="0"/>
        <w:keepLines w:val="0"/>
        <w:pageBreakBefore w:val="0"/>
        <w:kinsoku/>
        <w:wordWrap/>
        <w:overflowPunct/>
        <w:topLinePunct w:val="0"/>
        <w:autoSpaceDE/>
        <w:autoSpaceDN/>
        <w:bidi w:val="0"/>
        <w:adjustRightInd/>
        <w:snapToGrid/>
        <w:spacing w:line="440" w:lineRule="exact"/>
        <w:ind w:left="0" w:leftChars="0" w:firstLine="420" w:firstLineChars="200"/>
        <w:jc w:val="left"/>
        <w:textAlignment w:val="auto"/>
        <w:rPr>
          <w:rFonts w:hint="eastAsia" w:ascii="宋体" w:hAnsi="宋体" w:eastAsia="宋体" w:cs="宋体"/>
          <w:sz w:val="21"/>
          <w:szCs w:val="21"/>
          <w:highlight w:val="none"/>
          <w:u w:val="single"/>
          <w:lang w:eastAsia="zh-CN"/>
        </w:rPr>
      </w:pPr>
      <w:r>
        <w:rPr>
          <w:rFonts w:hint="eastAsia" w:ascii="宋体" w:hAnsi="宋体" w:eastAsia="宋体" w:cs="宋体"/>
          <w:sz w:val="21"/>
          <w:szCs w:val="21"/>
          <w:highlight w:val="none"/>
        </w:rPr>
        <w:t>联系方式：</w:t>
      </w:r>
      <w:bookmarkStart w:id="47" w:name="_Toc28359009"/>
      <w:bookmarkStart w:id="48" w:name="_Toc28359086"/>
      <w:r>
        <w:rPr>
          <w:rFonts w:hint="eastAsia" w:ascii="宋体" w:hAnsi="宋体" w:cs="宋体"/>
          <w:sz w:val="21"/>
          <w:szCs w:val="21"/>
          <w:highlight w:val="none"/>
          <w:lang w:val="en-US" w:eastAsia="zh-CN"/>
        </w:rPr>
        <w:t>18108980681</w:t>
      </w:r>
    </w:p>
    <w:p>
      <w:pPr>
        <w:keepNext w:val="0"/>
        <w:keepLines w:val="0"/>
        <w:pageBreakBefore w:val="0"/>
        <w:kinsoku/>
        <w:wordWrap/>
        <w:overflowPunct/>
        <w:topLinePunct w:val="0"/>
        <w:autoSpaceDE/>
        <w:autoSpaceDN/>
        <w:bidi w:val="0"/>
        <w:adjustRightInd/>
        <w:snapToGrid/>
        <w:spacing w:line="440" w:lineRule="exact"/>
        <w:ind w:left="0" w:leftChars="0" w:firstLine="420" w:firstLineChars="200"/>
        <w:jc w:val="left"/>
        <w:textAlignment w:val="auto"/>
        <w:rPr>
          <w:rFonts w:hint="eastAsia" w:ascii="宋体" w:hAnsi="宋体" w:eastAsia="宋体" w:cs="宋体"/>
          <w:sz w:val="21"/>
          <w:szCs w:val="21"/>
          <w:highlight w:val="none"/>
        </w:rPr>
      </w:pPr>
    </w:p>
    <w:p>
      <w:pPr>
        <w:keepNext w:val="0"/>
        <w:keepLines w:val="0"/>
        <w:pageBreakBefore w:val="0"/>
        <w:kinsoku/>
        <w:wordWrap/>
        <w:overflowPunct/>
        <w:topLinePunct w:val="0"/>
        <w:autoSpaceDE/>
        <w:autoSpaceDN/>
        <w:bidi w:val="0"/>
        <w:adjustRightInd/>
        <w:snapToGrid/>
        <w:spacing w:line="440" w:lineRule="exact"/>
        <w:ind w:left="0" w:leftChars="0" w:firstLine="420" w:firstLineChars="200"/>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2.采购代理机构信息</w:t>
      </w:r>
      <w:bookmarkEnd w:id="47"/>
      <w:bookmarkEnd w:id="48"/>
    </w:p>
    <w:p>
      <w:pPr>
        <w:keepNext w:val="0"/>
        <w:keepLines w:val="0"/>
        <w:pageBreakBefore w:val="0"/>
        <w:kinsoku/>
        <w:wordWrap/>
        <w:overflowPunct/>
        <w:topLinePunct w:val="0"/>
        <w:autoSpaceDE/>
        <w:autoSpaceDN/>
        <w:bidi w:val="0"/>
        <w:adjustRightInd/>
        <w:snapToGrid/>
        <w:spacing w:line="440" w:lineRule="exact"/>
        <w:ind w:left="0" w:leftChars="0" w:firstLine="420" w:firstLineChars="200"/>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名 称：云南中咨海外咨询有限公司</w:t>
      </w:r>
    </w:p>
    <w:p>
      <w:pPr>
        <w:keepNext w:val="0"/>
        <w:keepLines w:val="0"/>
        <w:pageBreakBefore w:val="0"/>
        <w:kinsoku/>
        <w:wordWrap/>
        <w:overflowPunct/>
        <w:topLinePunct w:val="0"/>
        <w:autoSpaceDE/>
        <w:autoSpaceDN/>
        <w:bidi w:val="0"/>
        <w:adjustRightInd/>
        <w:snapToGrid/>
        <w:spacing w:line="440" w:lineRule="exact"/>
        <w:ind w:left="0" w:leftChars="0" w:firstLine="420" w:firstLineChars="200"/>
        <w:jc w:val="left"/>
        <w:textAlignment w:val="auto"/>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rPr>
        <w:t>地　址：</w:t>
      </w:r>
      <w:r>
        <w:rPr>
          <w:rFonts w:hint="eastAsia" w:ascii="宋体" w:hAnsi="宋体" w:eastAsia="宋体" w:cs="宋体"/>
          <w:sz w:val="21"/>
          <w:szCs w:val="21"/>
          <w:highlight w:val="none"/>
          <w:lang w:eastAsia="zh-CN"/>
        </w:rPr>
        <w:t>云南省昆明市滇池度假区中天融域小区17幢1单元4楼</w:t>
      </w:r>
    </w:p>
    <w:p>
      <w:pPr>
        <w:keepNext w:val="0"/>
        <w:keepLines w:val="0"/>
        <w:pageBreakBefore w:val="0"/>
        <w:kinsoku/>
        <w:wordWrap/>
        <w:overflowPunct/>
        <w:topLinePunct w:val="0"/>
        <w:autoSpaceDE/>
        <w:autoSpaceDN/>
        <w:bidi w:val="0"/>
        <w:adjustRightInd/>
        <w:snapToGrid/>
        <w:spacing w:line="440" w:lineRule="exact"/>
        <w:ind w:left="0" w:leftChars="0" w:firstLine="1260" w:firstLineChars="600"/>
        <w:jc w:val="left"/>
        <w:textAlignment w:val="auto"/>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西藏自治区拉萨市房地产开发总公司第八期安居园3区2排2号（西藏分公司）</w:t>
      </w:r>
    </w:p>
    <w:p>
      <w:pPr>
        <w:keepNext w:val="0"/>
        <w:keepLines w:val="0"/>
        <w:pageBreakBefore w:val="0"/>
        <w:kinsoku/>
        <w:wordWrap/>
        <w:overflowPunct/>
        <w:topLinePunct w:val="0"/>
        <w:autoSpaceDE/>
        <w:autoSpaceDN/>
        <w:bidi w:val="0"/>
        <w:adjustRightInd/>
        <w:snapToGrid/>
        <w:spacing w:line="440" w:lineRule="exact"/>
        <w:ind w:left="0" w:leftChars="0" w:firstLine="420" w:firstLineChars="200"/>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联系方式：</w:t>
      </w:r>
      <w:bookmarkStart w:id="49" w:name="_Toc28359010"/>
      <w:bookmarkStart w:id="50" w:name="_Toc28359087"/>
      <w:r>
        <w:rPr>
          <w:rFonts w:hint="eastAsia" w:ascii="宋体" w:hAnsi="宋体" w:eastAsia="宋体" w:cs="宋体"/>
          <w:snapToGrid w:val="0"/>
          <w:kern w:val="21"/>
          <w:sz w:val="21"/>
          <w:szCs w:val="21"/>
          <w:highlight w:val="none"/>
        </w:rPr>
        <w:t>0871-64563522</w:t>
      </w:r>
    </w:p>
    <w:p>
      <w:pPr>
        <w:keepNext w:val="0"/>
        <w:keepLines w:val="0"/>
        <w:pageBreakBefore w:val="0"/>
        <w:kinsoku/>
        <w:wordWrap/>
        <w:overflowPunct/>
        <w:topLinePunct w:val="0"/>
        <w:autoSpaceDE/>
        <w:autoSpaceDN/>
        <w:bidi w:val="0"/>
        <w:adjustRightInd/>
        <w:snapToGrid/>
        <w:spacing w:line="440" w:lineRule="exact"/>
        <w:ind w:left="0" w:leftChars="0" w:firstLine="420" w:firstLineChars="200"/>
        <w:jc w:val="left"/>
        <w:textAlignment w:val="auto"/>
        <w:rPr>
          <w:rFonts w:hint="eastAsia" w:ascii="宋体" w:hAnsi="宋体" w:eastAsia="宋体" w:cs="宋体"/>
          <w:sz w:val="21"/>
          <w:szCs w:val="21"/>
          <w:highlight w:val="none"/>
        </w:rPr>
      </w:pPr>
    </w:p>
    <w:p>
      <w:pPr>
        <w:keepNext w:val="0"/>
        <w:keepLines w:val="0"/>
        <w:pageBreakBefore w:val="0"/>
        <w:kinsoku/>
        <w:wordWrap/>
        <w:overflowPunct/>
        <w:topLinePunct w:val="0"/>
        <w:autoSpaceDE/>
        <w:autoSpaceDN/>
        <w:bidi w:val="0"/>
        <w:adjustRightInd/>
        <w:snapToGrid/>
        <w:spacing w:line="440" w:lineRule="exact"/>
        <w:ind w:left="0" w:leftChars="0" w:firstLine="420" w:firstLineChars="200"/>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3.项目联系方式</w:t>
      </w:r>
      <w:bookmarkEnd w:id="49"/>
      <w:bookmarkEnd w:id="50"/>
    </w:p>
    <w:p>
      <w:pPr>
        <w:keepNext w:val="0"/>
        <w:keepLines w:val="0"/>
        <w:pageBreakBefore w:val="0"/>
        <w:kinsoku/>
        <w:wordWrap/>
        <w:overflowPunct/>
        <w:topLinePunct w:val="0"/>
        <w:autoSpaceDE/>
        <w:autoSpaceDN/>
        <w:bidi w:val="0"/>
        <w:adjustRightInd/>
        <w:snapToGrid/>
        <w:spacing w:line="440" w:lineRule="exact"/>
        <w:ind w:left="0" w:leftChars="0" w:firstLine="420" w:firstLineChars="200"/>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sz w:val="21"/>
          <w:szCs w:val="21"/>
          <w:highlight w:val="none"/>
        </w:rPr>
        <w:t>项目联系人：</w:t>
      </w:r>
      <w:r>
        <w:rPr>
          <w:rFonts w:hint="eastAsia" w:ascii="宋体" w:hAnsi="宋体" w:eastAsia="宋体" w:cs="宋体"/>
          <w:sz w:val="21"/>
          <w:szCs w:val="21"/>
          <w:highlight w:val="none"/>
          <w:lang w:val="en-US" w:eastAsia="zh-CN"/>
        </w:rPr>
        <w:t>杨云波</w:t>
      </w:r>
    </w:p>
    <w:p>
      <w:pPr>
        <w:keepNext w:val="0"/>
        <w:keepLines w:val="0"/>
        <w:pageBreakBefore w:val="0"/>
        <w:kinsoku/>
        <w:wordWrap/>
        <w:overflowPunct/>
        <w:topLinePunct w:val="0"/>
        <w:autoSpaceDE/>
        <w:autoSpaceDN/>
        <w:bidi w:val="0"/>
        <w:adjustRightInd/>
        <w:snapToGrid/>
        <w:spacing w:line="440" w:lineRule="exact"/>
        <w:ind w:left="0" w:leftChars="0" w:firstLine="420" w:firstLineChars="200"/>
        <w:jc w:val="left"/>
        <w:textAlignment w:val="auto"/>
        <w:rPr>
          <w:rFonts w:hint="eastAsia" w:ascii="宋体" w:hAnsi="宋体" w:cs="宋体"/>
          <w:kern w:val="0"/>
          <w:sz w:val="24"/>
          <w:highlight w:val="none"/>
        </w:rPr>
      </w:pPr>
      <w:r>
        <w:rPr>
          <w:rFonts w:hint="eastAsia" w:ascii="宋体" w:hAnsi="宋体" w:eastAsia="宋体" w:cs="宋体"/>
          <w:color w:val="auto"/>
          <w:sz w:val="21"/>
          <w:szCs w:val="21"/>
          <w:highlight w:val="none"/>
        </w:rPr>
        <w:t>电　话：</w:t>
      </w:r>
      <w:r>
        <w:rPr>
          <w:rFonts w:hint="eastAsia" w:ascii="宋体" w:hAnsi="宋体" w:eastAsia="宋体" w:cs="宋体"/>
          <w:snapToGrid w:val="0"/>
          <w:kern w:val="21"/>
          <w:sz w:val="21"/>
          <w:szCs w:val="21"/>
          <w:highlight w:val="none"/>
          <w:lang w:eastAsia="zh-CN"/>
        </w:rPr>
        <w:t>19988453473</w:t>
      </w:r>
    </w:p>
    <w:p>
      <w:pPr>
        <w:keepNext w:val="0"/>
        <w:keepLines w:val="0"/>
        <w:pageBreakBefore w:val="0"/>
        <w:kinsoku/>
        <w:wordWrap/>
        <w:overflowPunct/>
        <w:topLinePunct w:val="0"/>
        <w:autoSpaceDE/>
        <w:autoSpaceDN/>
        <w:bidi w:val="0"/>
        <w:adjustRightInd/>
        <w:snapToGrid/>
        <w:spacing w:line="440" w:lineRule="exact"/>
        <w:ind w:left="0" w:leftChars="0" w:firstLine="480" w:firstLineChars="200"/>
        <w:jc w:val="left"/>
        <w:textAlignment w:val="auto"/>
        <w:rPr>
          <w:rFonts w:hint="eastAsia" w:ascii="宋体" w:hAnsi="宋体" w:cs="宋体"/>
          <w:kern w:val="0"/>
          <w:sz w:val="24"/>
          <w:highlight w:val="none"/>
        </w:rPr>
      </w:pPr>
    </w:p>
    <w:p>
      <w:pPr>
        <w:keepNext w:val="0"/>
        <w:keepLines w:val="0"/>
        <w:pageBreakBefore w:val="0"/>
        <w:kinsoku/>
        <w:wordWrap/>
        <w:overflowPunct/>
        <w:topLinePunct w:val="0"/>
        <w:autoSpaceDE/>
        <w:autoSpaceDN/>
        <w:bidi w:val="0"/>
        <w:adjustRightInd/>
        <w:snapToGrid/>
        <w:spacing w:line="440" w:lineRule="exact"/>
        <w:ind w:left="0" w:leftChars="0" w:firstLine="480" w:firstLineChars="200"/>
        <w:jc w:val="left"/>
        <w:textAlignment w:val="auto"/>
        <w:rPr>
          <w:rFonts w:hint="eastAsia" w:ascii="宋体" w:hAnsi="宋体" w:cs="宋体"/>
          <w:kern w:val="0"/>
          <w:sz w:val="24"/>
          <w:highlight w:val="none"/>
        </w:rPr>
      </w:pPr>
    </w:p>
    <w:p>
      <w:pPr>
        <w:pStyle w:val="3"/>
        <w:numPr>
          <w:ilvl w:val="0"/>
          <w:numId w:val="0"/>
        </w:numPr>
        <w:spacing w:before="0"/>
        <w:jc w:val="center"/>
        <w:rPr>
          <w:rFonts w:hint="eastAsia" w:ascii="黑体"/>
          <w:sz w:val="32"/>
          <w:szCs w:val="32"/>
          <w:highlight w:val="none"/>
        </w:rPr>
      </w:pPr>
      <w:bookmarkStart w:id="51" w:name="_Toc30248"/>
      <w:bookmarkStart w:id="52" w:name="_Toc24130"/>
      <w:bookmarkStart w:id="53" w:name="_Toc23533"/>
      <w:r>
        <w:rPr>
          <w:rFonts w:hint="eastAsia" w:ascii="黑体"/>
          <w:sz w:val="32"/>
          <w:szCs w:val="32"/>
          <w:highlight w:val="none"/>
        </w:rPr>
        <w:br w:type="page"/>
      </w:r>
      <w:r>
        <w:rPr>
          <w:rFonts w:hint="eastAsia" w:ascii="黑体"/>
          <w:sz w:val="32"/>
          <w:szCs w:val="32"/>
          <w:highlight w:val="none"/>
        </w:rPr>
        <w:t>第二章  投标人须知</w:t>
      </w:r>
      <w:bookmarkEnd w:id="51"/>
      <w:bookmarkEnd w:id="52"/>
      <w:bookmarkEnd w:id="53"/>
    </w:p>
    <w:p>
      <w:pPr>
        <w:pStyle w:val="4"/>
        <w:keepNext/>
        <w:keepLines w:val="0"/>
        <w:pageBreakBefore w:val="0"/>
        <w:widowControl w:val="0"/>
        <w:numPr>
          <w:ilvl w:val="1"/>
          <w:numId w:val="0"/>
        </w:numPr>
        <w:kinsoku/>
        <w:wordWrap/>
        <w:overflowPunct/>
        <w:topLinePunct w:val="0"/>
        <w:autoSpaceDE/>
        <w:autoSpaceDN/>
        <w:bidi w:val="0"/>
        <w:adjustRightInd w:val="0"/>
        <w:snapToGrid/>
        <w:spacing w:before="240" w:after="240"/>
        <w:jc w:val="center"/>
        <w:textAlignment w:val="baseline"/>
        <w:rPr>
          <w:rFonts w:hint="eastAsia"/>
          <w:highlight w:val="none"/>
        </w:rPr>
      </w:pPr>
      <w:bookmarkStart w:id="54" w:name="_Toc23358"/>
      <w:bookmarkStart w:id="55" w:name="_Toc371448861"/>
      <w:bookmarkStart w:id="56" w:name="_Toc6277"/>
      <w:bookmarkStart w:id="57" w:name="_Toc27663"/>
      <w:bookmarkStart w:id="58" w:name="_Toc24052"/>
      <w:bookmarkStart w:id="59" w:name="_Toc23278"/>
      <w:bookmarkStart w:id="60" w:name="_Toc416124834"/>
      <w:bookmarkStart w:id="61" w:name="_Toc23784"/>
      <w:bookmarkStart w:id="62" w:name="_Toc4262"/>
      <w:bookmarkStart w:id="63" w:name="_Toc386486140"/>
      <w:bookmarkStart w:id="64" w:name="_Toc16124"/>
      <w:bookmarkStart w:id="65" w:name="_Toc29296"/>
      <w:r>
        <w:rPr>
          <w:highlight w:val="none"/>
        </w:rPr>
        <w:t>投标人须知前附表</w:t>
      </w:r>
      <w:bookmarkEnd w:id="54"/>
      <w:bookmarkEnd w:id="55"/>
      <w:bookmarkEnd w:id="56"/>
      <w:bookmarkEnd w:id="57"/>
      <w:bookmarkEnd w:id="58"/>
      <w:bookmarkEnd w:id="59"/>
      <w:bookmarkEnd w:id="60"/>
      <w:bookmarkEnd w:id="61"/>
      <w:bookmarkEnd w:id="62"/>
      <w:bookmarkEnd w:id="63"/>
      <w:bookmarkEnd w:id="64"/>
      <w:bookmarkEnd w:id="65"/>
    </w:p>
    <w:tbl>
      <w:tblPr>
        <w:tblStyle w:val="34"/>
        <w:tblW w:w="9287"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034"/>
        <w:gridCol w:w="2215"/>
        <w:gridCol w:w="6038"/>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tblHeader/>
          <w:jc w:val="center"/>
        </w:trPr>
        <w:tc>
          <w:tcPr>
            <w:tcW w:w="1034" w:type="dxa"/>
            <w:tcBorders>
              <w:top w:val="single" w:color="auto" w:sz="12" w:space="0"/>
              <w:bottom w:val="single" w:color="auto" w:sz="6" w:space="0"/>
            </w:tcBorders>
            <w:shd w:val="clear" w:color="auto" w:fill="D9D9D9"/>
            <w:vAlign w:val="center"/>
          </w:tcPr>
          <w:p>
            <w:pPr>
              <w:pStyle w:val="18"/>
              <w:spacing w:line="400" w:lineRule="exact"/>
              <w:jc w:val="center"/>
              <w:rPr>
                <w:rFonts w:hint="eastAsia" w:ascii="Times New Roman"/>
                <w:b/>
                <w:szCs w:val="21"/>
                <w:highlight w:val="none"/>
              </w:rPr>
            </w:pPr>
            <w:r>
              <w:rPr>
                <w:rFonts w:hint="eastAsia" w:ascii="Times New Roman"/>
                <w:b/>
                <w:szCs w:val="21"/>
                <w:highlight w:val="none"/>
              </w:rPr>
              <w:t>条款号</w:t>
            </w:r>
          </w:p>
        </w:tc>
        <w:tc>
          <w:tcPr>
            <w:tcW w:w="2215" w:type="dxa"/>
            <w:tcBorders>
              <w:top w:val="single" w:color="auto" w:sz="12" w:space="0"/>
              <w:bottom w:val="single" w:color="auto" w:sz="6" w:space="0"/>
            </w:tcBorders>
            <w:shd w:val="clear" w:color="auto" w:fill="D9D9D9"/>
            <w:vAlign w:val="center"/>
          </w:tcPr>
          <w:p>
            <w:pPr>
              <w:pStyle w:val="18"/>
              <w:spacing w:line="400" w:lineRule="exact"/>
              <w:jc w:val="center"/>
              <w:rPr>
                <w:rFonts w:ascii="Times New Roman"/>
                <w:b/>
                <w:szCs w:val="21"/>
                <w:highlight w:val="none"/>
              </w:rPr>
            </w:pPr>
            <w:r>
              <w:rPr>
                <w:rFonts w:ascii="Times New Roman"/>
                <w:b/>
                <w:szCs w:val="21"/>
                <w:highlight w:val="none"/>
              </w:rPr>
              <w:t>条款名称</w:t>
            </w:r>
          </w:p>
        </w:tc>
        <w:tc>
          <w:tcPr>
            <w:tcW w:w="6038" w:type="dxa"/>
            <w:tcBorders>
              <w:top w:val="single" w:color="auto" w:sz="12" w:space="0"/>
              <w:bottom w:val="single" w:color="auto" w:sz="6" w:space="0"/>
            </w:tcBorders>
            <w:shd w:val="clear" w:color="auto" w:fill="D9D9D9"/>
            <w:vAlign w:val="center"/>
          </w:tcPr>
          <w:p>
            <w:pPr>
              <w:pStyle w:val="18"/>
              <w:spacing w:line="400" w:lineRule="exact"/>
              <w:jc w:val="center"/>
              <w:rPr>
                <w:rFonts w:ascii="Times New Roman"/>
                <w:b/>
                <w:szCs w:val="21"/>
                <w:highlight w:val="none"/>
              </w:rPr>
            </w:pPr>
            <w:r>
              <w:rPr>
                <w:rFonts w:ascii="Times New Roman"/>
                <w:b/>
                <w:szCs w:val="21"/>
                <w:highlight w:val="none"/>
              </w:rPr>
              <w:t>编列内容</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30" w:hRule="atLeast"/>
          <w:jc w:val="center"/>
        </w:trPr>
        <w:tc>
          <w:tcPr>
            <w:tcW w:w="1034" w:type="dxa"/>
            <w:tcBorders>
              <w:top w:val="single" w:color="auto" w:sz="6" w:space="0"/>
            </w:tcBorders>
            <w:vAlign w:val="center"/>
          </w:tcPr>
          <w:p>
            <w:pPr>
              <w:pStyle w:val="18"/>
              <w:spacing w:line="400" w:lineRule="exact"/>
              <w:jc w:val="center"/>
              <w:rPr>
                <w:rFonts w:ascii="Times New Roman"/>
                <w:szCs w:val="21"/>
                <w:highlight w:val="none"/>
              </w:rPr>
            </w:pPr>
            <w:r>
              <w:rPr>
                <w:rFonts w:hint="eastAsia" w:ascii="Times New Roman"/>
                <w:szCs w:val="21"/>
                <w:highlight w:val="none"/>
              </w:rPr>
              <w:t>1.2</w:t>
            </w:r>
          </w:p>
        </w:tc>
        <w:tc>
          <w:tcPr>
            <w:tcW w:w="2215" w:type="dxa"/>
            <w:tcBorders>
              <w:top w:val="single" w:color="auto" w:sz="6" w:space="0"/>
            </w:tcBorders>
            <w:vAlign w:val="center"/>
          </w:tcPr>
          <w:p>
            <w:pPr>
              <w:pStyle w:val="18"/>
              <w:spacing w:line="400" w:lineRule="exact"/>
              <w:jc w:val="center"/>
              <w:rPr>
                <w:rFonts w:ascii="Times New Roman"/>
                <w:szCs w:val="21"/>
                <w:highlight w:val="none"/>
                <w:u w:val="single"/>
              </w:rPr>
            </w:pPr>
            <w:r>
              <w:rPr>
                <w:rFonts w:hint="eastAsia" w:ascii="Times New Roman"/>
                <w:bCs/>
                <w:szCs w:val="21"/>
                <w:highlight w:val="none"/>
              </w:rPr>
              <w:t>采购人</w:t>
            </w:r>
          </w:p>
        </w:tc>
        <w:tc>
          <w:tcPr>
            <w:tcW w:w="6038" w:type="dxa"/>
            <w:tcBorders>
              <w:top w:val="single" w:color="auto" w:sz="6" w:space="0"/>
            </w:tcBorders>
            <w:vAlign w:val="center"/>
          </w:tcPr>
          <w:p>
            <w:pPr>
              <w:spacing w:line="400" w:lineRule="exact"/>
              <w:rPr>
                <w:rFonts w:hint="eastAsia" w:ascii="宋体" w:hAnsi="宋体" w:eastAsia="宋体" w:cs="宋体"/>
                <w:bCs/>
                <w:szCs w:val="21"/>
                <w:highlight w:val="none"/>
                <w:lang w:eastAsia="zh-CN"/>
              </w:rPr>
            </w:pPr>
            <w:r>
              <w:rPr>
                <w:rFonts w:hint="eastAsia" w:ascii="宋体" w:hAnsi="宋体" w:cs="宋体"/>
                <w:bCs/>
                <w:szCs w:val="21"/>
                <w:highlight w:val="none"/>
              </w:rPr>
              <w:t>名 称：</w:t>
            </w:r>
            <w:r>
              <w:rPr>
                <w:rFonts w:hint="eastAsia" w:ascii="宋体" w:hAnsi="宋体" w:cs="宋体"/>
                <w:bCs/>
                <w:szCs w:val="21"/>
                <w:highlight w:val="none"/>
                <w:lang w:eastAsia="zh-CN"/>
              </w:rPr>
              <w:t>曲水县审计局</w:t>
            </w:r>
          </w:p>
          <w:p>
            <w:pPr>
              <w:spacing w:line="400" w:lineRule="exact"/>
              <w:rPr>
                <w:rFonts w:hint="eastAsia" w:ascii="宋体" w:hAnsi="宋体" w:eastAsia="宋体" w:cs="宋体"/>
                <w:bCs/>
                <w:szCs w:val="21"/>
                <w:highlight w:val="none"/>
                <w:lang w:eastAsia="zh-CN"/>
              </w:rPr>
            </w:pPr>
            <w:r>
              <w:rPr>
                <w:rFonts w:hint="eastAsia" w:ascii="宋体" w:hAnsi="宋体" w:cs="宋体"/>
                <w:bCs/>
                <w:szCs w:val="21"/>
                <w:highlight w:val="none"/>
              </w:rPr>
              <w:t>地址：</w:t>
            </w:r>
            <w:r>
              <w:rPr>
                <w:rFonts w:hint="eastAsia" w:ascii="宋体" w:hAnsi="宋体" w:cs="宋体"/>
                <w:bCs/>
                <w:szCs w:val="21"/>
                <w:highlight w:val="none"/>
                <w:lang w:eastAsia="zh-CN"/>
              </w:rPr>
              <w:t>西藏自治区曲水县曲水镇扬州路1号</w:t>
            </w:r>
          </w:p>
          <w:p>
            <w:pPr>
              <w:spacing w:line="400" w:lineRule="exact"/>
              <w:rPr>
                <w:rFonts w:hint="default" w:eastAsia="宋体"/>
                <w:highlight w:val="none"/>
                <w:lang w:val="en-US" w:eastAsia="zh-CN"/>
              </w:rPr>
            </w:pPr>
            <w:r>
              <w:rPr>
                <w:rFonts w:hint="eastAsia" w:ascii="宋体" w:hAnsi="宋体" w:cs="宋体"/>
                <w:bCs/>
                <w:szCs w:val="21"/>
                <w:highlight w:val="none"/>
                <w:lang w:val="en-US" w:eastAsia="zh-CN"/>
              </w:rPr>
              <w:t>联系人：秦先生</w:t>
            </w:r>
          </w:p>
          <w:p>
            <w:pPr>
              <w:spacing w:line="400" w:lineRule="exact"/>
              <w:rPr>
                <w:rFonts w:hint="default" w:eastAsia="宋体"/>
                <w:szCs w:val="21"/>
                <w:highlight w:val="none"/>
                <w:lang w:val="en-US" w:eastAsia="zh-CN"/>
              </w:rPr>
            </w:pPr>
            <w:r>
              <w:rPr>
                <w:rFonts w:hint="eastAsia" w:ascii="宋体" w:hAnsi="宋体" w:cs="宋体"/>
                <w:bCs/>
                <w:szCs w:val="21"/>
                <w:highlight w:val="none"/>
              </w:rPr>
              <w:t>联系方式：</w:t>
            </w:r>
            <w:r>
              <w:rPr>
                <w:rFonts w:hint="eastAsia" w:ascii="宋体" w:hAnsi="宋体" w:cs="宋体"/>
                <w:sz w:val="21"/>
                <w:szCs w:val="21"/>
                <w:highlight w:val="none"/>
                <w:lang w:val="en-US" w:eastAsia="zh-CN"/>
              </w:rPr>
              <w:t>18108980681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30" w:hRule="atLeast"/>
          <w:jc w:val="center"/>
        </w:trPr>
        <w:tc>
          <w:tcPr>
            <w:tcW w:w="1034" w:type="dxa"/>
            <w:tcBorders>
              <w:top w:val="single" w:color="auto" w:sz="6" w:space="0"/>
            </w:tcBorders>
            <w:vAlign w:val="center"/>
          </w:tcPr>
          <w:p>
            <w:pPr>
              <w:pStyle w:val="18"/>
              <w:spacing w:line="400" w:lineRule="exact"/>
              <w:jc w:val="center"/>
              <w:rPr>
                <w:rFonts w:ascii="Times New Roman"/>
                <w:szCs w:val="21"/>
                <w:highlight w:val="none"/>
              </w:rPr>
            </w:pPr>
            <w:r>
              <w:rPr>
                <w:rFonts w:hint="eastAsia" w:ascii="Times New Roman"/>
                <w:szCs w:val="21"/>
                <w:highlight w:val="none"/>
              </w:rPr>
              <w:t>1.3</w:t>
            </w:r>
          </w:p>
        </w:tc>
        <w:tc>
          <w:tcPr>
            <w:tcW w:w="2215" w:type="dxa"/>
            <w:tcBorders>
              <w:top w:val="single" w:color="auto" w:sz="6" w:space="0"/>
            </w:tcBorders>
            <w:vAlign w:val="center"/>
          </w:tcPr>
          <w:p>
            <w:pPr>
              <w:pStyle w:val="18"/>
              <w:spacing w:line="400" w:lineRule="exact"/>
              <w:jc w:val="center"/>
              <w:rPr>
                <w:rFonts w:hint="eastAsia" w:ascii="Times New Roman"/>
                <w:bCs/>
                <w:szCs w:val="21"/>
                <w:highlight w:val="none"/>
              </w:rPr>
            </w:pPr>
            <w:r>
              <w:rPr>
                <w:rFonts w:hint="eastAsia" w:ascii="Times New Roman"/>
                <w:bCs/>
                <w:szCs w:val="21"/>
                <w:highlight w:val="none"/>
              </w:rPr>
              <w:t>采购代理机构</w:t>
            </w:r>
          </w:p>
        </w:tc>
        <w:tc>
          <w:tcPr>
            <w:tcW w:w="6038" w:type="dxa"/>
            <w:tcBorders>
              <w:top w:val="single" w:color="auto" w:sz="6" w:space="0"/>
            </w:tcBorders>
            <w:vAlign w:val="center"/>
          </w:tcPr>
          <w:p>
            <w:pPr>
              <w:spacing w:line="400" w:lineRule="exact"/>
              <w:rPr>
                <w:rFonts w:hint="eastAsia" w:ascii="宋体" w:hAnsi="宋体" w:cs="宋体"/>
                <w:szCs w:val="21"/>
                <w:highlight w:val="none"/>
              </w:rPr>
            </w:pPr>
            <w:r>
              <w:rPr>
                <w:rFonts w:hint="eastAsia" w:ascii="宋体" w:hAnsi="宋体" w:cs="宋体"/>
                <w:szCs w:val="21"/>
                <w:highlight w:val="none"/>
              </w:rPr>
              <w:t>采购代理机构：云南中咨海外咨询有限公司</w:t>
            </w:r>
          </w:p>
          <w:p>
            <w:pPr>
              <w:spacing w:line="400" w:lineRule="exact"/>
              <w:rPr>
                <w:rFonts w:hint="eastAsia" w:ascii="宋体" w:hAnsi="宋体" w:eastAsia="宋体" w:cs="宋体"/>
                <w:szCs w:val="21"/>
                <w:highlight w:val="none"/>
                <w:lang w:eastAsia="zh-CN"/>
              </w:rPr>
            </w:pPr>
            <w:r>
              <w:rPr>
                <w:rFonts w:hint="eastAsia" w:ascii="宋体" w:hAnsi="宋体" w:cs="宋体"/>
                <w:szCs w:val="21"/>
                <w:highlight w:val="none"/>
              </w:rPr>
              <w:t>地址：</w:t>
            </w:r>
            <w:r>
              <w:rPr>
                <w:rFonts w:hint="eastAsia" w:ascii="宋体" w:hAnsi="宋体" w:cs="宋体"/>
                <w:szCs w:val="21"/>
                <w:highlight w:val="none"/>
                <w:lang w:eastAsia="zh-CN"/>
              </w:rPr>
              <w:t>云南省昆明市滇池度假区中天融域小区17幢1单元4楼</w:t>
            </w:r>
          </w:p>
          <w:p>
            <w:pPr>
              <w:keepNext w:val="0"/>
              <w:keepLines w:val="0"/>
              <w:pageBreakBefore w:val="0"/>
              <w:widowControl w:val="0"/>
              <w:kinsoku/>
              <w:wordWrap/>
              <w:overflowPunct/>
              <w:topLinePunct w:val="0"/>
              <w:autoSpaceDE/>
              <w:autoSpaceDN/>
              <w:bidi w:val="0"/>
              <w:adjustRightInd/>
              <w:snapToGrid/>
              <w:spacing w:line="400" w:lineRule="exact"/>
              <w:ind w:left="630" w:leftChars="300" w:firstLine="0" w:firstLineChars="0"/>
              <w:textAlignment w:val="auto"/>
              <w:rPr>
                <w:rFonts w:hint="eastAsia" w:ascii="宋体" w:hAnsi="宋体" w:cs="宋体"/>
                <w:szCs w:val="21"/>
                <w:highlight w:val="none"/>
              </w:rPr>
            </w:pPr>
            <w:r>
              <w:rPr>
                <w:rFonts w:hint="eastAsia" w:ascii="宋体" w:hAnsi="宋体" w:cs="宋体"/>
                <w:szCs w:val="21"/>
                <w:highlight w:val="none"/>
                <w:lang w:eastAsia="zh-CN"/>
              </w:rPr>
              <w:t>西藏自治区拉萨市房地产开发总公司第八期安居园3区2排2号（西藏分公司）</w:t>
            </w:r>
          </w:p>
          <w:p>
            <w:pPr>
              <w:spacing w:line="400" w:lineRule="exact"/>
              <w:rPr>
                <w:rFonts w:hint="eastAsia" w:ascii="宋体" w:hAnsi="宋体" w:eastAsia="宋体" w:cs="宋体"/>
                <w:szCs w:val="21"/>
                <w:highlight w:val="none"/>
                <w:lang w:eastAsia="zh-CN"/>
              </w:rPr>
            </w:pPr>
            <w:r>
              <w:rPr>
                <w:rFonts w:hint="eastAsia" w:ascii="宋体" w:hAnsi="宋体" w:cs="宋体"/>
                <w:szCs w:val="21"/>
                <w:highlight w:val="none"/>
              </w:rPr>
              <w:t>联系人：</w:t>
            </w:r>
            <w:r>
              <w:rPr>
                <w:rFonts w:hint="eastAsia" w:ascii="宋体" w:hAnsi="宋体" w:eastAsia="宋体" w:cs="宋体"/>
                <w:sz w:val="21"/>
                <w:szCs w:val="21"/>
                <w:highlight w:val="none"/>
                <w:lang w:val="en-US" w:eastAsia="zh-CN"/>
              </w:rPr>
              <w:t>杨云波</w:t>
            </w:r>
          </w:p>
          <w:p>
            <w:pPr>
              <w:spacing w:line="400" w:lineRule="exact"/>
              <w:rPr>
                <w:rFonts w:hint="eastAsia" w:ascii="宋体" w:hAnsi="宋体" w:cs="宋体"/>
                <w:szCs w:val="21"/>
                <w:highlight w:val="none"/>
              </w:rPr>
            </w:pPr>
            <w:r>
              <w:rPr>
                <w:rFonts w:hint="eastAsia" w:ascii="宋体" w:hAnsi="宋体" w:cs="宋体"/>
                <w:szCs w:val="21"/>
                <w:highlight w:val="none"/>
              </w:rPr>
              <w:t>电话：</w:t>
            </w:r>
            <w:r>
              <w:rPr>
                <w:rFonts w:hint="eastAsia" w:ascii="宋体" w:hAnsi="宋体" w:eastAsia="宋体" w:cs="宋体"/>
                <w:snapToGrid w:val="0"/>
                <w:kern w:val="21"/>
                <w:sz w:val="21"/>
                <w:szCs w:val="21"/>
                <w:highlight w:val="none"/>
                <w:lang w:eastAsia="zh-CN"/>
              </w:rPr>
              <w:t>19988453473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00" w:hRule="atLeast"/>
          <w:jc w:val="center"/>
        </w:trPr>
        <w:tc>
          <w:tcPr>
            <w:tcW w:w="1034" w:type="dxa"/>
            <w:tcBorders>
              <w:top w:val="single" w:color="auto" w:sz="6" w:space="0"/>
            </w:tcBorders>
            <w:vAlign w:val="center"/>
          </w:tcPr>
          <w:p>
            <w:pPr>
              <w:spacing w:line="360" w:lineRule="exact"/>
              <w:jc w:val="center"/>
              <w:rPr>
                <w:rFonts w:hint="eastAsia"/>
                <w:szCs w:val="21"/>
                <w:highlight w:val="none"/>
              </w:rPr>
            </w:pPr>
            <w:r>
              <w:rPr>
                <w:szCs w:val="21"/>
                <w:highlight w:val="none"/>
              </w:rPr>
              <w:t>1.4</w:t>
            </w:r>
          </w:p>
        </w:tc>
        <w:tc>
          <w:tcPr>
            <w:tcW w:w="2215" w:type="dxa"/>
            <w:tcBorders>
              <w:top w:val="single" w:color="auto" w:sz="6" w:space="0"/>
            </w:tcBorders>
            <w:vAlign w:val="center"/>
          </w:tcPr>
          <w:p>
            <w:pPr>
              <w:spacing w:line="400" w:lineRule="exact"/>
              <w:jc w:val="center"/>
              <w:rPr>
                <w:rFonts w:hint="eastAsia" w:ascii="宋体" w:hAnsi="宋体"/>
                <w:szCs w:val="21"/>
                <w:highlight w:val="none"/>
              </w:rPr>
            </w:pPr>
            <w:r>
              <w:rPr>
                <w:rFonts w:ascii="宋体" w:hAnsi="宋体"/>
                <w:szCs w:val="21"/>
                <w:highlight w:val="none"/>
              </w:rPr>
              <w:t>项目名称及招标编号</w:t>
            </w:r>
          </w:p>
        </w:tc>
        <w:tc>
          <w:tcPr>
            <w:tcW w:w="6038" w:type="dxa"/>
            <w:tcBorders>
              <w:top w:val="single" w:color="auto" w:sz="6" w:space="0"/>
            </w:tcBorders>
            <w:vAlign w:val="center"/>
          </w:tcPr>
          <w:p>
            <w:pPr>
              <w:spacing w:line="400" w:lineRule="exact"/>
              <w:rPr>
                <w:rFonts w:hint="eastAsia" w:ascii="宋体" w:hAnsi="宋体"/>
                <w:bCs/>
                <w:szCs w:val="21"/>
                <w:highlight w:val="none"/>
              </w:rPr>
            </w:pPr>
            <w:r>
              <w:rPr>
                <w:rFonts w:hint="eastAsia" w:ascii="宋体" w:hAnsi="宋体"/>
                <w:bCs/>
                <w:szCs w:val="21"/>
                <w:highlight w:val="none"/>
              </w:rPr>
              <w:t>详见</w:t>
            </w:r>
            <w:r>
              <w:rPr>
                <w:rFonts w:ascii="宋体" w:hAnsi="宋体"/>
                <w:bCs/>
                <w:szCs w:val="21"/>
                <w:highlight w:val="none"/>
              </w:rPr>
              <w:t>第一章</w:t>
            </w:r>
            <w:r>
              <w:rPr>
                <w:rFonts w:hint="eastAsia" w:ascii="宋体" w:hAnsi="宋体"/>
                <w:bCs/>
                <w:szCs w:val="21"/>
                <w:highlight w:val="none"/>
              </w:rPr>
              <w:t>“</w:t>
            </w:r>
            <w:r>
              <w:rPr>
                <w:rFonts w:ascii="宋体" w:hAnsi="宋体"/>
                <w:bCs/>
                <w:szCs w:val="21"/>
                <w:highlight w:val="none"/>
              </w:rPr>
              <w:t>招标公告</w:t>
            </w:r>
            <w:r>
              <w:rPr>
                <w:rFonts w:hint="eastAsia" w:ascii="宋体" w:hAnsi="宋体"/>
                <w:bCs/>
                <w:szCs w:val="21"/>
                <w:highlight w:val="none"/>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42" w:hRule="atLeast"/>
          <w:jc w:val="center"/>
        </w:trPr>
        <w:tc>
          <w:tcPr>
            <w:tcW w:w="1034" w:type="dxa"/>
            <w:tcBorders>
              <w:top w:val="single" w:color="auto" w:sz="6" w:space="0"/>
            </w:tcBorders>
            <w:vAlign w:val="center"/>
          </w:tcPr>
          <w:p>
            <w:pPr>
              <w:spacing w:line="360" w:lineRule="exact"/>
              <w:jc w:val="center"/>
              <w:rPr>
                <w:rFonts w:hint="eastAsia"/>
                <w:szCs w:val="21"/>
                <w:highlight w:val="none"/>
              </w:rPr>
            </w:pPr>
            <w:r>
              <w:rPr>
                <w:rFonts w:hint="eastAsia"/>
                <w:szCs w:val="21"/>
                <w:highlight w:val="none"/>
              </w:rPr>
              <w:t>1.5</w:t>
            </w:r>
          </w:p>
        </w:tc>
        <w:tc>
          <w:tcPr>
            <w:tcW w:w="2215" w:type="dxa"/>
            <w:tcBorders>
              <w:top w:val="single" w:color="auto" w:sz="6" w:space="0"/>
            </w:tcBorders>
            <w:vAlign w:val="center"/>
          </w:tcPr>
          <w:p>
            <w:pPr>
              <w:spacing w:line="400" w:lineRule="exact"/>
              <w:jc w:val="center"/>
              <w:rPr>
                <w:rFonts w:hint="eastAsia" w:ascii="宋体" w:hAnsi="宋体"/>
                <w:szCs w:val="21"/>
                <w:highlight w:val="none"/>
              </w:rPr>
            </w:pPr>
            <w:r>
              <w:rPr>
                <w:rFonts w:hint="eastAsia" w:ascii="宋体" w:hAnsi="宋体" w:eastAsia="宋体" w:cs="Times New Roman"/>
                <w:kern w:val="2"/>
                <w:sz w:val="21"/>
                <w:szCs w:val="21"/>
                <w:highlight w:val="none"/>
                <w:lang w:val="en-US" w:eastAsia="zh-CN" w:bidi="ar-SA"/>
              </w:rPr>
              <w:t>预算金额</w:t>
            </w:r>
            <w:r>
              <w:rPr>
                <w:rFonts w:hint="eastAsia" w:ascii="宋体" w:hAnsi="宋体" w:cs="Times New Roman"/>
                <w:kern w:val="2"/>
                <w:sz w:val="21"/>
                <w:szCs w:val="21"/>
                <w:highlight w:val="none"/>
                <w:lang w:val="en-US" w:eastAsia="zh-CN" w:bidi="ar-SA"/>
              </w:rPr>
              <w:t>、最高限价</w:t>
            </w:r>
          </w:p>
        </w:tc>
        <w:tc>
          <w:tcPr>
            <w:tcW w:w="6038" w:type="dxa"/>
            <w:tcBorders>
              <w:top w:val="single" w:color="auto" w:sz="6" w:space="0"/>
            </w:tcBorders>
            <w:vAlign w:val="center"/>
          </w:tcPr>
          <w:p>
            <w:pPr>
              <w:spacing w:line="400" w:lineRule="exact"/>
              <w:rPr>
                <w:rFonts w:hint="eastAsia" w:ascii="宋体" w:hAnsi="宋体"/>
                <w:bCs/>
                <w:szCs w:val="21"/>
                <w:highlight w:val="none"/>
              </w:rPr>
            </w:pPr>
            <w:r>
              <w:rPr>
                <w:rFonts w:hint="eastAsia" w:ascii="宋体" w:hAnsi="宋体"/>
                <w:bCs/>
                <w:szCs w:val="21"/>
                <w:highlight w:val="none"/>
              </w:rPr>
              <w:t>详见</w:t>
            </w:r>
            <w:r>
              <w:rPr>
                <w:rFonts w:ascii="宋体" w:hAnsi="宋体"/>
                <w:bCs/>
                <w:szCs w:val="21"/>
                <w:highlight w:val="none"/>
              </w:rPr>
              <w:t>第一章</w:t>
            </w:r>
            <w:r>
              <w:rPr>
                <w:rFonts w:hint="eastAsia" w:ascii="宋体" w:hAnsi="宋体"/>
                <w:bCs/>
                <w:szCs w:val="21"/>
                <w:highlight w:val="none"/>
              </w:rPr>
              <w:t>“</w:t>
            </w:r>
            <w:r>
              <w:rPr>
                <w:rFonts w:ascii="宋体" w:hAnsi="宋体"/>
                <w:bCs/>
                <w:szCs w:val="21"/>
                <w:highlight w:val="none"/>
              </w:rPr>
              <w:t>招标公告</w:t>
            </w:r>
            <w:r>
              <w:rPr>
                <w:rFonts w:hint="eastAsia" w:ascii="宋体" w:hAnsi="宋体"/>
                <w:bCs/>
                <w:szCs w:val="21"/>
                <w:highlight w:val="none"/>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rPr>
          <w:trHeight w:val="499" w:hRule="atLeast"/>
          <w:jc w:val="center"/>
        </w:trPr>
        <w:tc>
          <w:tcPr>
            <w:tcW w:w="1034" w:type="dxa"/>
            <w:tcBorders>
              <w:top w:val="single" w:color="auto" w:sz="4" w:space="0"/>
            </w:tcBorders>
            <w:vAlign w:val="center"/>
          </w:tcPr>
          <w:p>
            <w:pPr>
              <w:spacing w:line="360" w:lineRule="exact"/>
              <w:jc w:val="center"/>
              <w:rPr>
                <w:rFonts w:hint="eastAsia"/>
                <w:szCs w:val="21"/>
                <w:highlight w:val="none"/>
              </w:rPr>
            </w:pPr>
            <w:r>
              <w:rPr>
                <w:szCs w:val="21"/>
                <w:highlight w:val="none"/>
              </w:rPr>
              <w:t>2.1</w:t>
            </w:r>
          </w:p>
        </w:tc>
        <w:tc>
          <w:tcPr>
            <w:tcW w:w="2215" w:type="dxa"/>
            <w:vAlign w:val="center"/>
          </w:tcPr>
          <w:p>
            <w:pPr>
              <w:spacing w:line="400" w:lineRule="exact"/>
              <w:jc w:val="center"/>
              <w:rPr>
                <w:rFonts w:ascii="宋体" w:hAnsi="宋体"/>
                <w:szCs w:val="21"/>
                <w:highlight w:val="none"/>
              </w:rPr>
            </w:pPr>
            <w:r>
              <w:rPr>
                <w:rFonts w:ascii="宋体" w:hAnsi="宋体"/>
                <w:szCs w:val="21"/>
                <w:highlight w:val="none"/>
              </w:rPr>
              <w:t>招标范围</w:t>
            </w:r>
          </w:p>
        </w:tc>
        <w:tc>
          <w:tcPr>
            <w:tcW w:w="6038" w:type="dxa"/>
            <w:vAlign w:val="center"/>
          </w:tcPr>
          <w:p>
            <w:pPr>
              <w:spacing w:line="400" w:lineRule="exact"/>
              <w:jc w:val="left"/>
              <w:rPr>
                <w:rFonts w:hint="eastAsia" w:ascii="宋体" w:hAnsi="宋体"/>
                <w:szCs w:val="21"/>
                <w:highlight w:val="none"/>
              </w:rPr>
            </w:pPr>
            <w:r>
              <w:rPr>
                <w:rFonts w:ascii="宋体" w:hAnsi="宋体"/>
                <w:szCs w:val="21"/>
                <w:highlight w:val="none"/>
              </w:rPr>
              <w:t>详见第五章</w:t>
            </w:r>
            <w:r>
              <w:rPr>
                <w:rFonts w:hint="eastAsia" w:ascii="宋体" w:hAnsi="宋体"/>
                <w:szCs w:val="21"/>
                <w:highlight w:val="none"/>
              </w:rPr>
              <w:t>“</w:t>
            </w:r>
            <w:r>
              <w:rPr>
                <w:rFonts w:ascii="宋体" w:hAnsi="宋体"/>
                <w:szCs w:val="21"/>
                <w:highlight w:val="none"/>
              </w:rPr>
              <w:t>采购需求</w:t>
            </w:r>
            <w:r>
              <w:rPr>
                <w:rFonts w:hint="eastAsia" w:ascii="宋体" w:hAnsi="宋体"/>
                <w:szCs w:val="21"/>
                <w:highlight w:val="none"/>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1034" w:type="dxa"/>
            <w:vAlign w:val="center"/>
          </w:tcPr>
          <w:p>
            <w:pPr>
              <w:spacing w:line="360" w:lineRule="exact"/>
              <w:jc w:val="center"/>
              <w:rPr>
                <w:rFonts w:hint="eastAsia"/>
                <w:szCs w:val="21"/>
                <w:highlight w:val="none"/>
              </w:rPr>
            </w:pPr>
            <w:r>
              <w:rPr>
                <w:szCs w:val="21"/>
                <w:highlight w:val="none"/>
              </w:rPr>
              <w:t>2.2</w:t>
            </w:r>
          </w:p>
        </w:tc>
        <w:tc>
          <w:tcPr>
            <w:tcW w:w="2215" w:type="dxa"/>
            <w:vAlign w:val="center"/>
          </w:tcPr>
          <w:p>
            <w:pPr>
              <w:spacing w:line="400" w:lineRule="exact"/>
              <w:jc w:val="center"/>
              <w:rPr>
                <w:rFonts w:hint="eastAsia" w:ascii="宋体" w:hAnsi="宋体" w:eastAsia="宋体"/>
                <w:szCs w:val="21"/>
                <w:highlight w:val="none"/>
                <w:lang w:eastAsia="zh-CN"/>
              </w:rPr>
            </w:pPr>
            <w:r>
              <w:rPr>
                <w:rFonts w:hint="eastAsia" w:ascii="宋体" w:hAnsi="宋体"/>
                <w:szCs w:val="21"/>
                <w:highlight w:val="none"/>
                <w:lang w:eastAsia="zh-CN"/>
              </w:rPr>
              <w:t>服务期</w:t>
            </w:r>
            <w:r>
              <w:rPr>
                <w:rFonts w:ascii="宋体" w:hAnsi="宋体"/>
                <w:szCs w:val="21"/>
                <w:highlight w:val="none"/>
              </w:rPr>
              <w:t>及</w:t>
            </w:r>
            <w:r>
              <w:rPr>
                <w:rFonts w:hint="eastAsia" w:ascii="宋体" w:hAnsi="宋体"/>
                <w:szCs w:val="21"/>
                <w:highlight w:val="none"/>
                <w:lang w:eastAsia="zh-CN"/>
              </w:rPr>
              <w:t>服务地点</w:t>
            </w:r>
          </w:p>
        </w:tc>
        <w:tc>
          <w:tcPr>
            <w:tcW w:w="6038" w:type="dxa"/>
            <w:vAlign w:val="center"/>
          </w:tcPr>
          <w:p>
            <w:pPr>
              <w:spacing w:line="400" w:lineRule="exact"/>
              <w:jc w:val="left"/>
              <w:rPr>
                <w:rFonts w:ascii="宋体" w:hAnsi="宋体"/>
                <w:szCs w:val="21"/>
                <w:highlight w:val="none"/>
              </w:rPr>
            </w:pPr>
            <w:r>
              <w:rPr>
                <w:rFonts w:hint="eastAsia" w:ascii="宋体" w:hAnsi="宋体"/>
                <w:szCs w:val="21"/>
                <w:highlight w:val="none"/>
                <w:lang w:eastAsia="zh-CN"/>
              </w:rPr>
              <w:t>服务期</w:t>
            </w:r>
            <w:r>
              <w:rPr>
                <w:rFonts w:ascii="宋体" w:hAnsi="宋体"/>
                <w:szCs w:val="21"/>
                <w:highlight w:val="none"/>
              </w:rPr>
              <w:t>：</w:t>
            </w:r>
            <w:r>
              <w:rPr>
                <w:rFonts w:hint="eastAsia" w:ascii="宋体" w:hAnsi="宋体"/>
                <w:szCs w:val="21"/>
                <w:highlight w:val="none"/>
              </w:rPr>
              <w:t>详见</w:t>
            </w:r>
            <w:r>
              <w:rPr>
                <w:rFonts w:ascii="宋体" w:hAnsi="宋体"/>
                <w:szCs w:val="21"/>
                <w:highlight w:val="none"/>
              </w:rPr>
              <w:t>第一章</w:t>
            </w:r>
            <w:r>
              <w:rPr>
                <w:rFonts w:hint="eastAsia" w:ascii="宋体" w:hAnsi="宋体"/>
                <w:szCs w:val="21"/>
                <w:highlight w:val="none"/>
              </w:rPr>
              <w:t>“</w:t>
            </w:r>
            <w:r>
              <w:rPr>
                <w:rFonts w:ascii="宋体" w:hAnsi="宋体"/>
                <w:szCs w:val="21"/>
                <w:highlight w:val="none"/>
              </w:rPr>
              <w:t>招标公告</w:t>
            </w:r>
            <w:r>
              <w:rPr>
                <w:rFonts w:hint="eastAsia" w:ascii="宋体" w:hAnsi="宋体"/>
                <w:szCs w:val="21"/>
                <w:highlight w:val="none"/>
              </w:rPr>
              <w:t>”</w:t>
            </w:r>
          </w:p>
          <w:p>
            <w:pPr>
              <w:spacing w:line="400" w:lineRule="exact"/>
              <w:jc w:val="left"/>
              <w:rPr>
                <w:rFonts w:hint="eastAsia" w:ascii="宋体" w:hAnsi="宋体"/>
                <w:szCs w:val="21"/>
                <w:highlight w:val="none"/>
              </w:rPr>
            </w:pPr>
            <w:r>
              <w:rPr>
                <w:rFonts w:hint="eastAsia" w:ascii="宋体" w:hAnsi="宋体"/>
                <w:szCs w:val="21"/>
                <w:highlight w:val="none"/>
                <w:lang w:eastAsia="zh-CN"/>
              </w:rPr>
              <w:t>服务地点</w:t>
            </w:r>
            <w:r>
              <w:rPr>
                <w:rFonts w:ascii="宋体" w:hAnsi="宋体"/>
                <w:szCs w:val="21"/>
                <w:highlight w:val="none"/>
              </w:rPr>
              <w:t>：</w:t>
            </w:r>
            <w:r>
              <w:rPr>
                <w:rFonts w:hint="eastAsia" w:ascii="宋体" w:hAnsi="宋体"/>
                <w:szCs w:val="21"/>
                <w:highlight w:val="none"/>
              </w:rPr>
              <w:t>详见</w:t>
            </w:r>
            <w:r>
              <w:rPr>
                <w:rFonts w:ascii="宋体" w:hAnsi="宋体"/>
                <w:szCs w:val="21"/>
                <w:highlight w:val="none"/>
              </w:rPr>
              <w:t>第一章</w:t>
            </w:r>
            <w:r>
              <w:rPr>
                <w:rFonts w:hint="eastAsia" w:ascii="宋体" w:hAnsi="宋体"/>
                <w:szCs w:val="21"/>
                <w:highlight w:val="none"/>
              </w:rPr>
              <w:t>“</w:t>
            </w:r>
            <w:r>
              <w:rPr>
                <w:rFonts w:ascii="宋体" w:hAnsi="宋体"/>
                <w:szCs w:val="21"/>
                <w:highlight w:val="none"/>
              </w:rPr>
              <w:t>招标公告</w:t>
            </w:r>
            <w:r>
              <w:rPr>
                <w:rFonts w:hint="eastAsia" w:ascii="宋体" w:hAnsi="宋体"/>
                <w:szCs w:val="21"/>
                <w:highlight w:val="none"/>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1034" w:type="dxa"/>
            <w:vAlign w:val="center"/>
          </w:tcPr>
          <w:p>
            <w:pPr>
              <w:spacing w:line="360" w:lineRule="exact"/>
              <w:jc w:val="center"/>
              <w:rPr>
                <w:rFonts w:hint="eastAsia"/>
                <w:szCs w:val="21"/>
                <w:highlight w:val="none"/>
              </w:rPr>
            </w:pPr>
            <w:r>
              <w:rPr>
                <w:rFonts w:hint="eastAsia"/>
                <w:szCs w:val="21"/>
                <w:highlight w:val="none"/>
              </w:rPr>
              <w:t>3.1</w:t>
            </w:r>
          </w:p>
        </w:tc>
        <w:tc>
          <w:tcPr>
            <w:tcW w:w="2215" w:type="dxa"/>
            <w:vAlign w:val="center"/>
          </w:tcPr>
          <w:p>
            <w:pPr>
              <w:spacing w:line="400" w:lineRule="exact"/>
              <w:jc w:val="center"/>
              <w:rPr>
                <w:rFonts w:hint="eastAsia" w:ascii="宋体" w:hAnsi="宋体"/>
                <w:szCs w:val="21"/>
                <w:highlight w:val="none"/>
              </w:rPr>
            </w:pPr>
            <w:r>
              <w:rPr>
                <w:rFonts w:hint="eastAsia" w:ascii="宋体" w:hAnsi="宋体"/>
                <w:szCs w:val="21"/>
                <w:highlight w:val="none"/>
              </w:rPr>
              <w:t>规定的资格条件</w:t>
            </w:r>
          </w:p>
        </w:tc>
        <w:tc>
          <w:tcPr>
            <w:tcW w:w="603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szCs w:val="21"/>
                <w:highlight w:val="none"/>
              </w:rPr>
            </w:pPr>
            <w:r>
              <w:rPr>
                <w:rFonts w:hint="eastAsia" w:ascii="宋体" w:hAnsi="宋体"/>
                <w:szCs w:val="21"/>
                <w:highlight w:val="none"/>
              </w:rPr>
              <w:t>满足《中华人民共和国政府采购法》第二十二条规定：</w:t>
            </w:r>
          </w:p>
          <w:p>
            <w:pPr>
              <w:keepNext w:val="0"/>
              <w:keepLines w:val="0"/>
              <w:pageBreakBefore w:val="0"/>
              <w:widowControl w:val="0"/>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cs="宋体"/>
                <w:sz w:val="21"/>
                <w:szCs w:val="21"/>
                <w:highlight w:val="none"/>
                <w:lang w:eastAsia="zh-CN"/>
              </w:rPr>
            </w:pPr>
            <w:r>
              <w:rPr>
                <w:rFonts w:hint="eastAsia" w:ascii="宋体" w:hAnsi="宋体" w:cs="宋体"/>
                <w:sz w:val="21"/>
                <w:szCs w:val="21"/>
                <w:highlight w:val="none"/>
                <w:lang w:eastAsia="zh-CN"/>
              </w:rPr>
              <w:t>1.1须具有独立承担民事责任的能力：投标人为法人、其他组织或者自然人；提供有效的营业执照或事业单位法人证书或民办非企业登记证书或社会团体登记证或自然人身份证明（扫描件加盖电子公章）；</w:t>
            </w:r>
          </w:p>
          <w:p>
            <w:pPr>
              <w:keepNext w:val="0"/>
              <w:keepLines w:val="0"/>
              <w:pageBreakBefore w:val="0"/>
              <w:widowControl w:val="0"/>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cs="宋体"/>
                <w:sz w:val="21"/>
                <w:szCs w:val="21"/>
                <w:highlight w:val="none"/>
                <w:lang w:eastAsia="zh-CN"/>
              </w:rPr>
            </w:pPr>
            <w:r>
              <w:rPr>
                <w:rFonts w:hint="eastAsia" w:ascii="宋体" w:hAnsi="宋体" w:cs="宋体"/>
                <w:sz w:val="21"/>
                <w:szCs w:val="21"/>
                <w:highlight w:val="none"/>
                <w:lang w:eastAsia="zh-CN"/>
              </w:rPr>
              <w:t>1.2具有良好的商业信誉和健全的财务会计制度：提供投标人20</w:t>
            </w:r>
            <w:r>
              <w:rPr>
                <w:rFonts w:hint="eastAsia" w:ascii="宋体" w:hAnsi="宋体" w:cs="宋体"/>
                <w:sz w:val="21"/>
                <w:szCs w:val="21"/>
                <w:highlight w:val="none"/>
                <w:lang w:val="en-US" w:eastAsia="zh-CN"/>
              </w:rPr>
              <w:t>21或2022</w:t>
            </w:r>
            <w:r>
              <w:rPr>
                <w:rFonts w:hint="eastAsia" w:ascii="宋体" w:hAnsi="宋体" w:cs="宋体"/>
                <w:sz w:val="21"/>
                <w:szCs w:val="21"/>
                <w:highlight w:val="none"/>
                <w:lang w:eastAsia="zh-CN"/>
              </w:rPr>
              <w:t>年度经第三方审计的财务报告及报表（报表至少应包括资产负债表、利润表（损益表）、现金流量表）（</w:t>
            </w:r>
            <w:r>
              <w:rPr>
                <w:rFonts w:hint="eastAsia" w:ascii="宋体" w:hAnsi="宋体" w:cs="宋体"/>
                <w:sz w:val="21"/>
                <w:szCs w:val="21"/>
                <w:highlight w:val="none"/>
                <w:lang w:val="en-US" w:eastAsia="zh-CN"/>
              </w:rPr>
              <w:t>事业单位提供</w:t>
            </w:r>
            <w:r>
              <w:rPr>
                <w:rFonts w:hint="eastAsia" w:ascii="宋体" w:hAnsi="宋体" w:cs="宋体"/>
                <w:sz w:val="21"/>
                <w:szCs w:val="21"/>
                <w:highlight w:val="none"/>
                <w:lang w:eastAsia="zh-CN"/>
              </w:rPr>
              <w:t>20</w:t>
            </w:r>
            <w:r>
              <w:rPr>
                <w:rFonts w:hint="eastAsia" w:ascii="宋体" w:hAnsi="宋体" w:cs="宋体"/>
                <w:sz w:val="21"/>
                <w:szCs w:val="21"/>
                <w:highlight w:val="none"/>
                <w:lang w:val="en-US" w:eastAsia="zh-CN"/>
              </w:rPr>
              <w:t>21或2022</w:t>
            </w:r>
            <w:r>
              <w:rPr>
                <w:rFonts w:hint="eastAsia" w:ascii="宋体" w:hAnsi="宋体" w:cs="宋体"/>
                <w:sz w:val="21"/>
                <w:szCs w:val="21"/>
                <w:highlight w:val="none"/>
                <w:lang w:eastAsia="zh-CN"/>
              </w:rPr>
              <w:t>年度事业单位内部财务报表，</w:t>
            </w:r>
            <w:r>
              <w:rPr>
                <w:rFonts w:hint="eastAsia" w:ascii="宋体" w:hAnsi="宋体" w:cs="宋体"/>
                <w:sz w:val="21"/>
                <w:szCs w:val="21"/>
                <w:highlight w:val="none"/>
                <w:lang w:val="en-US" w:eastAsia="zh-CN"/>
              </w:rPr>
              <w:t>2021年7月后成立的供应商</w:t>
            </w:r>
            <w:r>
              <w:rPr>
                <w:rFonts w:hint="eastAsia" w:ascii="宋体" w:hAnsi="宋体" w:cs="宋体"/>
                <w:sz w:val="21"/>
                <w:szCs w:val="21"/>
                <w:highlight w:val="none"/>
                <w:lang w:eastAsia="zh-CN"/>
              </w:rPr>
              <w:t>，</w:t>
            </w:r>
            <w:r>
              <w:rPr>
                <w:rFonts w:hint="eastAsia" w:ascii="宋体" w:hAnsi="宋体" w:cs="宋体"/>
                <w:sz w:val="21"/>
                <w:szCs w:val="21"/>
                <w:highlight w:val="none"/>
                <w:lang w:val="en-US" w:eastAsia="zh-CN"/>
              </w:rPr>
              <w:t>无法提供</w:t>
            </w:r>
            <w:r>
              <w:rPr>
                <w:rFonts w:hint="eastAsia" w:ascii="宋体" w:hAnsi="宋体" w:cs="宋体"/>
                <w:sz w:val="21"/>
                <w:szCs w:val="21"/>
                <w:highlight w:val="none"/>
                <w:lang w:eastAsia="zh-CN"/>
              </w:rPr>
              <w:t>经第三方审计的财务报告及报表</w:t>
            </w:r>
            <w:r>
              <w:rPr>
                <w:rFonts w:hint="eastAsia" w:ascii="宋体" w:hAnsi="宋体" w:cs="宋体"/>
                <w:sz w:val="21"/>
                <w:szCs w:val="21"/>
                <w:highlight w:val="none"/>
                <w:lang w:val="en-US" w:eastAsia="zh-CN"/>
              </w:rPr>
              <w:t>的，</w:t>
            </w:r>
            <w:r>
              <w:rPr>
                <w:rFonts w:hint="eastAsia" w:ascii="宋体" w:hAnsi="宋体" w:cs="宋体"/>
                <w:sz w:val="21"/>
                <w:szCs w:val="21"/>
                <w:highlight w:val="none"/>
                <w:lang w:eastAsia="zh-CN"/>
              </w:rPr>
              <w:t>可提供自投标文件提交截止时间前三个月内开户银行出具的资信证明）（扫描件加盖电子公章）；</w:t>
            </w:r>
          </w:p>
          <w:p>
            <w:pPr>
              <w:keepNext w:val="0"/>
              <w:keepLines w:val="0"/>
              <w:pageBreakBefore w:val="0"/>
              <w:widowControl w:val="0"/>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cs="宋体"/>
                <w:sz w:val="21"/>
                <w:szCs w:val="21"/>
                <w:highlight w:val="none"/>
                <w:lang w:eastAsia="zh-CN"/>
              </w:rPr>
            </w:pPr>
            <w:r>
              <w:rPr>
                <w:rFonts w:hint="eastAsia" w:ascii="宋体" w:hAnsi="宋体" w:cs="宋体"/>
                <w:sz w:val="21"/>
                <w:szCs w:val="21"/>
                <w:highlight w:val="none"/>
                <w:lang w:eastAsia="zh-CN"/>
              </w:rPr>
              <w:t>1.3具有履行合同所必需的设备和专业技术能力证明材料（提供书面声明，扫描件加盖电子公章）；</w:t>
            </w:r>
          </w:p>
          <w:p>
            <w:pPr>
              <w:keepNext w:val="0"/>
              <w:keepLines w:val="0"/>
              <w:pageBreakBefore w:val="0"/>
              <w:widowControl w:val="0"/>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cs="宋体"/>
                <w:sz w:val="21"/>
                <w:szCs w:val="21"/>
                <w:highlight w:val="none"/>
                <w:lang w:eastAsia="zh-CN"/>
              </w:rPr>
            </w:pPr>
            <w:r>
              <w:rPr>
                <w:rFonts w:hint="eastAsia" w:ascii="宋体" w:hAnsi="宋体" w:cs="宋体"/>
                <w:sz w:val="21"/>
                <w:szCs w:val="21"/>
                <w:highlight w:val="none"/>
                <w:lang w:eastAsia="zh-CN"/>
              </w:rPr>
              <w:t>1.4具有依法缴纳税收和社会保障资金的良好记录：</w:t>
            </w:r>
          </w:p>
          <w:p>
            <w:pPr>
              <w:keepNext w:val="0"/>
              <w:keepLines w:val="0"/>
              <w:pageBreakBefore w:val="0"/>
              <w:widowControl w:val="0"/>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cs="宋体"/>
                <w:sz w:val="21"/>
                <w:szCs w:val="21"/>
                <w:highlight w:val="none"/>
                <w:lang w:eastAsia="zh-CN"/>
              </w:rPr>
            </w:pPr>
            <w:r>
              <w:rPr>
                <w:rFonts w:hint="eastAsia" w:ascii="宋体" w:hAnsi="宋体" w:cs="宋体"/>
                <w:sz w:val="21"/>
                <w:szCs w:val="21"/>
                <w:highlight w:val="none"/>
                <w:lang w:eastAsia="zh-CN"/>
              </w:rPr>
              <w:t>1.4.1投标时须提供缴税所属时间在20</w:t>
            </w:r>
            <w:r>
              <w:rPr>
                <w:rFonts w:hint="eastAsia" w:ascii="宋体" w:hAnsi="宋体" w:cs="宋体"/>
                <w:sz w:val="21"/>
                <w:szCs w:val="21"/>
                <w:highlight w:val="none"/>
                <w:lang w:val="en-US" w:eastAsia="zh-CN"/>
              </w:rPr>
              <w:t>22</w:t>
            </w:r>
            <w:r>
              <w:rPr>
                <w:rFonts w:hint="eastAsia" w:ascii="宋体" w:hAnsi="宋体" w:cs="宋体"/>
                <w:sz w:val="21"/>
                <w:szCs w:val="21"/>
                <w:highlight w:val="none"/>
                <w:lang w:eastAsia="zh-CN"/>
              </w:rPr>
              <w:t>年</w:t>
            </w:r>
            <w:r>
              <w:rPr>
                <w:rFonts w:hint="eastAsia" w:ascii="宋体" w:hAnsi="宋体" w:cs="宋体"/>
                <w:sz w:val="21"/>
                <w:szCs w:val="21"/>
                <w:highlight w:val="none"/>
                <w:lang w:val="en-US" w:eastAsia="zh-CN"/>
              </w:rPr>
              <w:t>3</w:t>
            </w:r>
            <w:r>
              <w:rPr>
                <w:rFonts w:hint="eastAsia" w:ascii="宋体" w:hAnsi="宋体" w:cs="宋体"/>
                <w:sz w:val="21"/>
                <w:szCs w:val="21"/>
                <w:highlight w:val="none"/>
                <w:lang w:eastAsia="zh-CN"/>
              </w:rPr>
              <w:t>月至本项目投标文件提交截止时间前任意</w:t>
            </w:r>
            <w:r>
              <w:rPr>
                <w:rFonts w:hint="eastAsia" w:ascii="宋体" w:hAnsi="宋体" w:cs="宋体"/>
                <w:sz w:val="21"/>
                <w:szCs w:val="21"/>
                <w:highlight w:val="none"/>
                <w:lang w:val="en-US" w:eastAsia="zh-CN"/>
              </w:rPr>
              <w:t>1</w:t>
            </w:r>
            <w:r>
              <w:rPr>
                <w:rFonts w:hint="eastAsia" w:ascii="宋体" w:hAnsi="宋体" w:cs="宋体"/>
                <w:sz w:val="21"/>
                <w:szCs w:val="21"/>
                <w:highlight w:val="none"/>
                <w:lang w:eastAsia="zh-CN"/>
              </w:rPr>
              <w:t>个月的税务局税收通用缴款书或银行电子缴税（费）凭证或税务局出具纳税情况的相关证明，依法免税的，应提供依法免税的相关证明文件（扫描件加盖电子公章）；</w:t>
            </w:r>
          </w:p>
          <w:p>
            <w:pPr>
              <w:keepNext w:val="0"/>
              <w:keepLines w:val="0"/>
              <w:pageBreakBefore w:val="0"/>
              <w:widowControl w:val="0"/>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cs="宋体"/>
                <w:sz w:val="21"/>
                <w:szCs w:val="21"/>
                <w:highlight w:val="none"/>
                <w:lang w:eastAsia="zh-CN"/>
              </w:rPr>
            </w:pPr>
            <w:r>
              <w:rPr>
                <w:rFonts w:hint="eastAsia" w:ascii="宋体" w:hAnsi="宋体" w:cs="宋体"/>
                <w:sz w:val="21"/>
                <w:szCs w:val="21"/>
                <w:highlight w:val="none"/>
                <w:lang w:eastAsia="zh-CN"/>
              </w:rPr>
              <w:t>1.4.2投标时须提供缴费所属时间在20</w:t>
            </w:r>
            <w:r>
              <w:rPr>
                <w:rFonts w:hint="eastAsia" w:ascii="宋体" w:hAnsi="宋体" w:cs="宋体"/>
                <w:sz w:val="21"/>
                <w:szCs w:val="21"/>
                <w:highlight w:val="none"/>
                <w:lang w:val="en-US" w:eastAsia="zh-CN"/>
              </w:rPr>
              <w:t>22</w:t>
            </w:r>
            <w:r>
              <w:rPr>
                <w:rFonts w:hint="eastAsia" w:ascii="宋体" w:hAnsi="宋体" w:cs="宋体"/>
                <w:sz w:val="21"/>
                <w:szCs w:val="21"/>
                <w:highlight w:val="none"/>
                <w:lang w:eastAsia="zh-CN"/>
              </w:rPr>
              <w:t>年</w:t>
            </w:r>
            <w:r>
              <w:rPr>
                <w:rFonts w:hint="eastAsia" w:ascii="宋体" w:hAnsi="宋体" w:cs="宋体"/>
                <w:sz w:val="21"/>
                <w:szCs w:val="21"/>
                <w:highlight w:val="none"/>
                <w:lang w:val="en-US" w:eastAsia="zh-CN"/>
              </w:rPr>
              <w:t>3</w:t>
            </w:r>
            <w:r>
              <w:rPr>
                <w:rFonts w:hint="eastAsia" w:ascii="宋体" w:hAnsi="宋体" w:cs="宋体"/>
                <w:sz w:val="21"/>
                <w:szCs w:val="21"/>
                <w:highlight w:val="none"/>
                <w:lang w:eastAsia="zh-CN"/>
              </w:rPr>
              <w:t>月至本项目投标文件提交截止时间前任意</w:t>
            </w:r>
            <w:r>
              <w:rPr>
                <w:rFonts w:hint="eastAsia" w:ascii="宋体" w:hAnsi="宋体" w:cs="宋体"/>
                <w:sz w:val="21"/>
                <w:szCs w:val="21"/>
                <w:highlight w:val="none"/>
                <w:lang w:val="en-US" w:eastAsia="zh-CN"/>
              </w:rPr>
              <w:t>1</w:t>
            </w:r>
            <w:r>
              <w:rPr>
                <w:rFonts w:hint="eastAsia" w:ascii="宋体" w:hAnsi="宋体" w:cs="宋体"/>
                <w:sz w:val="21"/>
                <w:szCs w:val="21"/>
                <w:highlight w:val="none"/>
                <w:lang w:eastAsia="zh-CN"/>
              </w:rPr>
              <w:t>个月的社会保障资金缴款书或银行电子缴税（费）凭证或社保管理部门出具的有效的缴款证明，依法不需要缴纳的，应提供依法不需要缴纳的相关证明文件（扫描件加盖电子公章）；</w:t>
            </w:r>
          </w:p>
          <w:p>
            <w:pPr>
              <w:keepNext w:val="0"/>
              <w:keepLines w:val="0"/>
              <w:pageBreakBefore w:val="0"/>
              <w:widowControl w:val="0"/>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cs="宋体"/>
                <w:sz w:val="21"/>
                <w:szCs w:val="21"/>
                <w:highlight w:val="none"/>
                <w:lang w:eastAsia="zh-CN"/>
              </w:rPr>
              <w:t>1.5投标人参加政府采购活动前三年内，在经营活动中没有重大违法记录（重大违法记录，是指投标人因违法经营受到刑事处罚或者责令停产停业、吊销许可证或者执照、较大数额罚款等行政处罚）的书面声明（扫描件加盖电子公章）</w:t>
            </w:r>
            <w:r>
              <w:rPr>
                <w:rFonts w:hint="eastAsia" w:ascii="宋体" w:hAnsi="宋体" w:eastAsia="宋体" w:cs="宋体"/>
                <w:color w:val="auto"/>
                <w:sz w:val="21"/>
                <w:szCs w:val="21"/>
                <w:highlight w:val="none"/>
              </w:rPr>
              <w:t>；</w:t>
            </w:r>
          </w:p>
          <w:p>
            <w:pPr>
              <w:keepNext w:val="0"/>
              <w:keepLines w:val="0"/>
              <w:pageBreakBefore w:val="0"/>
              <w:widowControl w:val="0"/>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szCs w:val="21"/>
                <w:highlight w:val="none"/>
                <w:lang w:eastAsia="zh-CN"/>
              </w:rPr>
            </w:pPr>
            <w:r>
              <w:rPr>
                <w:rFonts w:hint="eastAsia" w:ascii="宋体" w:hAnsi="宋体" w:cs="宋体"/>
                <w:color w:val="auto"/>
                <w:sz w:val="21"/>
                <w:szCs w:val="21"/>
                <w:highlight w:val="none"/>
                <w:lang w:eastAsia="zh-CN"/>
              </w:rPr>
              <w:t>1.</w:t>
            </w:r>
            <w:r>
              <w:rPr>
                <w:rFonts w:hint="eastAsia" w:ascii="宋体" w:hAnsi="宋体" w:eastAsia="宋体" w:cs="宋体"/>
                <w:color w:val="auto"/>
                <w:sz w:val="21"/>
                <w:szCs w:val="21"/>
                <w:highlight w:val="none"/>
              </w:rPr>
              <w:t>6法律、行政法规规定的其他条件：</w:t>
            </w:r>
            <w:r>
              <w:rPr>
                <w:rFonts w:hint="eastAsia" w:ascii="宋体" w:hAnsi="宋体" w:cs="宋体"/>
                <w:color w:val="auto"/>
                <w:sz w:val="21"/>
                <w:szCs w:val="21"/>
                <w:highlight w:val="none"/>
                <w:lang w:val="en-US" w:eastAsia="zh-CN"/>
              </w:rPr>
              <w:t>投标人</w:t>
            </w:r>
            <w:r>
              <w:rPr>
                <w:rFonts w:hint="eastAsia" w:ascii="宋体" w:hAnsi="宋体" w:cs="宋体"/>
                <w:color w:val="auto"/>
                <w:szCs w:val="21"/>
                <w:highlight w:val="none"/>
              </w:rPr>
              <w:t>在本项目投标文件提交截止时间前</w:t>
            </w:r>
            <w:r>
              <w:rPr>
                <w:rFonts w:hint="eastAsia" w:ascii="宋体" w:hAnsi="宋体" w:eastAsia="宋体" w:cs="宋体"/>
                <w:color w:val="auto"/>
                <w:sz w:val="21"/>
                <w:szCs w:val="21"/>
                <w:highlight w:val="none"/>
              </w:rPr>
              <w:t>未被列入“信用中国”网站（</w:t>
            </w:r>
            <w:r>
              <w:rPr>
                <w:rFonts w:hint="eastAsia" w:ascii="宋体" w:hAnsi="宋体" w:eastAsia="宋体" w:cs="宋体"/>
                <w:color w:val="auto"/>
                <w:sz w:val="21"/>
                <w:szCs w:val="21"/>
                <w:highlight w:val="none"/>
              </w:rPr>
              <w:fldChar w:fldCharType="begin"/>
            </w:r>
            <w:r>
              <w:rPr>
                <w:rFonts w:hint="eastAsia" w:ascii="宋体" w:hAnsi="宋体" w:eastAsia="宋体" w:cs="宋体"/>
                <w:color w:val="auto"/>
                <w:sz w:val="21"/>
                <w:szCs w:val="21"/>
                <w:highlight w:val="none"/>
              </w:rPr>
              <w:instrText xml:space="preserve"> HYPERLINK "http://www.creditchina.gov.cn）失信被执行人、重大税收违法案件当事人名单、政府采购严重违法失信行为记录名单" \t "_blank" </w:instrText>
            </w:r>
            <w:r>
              <w:rPr>
                <w:rFonts w:hint="eastAsia" w:ascii="宋体" w:hAnsi="宋体" w:eastAsia="宋体" w:cs="宋体"/>
                <w:color w:val="auto"/>
                <w:sz w:val="21"/>
                <w:szCs w:val="21"/>
                <w:highlight w:val="none"/>
              </w:rPr>
              <w:fldChar w:fldCharType="separate"/>
            </w:r>
            <w:r>
              <w:rPr>
                <w:rFonts w:hint="eastAsia" w:ascii="宋体" w:hAnsi="宋体" w:eastAsia="宋体" w:cs="宋体"/>
                <w:color w:val="auto"/>
                <w:sz w:val="21"/>
                <w:szCs w:val="21"/>
                <w:highlight w:val="none"/>
              </w:rPr>
              <w:t>www.creditchina.gov.cn）失信被执行人、重大税收违法案件当事人名单、政府采购严重违法失信行为记录名单</w:t>
            </w:r>
            <w:r>
              <w:rPr>
                <w:rFonts w:hint="eastAsia" w:ascii="宋体" w:hAnsi="宋体" w:eastAsia="宋体" w:cs="宋体"/>
                <w:color w:val="auto"/>
                <w:sz w:val="21"/>
                <w:szCs w:val="21"/>
                <w:highlight w:val="none"/>
              </w:rPr>
              <w:fldChar w:fldCharType="end"/>
            </w:r>
            <w:r>
              <w:rPr>
                <w:rFonts w:hint="eastAsia" w:ascii="宋体" w:hAnsi="宋体" w:eastAsia="宋体" w:cs="宋体"/>
                <w:color w:val="auto"/>
                <w:sz w:val="21"/>
                <w:szCs w:val="21"/>
                <w:highlight w:val="none"/>
              </w:rPr>
              <w:t>；未被列入中国政府采购网（</w:t>
            </w:r>
            <w:r>
              <w:rPr>
                <w:rFonts w:hint="eastAsia" w:ascii="宋体" w:hAnsi="宋体" w:eastAsia="宋体" w:cs="宋体"/>
                <w:color w:val="auto"/>
                <w:sz w:val="21"/>
                <w:szCs w:val="21"/>
                <w:highlight w:val="none"/>
              </w:rPr>
              <w:fldChar w:fldCharType="begin"/>
            </w:r>
            <w:r>
              <w:rPr>
                <w:rFonts w:hint="eastAsia" w:ascii="宋体" w:hAnsi="宋体" w:eastAsia="宋体" w:cs="宋体"/>
                <w:color w:val="auto"/>
                <w:sz w:val="21"/>
                <w:szCs w:val="21"/>
                <w:highlight w:val="none"/>
              </w:rPr>
              <w:instrText xml:space="preserve"> HYPERLINK "http://www.ccgp.gov.cn）“政府采购严重违法失信行为信息记录”(被禁止在一定期限内参加政府采购活动但期限届满的除外)" \t "_blank" </w:instrText>
            </w:r>
            <w:r>
              <w:rPr>
                <w:rFonts w:hint="eastAsia" w:ascii="宋体" w:hAnsi="宋体" w:eastAsia="宋体" w:cs="宋体"/>
                <w:color w:val="auto"/>
                <w:sz w:val="21"/>
                <w:szCs w:val="21"/>
                <w:highlight w:val="none"/>
              </w:rPr>
              <w:fldChar w:fldCharType="separate"/>
            </w:r>
            <w:r>
              <w:rPr>
                <w:rFonts w:hint="eastAsia" w:ascii="宋体" w:hAnsi="宋体" w:eastAsia="宋体" w:cs="宋体"/>
                <w:color w:val="auto"/>
                <w:sz w:val="21"/>
                <w:szCs w:val="21"/>
                <w:highlight w:val="none"/>
              </w:rPr>
              <w:t>www.ccgp.gov.cn）“政府采购严重违法失信行为信息记录”(被禁止在一定期限内参加政府采购活动但期限届满的除外)</w:t>
            </w:r>
            <w:r>
              <w:rPr>
                <w:rFonts w:hint="eastAsia" w:ascii="宋体" w:hAnsi="宋体" w:eastAsia="宋体" w:cs="宋体"/>
                <w:color w:val="auto"/>
                <w:sz w:val="21"/>
                <w:szCs w:val="21"/>
                <w:highlight w:val="none"/>
              </w:rPr>
              <w:fldChar w:fldCharType="end"/>
            </w:r>
            <w:r>
              <w:rPr>
                <w:rFonts w:hint="eastAsia" w:ascii="宋体" w:hAnsi="宋体" w:eastAsia="宋体" w:cs="宋体"/>
                <w:color w:val="auto"/>
                <w:sz w:val="21"/>
                <w:szCs w:val="21"/>
                <w:highlight w:val="none"/>
              </w:rPr>
              <w:t>；备注：参与本项目的供应商信用查询截止时点：本项目招标公告发布之日起至投标文件递交截止时间，</w:t>
            </w:r>
            <w:r>
              <w:rPr>
                <w:rFonts w:hint="eastAsia" w:ascii="宋体" w:hAnsi="宋体" w:cs="宋体"/>
                <w:color w:val="auto"/>
                <w:szCs w:val="21"/>
                <w:highlight w:val="none"/>
              </w:rPr>
              <w:t>查询结果以采购人、采购代理机构</w:t>
            </w:r>
            <w:r>
              <w:rPr>
                <w:rFonts w:hint="eastAsia" w:ascii="宋体" w:hAnsi="宋体" w:cs="宋体"/>
                <w:color w:val="auto"/>
                <w:szCs w:val="21"/>
                <w:highlight w:val="none"/>
                <w:lang w:val="en-US" w:eastAsia="zh-CN"/>
              </w:rPr>
              <w:t>在开标结束后</w:t>
            </w:r>
            <w:r>
              <w:rPr>
                <w:rFonts w:hint="eastAsia" w:ascii="宋体" w:hAnsi="宋体" w:eastAsia="宋体" w:cs="宋体"/>
                <w:color w:val="auto"/>
                <w:sz w:val="21"/>
                <w:szCs w:val="21"/>
                <w:highlight w:val="none"/>
              </w:rPr>
              <w:t>通过上述网站查询</w:t>
            </w:r>
            <w:r>
              <w:rPr>
                <w:rFonts w:hint="eastAsia" w:ascii="宋体" w:hAnsi="宋体" w:cs="宋体"/>
                <w:color w:val="auto"/>
                <w:szCs w:val="21"/>
                <w:highlight w:val="none"/>
              </w:rPr>
              <w:t>结果为准，采购人、采购代理机构</w:t>
            </w:r>
            <w:r>
              <w:rPr>
                <w:rFonts w:hint="eastAsia" w:ascii="宋体" w:hAnsi="宋体" w:cs="宋体"/>
                <w:color w:val="auto"/>
                <w:szCs w:val="21"/>
                <w:highlight w:val="none"/>
                <w:lang w:val="en-US" w:eastAsia="zh-CN"/>
              </w:rPr>
              <w:t>将查询结果</w:t>
            </w:r>
            <w:r>
              <w:rPr>
                <w:rFonts w:hint="eastAsia" w:ascii="宋体" w:hAnsi="宋体" w:eastAsia="宋体" w:cs="宋体"/>
                <w:color w:val="auto"/>
                <w:sz w:val="21"/>
                <w:szCs w:val="21"/>
                <w:highlight w:val="none"/>
              </w:rPr>
              <w:t>提供给评标委员会；对存在以上不良信用记录的供应商处理方法和评标标准：按否决投标处理</w:t>
            </w:r>
            <w:r>
              <w:rPr>
                <w:rFonts w:hint="eastAsia" w:ascii="宋体" w:hAnsi="宋体" w:eastAsia="宋体" w:cs="宋体"/>
                <w:color w:val="auto"/>
                <w:sz w:val="21"/>
                <w:szCs w:val="21"/>
                <w:highlight w:val="none"/>
                <w:lang w:eastAsia="zh-CN"/>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1034" w:type="dxa"/>
            <w:vAlign w:val="center"/>
          </w:tcPr>
          <w:p>
            <w:pPr>
              <w:spacing w:line="360" w:lineRule="exact"/>
              <w:jc w:val="center"/>
              <w:rPr>
                <w:rFonts w:hint="eastAsia"/>
                <w:szCs w:val="21"/>
                <w:highlight w:val="none"/>
              </w:rPr>
            </w:pPr>
            <w:r>
              <w:rPr>
                <w:rFonts w:hint="eastAsia"/>
                <w:szCs w:val="21"/>
                <w:highlight w:val="none"/>
              </w:rPr>
              <w:t>3.2</w:t>
            </w:r>
          </w:p>
        </w:tc>
        <w:tc>
          <w:tcPr>
            <w:tcW w:w="2215" w:type="dxa"/>
            <w:vAlign w:val="center"/>
          </w:tcPr>
          <w:p>
            <w:pPr>
              <w:spacing w:line="400" w:lineRule="exact"/>
              <w:jc w:val="center"/>
              <w:rPr>
                <w:rFonts w:hint="eastAsia" w:ascii="宋体" w:hAnsi="宋体"/>
                <w:szCs w:val="21"/>
                <w:highlight w:val="none"/>
              </w:rPr>
            </w:pPr>
            <w:r>
              <w:rPr>
                <w:rFonts w:hint="eastAsia" w:ascii="宋体" w:hAnsi="宋体"/>
                <w:szCs w:val="21"/>
                <w:highlight w:val="none"/>
              </w:rPr>
              <w:t>特定资格条件</w:t>
            </w:r>
          </w:p>
        </w:tc>
        <w:tc>
          <w:tcPr>
            <w:tcW w:w="6038" w:type="dxa"/>
            <w:vAlign w:val="center"/>
          </w:tcPr>
          <w:p>
            <w:pPr>
              <w:spacing w:line="400" w:lineRule="exact"/>
              <w:jc w:val="left"/>
              <w:rPr>
                <w:rFonts w:hint="eastAsia" w:ascii="宋体" w:hAnsi="宋体" w:eastAsia="宋体"/>
                <w:szCs w:val="21"/>
                <w:highlight w:val="none"/>
                <w:lang w:eastAsia="zh-CN"/>
              </w:rPr>
            </w:pPr>
            <w:r>
              <w:rPr>
                <w:rFonts w:hint="eastAsia" w:ascii="宋体" w:hAnsi="宋体" w:cs="宋体"/>
                <w:color w:val="auto"/>
                <w:sz w:val="21"/>
                <w:szCs w:val="21"/>
                <w:highlight w:val="none"/>
                <w:lang w:val="en-US" w:eastAsia="zh-CN"/>
              </w:rPr>
              <w:t>供应商拟派本项目项目组成员不少于5人，其中项目负责人须具备一级造价工程师，具备中级及以上职称。</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rPr>
          <w:trHeight w:val="20" w:hRule="atLeast"/>
          <w:jc w:val="center"/>
        </w:trPr>
        <w:tc>
          <w:tcPr>
            <w:tcW w:w="1034" w:type="dxa"/>
            <w:vAlign w:val="center"/>
          </w:tcPr>
          <w:p>
            <w:pPr>
              <w:spacing w:line="360" w:lineRule="exact"/>
              <w:jc w:val="center"/>
              <w:rPr>
                <w:rFonts w:hint="eastAsia"/>
                <w:szCs w:val="21"/>
                <w:highlight w:val="none"/>
              </w:rPr>
            </w:pPr>
            <w:r>
              <w:rPr>
                <w:rFonts w:hint="eastAsia"/>
                <w:szCs w:val="21"/>
                <w:highlight w:val="none"/>
              </w:rPr>
              <w:t>3.3</w:t>
            </w:r>
          </w:p>
        </w:tc>
        <w:tc>
          <w:tcPr>
            <w:tcW w:w="2215" w:type="dxa"/>
            <w:vAlign w:val="center"/>
          </w:tcPr>
          <w:p>
            <w:pPr>
              <w:spacing w:line="400" w:lineRule="exact"/>
              <w:jc w:val="center"/>
              <w:rPr>
                <w:rFonts w:hint="eastAsia" w:ascii="宋体" w:hAnsi="宋体"/>
                <w:szCs w:val="21"/>
                <w:highlight w:val="none"/>
              </w:rPr>
            </w:pPr>
            <w:r>
              <w:rPr>
                <w:rFonts w:ascii="宋体" w:hAnsi="宋体"/>
                <w:szCs w:val="21"/>
                <w:highlight w:val="none"/>
              </w:rPr>
              <w:t>投标人信用</w:t>
            </w:r>
            <w:r>
              <w:rPr>
                <w:rFonts w:hint="eastAsia" w:ascii="宋体" w:hAnsi="宋体"/>
                <w:szCs w:val="21"/>
                <w:highlight w:val="none"/>
              </w:rPr>
              <w:t>信息时间及渠道</w:t>
            </w:r>
          </w:p>
        </w:tc>
        <w:tc>
          <w:tcPr>
            <w:tcW w:w="6038" w:type="dxa"/>
            <w:vAlign w:val="center"/>
          </w:tcPr>
          <w:p>
            <w:pPr>
              <w:spacing w:line="400" w:lineRule="exact"/>
              <w:jc w:val="left"/>
              <w:rPr>
                <w:rFonts w:hint="eastAsia" w:ascii="宋体" w:hAnsi="宋体"/>
                <w:szCs w:val="21"/>
                <w:highlight w:val="none"/>
              </w:rPr>
            </w:pPr>
            <w:r>
              <w:rPr>
                <w:rFonts w:ascii="宋体" w:hAnsi="宋体"/>
                <w:szCs w:val="21"/>
                <w:highlight w:val="none"/>
              </w:rPr>
              <w:t>详见第一章</w:t>
            </w:r>
            <w:r>
              <w:rPr>
                <w:rFonts w:hint="eastAsia" w:ascii="宋体" w:hAnsi="宋体"/>
                <w:szCs w:val="21"/>
                <w:highlight w:val="none"/>
              </w:rPr>
              <w:t>“</w:t>
            </w:r>
            <w:r>
              <w:rPr>
                <w:rFonts w:ascii="宋体" w:hAnsi="宋体"/>
                <w:szCs w:val="21"/>
                <w:highlight w:val="none"/>
              </w:rPr>
              <w:t>招标公告</w:t>
            </w:r>
            <w:r>
              <w:rPr>
                <w:rFonts w:hint="eastAsia" w:ascii="宋体" w:hAnsi="宋体"/>
                <w:szCs w:val="21"/>
                <w:highlight w:val="none"/>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1034" w:type="dxa"/>
            <w:vAlign w:val="center"/>
          </w:tcPr>
          <w:p>
            <w:pPr>
              <w:spacing w:line="360" w:lineRule="exact"/>
              <w:jc w:val="center"/>
              <w:rPr>
                <w:rFonts w:hint="eastAsia"/>
                <w:szCs w:val="21"/>
                <w:highlight w:val="none"/>
              </w:rPr>
            </w:pPr>
            <w:r>
              <w:rPr>
                <w:szCs w:val="21"/>
                <w:highlight w:val="none"/>
              </w:rPr>
              <w:t>3.</w:t>
            </w:r>
            <w:r>
              <w:rPr>
                <w:rFonts w:hint="eastAsia"/>
                <w:szCs w:val="21"/>
                <w:highlight w:val="none"/>
              </w:rPr>
              <w:t>4（</w:t>
            </w:r>
            <w:r>
              <w:rPr>
                <w:rFonts w:hint="eastAsia"/>
                <w:szCs w:val="21"/>
                <w:highlight w:val="none"/>
                <w:lang w:val="en-US" w:eastAsia="zh-CN"/>
              </w:rPr>
              <w:t>3</w:t>
            </w:r>
            <w:r>
              <w:rPr>
                <w:rFonts w:hint="eastAsia"/>
                <w:szCs w:val="21"/>
                <w:highlight w:val="none"/>
              </w:rPr>
              <w:t>）</w:t>
            </w:r>
          </w:p>
        </w:tc>
        <w:tc>
          <w:tcPr>
            <w:tcW w:w="2215" w:type="dxa"/>
            <w:vAlign w:val="center"/>
          </w:tcPr>
          <w:p>
            <w:pPr>
              <w:spacing w:line="400" w:lineRule="exact"/>
              <w:jc w:val="center"/>
              <w:rPr>
                <w:rFonts w:ascii="宋体" w:hAnsi="宋体"/>
                <w:szCs w:val="21"/>
                <w:highlight w:val="none"/>
              </w:rPr>
            </w:pPr>
            <w:r>
              <w:rPr>
                <w:rFonts w:hint="eastAsia" w:ascii="宋体" w:hAnsi="宋体"/>
                <w:szCs w:val="21"/>
                <w:highlight w:val="none"/>
              </w:rPr>
              <w:t>投标人不得存在的其他关联情形</w:t>
            </w:r>
          </w:p>
        </w:tc>
        <w:tc>
          <w:tcPr>
            <w:tcW w:w="6038" w:type="dxa"/>
            <w:vAlign w:val="center"/>
          </w:tcPr>
          <w:p>
            <w:pPr>
              <w:spacing w:line="400" w:lineRule="exact"/>
              <w:jc w:val="left"/>
              <w:rPr>
                <w:rFonts w:hint="eastAsia" w:ascii="宋体" w:hAnsi="宋体" w:eastAsia="宋体"/>
                <w:szCs w:val="21"/>
                <w:highlight w:val="none"/>
                <w:lang w:val="en-US" w:eastAsia="zh-CN"/>
              </w:rPr>
            </w:pPr>
            <w:r>
              <w:rPr>
                <w:rFonts w:hint="eastAsia" w:ascii="宋体" w:hAnsi="宋体" w:eastAsia="宋体"/>
                <w:szCs w:val="21"/>
                <w:highlight w:val="none"/>
                <w:lang w:val="en-US" w:eastAsia="zh-CN"/>
              </w:rPr>
              <w:t>1.曾参与协审项目的审计、监理、控制价及价款结算编制的；</w:t>
            </w:r>
          </w:p>
          <w:p>
            <w:pPr>
              <w:spacing w:line="400" w:lineRule="exact"/>
              <w:jc w:val="left"/>
              <w:rPr>
                <w:rFonts w:hint="eastAsia" w:ascii="宋体" w:hAnsi="宋体" w:eastAsia="宋体"/>
                <w:szCs w:val="21"/>
                <w:highlight w:val="none"/>
                <w:lang w:val="en-US" w:eastAsia="zh-CN"/>
              </w:rPr>
            </w:pPr>
            <w:r>
              <w:rPr>
                <w:rFonts w:hint="eastAsia" w:ascii="宋体" w:hAnsi="宋体" w:eastAsia="宋体"/>
                <w:szCs w:val="21"/>
                <w:highlight w:val="none"/>
                <w:lang w:val="en-US" w:eastAsia="zh-CN"/>
              </w:rPr>
              <w:t>2.曾受建设单位委托参与协审项目跟踪审计和初审工作的；</w:t>
            </w:r>
          </w:p>
          <w:p>
            <w:pPr>
              <w:spacing w:line="400" w:lineRule="exact"/>
              <w:jc w:val="left"/>
              <w:rPr>
                <w:rFonts w:hint="eastAsia" w:ascii="宋体" w:hAnsi="宋体" w:eastAsia="宋体"/>
                <w:szCs w:val="21"/>
                <w:highlight w:val="none"/>
                <w:lang w:val="en-US" w:eastAsia="zh-CN"/>
              </w:rPr>
            </w:pPr>
            <w:r>
              <w:rPr>
                <w:rFonts w:hint="eastAsia" w:ascii="宋体" w:hAnsi="宋体" w:eastAsia="宋体"/>
                <w:szCs w:val="21"/>
                <w:highlight w:val="none"/>
                <w:lang w:val="en-US" w:eastAsia="zh-CN"/>
              </w:rPr>
              <w:t>3.与被审计单位或者审计事项有利害关系的；</w:t>
            </w:r>
          </w:p>
          <w:p>
            <w:pPr>
              <w:spacing w:line="400" w:lineRule="exact"/>
              <w:jc w:val="left"/>
              <w:rPr>
                <w:rFonts w:hint="eastAsia" w:ascii="宋体" w:hAnsi="宋体" w:eastAsia="宋体"/>
                <w:szCs w:val="21"/>
                <w:highlight w:val="none"/>
                <w:lang w:val="en-US" w:eastAsia="zh-CN"/>
              </w:rPr>
            </w:pPr>
            <w:r>
              <w:rPr>
                <w:rFonts w:hint="eastAsia" w:ascii="宋体" w:hAnsi="宋体" w:eastAsia="宋体"/>
                <w:szCs w:val="21"/>
                <w:highlight w:val="none"/>
                <w:lang w:val="en-US" w:eastAsia="zh-CN"/>
              </w:rPr>
              <w:t>4.其他影响审计公正事项的。</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rPr>
          <w:trHeight w:val="20" w:hRule="atLeast"/>
          <w:jc w:val="center"/>
        </w:trPr>
        <w:tc>
          <w:tcPr>
            <w:tcW w:w="1034" w:type="dxa"/>
            <w:vAlign w:val="center"/>
          </w:tcPr>
          <w:p>
            <w:pPr>
              <w:spacing w:line="360" w:lineRule="exact"/>
              <w:jc w:val="center"/>
              <w:rPr>
                <w:rFonts w:hint="eastAsia"/>
                <w:szCs w:val="21"/>
                <w:highlight w:val="none"/>
              </w:rPr>
            </w:pPr>
            <w:r>
              <w:rPr>
                <w:szCs w:val="21"/>
                <w:highlight w:val="none"/>
              </w:rPr>
              <w:t>3.</w:t>
            </w:r>
            <w:r>
              <w:rPr>
                <w:rFonts w:hint="eastAsia"/>
                <w:szCs w:val="21"/>
                <w:highlight w:val="none"/>
              </w:rPr>
              <w:t>5</w:t>
            </w:r>
          </w:p>
        </w:tc>
        <w:tc>
          <w:tcPr>
            <w:tcW w:w="2215" w:type="dxa"/>
            <w:vAlign w:val="center"/>
          </w:tcPr>
          <w:p>
            <w:pPr>
              <w:spacing w:line="400" w:lineRule="exact"/>
              <w:jc w:val="center"/>
              <w:rPr>
                <w:rFonts w:ascii="宋体" w:hAnsi="宋体"/>
                <w:szCs w:val="21"/>
                <w:highlight w:val="none"/>
              </w:rPr>
            </w:pPr>
            <w:r>
              <w:rPr>
                <w:rFonts w:ascii="宋体" w:hAnsi="宋体"/>
                <w:szCs w:val="21"/>
                <w:highlight w:val="none"/>
              </w:rPr>
              <w:t>是否接受联合体投标</w:t>
            </w:r>
          </w:p>
        </w:tc>
        <w:tc>
          <w:tcPr>
            <w:tcW w:w="6038" w:type="dxa"/>
            <w:vAlign w:val="center"/>
          </w:tcPr>
          <w:p>
            <w:pPr>
              <w:spacing w:line="440" w:lineRule="exact"/>
              <w:rPr>
                <w:rFonts w:hint="eastAsia" w:ascii="宋体" w:hAnsi="宋体" w:cs="宋体"/>
                <w:szCs w:val="21"/>
                <w:highlight w:val="none"/>
              </w:rPr>
            </w:pPr>
            <w:r>
              <w:rPr>
                <w:bCs/>
                <w:szCs w:val="21"/>
                <w:highlight w:val="none"/>
              </w:rPr>
              <w:t>详</w:t>
            </w:r>
            <w:r>
              <w:rPr>
                <w:szCs w:val="21"/>
                <w:highlight w:val="none"/>
              </w:rPr>
              <w:t>见第一章</w:t>
            </w:r>
            <w:r>
              <w:rPr>
                <w:rFonts w:hint="eastAsia"/>
                <w:szCs w:val="21"/>
                <w:highlight w:val="none"/>
              </w:rPr>
              <w:t>“</w:t>
            </w:r>
            <w:r>
              <w:rPr>
                <w:szCs w:val="21"/>
                <w:highlight w:val="none"/>
              </w:rPr>
              <w:t>招标公告</w:t>
            </w:r>
            <w:r>
              <w:rPr>
                <w:rFonts w:hint="eastAsia"/>
                <w:szCs w:val="21"/>
                <w:highlight w:val="none"/>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1034" w:type="dxa"/>
            <w:vAlign w:val="center"/>
          </w:tcPr>
          <w:p>
            <w:pPr>
              <w:spacing w:line="360" w:lineRule="exact"/>
              <w:jc w:val="center"/>
              <w:rPr>
                <w:szCs w:val="21"/>
                <w:highlight w:val="none"/>
              </w:rPr>
            </w:pPr>
            <w:r>
              <w:rPr>
                <w:szCs w:val="21"/>
                <w:highlight w:val="none"/>
              </w:rPr>
              <w:t>4.2</w:t>
            </w:r>
          </w:p>
        </w:tc>
        <w:tc>
          <w:tcPr>
            <w:tcW w:w="2215" w:type="dxa"/>
            <w:vAlign w:val="center"/>
          </w:tcPr>
          <w:p>
            <w:pPr>
              <w:spacing w:line="360" w:lineRule="exact"/>
              <w:jc w:val="center"/>
              <w:rPr>
                <w:szCs w:val="21"/>
                <w:highlight w:val="none"/>
              </w:rPr>
            </w:pPr>
            <w:r>
              <w:rPr>
                <w:szCs w:val="21"/>
                <w:highlight w:val="none"/>
              </w:rPr>
              <w:t>招标代理服务费</w:t>
            </w:r>
          </w:p>
        </w:tc>
        <w:tc>
          <w:tcPr>
            <w:tcW w:w="6038" w:type="dxa"/>
          </w:tcPr>
          <w:p>
            <w:pPr>
              <w:spacing w:line="360" w:lineRule="exact"/>
              <w:jc w:val="left"/>
              <w:rPr>
                <w:rFonts w:ascii="宋体" w:hAnsi="宋体" w:cs="宋体"/>
                <w:szCs w:val="21"/>
                <w:highlight w:val="none"/>
              </w:rPr>
            </w:pPr>
            <w:r>
              <w:rPr>
                <w:rFonts w:hint="eastAsia"/>
                <w:kern w:val="2"/>
                <w:sz w:val="21"/>
                <w:szCs w:val="21"/>
                <w:highlight w:val="none"/>
                <w:lang w:val="en-US" w:eastAsia="zh-CN" w:bidi="ar-SA"/>
              </w:rPr>
              <w:t>参照发改价格〔2015〕299号文件、发改办价格[2003]857号及计价格[2002]1980号文件规定的收费标准由中标人支付（计算基准为中标金额）。</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1034" w:type="dxa"/>
            <w:vAlign w:val="center"/>
          </w:tcPr>
          <w:p>
            <w:pPr>
              <w:spacing w:line="360" w:lineRule="exact"/>
              <w:jc w:val="center"/>
              <w:rPr>
                <w:szCs w:val="21"/>
                <w:highlight w:val="none"/>
              </w:rPr>
            </w:pPr>
            <w:r>
              <w:rPr>
                <w:szCs w:val="21"/>
                <w:highlight w:val="none"/>
              </w:rPr>
              <w:t>8.1</w:t>
            </w:r>
          </w:p>
        </w:tc>
        <w:tc>
          <w:tcPr>
            <w:tcW w:w="2215" w:type="dxa"/>
            <w:vAlign w:val="center"/>
          </w:tcPr>
          <w:p>
            <w:pPr>
              <w:spacing w:line="360" w:lineRule="exact"/>
              <w:jc w:val="center"/>
              <w:rPr>
                <w:szCs w:val="21"/>
                <w:highlight w:val="none"/>
              </w:rPr>
            </w:pPr>
            <w:r>
              <w:rPr>
                <w:szCs w:val="21"/>
                <w:highlight w:val="none"/>
              </w:rPr>
              <w:t>现场考察</w:t>
            </w:r>
          </w:p>
        </w:tc>
        <w:tc>
          <w:tcPr>
            <w:tcW w:w="6038" w:type="dxa"/>
            <w:vAlign w:val="center"/>
          </w:tcPr>
          <w:p>
            <w:pPr>
              <w:spacing w:line="360" w:lineRule="exact"/>
              <w:rPr>
                <w:rFonts w:hint="eastAsia" w:ascii="宋体" w:hAnsi="宋体" w:cs="宋体"/>
                <w:szCs w:val="21"/>
                <w:highlight w:val="none"/>
              </w:rPr>
            </w:pPr>
            <w:r>
              <w:rPr>
                <w:rFonts w:ascii="Wingdings 2" w:hAnsi="Wingdings 2" w:cs="宋体"/>
                <w:szCs w:val="21"/>
                <w:highlight w:val="none"/>
              </w:rPr>
              <w:t>R</w:t>
            </w:r>
            <w:r>
              <w:rPr>
                <w:rFonts w:hint="eastAsia" w:ascii="宋体" w:hAnsi="宋体" w:cs="宋体"/>
                <w:szCs w:val="21"/>
                <w:highlight w:val="none"/>
              </w:rPr>
              <w:t>不组织</w:t>
            </w:r>
          </w:p>
          <w:p>
            <w:pPr>
              <w:spacing w:line="360" w:lineRule="exact"/>
              <w:rPr>
                <w:rFonts w:ascii="宋体" w:hAnsi="宋体" w:cs="宋体"/>
                <w:szCs w:val="21"/>
                <w:highlight w:val="none"/>
              </w:rPr>
            </w:pPr>
            <w:r>
              <w:rPr>
                <w:rFonts w:hint="eastAsia" w:ascii="宋体" w:hAnsi="宋体" w:cs="宋体"/>
                <w:szCs w:val="21"/>
                <w:highlight w:val="none"/>
              </w:rPr>
              <w:t>□组织   时间：</w:t>
            </w:r>
            <w:r>
              <w:rPr>
                <w:rFonts w:hint="eastAsia" w:ascii="宋体" w:hAnsi="宋体" w:cs="宋体"/>
                <w:szCs w:val="21"/>
                <w:highlight w:val="none"/>
                <w:u w:val="single"/>
              </w:rPr>
              <w:t xml:space="preserve">      </w:t>
            </w:r>
            <w:r>
              <w:rPr>
                <w:rFonts w:hint="eastAsia" w:ascii="宋体" w:hAnsi="宋体" w:cs="宋体"/>
                <w:szCs w:val="21"/>
                <w:highlight w:val="none"/>
              </w:rPr>
              <w:t xml:space="preserve"> 集中地点：</w:t>
            </w:r>
            <w:r>
              <w:rPr>
                <w:rFonts w:hint="eastAsia" w:ascii="宋体" w:hAnsi="宋体" w:cs="宋体"/>
                <w:szCs w:val="21"/>
                <w:highlight w:val="none"/>
                <w:u w:val="single"/>
              </w:rPr>
              <w:t xml:space="preserve">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1034" w:type="dxa"/>
            <w:vAlign w:val="center"/>
          </w:tcPr>
          <w:p>
            <w:pPr>
              <w:spacing w:line="360" w:lineRule="exact"/>
              <w:jc w:val="center"/>
              <w:rPr>
                <w:szCs w:val="21"/>
                <w:highlight w:val="none"/>
              </w:rPr>
            </w:pPr>
            <w:r>
              <w:rPr>
                <w:szCs w:val="21"/>
                <w:highlight w:val="none"/>
              </w:rPr>
              <w:t>9.1</w:t>
            </w:r>
          </w:p>
        </w:tc>
        <w:tc>
          <w:tcPr>
            <w:tcW w:w="2215" w:type="dxa"/>
            <w:vAlign w:val="center"/>
          </w:tcPr>
          <w:p>
            <w:pPr>
              <w:spacing w:line="360" w:lineRule="exact"/>
              <w:jc w:val="center"/>
              <w:rPr>
                <w:szCs w:val="21"/>
                <w:highlight w:val="none"/>
              </w:rPr>
            </w:pPr>
            <w:r>
              <w:rPr>
                <w:szCs w:val="21"/>
                <w:highlight w:val="none"/>
              </w:rPr>
              <w:t>开标前答疑会</w:t>
            </w:r>
          </w:p>
        </w:tc>
        <w:tc>
          <w:tcPr>
            <w:tcW w:w="6038" w:type="dxa"/>
            <w:vAlign w:val="center"/>
          </w:tcPr>
          <w:p>
            <w:pPr>
              <w:spacing w:line="360" w:lineRule="exact"/>
              <w:rPr>
                <w:rFonts w:hint="eastAsia" w:ascii="宋体" w:hAnsi="宋体" w:cs="宋体"/>
                <w:szCs w:val="21"/>
                <w:highlight w:val="none"/>
              </w:rPr>
            </w:pPr>
            <w:r>
              <w:rPr>
                <w:rFonts w:ascii="Wingdings 2" w:hAnsi="Wingdings 2" w:cs="宋体"/>
                <w:szCs w:val="21"/>
                <w:highlight w:val="none"/>
              </w:rPr>
              <w:t>R</w:t>
            </w:r>
            <w:r>
              <w:rPr>
                <w:rFonts w:hint="eastAsia" w:ascii="宋体" w:hAnsi="宋体" w:cs="宋体"/>
                <w:szCs w:val="21"/>
                <w:highlight w:val="none"/>
              </w:rPr>
              <w:t>不召开</w:t>
            </w:r>
          </w:p>
          <w:p>
            <w:pPr>
              <w:spacing w:line="360" w:lineRule="exact"/>
              <w:rPr>
                <w:rFonts w:ascii="宋体" w:hAnsi="宋体" w:cs="宋体"/>
                <w:szCs w:val="21"/>
                <w:highlight w:val="none"/>
              </w:rPr>
            </w:pPr>
            <w:r>
              <w:rPr>
                <w:rFonts w:hint="eastAsia" w:ascii="宋体" w:hAnsi="宋体" w:cs="宋体"/>
                <w:szCs w:val="21"/>
                <w:highlight w:val="none"/>
              </w:rPr>
              <w:t>□召开   时间：</w:t>
            </w:r>
            <w:r>
              <w:rPr>
                <w:rFonts w:hint="eastAsia" w:ascii="宋体" w:hAnsi="宋体" w:cs="宋体"/>
                <w:szCs w:val="21"/>
                <w:highlight w:val="none"/>
                <w:u w:val="single"/>
              </w:rPr>
              <w:t xml:space="preserve">      </w:t>
            </w:r>
            <w:r>
              <w:rPr>
                <w:rFonts w:hint="eastAsia" w:ascii="宋体" w:hAnsi="宋体" w:cs="宋体"/>
                <w:szCs w:val="21"/>
                <w:highlight w:val="none"/>
              </w:rPr>
              <w:t xml:space="preserve"> 地点：</w:t>
            </w:r>
            <w:r>
              <w:rPr>
                <w:rFonts w:hint="eastAsia" w:ascii="宋体" w:hAnsi="宋体" w:cs="宋体"/>
                <w:szCs w:val="21"/>
                <w:highlight w:val="none"/>
                <w:u w:val="single"/>
              </w:rPr>
              <w:t xml:space="preserve">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1034" w:type="dxa"/>
            <w:vAlign w:val="center"/>
          </w:tcPr>
          <w:p>
            <w:pPr>
              <w:spacing w:line="360" w:lineRule="exact"/>
              <w:jc w:val="center"/>
              <w:rPr>
                <w:szCs w:val="21"/>
                <w:highlight w:val="none"/>
              </w:rPr>
            </w:pPr>
            <w:r>
              <w:rPr>
                <w:szCs w:val="21"/>
                <w:highlight w:val="none"/>
              </w:rPr>
              <w:t>10.9</w:t>
            </w:r>
          </w:p>
        </w:tc>
        <w:tc>
          <w:tcPr>
            <w:tcW w:w="2215" w:type="dxa"/>
            <w:vAlign w:val="center"/>
          </w:tcPr>
          <w:p>
            <w:pPr>
              <w:spacing w:line="360" w:lineRule="exact"/>
              <w:jc w:val="center"/>
              <w:rPr>
                <w:szCs w:val="21"/>
                <w:highlight w:val="none"/>
              </w:rPr>
            </w:pPr>
            <w:r>
              <w:rPr>
                <w:szCs w:val="21"/>
                <w:highlight w:val="none"/>
              </w:rPr>
              <w:t>接收质疑</w:t>
            </w:r>
          </w:p>
        </w:tc>
        <w:tc>
          <w:tcPr>
            <w:tcW w:w="6038" w:type="dxa"/>
            <w:vAlign w:val="center"/>
          </w:tcPr>
          <w:p>
            <w:pPr>
              <w:spacing w:line="360" w:lineRule="exact"/>
              <w:rPr>
                <w:szCs w:val="21"/>
                <w:highlight w:val="none"/>
              </w:rPr>
            </w:pPr>
            <w:r>
              <w:rPr>
                <w:szCs w:val="21"/>
                <w:highlight w:val="none"/>
              </w:rPr>
              <w:t>接收质疑函部门：云南中咨海外咨询有限公司；</w:t>
            </w:r>
          </w:p>
          <w:p>
            <w:pPr>
              <w:spacing w:line="360" w:lineRule="exact"/>
              <w:jc w:val="left"/>
              <w:rPr>
                <w:szCs w:val="21"/>
                <w:highlight w:val="none"/>
              </w:rPr>
            </w:pPr>
            <w:r>
              <w:rPr>
                <w:szCs w:val="21"/>
                <w:highlight w:val="none"/>
              </w:rPr>
              <w:t>联系人：</w:t>
            </w:r>
            <w:r>
              <w:rPr>
                <w:rFonts w:hint="eastAsia"/>
                <w:spacing w:val="6"/>
                <w:kern w:val="0"/>
                <w:szCs w:val="21"/>
                <w:highlight w:val="none"/>
                <w:u w:val="single"/>
                <w:lang w:eastAsia="zh-CN"/>
              </w:rPr>
              <w:t>杨云波</w:t>
            </w:r>
            <w:r>
              <w:rPr>
                <w:szCs w:val="21"/>
                <w:highlight w:val="none"/>
              </w:rPr>
              <w:t xml:space="preserve">；联系电话：0871-64563522 </w:t>
            </w:r>
            <w:r>
              <w:rPr>
                <w:rFonts w:hint="eastAsia"/>
                <w:szCs w:val="21"/>
                <w:highlight w:val="none"/>
                <w:lang w:val="en-US" w:eastAsia="zh-CN"/>
              </w:rPr>
              <w:t xml:space="preserve"> </w:t>
            </w:r>
            <w:r>
              <w:rPr>
                <w:rFonts w:hint="eastAsia"/>
                <w:szCs w:val="21"/>
                <w:highlight w:val="none"/>
                <w:lang w:eastAsia="zh-CN"/>
              </w:rPr>
              <w:t>19988453473</w:t>
            </w:r>
            <w:r>
              <w:rPr>
                <w:szCs w:val="21"/>
                <w:highlight w:val="none"/>
              </w:rPr>
              <w:t>；</w:t>
            </w:r>
          </w:p>
          <w:p>
            <w:pPr>
              <w:spacing w:line="360" w:lineRule="exact"/>
              <w:rPr>
                <w:szCs w:val="21"/>
                <w:highlight w:val="none"/>
              </w:rPr>
            </w:pPr>
            <w:r>
              <w:rPr>
                <w:szCs w:val="21"/>
                <w:highlight w:val="none"/>
              </w:rPr>
              <w:t>通讯地址：</w:t>
            </w:r>
            <w:r>
              <w:rPr>
                <w:rFonts w:hint="eastAsia"/>
                <w:szCs w:val="21"/>
                <w:highlight w:val="none"/>
                <w:lang w:eastAsia="zh-CN"/>
              </w:rPr>
              <w:t>西藏自治区拉萨市房地产开发总公司第八期安居园3区2排2号（西藏分公司）</w:t>
            </w:r>
            <w:r>
              <w:rPr>
                <w:szCs w:val="21"/>
                <w:highlight w:val="none"/>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1034" w:type="dxa"/>
            <w:vAlign w:val="center"/>
          </w:tcPr>
          <w:p>
            <w:pPr>
              <w:spacing w:line="360" w:lineRule="exact"/>
              <w:jc w:val="center"/>
              <w:rPr>
                <w:szCs w:val="21"/>
                <w:highlight w:val="none"/>
              </w:rPr>
            </w:pPr>
            <w:r>
              <w:rPr>
                <w:rFonts w:hint="eastAsia"/>
                <w:szCs w:val="21"/>
                <w:highlight w:val="none"/>
              </w:rPr>
              <w:t>14.1</w:t>
            </w:r>
          </w:p>
        </w:tc>
        <w:tc>
          <w:tcPr>
            <w:tcW w:w="2215" w:type="dxa"/>
            <w:vAlign w:val="center"/>
          </w:tcPr>
          <w:p>
            <w:pPr>
              <w:spacing w:line="400" w:lineRule="exact"/>
              <w:jc w:val="center"/>
              <w:rPr>
                <w:szCs w:val="21"/>
                <w:highlight w:val="none"/>
              </w:rPr>
            </w:pPr>
            <w:r>
              <w:rPr>
                <w:rFonts w:hint="eastAsia" w:ascii="宋体" w:hAnsi="宋体"/>
                <w:szCs w:val="21"/>
                <w:highlight w:val="none"/>
              </w:rPr>
              <w:t>招标文件的询问时间</w:t>
            </w:r>
          </w:p>
        </w:tc>
        <w:tc>
          <w:tcPr>
            <w:tcW w:w="6038" w:type="dxa"/>
            <w:vAlign w:val="center"/>
          </w:tcPr>
          <w:p>
            <w:pPr>
              <w:spacing w:line="400" w:lineRule="exact"/>
              <w:rPr>
                <w:szCs w:val="21"/>
                <w:highlight w:val="none"/>
              </w:rPr>
            </w:pPr>
            <w:r>
              <w:rPr>
                <w:rFonts w:hint="eastAsia" w:hAnsi="宋体"/>
                <w:szCs w:val="21"/>
                <w:highlight w:val="none"/>
              </w:rPr>
              <w:t>投标人应认真阅读招标文件，如有疑问的，投标人可以向采购人或采购代理机构提出询问或者登录拉萨市公共资源交易网 （http://ggzy.lasa.gov.cn/），通过在线方式提出询问，采购人或者采购代理机构在接到询问后的3个工作日内对投标人依法提出的询问作出答复，但答复的内容不涉及商业秘密</w:t>
            </w:r>
            <w:r>
              <w:rPr>
                <w:rFonts w:hint="eastAsia" w:ascii="宋体" w:hAnsi="宋体"/>
                <w:szCs w:val="21"/>
                <w:highlight w:val="none"/>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rPr>
          <w:trHeight w:val="20" w:hRule="atLeast"/>
          <w:jc w:val="center"/>
        </w:trPr>
        <w:tc>
          <w:tcPr>
            <w:tcW w:w="1034" w:type="dxa"/>
            <w:vAlign w:val="center"/>
          </w:tcPr>
          <w:p>
            <w:pPr>
              <w:spacing w:line="360" w:lineRule="exact"/>
              <w:jc w:val="center"/>
              <w:rPr>
                <w:szCs w:val="21"/>
                <w:highlight w:val="none"/>
              </w:rPr>
            </w:pPr>
            <w:r>
              <w:rPr>
                <w:szCs w:val="21"/>
                <w:highlight w:val="none"/>
              </w:rPr>
              <w:t>14.2</w:t>
            </w:r>
          </w:p>
        </w:tc>
        <w:tc>
          <w:tcPr>
            <w:tcW w:w="2215" w:type="dxa"/>
            <w:vAlign w:val="center"/>
          </w:tcPr>
          <w:p>
            <w:pPr>
              <w:spacing w:line="360" w:lineRule="exact"/>
              <w:jc w:val="center"/>
              <w:rPr>
                <w:rFonts w:ascii="宋体" w:hAnsi="宋体" w:cs="宋体"/>
                <w:szCs w:val="21"/>
                <w:highlight w:val="none"/>
              </w:rPr>
            </w:pPr>
            <w:r>
              <w:rPr>
                <w:rFonts w:hint="eastAsia" w:ascii="宋体" w:hAnsi="宋体" w:cs="宋体"/>
                <w:szCs w:val="21"/>
                <w:highlight w:val="none"/>
              </w:rPr>
              <w:t>招标文件询问联系方式</w:t>
            </w:r>
          </w:p>
        </w:tc>
        <w:tc>
          <w:tcPr>
            <w:tcW w:w="6038" w:type="dxa"/>
            <w:vAlign w:val="center"/>
          </w:tcPr>
          <w:p>
            <w:pPr>
              <w:autoSpaceDE w:val="0"/>
              <w:autoSpaceDN w:val="0"/>
              <w:snapToGrid w:val="0"/>
              <w:textAlignment w:val="bottom"/>
              <w:rPr>
                <w:szCs w:val="21"/>
                <w:highlight w:val="none"/>
              </w:rPr>
            </w:pPr>
            <w:r>
              <w:rPr>
                <w:szCs w:val="21"/>
                <w:highlight w:val="none"/>
              </w:rPr>
              <w:t>询问联系人：</w:t>
            </w:r>
            <w:r>
              <w:rPr>
                <w:rFonts w:hint="eastAsia"/>
                <w:spacing w:val="6"/>
                <w:kern w:val="0"/>
                <w:szCs w:val="21"/>
                <w:highlight w:val="none"/>
                <w:u w:val="single"/>
                <w:lang w:eastAsia="zh-CN"/>
              </w:rPr>
              <w:t>杨云波</w:t>
            </w:r>
            <w:r>
              <w:rPr>
                <w:szCs w:val="21"/>
                <w:highlight w:val="none"/>
              </w:rPr>
              <w:t xml:space="preserve">； </w:t>
            </w:r>
          </w:p>
          <w:p>
            <w:pPr>
              <w:spacing w:line="360" w:lineRule="exact"/>
              <w:rPr>
                <w:szCs w:val="21"/>
                <w:highlight w:val="none"/>
              </w:rPr>
            </w:pPr>
            <w:r>
              <w:rPr>
                <w:szCs w:val="21"/>
                <w:highlight w:val="none"/>
              </w:rPr>
              <w:t>电话：</w:t>
            </w:r>
            <w:r>
              <w:rPr>
                <w:rFonts w:hint="eastAsia"/>
                <w:szCs w:val="21"/>
                <w:highlight w:val="none"/>
                <w:lang w:eastAsia="zh-CN"/>
              </w:rPr>
              <w:t>19988453473</w:t>
            </w:r>
            <w:r>
              <w:rPr>
                <w:szCs w:val="21"/>
                <w:highlight w:val="none"/>
              </w:rPr>
              <w:t xml:space="preserve">；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1034" w:type="dxa"/>
            <w:vAlign w:val="center"/>
          </w:tcPr>
          <w:p>
            <w:pPr>
              <w:spacing w:line="360" w:lineRule="exact"/>
              <w:jc w:val="center"/>
              <w:rPr>
                <w:szCs w:val="21"/>
                <w:highlight w:val="none"/>
              </w:rPr>
            </w:pPr>
            <w:r>
              <w:rPr>
                <w:rFonts w:hint="eastAsia" w:ascii="宋体" w:hAnsi="宋体"/>
                <w:szCs w:val="21"/>
                <w:highlight w:val="none"/>
              </w:rPr>
              <w:t>14.3</w:t>
            </w:r>
          </w:p>
        </w:tc>
        <w:tc>
          <w:tcPr>
            <w:tcW w:w="2215" w:type="dxa"/>
            <w:vAlign w:val="center"/>
          </w:tcPr>
          <w:p>
            <w:pPr>
              <w:spacing w:line="400" w:lineRule="exact"/>
              <w:jc w:val="center"/>
              <w:rPr>
                <w:rFonts w:hint="eastAsia"/>
                <w:szCs w:val="21"/>
                <w:highlight w:val="none"/>
              </w:rPr>
            </w:pPr>
            <w:r>
              <w:rPr>
                <w:rFonts w:hint="eastAsia" w:ascii="宋体" w:hAnsi="宋体"/>
                <w:szCs w:val="21"/>
                <w:highlight w:val="none"/>
              </w:rPr>
              <w:t>招标文件澄清、修改时间</w:t>
            </w:r>
          </w:p>
        </w:tc>
        <w:tc>
          <w:tcPr>
            <w:tcW w:w="6038" w:type="dxa"/>
            <w:vAlign w:val="center"/>
          </w:tcPr>
          <w:p>
            <w:pPr>
              <w:spacing w:line="400" w:lineRule="exact"/>
              <w:rPr>
                <w:b/>
                <w:szCs w:val="21"/>
                <w:highlight w:val="none"/>
              </w:rPr>
            </w:pPr>
            <w:r>
              <w:rPr>
                <w:rFonts w:hint="eastAsia" w:hAnsi="宋体"/>
                <w:szCs w:val="21"/>
                <w:highlight w:val="none"/>
              </w:rPr>
              <w:t>采购人、采购代理机构可以对已发出的招标文件进行必要的澄清或者修改，澄清或者修改的内容作为招标文件的组成部分。采购人、采购代理机构将</w:t>
            </w:r>
            <w:r>
              <w:rPr>
                <w:rFonts w:hint="eastAsia" w:ascii="宋体" w:hAnsi="宋体"/>
                <w:szCs w:val="21"/>
                <w:highlight w:val="none"/>
              </w:rPr>
              <w:t>同时发布</w:t>
            </w:r>
            <w:r>
              <w:rPr>
                <w:rFonts w:hint="eastAsia" w:hAnsi="宋体"/>
                <w:szCs w:val="21"/>
                <w:highlight w:val="none"/>
              </w:rPr>
              <w:t>澄清、修改</w:t>
            </w:r>
            <w:r>
              <w:rPr>
                <w:rFonts w:hint="eastAsia" w:ascii="宋体" w:hAnsi="宋体"/>
                <w:szCs w:val="21"/>
                <w:highlight w:val="none"/>
              </w:rPr>
              <w:t>文件进行说明以保证投标人能重新下载并用于编制投标文件。招标文件的澄清、修改文件内容均以网上电子文件为准，当招标文件、招标文件澄清、修改文件内容前后相互矛盾时，以最后发出的为准。</w:t>
            </w:r>
            <w:r>
              <w:rPr>
                <w:rFonts w:hint="eastAsia" w:hAnsi="宋体"/>
                <w:szCs w:val="21"/>
                <w:highlight w:val="none"/>
              </w:rPr>
              <w:t>澄清或者修改的内容可能影响投标文件编制的，采购人或者采购代理机构将在投标截止时间至少15日前，</w:t>
            </w:r>
            <w:r>
              <w:rPr>
                <w:rFonts w:hint="eastAsia" w:ascii="宋体" w:hAnsi="宋体"/>
                <w:szCs w:val="21"/>
                <w:highlight w:val="none"/>
              </w:rPr>
              <w:t>以网上电子文件</w:t>
            </w:r>
            <w:r>
              <w:rPr>
                <w:rFonts w:hint="eastAsia" w:hAnsi="宋体"/>
                <w:szCs w:val="21"/>
                <w:highlight w:val="none"/>
              </w:rPr>
              <w:t>形式通知所有接收招标文件的投标人，不足15日的，采购人或者采购代理机构将顺延提交投标文件的截止时间。</w:t>
            </w:r>
            <w:r>
              <w:rPr>
                <w:rFonts w:hint="eastAsia" w:ascii="宋体" w:hAnsi="宋体"/>
                <w:szCs w:val="21"/>
                <w:highlight w:val="none"/>
              </w:rPr>
              <w:t>投标人应在电子投标文件提交截止时间前及时登录</w:t>
            </w:r>
            <w:r>
              <w:rPr>
                <w:rFonts w:hint="eastAsia" w:hAnsi="宋体" w:cs="宋体"/>
                <w:szCs w:val="21"/>
                <w:lang w:eastAsia="zh-CN"/>
              </w:rPr>
              <w:t>拉萨市公共资源交易网 （http://ggzy.lasa.gov.cn/）</w:t>
            </w:r>
            <w:r>
              <w:rPr>
                <w:rFonts w:hint="eastAsia" w:ascii="宋体" w:hAnsi="宋体"/>
                <w:szCs w:val="21"/>
                <w:highlight w:val="none"/>
              </w:rPr>
              <w:t>中查看有关该项目招标文件的</w:t>
            </w:r>
            <w:r>
              <w:rPr>
                <w:rFonts w:hint="eastAsia" w:hAnsi="宋体"/>
                <w:szCs w:val="21"/>
                <w:highlight w:val="none"/>
              </w:rPr>
              <w:t>澄清、修改</w:t>
            </w:r>
            <w:r>
              <w:rPr>
                <w:rFonts w:hint="eastAsia" w:ascii="宋体" w:hAnsi="宋体"/>
                <w:szCs w:val="21"/>
                <w:highlight w:val="none"/>
              </w:rPr>
              <w:t>内容。如因投标人自身原因导致未及时查看有关该项目招标文件的</w:t>
            </w:r>
            <w:r>
              <w:rPr>
                <w:rFonts w:hint="eastAsia" w:hAnsi="宋体"/>
                <w:szCs w:val="21"/>
                <w:highlight w:val="none"/>
              </w:rPr>
              <w:t>澄清、修改</w:t>
            </w:r>
            <w:r>
              <w:rPr>
                <w:rFonts w:hint="eastAsia" w:ascii="宋体" w:hAnsi="宋体"/>
                <w:szCs w:val="21"/>
                <w:highlight w:val="none"/>
              </w:rPr>
              <w:t>内容，由此造成的一切后果由投标自行承担。</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1034" w:type="dxa"/>
            <w:vAlign w:val="center"/>
          </w:tcPr>
          <w:p>
            <w:pPr>
              <w:spacing w:line="360" w:lineRule="exact"/>
              <w:jc w:val="center"/>
              <w:rPr>
                <w:szCs w:val="21"/>
                <w:highlight w:val="none"/>
              </w:rPr>
            </w:pPr>
            <w:r>
              <w:rPr>
                <w:szCs w:val="21"/>
                <w:highlight w:val="none"/>
              </w:rPr>
              <w:t>15.3</w:t>
            </w:r>
          </w:p>
        </w:tc>
        <w:tc>
          <w:tcPr>
            <w:tcW w:w="2215" w:type="dxa"/>
            <w:vAlign w:val="center"/>
          </w:tcPr>
          <w:p>
            <w:pPr>
              <w:autoSpaceDE w:val="0"/>
              <w:autoSpaceDN w:val="0"/>
              <w:snapToGrid w:val="0"/>
              <w:spacing w:line="276" w:lineRule="auto"/>
              <w:jc w:val="center"/>
              <w:textAlignment w:val="bottom"/>
              <w:rPr>
                <w:color w:val="000000"/>
                <w:szCs w:val="21"/>
                <w:highlight w:val="none"/>
              </w:rPr>
            </w:pPr>
            <w:r>
              <w:rPr>
                <w:b/>
                <w:color w:val="000000"/>
                <w:szCs w:val="21"/>
                <w:highlight w:val="none"/>
              </w:rPr>
              <w:t>★</w:t>
            </w:r>
            <w:r>
              <w:rPr>
                <w:color w:val="000000"/>
                <w:szCs w:val="21"/>
                <w:highlight w:val="none"/>
              </w:rPr>
              <w:t>实质性要求和条件</w:t>
            </w:r>
          </w:p>
        </w:tc>
        <w:tc>
          <w:tcPr>
            <w:tcW w:w="6038" w:type="dxa"/>
            <w:vAlign w:val="center"/>
          </w:tcPr>
          <w:p>
            <w:pPr>
              <w:autoSpaceDE w:val="0"/>
              <w:autoSpaceDN w:val="0"/>
              <w:snapToGrid w:val="0"/>
              <w:spacing w:line="400" w:lineRule="exact"/>
              <w:textAlignment w:val="bottom"/>
              <w:rPr>
                <w:rFonts w:ascii="宋体"/>
                <w:bCs/>
                <w:color w:val="000000"/>
                <w:szCs w:val="21"/>
                <w:highlight w:val="none"/>
              </w:rPr>
            </w:pPr>
            <w:r>
              <w:rPr>
                <w:rFonts w:hint="eastAsia" w:ascii="宋体"/>
                <w:bCs/>
                <w:color w:val="000000"/>
                <w:szCs w:val="21"/>
                <w:highlight w:val="none"/>
              </w:rPr>
              <w:t>本招标文件中标注</w:t>
            </w:r>
            <w:r>
              <w:rPr>
                <w:b/>
                <w:color w:val="000000"/>
                <w:szCs w:val="21"/>
                <w:highlight w:val="none"/>
              </w:rPr>
              <w:t>★</w:t>
            </w:r>
            <w:r>
              <w:rPr>
                <w:rFonts w:hint="eastAsia" w:ascii="宋体"/>
                <w:bCs/>
                <w:color w:val="000000"/>
                <w:szCs w:val="21"/>
                <w:highlight w:val="none"/>
              </w:rPr>
              <w:t>号的条款为不允许偏离的实质性要求和条件</w:t>
            </w:r>
            <w:r>
              <w:rPr>
                <w:rFonts w:hint="eastAsia" w:ascii="宋体"/>
                <w:b/>
                <w:bCs/>
                <w:color w:val="000000"/>
                <w:szCs w:val="21"/>
                <w:highlight w:val="none"/>
              </w:rPr>
              <w:t>。</w:t>
            </w:r>
            <w:r>
              <w:rPr>
                <w:rFonts w:hint="eastAsia" w:ascii="宋体"/>
                <w:bCs/>
                <w:color w:val="000000"/>
                <w:szCs w:val="21"/>
                <w:highlight w:val="none"/>
              </w:rPr>
              <w:t>请各投标人仔细阅读。</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rPr>
          <w:trHeight w:val="20" w:hRule="atLeast"/>
          <w:jc w:val="center"/>
        </w:trPr>
        <w:tc>
          <w:tcPr>
            <w:tcW w:w="1034" w:type="dxa"/>
            <w:vAlign w:val="center"/>
          </w:tcPr>
          <w:p>
            <w:pPr>
              <w:spacing w:line="360" w:lineRule="exact"/>
              <w:jc w:val="center"/>
              <w:rPr>
                <w:szCs w:val="21"/>
                <w:highlight w:val="none"/>
              </w:rPr>
            </w:pPr>
            <w:r>
              <w:rPr>
                <w:rFonts w:hint="eastAsia"/>
                <w:szCs w:val="21"/>
                <w:highlight w:val="none"/>
              </w:rPr>
              <w:t>16.1</w:t>
            </w:r>
          </w:p>
        </w:tc>
        <w:tc>
          <w:tcPr>
            <w:tcW w:w="2215" w:type="dxa"/>
            <w:vAlign w:val="center"/>
          </w:tcPr>
          <w:p>
            <w:pPr>
              <w:autoSpaceDE w:val="0"/>
              <w:autoSpaceDN w:val="0"/>
              <w:snapToGrid w:val="0"/>
              <w:spacing w:line="276" w:lineRule="auto"/>
              <w:jc w:val="center"/>
              <w:textAlignment w:val="bottom"/>
              <w:rPr>
                <w:b/>
                <w:color w:val="000000"/>
                <w:szCs w:val="21"/>
                <w:highlight w:val="none"/>
              </w:rPr>
            </w:pPr>
            <w:r>
              <w:rPr>
                <w:rFonts w:hint="eastAsia"/>
                <w:b w:val="0"/>
                <w:bCs/>
                <w:color w:val="000000"/>
                <w:szCs w:val="21"/>
                <w:highlight w:val="none"/>
              </w:rPr>
              <w:t>是否提交纸质投标文件</w:t>
            </w:r>
          </w:p>
        </w:tc>
        <w:tc>
          <w:tcPr>
            <w:tcW w:w="6038" w:type="dxa"/>
            <w:vAlign w:val="center"/>
          </w:tcPr>
          <w:p>
            <w:pPr>
              <w:autoSpaceDE w:val="0"/>
              <w:autoSpaceDN w:val="0"/>
              <w:snapToGrid w:val="0"/>
              <w:spacing w:line="400" w:lineRule="exact"/>
              <w:textAlignment w:val="bottom"/>
              <w:rPr>
                <w:rFonts w:hint="eastAsia" w:ascii="宋体"/>
                <w:bCs/>
                <w:color w:val="000000"/>
                <w:szCs w:val="21"/>
                <w:highlight w:val="none"/>
              </w:rPr>
            </w:pPr>
            <w:r>
              <w:rPr>
                <w:rFonts w:hint="eastAsia" w:ascii="宋体"/>
                <w:bCs/>
                <w:color w:val="000000"/>
                <w:szCs w:val="21"/>
                <w:highlight w:val="none"/>
              </w:rPr>
              <w:t>本项目投标时不需要提供纸质投标文件，确定中标人后，中标人须</w:t>
            </w:r>
            <w:r>
              <w:rPr>
                <w:rFonts w:hint="eastAsia" w:ascii="宋体"/>
                <w:bCs/>
                <w:color w:val="000000"/>
                <w:szCs w:val="21"/>
                <w:highlight w:val="none"/>
                <w:lang w:val="en-US" w:eastAsia="zh-CN"/>
              </w:rPr>
              <w:t>按采购人要求</w:t>
            </w:r>
            <w:r>
              <w:rPr>
                <w:rFonts w:hint="eastAsia" w:ascii="宋体"/>
                <w:bCs/>
                <w:color w:val="000000"/>
                <w:szCs w:val="21"/>
                <w:highlight w:val="none"/>
              </w:rPr>
              <w:t>提供网上上传的电子投标文件完全一致的纸质标书。</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1034" w:type="dxa"/>
            <w:vAlign w:val="center"/>
          </w:tcPr>
          <w:p>
            <w:pPr>
              <w:spacing w:line="360" w:lineRule="exact"/>
              <w:jc w:val="center"/>
              <w:rPr>
                <w:szCs w:val="21"/>
                <w:highlight w:val="none"/>
              </w:rPr>
            </w:pPr>
            <w:r>
              <w:rPr>
                <w:szCs w:val="21"/>
                <w:highlight w:val="none"/>
              </w:rPr>
              <w:t>16.2.1</w:t>
            </w:r>
          </w:p>
        </w:tc>
        <w:tc>
          <w:tcPr>
            <w:tcW w:w="2215" w:type="dxa"/>
            <w:vAlign w:val="center"/>
          </w:tcPr>
          <w:p>
            <w:pPr>
              <w:spacing w:line="360" w:lineRule="exact"/>
              <w:jc w:val="center"/>
              <w:rPr>
                <w:szCs w:val="21"/>
                <w:highlight w:val="none"/>
              </w:rPr>
            </w:pPr>
            <w:r>
              <w:rPr>
                <w:b/>
                <w:color w:val="000000"/>
                <w:szCs w:val="21"/>
                <w:highlight w:val="none"/>
              </w:rPr>
              <w:t>★</w:t>
            </w:r>
            <w:r>
              <w:rPr>
                <w:szCs w:val="21"/>
                <w:highlight w:val="none"/>
              </w:rPr>
              <w:t>资格证明文件</w:t>
            </w:r>
          </w:p>
        </w:tc>
        <w:tc>
          <w:tcPr>
            <w:tcW w:w="6038" w:type="dxa"/>
            <w:vAlign w:val="center"/>
          </w:tcPr>
          <w:p>
            <w:pPr>
              <w:rPr>
                <w:rFonts w:ascii="宋体" w:hAnsi="宋体" w:cs="宋体"/>
                <w:color w:val="0070C0"/>
                <w:szCs w:val="21"/>
                <w:highlight w:val="none"/>
              </w:rPr>
            </w:pPr>
            <w:r>
              <w:rPr>
                <w:bCs/>
                <w:szCs w:val="21"/>
                <w:highlight w:val="none"/>
              </w:rPr>
              <w:t>详</w:t>
            </w:r>
            <w:r>
              <w:rPr>
                <w:szCs w:val="21"/>
                <w:highlight w:val="none"/>
              </w:rPr>
              <w:t>见第</w:t>
            </w:r>
            <w:r>
              <w:rPr>
                <w:rFonts w:hint="eastAsia"/>
                <w:szCs w:val="21"/>
                <w:highlight w:val="none"/>
              </w:rPr>
              <w:t>一</w:t>
            </w:r>
            <w:r>
              <w:rPr>
                <w:szCs w:val="21"/>
                <w:highlight w:val="none"/>
              </w:rPr>
              <w:t>章</w:t>
            </w:r>
            <w:r>
              <w:rPr>
                <w:rFonts w:hint="eastAsia"/>
                <w:szCs w:val="21"/>
                <w:highlight w:val="none"/>
              </w:rPr>
              <w:t>“</w:t>
            </w:r>
            <w:r>
              <w:rPr>
                <w:szCs w:val="21"/>
                <w:highlight w:val="none"/>
              </w:rPr>
              <w:t>招标公告</w:t>
            </w:r>
            <w:r>
              <w:rPr>
                <w:rFonts w:hint="eastAsia"/>
                <w:szCs w:val="21"/>
                <w:highlight w:val="none"/>
              </w:rPr>
              <w:t>”及</w:t>
            </w:r>
            <w:r>
              <w:rPr>
                <w:szCs w:val="21"/>
                <w:highlight w:val="none"/>
              </w:rPr>
              <w:t>第</w:t>
            </w:r>
            <w:r>
              <w:rPr>
                <w:rFonts w:hint="eastAsia"/>
                <w:szCs w:val="21"/>
                <w:highlight w:val="none"/>
              </w:rPr>
              <w:t>六</w:t>
            </w:r>
            <w:r>
              <w:rPr>
                <w:szCs w:val="21"/>
                <w:highlight w:val="none"/>
              </w:rPr>
              <w:t>章</w:t>
            </w:r>
            <w:r>
              <w:rPr>
                <w:rFonts w:hint="eastAsia"/>
                <w:szCs w:val="21"/>
                <w:highlight w:val="none"/>
              </w:rPr>
              <w:t>“评标办法”</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1034" w:type="dxa"/>
            <w:vAlign w:val="center"/>
          </w:tcPr>
          <w:p>
            <w:pPr>
              <w:spacing w:line="360" w:lineRule="exact"/>
              <w:jc w:val="center"/>
              <w:rPr>
                <w:rFonts w:ascii="宋体" w:hAnsi="宋体" w:cs="宋体"/>
                <w:szCs w:val="21"/>
                <w:highlight w:val="none"/>
              </w:rPr>
            </w:pPr>
            <w:r>
              <w:rPr>
                <w:szCs w:val="21"/>
                <w:highlight w:val="none"/>
              </w:rPr>
              <w:t>16.2.2（</w:t>
            </w:r>
            <w:r>
              <w:rPr>
                <w:rFonts w:hint="eastAsia"/>
                <w:szCs w:val="21"/>
                <w:highlight w:val="none"/>
              </w:rPr>
              <w:t>2</w:t>
            </w:r>
            <w:r>
              <w:rPr>
                <w:szCs w:val="21"/>
                <w:highlight w:val="none"/>
              </w:rPr>
              <w:t>）</w:t>
            </w:r>
          </w:p>
        </w:tc>
        <w:tc>
          <w:tcPr>
            <w:tcW w:w="2215" w:type="dxa"/>
            <w:vAlign w:val="center"/>
          </w:tcPr>
          <w:p>
            <w:pPr>
              <w:spacing w:line="360" w:lineRule="exact"/>
              <w:jc w:val="center"/>
              <w:rPr>
                <w:rFonts w:ascii="宋体" w:hAnsi="宋体" w:cs="宋体"/>
                <w:szCs w:val="21"/>
                <w:highlight w:val="none"/>
              </w:rPr>
            </w:pPr>
            <w:r>
              <w:rPr>
                <w:rFonts w:hint="eastAsia" w:ascii="宋体" w:hAnsi="宋体" w:cs="宋体"/>
                <w:szCs w:val="21"/>
                <w:highlight w:val="none"/>
              </w:rPr>
              <w:t>构成投标文件的其他资料</w:t>
            </w:r>
          </w:p>
        </w:tc>
        <w:tc>
          <w:tcPr>
            <w:tcW w:w="6038" w:type="dxa"/>
            <w:vAlign w:val="center"/>
          </w:tcPr>
          <w:p>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bCs/>
                <w:szCs w:val="21"/>
                <w:highlight w:val="none"/>
              </w:rPr>
            </w:pPr>
            <w:r>
              <w:rPr>
                <w:rFonts w:hint="eastAsia"/>
                <w:bCs/>
                <w:szCs w:val="21"/>
                <w:highlight w:val="none"/>
              </w:rPr>
              <w:t>1、投标保证金交纳凭证（</w:t>
            </w:r>
            <w:r>
              <w:rPr>
                <w:rFonts w:hint="eastAsia"/>
                <w:bCs/>
                <w:szCs w:val="21"/>
                <w:highlight w:val="none"/>
                <w:lang w:val="en-US" w:eastAsia="zh-CN"/>
              </w:rPr>
              <w:t>扫描</w:t>
            </w:r>
            <w:r>
              <w:rPr>
                <w:rFonts w:hint="eastAsia"/>
                <w:bCs/>
                <w:szCs w:val="21"/>
                <w:highlight w:val="none"/>
              </w:rPr>
              <w:t>件加盖公章）；</w:t>
            </w:r>
          </w:p>
          <w:p>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bCs/>
                <w:szCs w:val="21"/>
                <w:highlight w:val="none"/>
              </w:rPr>
            </w:pPr>
            <w:r>
              <w:rPr>
                <w:rFonts w:hint="eastAsia"/>
                <w:bCs/>
                <w:szCs w:val="21"/>
                <w:highlight w:val="none"/>
              </w:rPr>
              <w:t>2、第五章“采购需求”中要求提供的其他资料；</w:t>
            </w:r>
          </w:p>
          <w:p>
            <w:pPr>
              <w:keepNext w:val="0"/>
              <w:keepLines w:val="0"/>
              <w:pageBreakBefore w:val="0"/>
              <w:widowControl w:val="0"/>
              <w:kinsoku/>
              <w:wordWrap/>
              <w:overflowPunct/>
              <w:topLinePunct w:val="0"/>
              <w:autoSpaceDE/>
              <w:autoSpaceDN/>
              <w:bidi w:val="0"/>
              <w:adjustRightInd/>
              <w:snapToGrid/>
              <w:spacing w:line="400" w:lineRule="exact"/>
              <w:textAlignment w:val="auto"/>
              <w:rPr>
                <w:bCs/>
                <w:szCs w:val="21"/>
                <w:highlight w:val="none"/>
              </w:rPr>
            </w:pPr>
            <w:r>
              <w:rPr>
                <w:rFonts w:hint="eastAsia"/>
                <w:bCs/>
                <w:szCs w:val="21"/>
                <w:highlight w:val="none"/>
              </w:rPr>
              <w:t>3、招标文件中所涉及到的相关资料及证明文件及投标人认为必须提供的其他资料。</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1034" w:type="dxa"/>
            <w:vAlign w:val="center"/>
          </w:tcPr>
          <w:p>
            <w:pPr>
              <w:spacing w:line="360" w:lineRule="exact"/>
              <w:jc w:val="center"/>
              <w:rPr>
                <w:szCs w:val="21"/>
                <w:highlight w:val="none"/>
              </w:rPr>
            </w:pPr>
            <w:r>
              <w:rPr>
                <w:szCs w:val="21"/>
                <w:highlight w:val="none"/>
              </w:rPr>
              <w:t>18.1</w:t>
            </w:r>
          </w:p>
        </w:tc>
        <w:tc>
          <w:tcPr>
            <w:tcW w:w="2215" w:type="dxa"/>
            <w:vAlign w:val="center"/>
          </w:tcPr>
          <w:p>
            <w:pPr>
              <w:spacing w:line="360" w:lineRule="exact"/>
              <w:jc w:val="center"/>
              <w:rPr>
                <w:szCs w:val="21"/>
                <w:highlight w:val="none"/>
              </w:rPr>
            </w:pPr>
            <w:r>
              <w:rPr>
                <w:b/>
                <w:color w:val="000000"/>
                <w:szCs w:val="21"/>
                <w:highlight w:val="none"/>
              </w:rPr>
              <w:t>★</w:t>
            </w:r>
            <w:r>
              <w:rPr>
                <w:szCs w:val="21"/>
                <w:highlight w:val="none"/>
              </w:rPr>
              <w:t>投标有效期</w:t>
            </w:r>
          </w:p>
        </w:tc>
        <w:tc>
          <w:tcPr>
            <w:tcW w:w="6038" w:type="dxa"/>
            <w:vAlign w:val="center"/>
          </w:tcPr>
          <w:p>
            <w:pPr>
              <w:spacing w:line="360" w:lineRule="exact"/>
              <w:rPr>
                <w:szCs w:val="21"/>
                <w:highlight w:val="none"/>
              </w:rPr>
            </w:pPr>
            <w:r>
              <w:rPr>
                <w:szCs w:val="21"/>
                <w:highlight w:val="none"/>
              </w:rPr>
              <w:t>投标截止之日起</w:t>
            </w:r>
            <w:r>
              <w:rPr>
                <w:spacing w:val="6"/>
                <w:kern w:val="0"/>
                <w:szCs w:val="21"/>
                <w:highlight w:val="none"/>
                <w:u w:val="single"/>
              </w:rPr>
              <w:t xml:space="preserve"> 90  </w:t>
            </w:r>
            <w:r>
              <w:rPr>
                <w:szCs w:val="21"/>
                <w:highlight w:val="none"/>
              </w:rPr>
              <w:t>天。</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rPr>
          <w:trHeight w:val="20" w:hRule="atLeast"/>
          <w:jc w:val="center"/>
        </w:trPr>
        <w:tc>
          <w:tcPr>
            <w:tcW w:w="1034" w:type="dxa"/>
            <w:vAlign w:val="center"/>
          </w:tcPr>
          <w:p>
            <w:pPr>
              <w:spacing w:line="360" w:lineRule="exact"/>
              <w:jc w:val="center"/>
              <w:rPr>
                <w:rFonts w:ascii="宋体" w:hAnsi="宋体" w:cs="宋体"/>
                <w:szCs w:val="21"/>
                <w:highlight w:val="none"/>
              </w:rPr>
            </w:pPr>
            <w:r>
              <w:rPr>
                <w:rFonts w:hint="eastAsia"/>
                <w:szCs w:val="21"/>
                <w:highlight w:val="none"/>
              </w:rPr>
              <w:t>19.1</w:t>
            </w:r>
          </w:p>
        </w:tc>
        <w:tc>
          <w:tcPr>
            <w:tcW w:w="2215" w:type="dxa"/>
            <w:vAlign w:val="center"/>
          </w:tcPr>
          <w:p>
            <w:pPr>
              <w:spacing w:line="360" w:lineRule="exact"/>
              <w:jc w:val="center"/>
              <w:rPr>
                <w:rFonts w:ascii="宋体" w:hAnsi="宋体" w:cs="宋体"/>
                <w:szCs w:val="21"/>
                <w:highlight w:val="none"/>
              </w:rPr>
            </w:pPr>
            <w:r>
              <w:rPr>
                <w:rFonts w:hint="eastAsia" w:ascii="宋体" w:hAnsi="宋体" w:cs="宋体"/>
                <w:bCs/>
                <w:szCs w:val="21"/>
                <w:highlight w:val="none"/>
              </w:rPr>
              <w:t>投标</w:t>
            </w:r>
            <w:r>
              <w:rPr>
                <w:rFonts w:hint="eastAsia" w:ascii="宋体" w:hAnsi="宋体" w:cs="宋体"/>
                <w:szCs w:val="21"/>
                <w:highlight w:val="none"/>
              </w:rPr>
              <w:t>保证金</w:t>
            </w:r>
          </w:p>
        </w:tc>
        <w:tc>
          <w:tcPr>
            <w:tcW w:w="6038" w:type="dxa"/>
            <w:vAlign w:val="center"/>
          </w:tcPr>
          <w:p>
            <w:pPr>
              <w:pageBreakBefore w:val="0"/>
              <w:widowControl w:val="0"/>
              <w:kinsoku/>
              <w:wordWrap/>
              <w:overflowPunct/>
              <w:topLinePunct w:val="0"/>
              <w:bidi w:val="0"/>
              <w:snapToGrid w:val="0"/>
              <w:spacing w:after="0" w:line="360" w:lineRule="auto"/>
              <w:jc w:val="both"/>
              <w:rPr>
                <w:rStyle w:val="37"/>
                <w:rFonts w:ascii="Times New Roman" w:hAnsi="Times New Roman" w:eastAsia="宋体" w:cs="Times New Roman"/>
                <w:kern w:val="2"/>
                <w:sz w:val="21"/>
                <w:szCs w:val="24"/>
                <w:highlight w:val="none"/>
                <w:lang w:val="en-US" w:eastAsia="zh-CN" w:bidi="ar-SA"/>
              </w:rPr>
            </w:pPr>
            <w:r>
              <w:rPr>
                <w:rFonts w:hint="eastAsia" w:ascii="Times New Roman" w:hAnsi="Times New Roman" w:eastAsia="宋体" w:cs="Times New Roman"/>
                <w:kern w:val="2"/>
                <w:sz w:val="21"/>
                <w:szCs w:val="24"/>
                <w:highlight w:val="none"/>
                <w:lang w:val="en-US" w:eastAsia="zh-CN" w:bidi="ar-SA"/>
              </w:rPr>
              <w:t>缴纳形式：网银、电汇、支票、汇票、本票、保函等非现金形式。</w:t>
            </w:r>
          </w:p>
          <w:p>
            <w:pPr>
              <w:pageBreakBefore w:val="0"/>
              <w:widowControl w:val="0"/>
              <w:kinsoku/>
              <w:wordWrap/>
              <w:overflowPunct/>
              <w:topLinePunct w:val="0"/>
              <w:bidi w:val="0"/>
              <w:snapToGrid w:val="0"/>
              <w:spacing w:after="0" w:line="360" w:lineRule="auto"/>
              <w:jc w:val="both"/>
              <w:rPr>
                <w:rStyle w:val="37"/>
                <w:rFonts w:ascii="Times New Roman" w:hAnsi="Times New Roman" w:eastAsia="宋体" w:cs="Times New Roman"/>
                <w:kern w:val="2"/>
                <w:sz w:val="21"/>
                <w:szCs w:val="24"/>
                <w:highlight w:val="none"/>
                <w:lang w:val="en-US" w:eastAsia="zh-CN" w:bidi="ar-SA"/>
              </w:rPr>
            </w:pPr>
            <w:r>
              <w:rPr>
                <w:rFonts w:hint="eastAsia" w:ascii="Times New Roman" w:hAnsi="Times New Roman" w:eastAsia="宋体" w:cs="Times New Roman"/>
                <w:kern w:val="2"/>
                <w:sz w:val="21"/>
                <w:szCs w:val="24"/>
                <w:highlight w:val="none"/>
                <w:lang w:val="en-US" w:eastAsia="zh-CN" w:bidi="ar-SA"/>
              </w:rPr>
              <w:t>投标保证金的金额：¥</w:t>
            </w:r>
            <w:r>
              <w:rPr>
                <w:rFonts w:hint="eastAsia" w:cs="Times New Roman"/>
                <w:kern w:val="2"/>
                <w:sz w:val="21"/>
                <w:szCs w:val="24"/>
                <w:highlight w:val="none"/>
                <w:lang w:val="en-US" w:eastAsia="zh-CN" w:bidi="ar-SA"/>
              </w:rPr>
              <w:t>5000</w:t>
            </w:r>
            <w:r>
              <w:rPr>
                <w:rFonts w:hint="eastAsia" w:ascii="Times New Roman" w:hAnsi="Times New Roman" w:eastAsia="宋体" w:cs="Times New Roman"/>
                <w:kern w:val="2"/>
                <w:sz w:val="21"/>
                <w:szCs w:val="24"/>
                <w:highlight w:val="none"/>
                <w:lang w:val="en-US" w:eastAsia="zh-CN" w:bidi="ar-SA"/>
              </w:rPr>
              <w:t>元（大写：</w:t>
            </w:r>
            <w:r>
              <w:rPr>
                <w:rFonts w:hint="eastAsia" w:cs="Times New Roman"/>
                <w:kern w:val="2"/>
                <w:sz w:val="21"/>
                <w:szCs w:val="24"/>
                <w:highlight w:val="none"/>
                <w:lang w:val="en-US" w:eastAsia="zh-CN" w:bidi="ar-SA"/>
              </w:rPr>
              <w:t>伍仟元整</w:t>
            </w:r>
            <w:r>
              <w:rPr>
                <w:rFonts w:hint="eastAsia" w:ascii="Times New Roman" w:hAnsi="Times New Roman" w:eastAsia="宋体" w:cs="Times New Roman"/>
                <w:kern w:val="2"/>
                <w:sz w:val="21"/>
                <w:szCs w:val="24"/>
                <w:highlight w:val="none"/>
                <w:lang w:val="en-US" w:eastAsia="zh-CN" w:bidi="ar-SA"/>
              </w:rPr>
              <w:t>）</w:t>
            </w:r>
          </w:p>
          <w:p>
            <w:pPr>
              <w:spacing w:line="360" w:lineRule="auto"/>
              <w:rPr>
                <w:rFonts w:hint="eastAsia" w:ascii="Times New Roman" w:hAnsi="Times New Roman" w:eastAsia="宋体" w:cs="Times New Roman"/>
                <w:kern w:val="2"/>
                <w:sz w:val="21"/>
                <w:szCs w:val="24"/>
                <w:highlight w:val="none"/>
                <w:lang w:val="en-US" w:eastAsia="zh-CN" w:bidi="ar-SA"/>
              </w:rPr>
            </w:pPr>
            <w:r>
              <w:rPr>
                <w:rFonts w:hint="eastAsia" w:ascii="Times New Roman" w:hAnsi="Times New Roman" w:eastAsia="宋体" w:cs="Times New Roman"/>
                <w:kern w:val="2"/>
                <w:sz w:val="21"/>
                <w:szCs w:val="24"/>
                <w:highlight w:val="none"/>
                <w:lang w:val="en-US" w:eastAsia="zh-CN" w:bidi="ar-SA"/>
              </w:rPr>
              <w:t>（1）采用现金转账或电汇（必须从投标人基本账户一次性转出或汇出）的：</w:t>
            </w:r>
          </w:p>
          <w:p>
            <w:pPr>
              <w:spacing w:line="360" w:lineRule="auto"/>
              <w:rPr>
                <w:rFonts w:hint="eastAsia" w:ascii="Times New Roman" w:hAnsi="Times New Roman" w:eastAsia="宋体" w:cs="Times New Roman"/>
                <w:kern w:val="2"/>
                <w:sz w:val="21"/>
                <w:szCs w:val="24"/>
                <w:highlight w:val="none"/>
                <w:lang w:val="en-US" w:eastAsia="zh-CN" w:bidi="ar-SA"/>
              </w:rPr>
            </w:pPr>
            <w:r>
              <w:rPr>
                <w:rFonts w:hint="eastAsia" w:ascii="Times New Roman" w:hAnsi="Times New Roman" w:eastAsia="宋体" w:cs="Times New Roman"/>
                <w:kern w:val="2"/>
                <w:sz w:val="21"/>
                <w:szCs w:val="24"/>
                <w:highlight w:val="none"/>
                <w:lang w:val="en-US" w:eastAsia="zh-CN" w:bidi="ar-SA"/>
              </w:rPr>
              <w:t>投标保证金到账截止时间为： 同投标截止时间</w:t>
            </w:r>
          </w:p>
          <w:p>
            <w:pPr>
              <w:spacing w:line="360" w:lineRule="auto"/>
              <w:rPr>
                <w:rFonts w:hint="eastAsia" w:ascii="Times New Roman" w:hAnsi="Times New Roman" w:eastAsia="宋体" w:cs="Times New Roman"/>
                <w:kern w:val="2"/>
                <w:sz w:val="21"/>
                <w:szCs w:val="24"/>
                <w:highlight w:val="none"/>
                <w:lang w:val="en-US" w:eastAsia="zh-CN" w:bidi="ar-SA"/>
              </w:rPr>
            </w:pPr>
            <w:r>
              <w:rPr>
                <w:rFonts w:hint="eastAsia" w:ascii="Times New Roman" w:hAnsi="Times New Roman" w:eastAsia="宋体" w:cs="Times New Roman"/>
                <w:kern w:val="2"/>
                <w:sz w:val="21"/>
                <w:szCs w:val="24"/>
                <w:highlight w:val="none"/>
                <w:lang w:val="en-US" w:eastAsia="zh-CN" w:bidi="ar-SA"/>
              </w:rPr>
              <w:t>投标保证金递交的开户银行及账号如下：</w:t>
            </w:r>
          </w:p>
          <w:p>
            <w:pPr>
              <w:spacing w:line="360" w:lineRule="auto"/>
              <w:rPr>
                <w:rFonts w:hint="eastAsia" w:ascii="Times New Roman" w:hAnsi="Times New Roman" w:eastAsia="宋体" w:cs="Times New Roman"/>
                <w:kern w:val="2"/>
                <w:sz w:val="21"/>
                <w:szCs w:val="24"/>
                <w:highlight w:val="none"/>
                <w:lang w:val="en-US" w:eastAsia="zh-CN" w:bidi="ar-SA"/>
              </w:rPr>
            </w:pPr>
            <w:r>
              <w:rPr>
                <w:rFonts w:hint="eastAsia" w:ascii="Times New Roman" w:hAnsi="Times New Roman" w:eastAsia="宋体" w:cs="Times New Roman"/>
                <w:kern w:val="2"/>
                <w:sz w:val="21"/>
                <w:szCs w:val="24"/>
                <w:highlight w:val="none"/>
                <w:lang w:val="en-US" w:eastAsia="zh-CN" w:bidi="ar-SA"/>
              </w:rPr>
              <w:t>账户名称：交易系统保证金子系统自动生成</w:t>
            </w:r>
          </w:p>
          <w:p>
            <w:pPr>
              <w:spacing w:line="360" w:lineRule="auto"/>
              <w:rPr>
                <w:rFonts w:hint="eastAsia" w:ascii="Times New Roman" w:hAnsi="Times New Roman" w:eastAsia="宋体" w:cs="Times New Roman"/>
                <w:kern w:val="2"/>
                <w:sz w:val="21"/>
                <w:szCs w:val="24"/>
                <w:highlight w:val="none"/>
                <w:lang w:val="en-US" w:eastAsia="zh-CN" w:bidi="ar-SA"/>
              </w:rPr>
            </w:pPr>
            <w:r>
              <w:rPr>
                <w:rFonts w:hint="eastAsia" w:ascii="Times New Roman" w:hAnsi="Times New Roman" w:eastAsia="宋体" w:cs="Times New Roman"/>
                <w:kern w:val="2"/>
                <w:sz w:val="21"/>
                <w:szCs w:val="24"/>
                <w:highlight w:val="none"/>
                <w:lang w:val="en-US" w:eastAsia="zh-CN" w:bidi="ar-SA"/>
              </w:rPr>
              <w:t>开户银行：投标人自行从交易系统保证金子系统中选择</w:t>
            </w:r>
          </w:p>
          <w:p>
            <w:pPr>
              <w:spacing w:line="360" w:lineRule="auto"/>
              <w:rPr>
                <w:rFonts w:hint="eastAsia" w:ascii="Times New Roman" w:hAnsi="Times New Roman" w:eastAsia="宋体" w:cs="Times New Roman"/>
                <w:kern w:val="2"/>
                <w:sz w:val="21"/>
                <w:szCs w:val="24"/>
                <w:highlight w:val="none"/>
                <w:lang w:val="en-US" w:eastAsia="zh-CN" w:bidi="ar-SA"/>
              </w:rPr>
            </w:pPr>
            <w:r>
              <w:rPr>
                <w:rFonts w:hint="eastAsia" w:ascii="Times New Roman" w:hAnsi="Times New Roman" w:eastAsia="宋体" w:cs="Times New Roman"/>
                <w:kern w:val="2"/>
                <w:sz w:val="21"/>
                <w:szCs w:val="24"/>
                <w:highlight w:val="none"/>
                <w:lang w:val="en-US" w:eastAsia="zh-CN" w:bidi="ar-SA"/>
              </w:rPr>
              <w:t xml:space="preserve">账号：交易系统保证金子系统自动生成的虚拟子账号  </w:t>
            </w:r>
          </w:p>
          <w:p>
            <w:pPr>
              <w:spacing w:line="360" w:lineRule="auto"/>
              <w:rPr>
                <w:rFonts w:hint="eastAsia" w:ascii="Times New Roman" w:hAnsi="Times New Roman" w:eastAsia="宋体" w:cs="Times New Roman"/>
                <w:kern w:val="2"/>
                <w:sz w:val="21"/>
                <w:szCs w:val="24"/>
                <w:highlight w:val="none"/>
                <w:lang w:val="en-US" w:eastAsia="zh-CN" w:bidi="ar-SA"/>
              </w:rPr>
            </w:pPr>
            <w:r>
              <w:rPr>
                <w:rFonts w:hint="eastAsia" w:ascii="Times New Roman" w:hAnsi="Times New Roman" w:eastAsia="宋体" w:cs="Times New Roman"/>
                <w:kern w:val="2"/>
                <w:sz w:val="21"/>
                <w:szCs w:val="24"/>
                <w:highlight w:val="none"/>
                <w:lang w:val="en-US" w:eastAsia="zh-CN" w:bidi="ar-SA"/>
              </w:rPr>
              <w:t>（2）采用银行保函时，</w:t>
            </w:r>
            <w:r>
              <w:rPr>
                <w:rFonts w:hint="eastAsia" w:cs="Times New Roman"/>
                <w:kern w:val="2"/>
                <w:sz w:val="21"/>
                <w:szCs w:val="24"/>
                <w:highlight w:val="none"/>
                <w:lang w:val="en-US" w:eastAsia="zh-CN" w:bidi="ar-SA"/>
              </w:rPr>
              <w:t>登录拉萨市公共资源交易网办理</w:t>
            </w:r>
            <w:r>
              <w:rPr>
                <w:rFonts w:hint="eastAsia" w:ascii="Times New Roman" w:hAnsi="Times New Roman" w:eastAsia="宋体" w:cs="Times New Roman"/>
                <w:kern w:val="2"/>
                <w:sz w:val="21"/>
                <w:szCs w:val="24"/>
                <w:highlight w:val="none"/>
                <w:lang w:val="en-US" w:eastAsia="zh-CN" w:bidi="ar-SA"/>
              </w:rPr>
              <w:t>。</w:t>
            </w:r>
          </w:p>
          <w:p>
            <w:pPr>
              <w:spacing w:line="360" w:lineRule="auto"/>
              <w:rPr>
                <w:rFonts w:hint="eastAsia" w:ascii="Times New Roman" w:hAnsi="宋体" w:eastAsia="宋体" w:cs="Times New Roman"/>
                <w:color w:val="auto"/>
                <w:szCs w:val="21"/>
                <w:highlight w:val="none"/>
              </w:rPr>
            </w:pPr>
            <w:r>
              <w:rPr>
                <w:rFonts w:hint="eastAsia" w:ascii="Times New Roman" w:hAnsi="宋体" w:eastAsia="宋体" w:cs="Times New Roman"/>
                <w:color w:val="auto"/>
                <w:szCs w:val="21"/>
                <w:highlight w:val="none"/>
              </w:rPr>
              <w:t>注意事项：</w:t>
            </w:r>
          </w:p>
          <w:p>
            <w:pPr>
              <w:spacing w:line="360" w:lineRule="auto"/>
              <w:rPr>
                <w:rFonts w:hint="eastAsia" w:ascii="Times New Roman" w:hAnsi="宋体" w:eastAsia="宋体" w:cs="Times New Roman"/>
                <w:color w:val="auto"/>
                <w:szCs w:val="21"/>
                <w:highlight w:val="none"/>
              </w:rPr>
            </w:pPr>
            <w:r>
              <w:rPr>
                <w:rFonts w:hint="eastAsia" w:ascii="Times New Roman" w:hAnsi="宋体" w:eastAsia="宋体" w:cs="Times New Roman"/>
                <w:color w:val="auto"/>
                <w:szCs w:val="21"/>
                <w:highlight w:val="none"/>
              </w:rPr>
              <w:t>1、</w:t>
            </w:r>
            <w:r>
              <w:rPr>
                <w:rFonts w:hint="eastAsia" w:ascii="Times New Roman" w:hAnsi="宋体" w:eastAsia="宋体" w:cs="Times New Roman"/>
                <w:color w:val="auto"/>
                <w:szCs w:val="21"/>
                <w:highlight w:val="none"/>
                <w:lang w:val="en-US" w:eastAsia="zh-CN"/>
              </w:rPr>
              <w:t>投标</w:t>
            </w:r>
            <w:r>
              <w:rPr>
                <w:rFonts w:hint="eastAsia" w:ascii="Times New Roman" w:hAnsi="宋体" w:eastAsia="宋体" w:cs="Times New Roman"/>
                <w:color w:val="auto"/>
                <w:szCs w:val="21"/>
                <w:highlight w:val="none"/>
              </w:rPr>
              <w:t>保证金应以</w:t>
            </w:r>
            <w:r>
              <w:rPr>
                <w:rFonts w:hint="eastAsia" w:ascii="Times New Roman" w:hAnsi="宋体" w:eastAsia="宋体" w:cs="Times New Roman"/>
                <w:color w:val="auto"/>
                <w:szCs w:val="21"/>
                <w:highlight w:val="none"/>
                <w:lang w:val="en-US" w:eastAsia="zh-CN"/>
              </w:rPr>
              <w:t>供应商</w:t>
            </w:r>
            <w:r>
              <w:rPr>
                <w:rFonts w:hint="eastAsia" w:ascii="Times New Roman" w:hAnsi="宋体" w:eastAsia="宋体" w:cs="Times New Roman"/>
                <w:color w:val="auto"/>
                <w:szCs w:val="21"/>
                <w:highlight w:val="none"/>
              </w:rPr>
              <w:t>自身的名义提交，</w:t>
            </w:r>
            <w:r>
              <w:rPr>
                <w:rFonts w:hint="eastAsia" w:ascii="Times New Roman" w:hAnsi="宋体" w:eastAsia="宋体" w:cs="Times New Roman"/>
                <w:color w:val="auto"/>
                <w:szCs w:val="21"/>
                <w:highlight w:val="none"/>
                <w:lang w:val="en-US" w:eastAsia="zh-CN"/>
              </w:rPr>
              <w:t>以银行转账方式提交保证金的</w:t>
            </w:r>
            <w:r>
              <w:rPr>
                <w:rFonts w:hint="eastAsia" w:ascii="Times New Roman" w:hAnsi="宋体" w:eastAsia="宋体" w:cs="Times New Roman"/>
                <w:color w:val="auto"/>
                <w:szCs w:val="21"/>
                <w:highlight w:val="none"/>
              </w:rPr>
              <w:t>必须从其基本账户转出，不得以分支机构其他名义提交（按照规定，</w:t>
            </w:r>
            <w:r>
              <w:rPr>
                <w:rFonts w:hint="eastAsia" w:ascii="Times New Roman" w:hAnsi="宋体" w:eastAsia="宋体" w:cs="Times New Roman"/>
                <w:color w:val="auto"/>
                <w:szCs w:val="21"/>
                <w:highlight w:val="none"/>
                <w:lang w:val="en-US" w:eastAsia="zh-CN"/>
              </w:rPr>
              <w:t>供应商</w:t>
            </w:r>
            <w:r>
              <w:rPr>
                <w:rFonts w:hint="eastAsia" w:ascii="Times New Roman" w:hAnsi="宋体" w:eastAsia="宋体" w:cs="Times New Roman"/>
                <w:color w:val="auto"/>
                <w:szCs w:val="21"/>
                <w:highlight w:val="none"/>
              </w:rPr>
              <w:t>可以为自然人的项目除外）。</w:t>
            </w:r>
          </w:p>
          <w:p>
            <w:pPr>
              <w:spacing w:line="360" w:lineRule="auto"/>
              <w:rPr>
                <w:rFonts w:hint="eastAsia" w:ascii="Times New Roman" w:hAnsi="宋体" w:eastAsia="宋体" w:cs="Times New Roman"/>
                <w:color w:val="auto"/>
                <w:szCs w:val="21"/>
                <w:highlight w:val="none"/>
                <w:lang w:val="en-US" w:eastAsia="zh-CN"/>
              </w:rPr>
            </w:pPr>
            <w:r>
              <w:rPr>
                <w:rFonts w:hint="eastAsia" w:ascii="Times New Roman" w:hAnsi="宋体" w:eastAsia="宋体" w:cs="Times New Roman"/>
                <w:color w:val="auto"/>
                <w:szCs w:val="21"/>
                <w:highlight w:val="none"/>
                <w:lang w:val="en-US" w:eastAsia="zh-CN"/>
              </w:rPr>
              <w:t>2、以转账方式提交的应从投标人基本帐户转出并且按照“关于印发《西藏自治区公共资源交易投标保证金管理办法（试行）》的通知”进行缴纳。退还投标保证金时按来款渠道方式退还。</w:t>
            </w:r>
          </w:p>
          <w:p>
            <w:pPr>
              <w:spacing w:line="360" w:lineRule="auto"/>
              <w:rPr>
                <w:rFonts w:hint="default"/>
                <w:highlight w:val="none"/>
                <w:lang w:val="en-US" w:eastAsia="zh-CN"/>
              </w:rPr>
            </w:pPr>
            <w:r>
              <w:rPr>
                <w:rFonts w:hint="eastAsia" w:hAnsi="宋体" w:cs="Times New Roman"/>
                <w:color w:val="auto"/>
                <w:szCs w:val="21"/>
                <w:highlight w:val="none"/>
                <w:lang w:val="en-US" w:eastAsia="zh-CN"/>
              </w:rPr>
              <w:t>3、</w:t>
            </w:r>
            <w:r>
              <w:rPr>
                <w:rFonts w:hint="eastAsia" w:ascii="Times New Roman" w:hAnsi="宋体" w:eastAsia="宋体" w:cs="Times New Roman"/>
                <w:color w:val="auto"/>
                <w:szCs w:val="21"/>
                <w:highlight w:val="none"/>
                <w:lang w:val="en-US" w:eastAsia="zh-CN"/>
              </w:rPr>
              <w:t>投标人在编制投标文件时，将提交投标保证金凭证扫描件编制在招标文件中。</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1034" w:type="dxa"/>
            <w:vAlign w:val="center"/>
          </w:tcPr>
          <w:p>
            <w:pPr>
              <w:spacing w:line="360" w:lineRule="exact"/>
              <w:jc w:val="center"/>
              <w:rPr>
                <w:rFonts w:hint="eastAsia" w:eastAsia="宋体"/>
                <w:szCs w:val="21"/>
                <w:highlight w:val="none"/>
                <w:lang w:eastAsia="zh-CN"/>
              </w:rPr>
            </w:pPr>
            <w:r>
              <w:rPr>
                <w:rFonts w:hint="eastAsia"/>
                <w:szCs w:val="21"/>
                <w:highlight w:val="none"/>
              </w:rPr>
              <w:t>20.</w:t>
            </w:r>
            <w:r>
              <w:rPr>
                <w:rFonts w:hint="eastAsia"/>
                <w:szCs w:val="21"/>
                <w:highlight w:val="none"/>
                <w:lang w:val="en-US" w:eastAsia="zh-CN"/>
              </w:rPr>
              <w:t>5</w:t>
            </w:r>
          </w:p>
        </w:tc>
        <w:tc>
          <w:tcPr>
            <w:tcW w:w="2215" w:type="dxa"/>
            <w:vAlign w:val="center"/>
          </w:tcPr>
          <w:p>
            <w:pPr>
              <w:spacing w:line="400" w:lineRule="exact"/>
              <w:jc w:val="center"/>
              <w:rPr>
                <w:rFonts w:hint="default" w:eastAsia="宋体"/>
                <w:szCs w:val="21"/>
                <w:highlight w:val="none"/>
                <w:lang w:val="en-US" w:eastAsia="zh-CN"/>
              </w:rPr>
            </w:pPr>
            <w:r>
              <w:rPr>
                <w:rFonts w:hint="eastAsia" w:ascii="宋体" w:hAnsi="宋体" w:cs="宋体"/>
                <w:szCs w:val="21"/>
                <w:highlight w:val="none"/>
              </w:rPr>
              <w:t>投标文件</w:t>
            </w:r>
            <w:r>
              <w:rPr>
                <w:rFonts w:hint="eastAsia" w:ascii="宋体" w:hAnsi="宋体" w:cs="宋体"/>
                <w:szCs w:val="21"/>
                <w:highlight w:val="none"/>
                <w:lang w:val="en-US" w:eastAsia="zh-CN"/>
              </w:rPr>
              <w:t>的份数</w:t>
            </w:r>
          </w:p>
        </w:tc>
        <w:tc>
          <w:tcPr>
            <w:tcW w:w="6038" w:type="dxa"/>
            <w:vAlign w:val="center"/>
          </w:tcPr>
          <w:p>
            <w:pPr>
              <w:numPr>
                <w:ilvl w:val="0"/>
                <w:numId w:val="4"/>
              </w:numPr>
              <w:spacing w:line="400" w:lineRule="exact"/>
              <w:rPr>
                <w:rFonts w:hint="eastAsia" w:ascii="宋体" w:hAnsi="宋体"/>
                <w:szCs w:val="21"/>
                <w:highlight w:val="none"/>
              </w:rPr>
            </w:pPr>
            <w:r>
              <w:rPr>
                <w:rFonts w:hint="eastAsia" w:ascii="宋体" w:hAnsi="宋体"/>
                <w:szCs w:val="21"/>
                <w:highlight w:val="none"/>
              </w:rPr>
              <w:t>本项目实行线上“不见面”开标。各投标人通过线上“不见面开标大厅”全程参与开标会议，投标阶段仅</w:t>
            </w:r>
            <w:r>
              <w:rPr>
                <w:rFonts w:hint="eastAsia" w:ascii="宋体" w:hAnsi="宋体"/>
                <w:szCs w:val="21"/>
                <w:highlight w:val="none"/>
                <w:lang w:val="en-US" w:eastAsia="zh-CN"/>
              </w:rPr>
              <w:t>需在交易系统</w:t>
            </w:r>
            <w:r>
              <w:rPr>
                <w:rFonts w:hint="eastAsia" w:ascii="宋体" w:hAnsi="宋体"/>
                <w:szCs w:val="21"/>
                <w:highlight w:val="none"/>
              </w:rPr>
              <w:t>提交电子投标文件。</w:t>
            </w:r>
          </w:p>
          <w:p>
            <w:pPr>
              <w:numPr>
                <w:ilvl w:val="0"/>
                <w:numId w:val="4"/>
              </w:numPr>
              <w:spacing w:line="400" w:lineRule="exact"/>
              <w:rPr>
                <w:rFonts w:hint="eastAsia"/>
                <w:szCs w:val="21"/>
                <w:highlight w:val="none"/>
              </w:rPr>
            </w:pPr>
            <w:r>
              <w:rPr>
                <w:rFonts w:hint="eastAsia" w:ascii="宋体" w:hAnsi="宋体"/>
                <w:szCs w:val="21"/>
                <w:highlight w:val="none"/>
              </w:rPr>
              <w:t xml:space="preserve">中标企业需提供投标文件纸质版（包含投标文件所有内容）正本一份，副本一份；投标文件电子文档壹份（U盘，PDF格式，包含签字盖章后投标文件的所有内容及签字盖章齐全的封面） </w:t>
            </w:r>
            <w:r>
              <w:rPr>
                <w:rFonts w:hint="eastAsia" w:ascii="宋体" w:hAnsi="宋体"/>
                <w:szCs w:val="21"/>
                <w:highlight w:val="none"/>
                <w:lang w:eastAsia="zh-CN"/>
              </w:rPr>
              <w:t>，需与投标时</w:t>
            </w:r>
            <w:r>
              <w:rPr>
                <w:rFonts w:hint="eastAsia" w:ascii="宋体" w:hAnsi="宋体"/>
                <w:szCs w:val="21"/>
                <w:highlight w:val="none"/>
                <w:lang w:val="en-US" w:eastAsia="zh-CN"/>
              </w:rPr>
              <w:t>上传到交易系统</w:t>
            </w:r>
            <w:r>
              <w:rPr>
                <w:rFonts w:hint="eastAsia" w:ascii="宋体" w:hAnsi="宋体"/>
                <w:szCs w:val="21"/>
                <w:highlight w:val="none"/>
                <w:lang w:eastAsia="zh-CN"/>
              </w:rPr>
              <w:t>的电子投标文件保持一致，如有不一致，以</w:t>
            </w:r>
            <w:r>
              <w:rPr>
                <w:rFonts w:hint="eastAsia" w:ascii="宋体" w:hAnsi="宋体"/>
                <w:szCs w:val="21"/>
                <w:highlight w:val="none"/>
                <w:lang w:val="en-US" w:eastAsia="zh-CN"/>
              </w:rPr>
              <w:t>投标时上传的电子</w:t>
            </w:r>
            <w:r>
              <w:rPr>
                <w:rFonts w:hint="eastAsia" w:ascii="宋体" w:hAnsi="宋体"/>
                <w:szCs w:val="21"/>
                <w:highlight w:val="none"/>
                <w:lang w:eastAsia="zh-CN"/>
              </w:rPr>
              <w:t>投标文件为准。</w:t>
            </w:r>
            <w:r>
              <w:rPr>
                <w:rFonts w:hint="eastAsia" w:ascii="宋体" w:hAnsi="宋体"/>
                <w:szCs w:val="21"/>
                <w:highlight w:val="none"/>
              </w:rPr>
              <w:t xml:space="preserve">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1034" w:type="dxa"/>
            <w:vAlign w:val="center"/>
          </w:tcPr>
          <w:p>
            <w:pPr>
              <w:spacing w:line="360" w:lineRule="exact"/>
              <w:jc w:val="center"/>
              <w:rPr>
                <w:rFonts w:hint="eastAsia"/>
                <w:szCs w:val="21"/>
                <w:highlight w:val="none"/>
              </w:rPr>
            </w:pPr>
            <w:r>
              <w:rPr>
                <w:rFonts w:hint="eastAsia" w:ascii="宋体" w:hAnsi="宋体"/>
                <w:szCs w:val="21"/>
                <w:highlight w:val="none"/>
              </w:rPr>
              <w:t>21.1</w:t>
            </w:r>
          </w:p>
        </w:tc>
        <w:tc>
          <w:tcPr>
            <w:tcW w:w="2215" w:type="dxa"/>
            <w:vAlign w:val="center"/>
          </w:tcPr>
          <w:p>
            <w:pPr>
              <w:spacing w:line="400" w:lineRule="exact"/>
              <w:jc w:val="center"/>
              <w:rPr>
                <w:szCs w:val="21"/>
                <w:highlight w:val="none"/>
              </w:rPr>
            </w:pPr>
            <w:r>
              <w:rPr>
                <w:rFonts w:hint="eastAsia" w:ascii="宋体" w:hAnsi="宋体"/>
                <w:szCs w:val="21"/>
                <w:highlight w:val="none"/>
              </w:rPr>
              <w:t>投标</w:t>
            </w:r>
            <w:r>
              <w:rPr>
                <w:rFonts w:ascii="宋体" w:hAnsi="宋体"/>
                <w:szCs w:val="21"/>
                <w:highlight w:val="none"/>
              </w:rPr>
              <w:t>文件的密封</w:t>
            </w:r>
          </w:p>
        </w:tc>
        <w:tc>
          <w:tcPr>
            <w:tcW w:w="6038" w:type="dxa"/>
            <w:vAlign w:val="center"/>
          </w:tcPr>
          <w:p>
            <w:pPr>
              <w:spacing w:line="400" w:lineRule="exact"/>
              <w:rPr>
                <w:szCs w:val="21"/>
                <w:highlight w:val="none"/>
              </w:rPr>
            </w:pPr>
            <w:r>
              <w:rPr>
                <w:rFonts w:hint="eastAsia" w:ascii="宋体" w:hAnsi="宋体"/>
                <w:szCs w:val="21"/>
                <w:highlight w:val="none"/>
              </w:rPr>
              <w:t>网上递交的投标文件应使用数字证书进行加密；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1034" w:type="dxa"/>
            <w:vAlign w:val="center"/>
          </w:tcPr>
          <w:p>
            <w:pPr>
              <w:spacing w:line="360" w:lineRule="exact"/>
              <w:jc w:val="center"/>
              <w:rPr>
                <w:rFonts w:hint="eastAsia"/>
                <w:szCs w:val="21"/>
                <w:highlight w:val="none"/>
              </w:rPr>
            </w:pPr>
            <w:r>
              <w:rPr>
                <w:rFonts w:hint="eastAsia" w:ascii="宋体" w:hAnsi="宋体"/>
                <w:szCs w:val="21"/>
                <w:highlight w:val="none"/>
              </w:rPr>
              <w:t>22.1</w:t>
            </w:r>
          </w:p>
        </w:tc>
        <w:tc>
          <w:tcPr>
            <w:tcW w:w="2215" w:type="dxa"/>
            <w:vAlign w:val="center"/>
          </w:tcPr>
          <w:p>
            <w:pPr>
              <w:spacing w:line="400" w:lineRule="exact"/>
              <w:jc w:val="center"/>
              <w:rPr>
                <w:rFonts w:hint="eastAsia" w:ascii="宋体" w:hAnsi="宋体"/>
                <w:szCs w:val="21"/>
                <w:highlight w:val="none"/>
              </w:rPr>
            </w:pPr>
            <w:r>
              <w:rPr>
                <w:rFonts w:hint="eastAsia" w:ascii="宋体" w:hAnsi="宋体"/>
                <w:szCs w:val="21"/>
                <w:highlight w:val="none"/>
              </w:rPr>
              <w:t>投标文件递交及有关内容</w:t>
            </w:r>
          </w:p>
        </w:tc>
        <w:tc>
          <w:tcPr>
            <w:tcW w:w="6038" w:type="dxa"/>
            <w:vAlign w:val="center"/>
          </w:tcPr>
          <w:p>
            <w:pPr>
              <w:keepNext w:val="0"/>
              <w:keepLines w:val="0"/>
              <w:pageBreakBefore w:val="0"/>
              <w:widowControl w:val="0"/>
              <w:kinsoku/>
              <w:wordWrap/>
              <w:overflowPunct/>
              <w:topLinePunct w:val="0"/>
              <w:autoSpaceDE/>
              <w:autoSpaceDN/>
              <w:bidi w:val="0"/>
              <w:adjustRightInd/>
              <w:snapToGrid/>
              <w:spacing w:line="440" w:lineRule="exact"/>
              <w:textAlignment w:val="auto"/>
              <w:rPr>
                <w:szCs w:val="21"/>
                <w:highlight w:val="none"/>
              </w:rPr>
            </w:pPr>
            <w:r>
              <w:rPr>
                <w:rFonts w:hint="eastAsia"/>
                <w:color w:val="000000"/>
                <w:sz w:val="21"/>
                <w:szCs w:val="21"/>
                <w:highlight w:val="none"/>
              </w:rPr>
              <w:t>网上递交网址</w:t>
            </w:r>
            <w:r>
              <w:rPr>
                <w:rFonts w:hint="eastAsia"/>
                <w:color w:val="000000"/>
                <w:sz w:val="21"/>
                <w:szCs w:val="21"/>
                <w:highlight w:val="none"/>
                <w:lang w:eastAsia="zh-CN"/>
              </w:rPr>
              <w:t>：</w:t>
            </w:r>
            <w:r>
              <w:rPr>
                <w:rFonts w:hint="eastAsia" w:hAnsi="宋体" w:cs="宋体"/>
                <w:szCs w:val="21"/>
                <w:lang w:eastAsia="zh-CN"/>
              </w:rPr>
              <w:t>拉萨市公共资源交易网 （http://ggzy.lasa.gov.cn/）</w:t>
            </w:r>
            <w:r>
              <w:rPr>
                <w:rFonts w:hint="eastAsia"/>
                <w:color w:val="000000"/>
                <w:sz w:val="21"/>
                <w:szCs w:val="21"/>
                <w:highlight w:val="none"/>
              </w:rPr>
              <w:t>，投标人须在投标截止时间前完成所有投标文件的上传，投标截止时间前未完成投标文件传输的，视为撤回投标文件；</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1034" w:type="dxa"/>
            <w:vAlign w:val="center"/>
          </w:tcPr>
          <w:p>
            <w:pPr>
              <w:spacing w:line="360" w:lineRule="exact"/>
              <w:jc w:val="center"/>
              <w:rPr>
                <w:rFonts w:hint="eastAsia"/>
                <w:szCs w:val="21"/>
                <w:highlight w:val="none"/>
              </w:rPr>
            </w:pPr>
            <w:r>
              <w:rPr>
                <w:rFonts w:hint="eastAsia" w:ascii="宋体" w:hAnsi="宋体"/>
                <w:szCs w:val="21"/>
                <w:highlight w:val="none"/>
              </w:rPr>
              <w:t>22.4</w:t>
            </w:r>
          </w:p>
        </w:tc>
        <w:tc>
          <w:tcPr>
            <w:tcW w:w="2215" w:type="dxa"/>
            <w:vAlign w:val="center"/>
          </w:tcPr>
          <w:p>
            <w:pPr>
              <w:spacing w:line="400" w:lineRule="exact"/>
              <w:jc w:val="center"/>
              <w:rPr>
                <w:rFonts w:hint="eastAsia" w:ascii="宋体" w:hAnsi="宋体"/>
                <w:szCs w:val="21"/>
                <w:highlight w:val="none"/>
              </w:rPr>
            </w:pPr>
            <w:r>
              <w:rPr>
                <w:rFonts w:hint="eastAsia" w:ascii="宋体" w:hAnsi="宋体"/>
                <w:szCs w:val="21"/>
                <w:highlight w:val="none"/>
              </w:rPr>
              <w:t>投标文件是否退还</w:t>
            </w:r>
          </w:p>
        </w:tc>
        <w:tc>
          <w:tcPr>
            <w:tcW w:w="6038" w:type="dxa"/>
            <w:vAlign w:val="center"/>
          </w:tcPr>
          <w:p>
            <w:pPr>
              <w:pStyle w:val="18"/>
              <w:spacing w:line="400" w:lineRule="exact"/>
              <w:rPr>
                <w:szCs w:val="21"/>
                <w:highlight w:val="none"/>
              </w:rPr>
            </w:pPr>
            <w:r>
              <w:rPr>
                <w:rFonts w:hint="eastAsia" w:hAnsi="宋体"/>
                <w:szCs w:val="21"/>
                <w:highlight w:val="none"/>
              </w:rPr>
              <w:t>否</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1034" w:type="dxa"/>
            <w:vAlign w:val="center"/>
          </w:tcPr>
          <w:p>
            <w:pPr>
              <w:spacing w:line="360" w:lineRule="exact"/>
              <w:jc w:val="center"/>
              <w:rPr>
                <w:rFonts w:hint="eastAsia"/>
                <w:szCs w:val="21"/>
                <w:highlight w:val="none"/>
              </w:rPr>
            </w:pPr>
            <w:r>
              <w:rPr>
                <w:rFonts w:hint="eastAsia" w:ascii="宋体" w:hAnsi="宋体"/>
                <w:szCs w:val="21"/>
                <w:highlight w:val="none"/>
              </w:rPr>
              <w:t>24.1</w:t>
            </w:r>
          </w:p>
        </w:tc>
        <w:tc>
          <w:tcPr>
            <w:tcW w:w="2215" w:type="dxa"/>
            <w:vAlign w:val="center"/>
          </w:tcPr>
          <w:p>
            <w:pPr>
              <w:pStyle w:val="18"/>
              <w:spacing w:line="400" w:lineRule="exact"/>
              <w:jc w:val="center"/>
              <w:rPr>
                <w:rFonts w:hint="eastAsia" w:hAnsi="宋体"/>
                <w:szCs w:val="21"/>
                <w:highlight w:val="none"/>
              </w:rPr>
            </w:pPr>
            <w:r>
              <w:rPr>
                <w:rFonts w:hint="eastAsia" w:hAnsi="宋体"/>
                <w:szCs w:val="21"/>
                <w:highlight w:val="none"/>
              </w:rPr>
              <w:t>开标时间和地点</w:t>
            </w:r>
          </w:p>
        </w:tc>
        <w:tc>
          <w:tcPr>
            <w:tcW w:w="6038" w:type="dxa"/>
            <w:vAlign w:val="center"/>
          </w:tcPr>
          <w:p>
            <w:pPr>
              <w:pStyle w:val="18"/>
              <w:spacing w:line="400" w:lineRule="exact"/>
              <w:rPr>
                <w:rFonts w:hAnsi="宋体"/>
                <w:szCs w:val="21"/>
                <w:highlight w:val="none"/>
              </w:rPr>
            </w:pPr>
            <w:r>
              <w:rPr>
                <w:rFonts w:hint="eastAsia" w:hAnsi="宋体"/>
                <w:szCs w:val="21"/>
                <w:highlight w:val="none"/>
              </w:rPr>
              <w:t>开标时间：同投标文件提交截止时间；</w:t>
            </w:r>
          </w:p>
          <w:p>
            <w:pPr>
              <w:pStyle w:val="18"/>
              <w:spacing w:line="400" w:lineRule="exact"/>
              <w:ind w:left="1050" w:hanging="1050" w:hangingChars="500"/>
              <w:rPr>
                <w:szCs w:val="21"/>
                <w:highlight w:val="none"/>
              </w:rPr>
            </w:pPr>
            <w:r>
              <w:rPr>
                <w:rFonts w:hint="eastAsia" w:hAnsi="宋体"/>
                <w:szCs w:val="21"/>
                <w:highlight w:val="none"/>
              </w:rPr>
              <w:t>开标地点：详见第一章“招标公告”</w:t>
            </w:r>
            <w:r>
              <w:rPr>
                <w:rFonts w:hint="eastAsia" w:hAnsi="宋体"/>
                <w:szCs w:val="21"/>
                <w:highlight w:val="none"/>
                <w:lang w:val="en-US" w:eastAsia="zh-CN"/>
              </w:rPr>
              <w:t xml:space="preserve">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1034" w:type="dxa"/>
            <w:vAlign w:val="center"/>
          </w:tcPr>
          <w:p>
            <w:pPr>
              <w:spacing w:line="360" w:lineRule="exact"/>
              <w:jc w:val="center"/>
              <w:rPr>
                <w:rFonts w:hint="default" w:ascii="宋体" w:hAnsi="宋体" w:eastAsia="宋体"/>
                <w:szCs w:val="21"/>
                <w:highlight w:val="none"/>
                <w:lang w:val="en-US" w:eastAsia="zh-CN"/>
              </w:rPr>
            </w:pPr>
            <w:r>
              <w:rPr>
                <w:rFonts w:hint="eastAsia" w:ascii="宋体" w:hAnsi="宋体"/>
                <w:szCs w:val="21"/>
                <w:highlight w:val="none"/>
                <w:lang w:val="en-US" w:eastAsia="zh-CN"/>
              </w:rPr>
              <w:t>24.3</w:t>
            </w:r>
          </w:p>
        </w:tc>
        <w:tc>
          <w:tcPr>
            <w:tcW w:w="2215" w:type="dxa"/>
            <w:vAlign w:val="center"/>
          </w:tcPr>
          <w:p>
            <w:pPr>
              <w:pStyle w:val="18"/>
              <w:spacing w:line="400" w:lineRule="exact"/>
              <w:jc w:val="center"/>
              <w:rPr>
                <w:rFonts w:hint="default" w:hAnsi="宋体" w:eastAsia="宋体"/>
                <w:szCs w:val="21"/>
                <w:highlight w:val="none"/>
                <w:lang w:val="en-US" w:eastAsia="zh-CN"/>
              </w:rPr>
            </w:pPr>
            <w:r>
              <w:rPr>
                <w:rFonts w:hint="eastAsia" w:hAnsi="宋体"/>
                <w:szCs w:val="21"/>
                <w:highlight w:val="none"/>
                <w:lang w:val="en-US" w:eastAsia="zh-CN"/>
              </w:rPr>
              <w:t>开标会议</w:t>
            </w:r>
          </w:p>
        </w:tc>
        <w:tc>
          <w:tcPr>
            <w:tcW w:w="6038" w:type="dxa"/>
            <w:vAlign w:val="center"/>
          </w:tcPr>
          <w:p>
            <w:pPr>
              <w:pStyle w:val="18"/>
              <w:keepNext w:val="0"/>
              <w:keepLines w:val="0"/>
              <w:pageBreakBefore w:val="0"/>
              <w:widowControl w:val="0"/>
              <w:kinsoku/>
              <w:wordWrap/>
              <w:overflowPunct/>
              <w:topLinePunct w:val="0"/>
              <w:autoSpaceDE/>
              <w:autoSpaceDN/>
              <w:bidi w:val="0"/>
              <w:adjustRightInd/>
              <w:snapToGrid/>
              <w:spacing w:line="400" w:lineRule="exact"/>
              <w:ind w:left="0" w:firstLine="0" w:firstLineChars="0"/>
              <w:jc w:val="both"/>
              <w:textAlignment w:val="auto"/>
              <w:rPr>
                <w:rFonts w:hint="eastAsia" w:hAnsi="宋体"/>
                <w:szCs w:val="21"/>
                <w:highlight w:val="none"/>
              </w:rPr>
            </w:pPr>
            <w:r>
              <w:rPr>
                <w:rFonts w:hint="eastAsia" w:hAnsi="宋体"/>
                <w:szCs w:val="21"/>
                <w:highlight w:val="none"/>
              </w:rPr>
              <w:t>本项目实行线上“不见面”开标。各投标人通过线上“不见面开标大厅”全程参与开标会议</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rPr>
          <w:trHeight w:val="20" w:hRule="atLeast"/>
          <w:jc w:val="center"/>
        </w:trPr>
        <w:tc>
          <w:tcPr>
            <w:tcW w:w="1034" w:type="dxa"/>
            <w:vAlign w:val="center"/>
          </w:tcPr>
          <w:p>
            <w:pPr>
              <w:spacing w:line="360" w:lineRule="exact"/>
              <w:jc w:val="center"/>
              <w:rPr>
                <w:rFonts w:hint="eastAsia"/>
                <w:szCs w:val="21"/>
                <w:highlight w:val="none"/>
              </w:rPr>
            </w:pPr>
            <w:r>
              <w:rPr>
                <w:szCs w:val="21"/>
                <w:highlight w:val="none"/>
              </w:rPr>
              <w:t>26.2</w:t>
            </w:r>
          </w:p>
        </w:tc>
        <w:tc>
          <w:tcPr>
            <w:tcW w:w="2215" w:type="dxa"/>
            <w:vAlign w:val="center"/>
          </w:tcPr>
          <w:p>
            <w:pPr>
              <w:spacing w:line="360" w:lineRule="exact"/>
              <w:jc w:val="center"/>
              <w:rPr>
                <w:rFonts w:hint="eastAsia" w:ascii="宋体" w:hAnsi="宋体" w:cs="宋体"/>
                <w:szCs w:val="21"/>
                <w:highlight w:val="none"/>
              </w:rPr>
            </w:pPr>
            <w:r>
              <w:rPr>
                <w:rFonts w:hint="eastAsia" w:ascii="宋体" w:hAnsi="宋体" w:cs="宋体"/>
                <w:szCs w:val="21"/>
                <w:highlight w:val="none"/>
              </w:rPr>
              <w:t>评标委员会成员人数</w:t>
            </w:r>
          </w:p>
        </w:tc>
        <w:tc>
          <w:tcPr>
            <w:tcW w:w="6038" w:type="dxa"/>
            <w:vAlign w:val="center"/>
          </w:tcPr>
          <w:p>
            <w:pPr>
              <w:spacing w:line="360" w:lineRule="exact"/>
              <w:jc w:val="left"/>
              <w:rPr>
                <w:rFonts w:hint="eastAsia"/>
                <w:szCs w:val="21"/>
                <w:highlight w:val="none"/>
              </w:rPr>
            </w:pPr>
            <w:r>
              <w:rPr>
                <w:rFonts w:hint="eastAsia"/>
                <w:szCs w:val="21"/>
                <w:highlight w:val="none"/>
              </w:rPr>
              <w:t>评标委员会由采购人代表和评审专家组成，成员人数为 5 人以上单数，其中评审专家不得少于成员总数的三分之二。采购人委派代表参加评标委员会的，</w:t>
            </w:r>
            <w:r>
              <w:rPr>
                <w:rFonts w:hint="eastAsia"/>
                <w:szCs w:val="21"/>
                <w:highlight w:val="none"/>
                <w:lang w:val="en-US" w:eastAsia="zh-CN"/>
              </w:rPr>
              <w:t>应当</w:t>
            </w:r>
            <w:r>
              <w:rPr>
                <w:rFonts w:hint="eastAsia"/>
                <w:szCs w:val="21"/>
                <w:highlight w:val="none"/>
              </w:rPr>
              <w:t>向采购代理机构出具授权函。</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rPr>
          <w:trHeight w:val="20" w:hRule="atLeast"/>
          <w:jc w:val="center"/>
        </w:trPr>
        <w:tc>
          <w:tcPr>
            <w:tcW w:w="1034" w:type="dxa"/>
            <w:vAlign w:val="center"/>
          </w:tcPr>
          <w:p>
            <w:pPr>
              <w:spacing w:line="360" w:lineRule="exact"/>
              <w:jc w:val="center"/>
              <w:rPr>
                <w:rFonts w:hint="eastAsia"/>
                <w:szCs w:val="21"/>
                <w:highlight w:val="none"/>
              </w:rPr>
            </w:pPr>
            <w:r>
              <w:rPr>
                <w:szCs w:val="21"/>
                <w:highlight w:val="none"/>
              </w:rPr>
              <w:t>26.5</w:t>
            </w:r>
          </w:p>
        </w:tc>
        <w:tc>
          <w:tcPr>
            <w:tcW w:w="2215" w:type="dxa"/>
            <w:vAlign w:val="center"/>
          </w:tcPr>
          <w:p>
            <w:pPr>
              <w:spacing w:line="360" w:lineRule="exact"/>
              <w:jc w:val="center"/>
              <w:rPr>
                <w:rFonts w:hint="eastAsia" w:ascii="宋体" w:hAnsi="宋体" w:cs="宋体"/>
                <w:szCs w:val="21"/>
                <w:highlight w:val="none"/>
              </w:rPr>
            </w:pPr>
            <w:r>
              <w:rPr>
                <w:rFonts w:hint="eastAsia" w:ascii="宋体" w:hAnsi="宋体" w:cs="宋体"/>
                <w:szCs w:val="21"/>
                <w:highlight w:val="none"/>
              </w:rPr>
              <w:t>评标方法</w:t>
            </w:r>
          </w:p>
        </w:tc>
        <w:tc>
          <w:tcPr>
            <w:tcW w:w="6038" w:type="dxa"/>
            <w:vAlign w:val="center"/>
          </w:tcPr>
          <w:p>
            <w:pPr>
              <w:spacing w:line="360" w:lineRule="exact"/>
              <w:jc w:val="left"/>
              <w:rPr>
                <w:rFonts w:hint="eastAsia" w:ascii="宋体" w:hAnsi="宋体" w:cs="宋体"/>
                <w:szCs w:val="21"/>
                <w:highlight w:val="none"/>
              </w:rPr>
            </w:pPr>
            <w:r>
              <w:rPr>
                <w:rFonts w:hint="eastAsia" w:ascii="宋体" w:hAnsi="宋体" w:cs="宋体"/>
                <w:szCs w:val="21"/>
                <w:highlight w:val="none"/>
              </w:rPr>
              <w:t>综合评分法</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1034" w:type="dxa"/>
            <w:vAlign w:val="center"/>
          </w:tcPr>
          <w:p>
            <w:pPr>
              <w:spacing w:line="360" w:lineRule="exact"/>
              <w:jc w:val="center"/>
              <w:rPr>
                <w:rFonts w:hint="eastAsia"/>
                <w:szCs w:val="21"/>
                <w:highlight w:val="none"/>
              </w:rPr>
            </w:pPr>
            <w:r>
              <w:rPr>
                <w:szCs w:val="21"/>
                <w:highlight w:val="none"/>
              </w:rPr>
              <w:t>32.6</w:t>
            </w:r>
          </w:p>
        </w:tc>
        <w:tc>
          <w:tcPr>
            <w:tcW w:w="2215" w:type="dxa"/>
            <w:vAlign w:val="center"/>
          </w:tcPr>
          <w:p>
            <w:pPr>
              <w:spacing w:line="360" w:lineRule="exact"/>
              <w:jc w:val="center"/>
              <w:rPr>
                <w:rFonts w:hint="eastAsia"/>
                <w:szCs w:val="21"/>
                <w:highlight w:val="none"/>
              </w:rPr>
            </w:pPr>
            <w:r>
              <w:rPr>
                <w:szCs w:val="21"/>
                <w:highlight w:val="none"/>
              </w:rPr>
              <w:t>是否允许分包</w:t>
            </w:r>
          </w:p>
        </w:tc>
        <w:tc>
          <w:tcPr>
            <w:tcW w:w="6038" w:type="dxa"/>
            <w:vAlign w:val="center"/>
          </w:tcPr>
          <w:p>
            <w:pPr>
              <w:spacing w:line="360" w:lineRule="exact"/>
              <w:rPr>
                <w:rFonts w:hint="eastAsia" w:ascii="宋体" w:hAnsi="宋体" w:cs="宋体"/>
                <w:szCs w:val="21"/>
                <w:highlight w:val="none"/>
              </w:rPr>
            </w:pPr>
            <w:r>
              <w:rPr>
                <w:rFonts w:hint="eastAsia" w:ascii="宋体" w:hAnsi="宋体" w:cs="宋体"/>
                <w:szCs w:val="21"/>
                <w:highlight w:val="none"/>
              </w:rPr>
              <w:t xml:space="preserve"> </w:t>
            </w:r>
            <w:r>
              <w:rPr>
                <w:rFonts w:ascii="Wingdings 2" w:hAnsi="Wingdings 2" w:cs="宋体"/>
                <w:szCs w:val="21"/>
                <w:highlight w:val="none"/>
              </w:rPr>
              <w:t>R</w:t>
            </w:r>
            <w:r>
              <w:rPr>
                <w:rFonts w:hint="eastAsia" w:ascii="宋体" w:hAnsi="宋体" w:cs="宋体"/>
                <w:szCs w:val="21"/>
                <w:highlight w:val="none"/>
              </w:rPr>
              <w:t xml:space="preserve">否 </w:t>
            </w:r>
          </w:p>
          <w:p>
            <w:pPr>
              <w:spacing w:line="360" w:lineRule="exact"/>
              <w:rPr>
                <w:rFonts w:hint="eastAsia" w:ascii="宋体" w:hAnsi="宋体" w:cs="宋体"/>
                <w:szCs w:val="21"/>
                <w:highlight w:val="none"/>
              </w:rPr>
            </w:pPr>
            <w:r>
              <w:rPr>
                <w:rFonts w:hint="eastAsia" w:ascii="宋体" w:hAnsi="宋体" w:cs="宋体"/>
                <w:szCs w:val="21"/>
                <w:highlight w:val="none"/>
              </w:rPr>
              <w:t xml:space="preserve"> </w:t>
            </w:r>
            <w:r>
              <w:rPr>
                <w:rFonts w:ascii="Wingdings 2" w:hAnsi="Wingdings 2" w:cs="宋体"/>
                <w:szCs w:val="21"/>
                <w:highlight w:val="none"/>
              </w:rPr>
              <w:t>£</w:t>
            </w:r>
            <w:r>
              <w:rPr>
                <w:rFonts w:hint="eastAsia" w:ascii="宋体" w:hAnsi="宋体" w:cs="宋体"/>
                <w:szCs w:val="21"/>
                <w:highlight w:val="none"/>
              </w:rPr>
              <w:t>是 允许分包的内容：</w:t>
            </w:r>
            <w:r>
              <w:rPr>
                <w:rFonts w:hint="eastAsia" w:ascii="宋体" w:hAnsi="宋体" w:cs="宋体"/>
                <w:szCs w:val="21"/>
                <w:highlight w:val="none"/>
                <w:u w:val="single"/>
              </w:rPr>
              <w:t xml:space="preserve">            </w:t>
            </w:r>
            <w:r>
              <w:rPr>
                <w:rFonts w:hint="eastAsia" w:ascii="宋体" w:hAnsi="宋体" w:cs="宋体"/>
                <w:szCs w:val="21"/>
                <w:highlight w:val="none"/>
              </w:rPr>
              <w:t xml:space="preserve">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1034" w:type="dxa"/>
            <w:vAlign w:val="center"/>
          </w:tcPr>
          <w:p>
            <w:pPr>
              <w:spacing w:line="360" w:lineRule="exact"/>
              <w:jc w:val="center"/>
              <w:rPr>
                <w:rFonts w:hint="eastAsia"/>
                <w:szCs w:val="21"/>
                <w:highlight w:val="none"/>
              </w:rPr>
            </w:pPr>
            <w:r>
              <w:rPr>
                <w:szCs w:val="21"/>
                <w:highlight w:val="none"/>
              </w:rPr>
              <w:t>33.1</w:t>
            </w:r>
          </w:p>
        </w:tc>
        <w:tc>
          <w:tcPr>
            <w:tcW w:w="2215" w:type="dxa"/>
            <w:vAlign w:val="center"/>
          </w:tcPr>
          <w:p>
            <w:pPr>
              <w:spacing w:line="360" w:lineRule="exact"/>
              <w:jc w:val="center"/>
              <w:rPr>
                <w:rFonts w:hint="eastAsia"/>
                <w:szCs w:val="21"/>
                <w:highlight w:val="none"/>
              </w:rPr>
            </w:pPr>
            <w:r>
              <w:rPr>
                <w:szCs w:val="21"/>
                <w:highlight w:val="none"/>
              </w:rPr>
              <w:t>履约保证金</w:t>
            </w:r>
          </w:p>
        </w:tc>
        <w:tc>
          <w:tcPr>
            <w:tcW w:w="6038" w:type="dxa"/>
            <w:vAlign w:val="center"/>
          </w:tcPr>
          <w:p>
            <w:pPr>
              <w:spacing w:line="360" w:lineRule="exact"/>
              <w:rPr>
                <w:rFonts w:hint="eastAsia" w:ascii="宋体" w:hAnsi="宋体" w:eastAsia="宋体" w:cs="宋体"/>
                <w:szCs w:val="21"/>
                <w:highlight w:val="none"/>
                <w:lang w:eastAsia="zh-CN"/>
              </w:rPr>
            </w:pPr>
            <w:r>
              <w:rPr>
                <w:rFonts w:hint="eastAsia" w:hAnsi="宋体" w:cs="宋体"/>
                <w:color w:val="auto"/>
                <w:kern w:val="0"/>
                <w:sz w:val="21"/>
                <w:szCs w:val="21"/>
                <w:highlight w:val="none"/>
                <w:lang w:val="en-US" w:eastAsia="zh-CN" w:bidi="ar-SA"/>
              </w:rPr>
              <w:t>本项目不需要。</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1034" w:type="dxa"/>
            <w:vAlign w:val="center"/>
          </w:tcPr>
          <w:p>
            <w:pPr>
              <w:spacing w:line="360" w:lineRule="exact"/>
              <w:jc w:val="center"/>
              <w:rPr>
                <w:rFonts w:hint="eastAsia" w:eastAsia="宋体"/>
                <w:szCs w:val="21"/>
                <w:highlight w:val="none"/>
                <w:lang w:eastAsia="zh-CN"/>
              </w:rPr>
            </w:pPr>
            <w:r>
              <w:rPr>
                <w:rFonts w:hint="eastAsia"/>
                <w:szCs w:val="21"/>
                <w:highlight w:val="none"/>
              </w:rPr>
              <w:t>35.</w:t>
            </w:r>
            <w:r>
              <w:rPr>
                <w:rFonts w:hint="eastAsia"/>
                <w:szCs w:val="21"/>
                <w:highlight w:val="none"/>
                <w:lang w:val="en-US" w:eastAsia="zh-CN"/>
              </w:rPr>
              <w:t>2</w:t>
            </w:r>
            <w:r>
              <w:rPr>
                <w:rFonts w:hint="eastAsia"/>
                <w:szCs w:val="21"/>
                <w:highlight w:val="none"/>
              </w:rPr>
              <w:t>.</w:t>
            </w:r>
            <w:r>
              <w:rPr>
                <w:rFonts w:hint="eastAsia"/>
                <w:szCs w:val="21"/>
                <w:highlight w:val="none"/>
                <w:lang w:val="en-US" w:eastAsia="zh-CN"/>
              </w:rPr>
              <w:t>8</w:t>
            </w:r>
          </w:p>
        </w:tc>
        <w:tc>
          <w:tcPr>
            <w:tcW w:w="2215" w:type="dxa"/>
            <w:vAlign w:val="center"/>
          </w:tcPr>
          <w:p>
            <w:pPr>
              <w:spacing w:line="360" w:lineRule="exact"/>
              <w:jc w:val="center"/>
              <w:rPr>
                <w:szCs w:val="21"/>
                <w:highlight w:val="none"/>
              </w:rPr>
            </w:pPr>
            <w:r>
              <w:rPr>
                <w:rFonts w:hint="eastAsia" w:hAnsi="宋体"/>
                <w:bCs/>
                <w:color w:val="auto"/>
                <w:szCs w:val="21"/>
                <w:highlight w:val="none"/>
              </w:rPr>
              <w:t>本项目对应的中小企业划分标准所属行业</w:t>
            </w:r>
          </w:p>
        </w:tc>
        <w:tc>
          <w:tcPr>
            <w:tcW w:w="6038" w:type="dxa"/>
            <w:vAlign w:val="center"/>
          </w:tcPr>
          <w:p>
            <w:pPr>
              <w:spacing w:line="360" w:lineRule="exact"/>
              <w:rPr>
                <w:rFonts w:hint="eastAsia" w:hAnsi="宋体" w:cs="宋体"/>
                <w:color w:val="auto"/>
                <w:kern w:val="0"/>
                <w:sz w:val="21"/>
                <w:szCs w:val="21"/>
                <w:highlight w:val="none"/>
                <w:lang w:val="en-US" w:eastAsia="zh-CN" w:bidi="ar-SA"/>
              </w:rPr>
            </w:pPr>
            <w:r>
              <w:rPr>
                <w:rFonts w:hint="eastAsia" w:hAnsi="宋体" w:cs="宋体"/>
                <w:color w:val="auto"/>
                <w:kern w:val="0"/>
                <w:sz w:val="21"/>
                <w:szCs w:val="21"/>
                <w:highlight w:val="none"/>
                <w:lang w:val="en-US" w:eastAsia="zh-CN" w:bidi="ar-SA"/>
              </w:rPr>
              <w:t>会计、审计和税务服务，符合条件的投标人应根据《关于印发</w:t>
            </w:r>
          </w:p>
          <w:p>
            <w:pPr>
              <w:spacing w:line="360" w:lineRule="exact"/>
              <w:rPr>
                <w:rFonts w:hint="default" w:hAnsi="宋体" w:cs="宋体"/>
                <w:color w:val="auto"/>
                <w:kern w:val="0"/>
                <w:sz w:val="21"/>
                <w:szCs w:val="21"/>
                <w:highlight w:val="none"/>
                <w:lang w:val="en-US" w:eastAsia="zh-CN" w:bidi="ar-SA"/>
              </w:rPr>
            </w:pPr>
            <w:r>
              <w:rPr>
                <w:rFonts w:hint="eastAsia" w:hAnsi="宋体" w:cs="宋体"/>
                <w:color w:val="auto"/>
                <w:kern w:val="0"/>
                <w:sz w:val="21"/>
                <w:szCs w:val="21"/>
                <w:highlight w:val="none"/>
                <w:lang w:val="en-US" w:eastAsia="zh-CN" w:bidi="ar-SA"/>
              </w:rPr>
              <w:t>中小企业划型标准规定的通知》中其他未列明行业划型标准进行划型。</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1034" w:type="dxa"/>
            <w:vAlign w:val="center"/>
          </w:tcPr>
          <w:p>
            <w:pPr>
              <w:spacing w:line="360" w:lineRule="exact"/>
              <w:jc w:val="center"/>
              <w:rPr>
                <w:rFonts w:hint="default" w:ascii="宋体" w:hAnsi="宋体" w:eastAsia="宋体"/>
                <w:szCs w:val="21"/>
                <w:highlight w:val="none"/>
                <w:lang w:val="en-US" w:eastAsia="zh-CN"/>
              </w:rPr>
            </w:pPr>
            <w:r>
              <w:rPr>
                <w:szCs w:val="21"/>
                <w:highlight w:val="none"/>
              </w:rPr>
              <w:t>★</w:t>
            </w:r>
            <w:r>
              <w:rPr>
                <w:rFonts w:hint="eastAsia" w:ascii="Times New Roman" w:hAnsi="Times New Roman" w:cs="Times New Roman"/>
                <w:szCs w:val="21"/>
                <w:highlight w:val="none"/>
              </w:rPr>
              <w:t>35</w:t>
            </w:r>
            <w:r>
              <w:rPr>
                <w:rFonts w:hint="eastAsia" w:ascii="Times New Roman" w:hAnsi="Times New Roman" w:cs="Times New Roman"/>
                <w:szCs w:val="21"/>
                <w:highlight w:val="none"/>
                <w:lang w:val="en-US" w:eastAsia="zh-CN"/>
              </w:rPr>
              <w:t>.5</w:t>
            </w:r>
          </w:p>
        </w:tc>
        <w:tc>
          <w:tcPr>
            <w:tcW w:w="8253" w:type="dxa"/>
            <w:gridSpan w:val="2"/>
            <w:vAlign w:val="center"/>
          </w:tcPr>
          <w:p>
            <w:pPr>
              <w:spacing w:line="400" w:lineRule="exact"/>
              <w:rPr>
                <w:rFonts w:hint="eastAsia" w:ascii="宋体" w:hAnsi="宋体"/>
                <w:szCs w:val="21"/>
                <w:highlight w:val="none"/>
              </w:rPr>
            </w:pPr>
            <w:r>
              <w:rPr>
                <w:rFonts w:hint="eastAsia" w:ascii="宋体" w:hAnsi="宋体"/>
                <w:szCs w:val="21"/>
                <w:highlight w:val="none"/>
              </w:rPr>
              <w:t>需要补充的其他内容</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1034" w:type="dxa"/>
            <w:vAlign w:val="center"/>
          </w:tcPr>
          <w:p>
            <w:pPr>
              <w:spacing w:line="360" w:lineRule="exact"/>
              <w:jc w:val="center"/>
              <w:rPr>
                <w:rFonts w:hint="eastAsia" w:ascii="Times New Roman" w:hAnsi="Times New Roman" w:cs="Times New Roman"/>
                <w:szCs w:val="21"/>
                <w:highlight w:val="none"/>
                <w:lang w:eastAsia="zh-CN"/>
              </w:rPr>
            </w:pPr>
            <w:r>
              <w:rPr>
                <w:rFonts w:hint="eastAsia" w:ascii="Times New Roman" w:hAnsi="Times New Roman" w:cs="Times New Roman"/>
                <w:szCs w:val="21"/>
                <w:highlight w:val="none"/>
              </w:rPr>
              <w:t>35.</w:t>
            </w:r>
            <w:r>
              <w:rPr>
                <w:rFonts w:hint="eastAsia" w:ascii="Times New Roman" w:hAnsi="Times New Roman" w:cs="Times New Roman"/>
                <w:szCs w:val="21"/>
                <w:highlight w:val="none"/>
                <w:lang w:val="en-US" w:eastAsia="zh-CN"/>
              </w:rPr>
              <w:t>5</w:t>
            </w:r>
            <w:r>
              <w:rPr>
                <w:rFonts w:hint="eastAsia" w:ascii="Times New Roman" w:hAnsi="Times New Roman" w:cs="Times New Roman"/>
                <w:szCs w:val="21"/>
                <w:highlight w:val="none"/>
                <w:lang w:eastAsia="zh-CN"/>
              </w:rPr>
              <w:t>（</w:t>
            </w:r>
            <w:r>
              <w:rPr>
                <w:rFonts w:hint="eastAsia" w:ascii="Times New Roman" w:hAnsi="Times New Roman" w:cs="Times New Roman"/>
                <w:szCs w:val="21"/>
                <w:highlight w:val="none"/>
                <w:lang w:val="en-US" w:eastAsia="zh-CN"/>
              </w:rPr>
              <w:t>1</w:t>
            </w:r>
            <w:r>
              <w:rPr>
                <w:rFonts w:hint="eastAsia" w:ascii="Times New Roman" w:hAnsi="Times New Roman" w:cs="Times New Roman"/>
                <w:szCs w:val="21"/>
                <w:highlight w:val="none"/>
                <w:lang w:eastAsia="zh-CN"/>
              </w:rPr>
              <w:t>）</w:t>
            </w:r>
          </w:p>
        </w:tc>
        <w:tc>
          <w:tcPr>
            <w:tcW w:w="8253" w:type="dxa"/>
            <w:gridSpan w:val="2"/>
            <w:vAlign w:val="center"/>
          </w:tcPr>
          <w:p>
            <w:pPr>
              <w:pStyle w:val="18"/>
              <w:spacing w:line="400" w:lineRule="exact"/>
              <w:jc w:val="left"/>
              <w:rPr>
                <w:rFonts w:hint="eastAsia" w:hAnsi="宋体"/>
                <w:szCs w:val="21"/>
                <w:highlight w:val="none"/>
              </w:rPr>
            </w:pPr>
            <w:r>
              <w:rPr>
                <w:rFonts w:hint="eastAsia" w:hAnsi="宋体"/>
                <w:szCs w:val="21"/>
                <w:highlight w:val="none"/>
              </w:rPr>
              <w:t>根据《财政部关于在政府采购活动中查询及使用信用记录有关问题的通知-财库〔2016〕125 号》相关要求，采购人或者采购代理机构对信用记录进行核实，对列入失信被执行人、重大税收违法案件当事人名单、政府采购严重违法失信行为记录名单及其他不符合《中华人民共和国政府采购法》第二十二条规定条件的供应商，拒绝其参与政府采购活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1034" w:type="dxa"/>
            <w:vAlign w:val="center"/>
          </w:tcPr>
          <w:p>
            <w:pPr>
              <w:spacing w:line="360" w:lineRule="exact"/>
              <w:jc w:val="center"/>
              <w:rPr>
                <w:rFonts w:hint="eastAsia" w:ascii="Times New Roman" w:hAnsi="Times New Roman" w:cs="Times New Roman"/>
                <w:szCs w:val="21"/>
                <w:highlight w:val="none"/>
              </w:rPr>
            </w:pPr>
            <w:r>
              <w:rPr>
                <w:rFonts w:hint="eastAsia" w:ascii="Times New Roman" w:hAnsi="Times New Roman" w:cs="Times New Roman"/>
                <w:szCs w:val="21"/>
                <w:highlight w:val="none"/>
              </w:rPr>
              <w:t>35.</w:t>
            </w:r>
            <w:r>
              <w:rPr>
                <w:rFonts w:hint="eastAsia" w:ascii="Times New Roman" w:hAnsi="Times New Roman" w:cs="Times New Roman"/>
                <w:szCs w:val="21"/>
                <w:highlight w:val="none"/>
                <w:lang w:val="en-US" w:eastAsia="zh-CN"/>
              </w:rPr>
              <w:t>5</w:t>
            </w:r>
            <w:r>
              <w:rPr>
                <w:rFonts w:hint="eastAsia" w:ascii="Times New Roman" w:hAnsi="Times New Roman" w:cs="Times New Roman"/>
                <w:szCs w:val="21"/>
                <w:highlight w:val="none"/>
                <w:lang w:eastAsia="zh-CN"/>
              </w:rPr>
              <w:t>（</w:t>
            </w:r>
            <w:r>
              <w:rPr>
                <w:rFonts w:hint="eastAsia" w:ascii="Times New Roman" w:hAnsi="Times New Roman" w:cs="Times New Roman"/>
                <w:szCs w:val="21"/>
                <w:highlight w:val="none"/>
                <w:lang w:val="en-US" w:eastAsia="zh-CN"/>
              </w:rPr>
              <w:t>2</w:t>
            </w:r>
            <w:r>
              <w:rPr>
                <w:rFonts w:hint="eastAsia" w:ascii="Times New Roman" w:hAnsi="Times New Roman" w:cs="Times New Roman"/>
                <w:szCs w:val="21"/>
                <w:highlight w:val="none"/>
                <w:lang w:eastAsia="zh-CN"/>
              </w:rPr>
              <w:t>）</w:t>
            </w:r>
          </w:p>
        </w:tc>
        <w:tc>
          <w:tcPr>
            <w:tcW w:w="8253" w:type="dxa"/>
            <w:gridSpan w:val="2"/>
            <w:vAlign w:val="center"/>
          </w:tcPr>
          <w:p>
            <w:pPr>
              <w:pStyle w:val="18"/>
              <w:spacing w:line="400" w:lineRule="exact"/>
              <w:jc w:val="left"/>
              <w:rPr>
                <w:rFonts w:hint="eastAsia" w:hAnsi="宋体"/>
                <w:szCs w:val="21"/>
                <w:highlight w:val="none"/>
              </w:rPr>
            </w:pPr>
            <w:r>
              <w:rPr>
                <w:rFonts w:hint="eastAsia" w:hAnsi="宋体"/>
                <w:szCs w:val="21"/>
                <w:highlight w:val="none"/>
                <w:lang w:val="en-US" w:eastAsia="zh-CN"/>
              </w:rPr>
              <w:t>1.</w:t>
            </w:r>
            <w:r>
              <w:rPr>
                <w:rFonts w:hint="eastAsia" w:hAnsi="宋体"/>
                <w:szCs w:val="21"/>
                <w:highlight w:val="none"/>
              </w:rPr>
              <w:t>各投标人须在投标截止时间前上传加密的电子投标文件至“拉萨市公共资源交易网 （http://ggzy.lasa.gov.cn/）”。各投标人未在投标截止时间前上传电子投标文件的，视为自动放弃投标。开标现场，只对电子投标文件进行开标。投标人因系统或网络问题无法上传电子投标文件时，请及时与拉萨市公共资源交易平台技术支持联系。</w:t>
            </w:r>
          </w:p>
          <w:p>
            <w:pPr>
              <w:pStyle w:val="18"/>
              <w:spacing w:line="400" w:lineRule="exact"/>
              <w:jc w:val="left"/>
              <w:rPr>
                <w:rFonts w:hint="eastAsia" w:hAnsi="宋体"/>
                <w:szCs w:val="21"/>
                <w:highlight w:val="none"/>
              </w:rPr>
            </w:pPr>
            <w:bookmarkStart w:id="66" w:name="_Toc73549817"/>
            <w:bookmarkStart w:id="67" w:name="_Toc71628238"/>
            <w:bookmarkStart w:id="68" w:name="_Toc71632263"/>
            <w:bookmarkStart w:id="69" w:name="_Toc71214248"/>
            <w:bookmarkStart w:id="70" w:name="_Toc71214534"/>
            <w:r>
              <w:rPr>
                <w:rFonts w:hint="eastAsia" w:hAnsi="宋体"/>
                <w:szCs w:val="21"/>
                <w:highlight w:val="none"/>
                <w:lang w:val="en-US" w:eastAsia="zh-CN"/>
              </w:rPr>
              <w:t>2</w:t>
            </w:r>
            <w:r>
              <w:rPr>
                <w:rFonts w:hint="eastAsia" w:hAnsi="宋体"/>
                <w:szCs w:val="21"/>
                <w:highlight w:val="none"/>
              </w:rPr>
              <w:t>.本项目采用电子评标（网上评标），只对电子投标文件进行评审。</w:t>
            </w:r>
            <w:bookmarkEnd w:id="66"/>
            <w:bookmarkEnd w:id="67"/>
            <w:bookmarkEnd w:id="68"/>
            <w:bookmarkEnd w:id="69"/>
            <w:bookmarkEnd w:id="70"/>
          </w:p>
          <w:p>
            <w:pPr>
              <w:pStyle w:val="18"/>
              <w:spacing w:line="400" w:lineRule="exact"/>
              <w:jc w:val="left"/>
              <w:rPr>
                <w:rFonts w:hint="eastAsia" w:hAnsi="宋体"/>
                <w:szCs w:val="21"/>
                <w:highlight w:val="none"/>
              </w:rPr>
            </w:pPr>
            <w:r>
              <w:rPr>
                <w:rFonts w:hint="eastAsia" w:hAnsi="宋体"/>
                <w:szCs w:val="21"/>
                <w:highlight w:val="none"/>
                <w:lang w:val="en-US" w:eastAsia="zh-CN"/>
              </w:rPr>
              <w:t>3</w:t>
            </w:r>
            <w:r>
              <w:rPr>
                <w:rFonts w:hint="eastAsia" w:hAnsi="宋体"/>
                <w:szCs w:val="21"/>
                <w:highlight w:val="none"/>
              </w:rPr>
              <w:t>.投标人法定代表人或其委托代理人应当按照本招标公告载明的时间和地点参加开标。开标时，投标人应当使用CA锁在招标文件规定的时间内完成投标文件在线解密。</w:t>
            </w:r>
          </w:p>
          <w:p>
            <w:pPr>
              <w:pStyle w:val="18"/>
              <w:spacing w:line="400" w:lineRule="exact"/>
              <w:jc w:val="left"/>
              <w:rPr>
                <w:rFonts w:hint="eastAsia" w:hAnsi="宋体"/>
                <w:szCs w:val="21"/>
                <w:highlight w:val="none"/>
              </w:rPr>
            </w:pPr>
            <w:r>
              <w:rPr>
                <w:rFonts w:hint="eastAsia" w:hAnsi="宋体"/>
                <w:szCs w:val="21"/>
                <w:highlight w:val="none"/>
                <w:lang w:val="en-US" w:eastAsia="zh-CN"/>
              </w:rPr>
              <w:t>4</w:t>
            </w:r>
            <w:r>
              <w:rPr>
                <w:rFonts w:hint="eastAsia" w:hAnsi="宋体"/>
                <w:szCs w:val="21"/>
                <w:highlight w:val="none"/>
              </w:rPr>
              <w:t>.开标时出现下列情况的，将视为逾期送达或者未按照招标文件要求密封的投标文件，采购人、采购代理机构应当拒收。</w:t>
            </w:r>
          </w:p>
          <w:p>
            <w:pPr>
              <w:pStyle w:val="18"/>
              <w:spacing w:line="400" w:lineRule="exact"/>
              <w:jc w:val="left"/>
              <w:rPr>
                <w:rFonts w:hint="eastAsia" w:hAnsi="宋体"/>
                <w:szCs w:val="21"/>
                <w:highlight w:val="none"/>
              </w:rPr>
            </w:pPr>
            <w:r>
              <w:rPr>
                <w:rFonts w:hint="eastAsia" w:hAnsi="宋体"/>
                <w:szCs w:val="21"/>
                <w:highlight w:val="none"/>
                <w:lang w:val="en-US" w:eastAsia="zh-CN"/>
              </w:rPr>
              <w:t>4</w:t>
            </w:r>
            <w:r>
              <w:rPr>
                <w:rFonts w:hint="eastAsia" w:hAnsi="宋体"/>
                <w:szCs w:val="21"/>
                <w:highlight w:val="none"/>
              </w:rPr>
              <w:t>.1投标人的法定代表人或其委托代理人未在规定时间内完成电子投标文件在线解密。</w:t>
            </w:r>
          </w:p>
          <w:p>
            <w:pPr>
              <w:pStyle w:val="18"/>
              <w:spacing w:line="400" w:lineRule="exact"/>
              <w:jc w:val="left"/>
              <w:rPr>
                <w:rFonts w:hint="eastAsia" w:hAnsi="宋体"/>
                <w:szCs w:val="21"/>
                <w:highlight w:val="none"/>
              </w:rPr>
            </w:pPr>
            <w:r>
              <w:rPr>
                <w:rFonts w:hint="eastAsia" w:hAnsi="宋体"/>
                <w:szCs w:val="21"/>
                <w:highlight w:val="none"/>
                <w:lang w:val="en-US" w:eastAsia="zh-CN"/>
              </w:rPr>
              <w:t>4</w:t>
            </w:r>
            <w:r>
              <w:rPr>
                <w:rFonts w:hint="eastAsia" w:hAnsi="宋体"/>
                <w:szCs w:val="21"/>
                <w:highlight w:val="none"/>
              </w:rPr>
              <w:t>.</w:t>
            </w:r>
            <w:r>
              <w:rPr>
                <w:rFonts w:hint="eastAsia" w:hAnsi="宋体"/>
                <w:szCs w:val="21"/>
                <w:highlight w:val="none"/>
                <w:lang w:val="en-US" w:eastAsia="zh-CN"/>
              </w:rPr>
              <w:t>2</w:t>
            </w:r>
            <w:r>
              <w:rPr>
                <w:rFonts w:hint="eastAsia" w:hAnsi="宋体"/>
                <w:szCs w:val="21"/>
                <w:highlight w:val="none"/>
              </w:rPr>
              <w:t>经检查数字证书无效的投标文件。</w:t>
            </w:r>
          </w:p>
          <w:p>
            <w:pPr>
              <w:pStyle w:val="18"/>
              <w:spacing w:line="400" w:lineRule="exact"/>
              <w:jc w:val="left"/>
              <w:rPr>
                <w:rFonts w:hint="eastAsia" w:hAnsi="宋体"/>
                <w:szCs w:val="21"/>
                <w:highlight w:val="none"/>
              </w:rPr>
            </w:pPr>
            <w:r>
              <w:rPr>
                <w:rFonts w:hint="eastAsia" w:hAnsi="宋体"/>
                <w:szCs w:val="21"/>
                <w:highlight w:val="none"/>
                <w:lang w:val="en-US" w:eastAsia="zh-CN"/>
              </w:rPr>
              <w:t>4</w:t>
            </w:r>
            <w:r>
              <w:rPr>
                <w:rFonts w:hint="eastAsia" w:hAnsi="宋体"/>
                <w:szCs w:val="21"/>
                <w:highlight w:val="none"/>
              </w:rPr>
              <w:t>.</w:t>
            </w:r>
            <w:r>
              <w:rPr>
                <w:rFonts w:hint="eastAsia" w:hAnsi="宋体"/>
                <w:szCs w:val="21"/>
                <w:highlight w:val="none"/>
                <w:lang w:val="en-US" w:eastAsia="zh-CN"/>
              </w:rPr>
              <w:t>3</w:t>
            </w:r>
            <w:r>
              <w:rPr>
                <w:rFonts w:hint="eastAsia" w:hAnsi="宋体"/>
                <w:szCs w:val="21"/>
                <w:highlight w:val="none"/>
              </w:rPr>
              <w:t>投标人的法定代表人或其委托代理人自身原因造成电子投标文件未能解密的。</w:t>
            </w:r>
          </w:p>
          <w:p>
            <w:pPr>
              <w:pStyle w:val="18"/>
              <w:spacing w:line="400" w:lineRule="exact"/>
              <w:jc w:val="left"/>
              <w:rPr>
                <w:rFonts w:hint="eastAsia" w:hAnsi="宋体"/>
                <w:szCs w:val="21"/>
                <w:highlight w:val="none"/>
              </w:rPr>
            </w:pPr>
            <w:r>
              <w:rPr>
                <w:rFonts w:hint="eastAsia" w:hAnsi="宋体"/>
                <w:szCs w:val="21"/>
                <w:highlight w:val="none"/>
                <w:lang w:val="en-US" w:eastAsia="zh-CN"/>
              </w:rPr>
              <w:t>5</w:t>
            </w:r>
            <w:r>
              <w:rPr>
                <w:rFonts w:hint="eastAsia" w:hAnsi="宋体"/>
                <w:szCs w:val="21"/>
                <w:highlight w:val="none"/>
              </w:rPr>
              <w:t>.本项目的投标人的法定代表人或其委托代理人必须在开始开标后完成所投全部标段的电子投标文件在线解密。</w:t>
            </w:r>
          </w:p>
          <w:p>
            <w:pPr>
              <w:pStyle w:val="18"/>
              <w:spacing w:line="400" w:lineRule="exact"/>
              <w:jc w:val="left"/>
              <w:rPr>
                <w:rFonts w:hint="eastAsia" w:hAnsi="宋体"/>
                <w:szCs w:val="21"/>
                <w:highlight w:val="none"/>
              </w:rPr>
            </w:pPr>
            <w:r>
              <w:rPr>
                <w:rFonts w:hint="eastAsia" w:hAnsi="宋体"/>
                <w:szCs w:val="21"/>
                <w:highlight w:val="none"/>
                <w:lang w:val="en-US" w:eastAsia="zh-CN"/>
              </w:rPr>
              <w:t>6</w:t>
            </w:r>
            <w:r>
              <w:rPr>
                <w:rFonts w:hint="eastAsia" w:hAnsi="宋体"/>
                <w:szCs w:val="21"/>
                <w:highlight w:val="none"/>
              </w:rPr>
              <w:t>.电子投标文件签字、盖章要求:</w:t>
            </w:r>
          </w:p>
          <w:p>
            <w:pPr>
              <w:pStyle w:val="18"/>
              <w:spacing w:line="400" w:lineRule="exact"/>
              <w:jc w:val="left"/>
              <w:rPr>
                <w:rFonts w:hint="eastAsia" w:hAnsi="宋体"/>
                <w:szCs w:val="21"/>
                <w:highlight w:val="none"/>
              </w:rPr>
            </w:pPr>
            <w:r>
              <w:rPr>
                <w:rFonts w:hint="eastAsia" w:hAnsi="宋体"/>
                <w:szCs w:val="21"/>
                <w:highlight w:val="none"/>
                <w:lang w:val="en-US" w:eastAsia="zh-CN"/>
              </w:rPr>
              <w:t>6</w:t>
            </w:r>
            <w:r>
              <w:rPr>
                <w:rFonts w:hint="eastAsia" w:hAnsi="宋体"/>
                <w:szCs w:val="21"/>
                <w:highlight w:val="none"/>
              </w:rPr>
              <w:t>.1签字、盖章位置及要求应符合“第</w:t>
            </w:r>
            <w:r>
              <w:rPr>
                <w:rFonts w:hint="eastAsia" w:hAnsi="宋体"/>
                <w:szCs w:val="21"/>
                <w:highlight w:val="none"/>
                <w:lang w:val="en-US" w:eastAsia="zh-CN"/>
              </w:rPr>
              <w:t>四</w:t>
            </w:r>
            <w:r>
              <w:rPr>
                <w:rFonts w:hint="eastAsia" w:hAnsi="宋体"/>
                <w:szCs w:val="21"/>
                <w:highlight w:val="none"/>
              </w:rPr>
              <w:t>章 投标文件格式”规定。</w:t>
            </w:r>
          </w:p>
          <w:p>
            <w:pPr>
              <w:pStyle w:val="18"/>
              <w:spacing w:line="400" w:lineRule="exact"/>
              <w:jc w:val="left"/>
              <w:rPr>
                <w:rFonts w:hint="eastAsia" w:hAnsi="宋体"/>
                <w:szCs w:val="21"/>
                <w:highlight w:val="none"/>
              </w:rPr>
            </w:pPr>
            <w:r>
              <w:rPr>
                <w:rFonts w:hint="eastAsia" w:hAnsi="宋体"/>
                <w:szCs w:val="21"/>
                <w:highlight w:val="none"/>
                <w:lang w:val="en-US" w:eastAsia="zh-CN"/>
              </w:rPr>
              <w:t>6</w:t>
            </w:r>
            <w:r>
              <w:rPr>
                <w:rFonts w:hint="eastAsia" w:hAnsi="宋体"/>
                <w:szCs w:val="21"/>
                <w:highlight w:val="none"/>
              </w:rPr>
              <w:t>.2</w:t>
            </w:r>
            <w:r>
              <w:rPr>
                <w:rFonts w:hint="eastAsia" w:ascii="Calibri" w:hAnsi="宋体"/>
                <w:szCs w:val="21"/>
                <w:highlight w:val="none"/>
                <w:lang w:val="en-US" w:eastAsia="zh-CN"/>
              </w:rPr>
              <w:t>按</w:t>
            </w:r>
            <w:r>
              <w:rPr>
                <w:rFonts w:hint="eastAsia" w:ascii="Calibri" w:hAnsi="宋体"/>
                <w:szCs w:val="21"/>
                <w:highlight w:val="none"/>
              </w:rPr>
              <w:t>第</w:t>
            </w:r>
            <w:r>
              <w:rPr>
                <w:rFonts w:hint="eastAsia" w:ascii="Calibri" w:hAnsi="宋体"/>
                <w:szCs w:val="21"/>
                <w:highlight w:val="none"/>
                <w:lang w:val="en-US" w:eastAsia="zh-CN"/>
              </w:rPr>
              <w:t>四</w:t>
            </w:r>
            <w:r>
              <w:rPr>
                <w:rFonts w:hint="eastAsia" w:ascii="Calibri" w:hAnsi="宋体"/>
                <w:szCs w:val="21"/>
                <w:highlight w:val="none"/>
              </w:rPr>
              <w:t>章“投标文件格式”</w:t>
            </w:r>
            <w:r>
              <w:rPr>
                <w:rFonts w:hint="eastAsia" w:ascii="Calibri" w:hAnsi="宋体"/>
                <w:szCs w:val="21"/>
                <w:highlight w:val="none"/>
                <w:lang w:val="en-US" w:eastAsia="zh-CN"/>
              </w:rPr>
              <w:t>要求，</w:t>
            </w:r>
            <w:r>
              <w:rPr>
                <w:rFonts w:hint="eastAsia" w:ascii="Calibri" w:hAnsi="宋体"/>
                <w:szCs w:val="21"/>
                <w:highlight w:val="none"/>
              </w:rPr>
              <w:t>采用</w:t>
            </w:r>
            <w:r>
              <w:rPr>
                <w:rFonts w:hint="eastAsia" w:ascii="Calibri" w:hAnsi="宋体"/>
                <w:szCs w:val="21"/>
                <w:highlight w:val="none"/>
                <w:lang w:val="en-US" w:eastAsia="zh-CN"/>
              </w:rPr>
              <w:t>企业CA进行</w:t>
            </w:r>
            <w:r>
              <w:rPr>
                <w:rFonts w:hint="eastAsia" w:ascii="Calibri" w:hAnsi="宋体"/>
                <w:szCs w:val="21"/>
                <w:highlight w:val="none"/>
              </w:rPr>
              <w:t>电子签章及电子签名</w:t>
            </w:r>
            <w:r>
              <w:rPr>
                <w:rFonts w:hint="eastAsia" w:ascii="Calibri" w:hAnsi="宋体"/>
                <w:szCs w:val="21"/>
                <w:highlight w:val="none"/>
                <w:lang w:eastAsia="zh-CN"/>
              </w:rPr>
              <w:t>。</w:t>
            </w:r>
            <w:r>
              <w:rPr>
                <w:rFonts w:hint="eastAsia" w:ascii="Calibri" w:hAnsi="宋体"/>
                <w:szCs w:val="21"/>
                <w:highlight w:val="none"/>
                <w:lang w:val="en-US" w:eastAsia="zh-CN"/>
              </w:rPr>
              <w:t>若</w:t>
            </w:r>
            <w:r>
              <w:rPr>
                <w:rFonts w:hint="eastAsia" w:ascii="Calibri" w:hAnsi="宋体"/>
                <w:szCs w:val="21"/>
                <w:highlight w:val="none"/>
              </w:rPr>
              <w:t>招标文件</w:t>
            </w:r>
            <w:r>
              <w:rPr>
                <w:rFonts w:hint="eastAsia" w:hAnsi="宋体"/>
                <w:szCs w:val="21"/>
                <w:highlight w:val="none"/>
              </w:rPr>
              <w:t>明确要求加盖单位</w:t>
            </w:r>
            <w:r>
              <w:rPr>
                <w:rFonts w:hint="eastAsia" w:hAnsi="宋体"/>
                <w:szCs w:val="21"/>
                <w:highlight w:val="none"/>
                <w:lang w:val="en-US" w:eastAsia="zh-CN"/>
              </w:rPr>
              <w:t>公章</w:t>
            </w:r>
            <w:r>
              <w:rPr>
                <w:rFonts w:hint="eastAsia" w:hAnsi="宋体"/>
                <w:szCs w:val="21"/>
                <w:highlight w:val="none"/>
              </w:rPr>
              <w:t>之处，投标人必须加盖投标人单位公章</w:t>
            </w:r>
            <w:r>
              <w:rPr>
                <w:rFonts w:hint="eastAsia" w:hAnsi="宋体"/>
                <w:szCs w:val="21"/>
                <w:highlight w:val="none"/>
                <w:lang w:eastAsia="zh-CN"/>
              </w:rPr>
              <w:t>，</w:t>
            </w:r>
            <w:r>
              <w:rPr>
                <w:rFonts w:hint="eastAsia" w:ascii="Calibri" w:hAnsi="宋体"/>
                <w:szCs w:val="21"/>
                <w:highlight w:val="none"/>
              </w:rPr>
              <w:t>要求投标人法定代表人或其授权代表签字处，须由本人签署签字（包括姓和名），不得用签名章、签字章等代替，也不得由他人代签，否则其投标无效</w:t>
            </w:r>
            <w:r>
              <w:rPr>
                <w:rFonts w:hint="eastAsia" w:ascii="Calibri" w:hAnsi="宋体"/>
                <w:szCs w:val="21"/>
                <w:highlight w:val="none"/>
                <w:lang w:eastAsia="zh-CN"/>
              </w:rPr>
              <w:t>。</w:t>
            </w:r>
            <w:r>
              <w:rPr>
                <w:rFonts w:hint="eastAsia" w:hAnsi="宋体"/>
                <w:szCs w:val="21"/>
                <w:highlight w:val="none"/>
              </w:rPr>
              <w:t>涉及到</w:t>
            </w:r>
            <w:r>
              <w:rPr>
                <w:rFonts w:hint="eastAsia" w:hAnsi="宋体"/>
                <w:szCs w:val="21"/>
                <w:highlight w:val="none"/>
                <w:lang w:val="en-US" w:eastAsia="zh-CN"/>
              </w:rPr>
              <w:t>文件需加盖投标人公章或</w:t>
            </w:r>
            <w:r>
              <w:rPr>
                <w:rFonts w:hint="eastAsia" w:hAnsi="宋体"/>
                <w:szCs w:val="21"/>
                <w:highlight w:val="none"/>
              </w:rPr>
              <w:t>委托代理人签字</w:t>
            </w:r>
            <w:r>
              <w:rPr>
                <w:rFonts w:hint="eastAsia" w:hAnsi="宋体"/>
                <w:szCs w:val="21"/>
                <w:highlight w:val="none"/>
                <w:lang w:val="en-US" w:eastAsia="zh-CN"/>
              </w:rPr>
              <w:t>的情况，</w:t>
            </w:r>
            <w:r>
              <w:rPr>
                <w:rFonts w:hint="eastAsia" w:hAnsi="宋体"/>
                <w:szCs w:val="21"/>
                <w:highlight w:val="none"/>
              </w:rPr>
              <w:t>可将文件</w:t>
            </w:r>
            <w:r>
              <w:rPr>
                <w:rFonts w:hint="eastAsia" w:hAnsi="宋体"/>
                <w:szCs w:val="21"/>
                <w:highlight w:val="none"/>
                <w:lang w:val="en-US" w:eastAsia="zh-CN"/>
              </w:rPr>
              <w:t>盖章页先加盖公章、</w:t>
            </w:r>
            <w:r>
              <w:rPr>
                <w:rFonts w:hint="eastAsia" w:hAnsi="宋体"/>
                <w:szCs w:val="21"/>
                <w:highlight w:val="none"/>
              </w:rPr>
              <w:t>签字页先进行签字</w:t>
            </w:r>
            <w:r>
              <w:rPr>
                <w:rFonts w:hint="eastAsia" w:hAnsi="宋体"/>
                <w:szCs w:val="21"/>
                <w:highlight w:val="none"/>
                <w:lang w:eastAsia="zh-CN"/>
              </w:rPr>
              <w:t>，</w:t>
            </w:r>
            <w:r>
              <w:rPr>
                <w:rFonts w:hint="eastAsia" w:hAnsi="宋体"/>
                <w:szCs w:val="21"/>
                <w:highlight w:val="none"/>
                <w:lang w:val="en-US" w:eastAsia="zh-CN"/>
              </w:rPr>
              <w:t>然后进行彩色</w:t>
            </w:r>
            <w:r>
              <w:rPr>
                <w:rFonts w:hint="eastAsia" w:hAnsi="宋体"/>
                <w:szCs w:val="21"/>
                <w:highlight w:val="none"/>
              </w:rPr>
              <w:t>扫描后导入加密电子投标文件。</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1034" w:type="dxa"/>
            <w:vAlign w:val="center"/>
          </w:tcPr>
          <w:p>
            <w:pPr>
              <w:spacing w:line="360" w:lineRule="exact"/>
              <w:jc w:val="center"/>
              <w:rPr>
                <w:rFonts w:hint="eastAsia" w:ascii="Times New Roman" w:hAnsi="Times New Roman" w:eastAsia="宋体" w:cs="Times New Roman"/>
                <w:kern w:val="2"/>
                <w:sz w:val="21"/>
                <w:szCs w:val="21"/>
                <w:highlight w:val="none"/>
                <w:lang w:val="en-US" w:eastAsia="zh-CN" w:bidi="ar-SA"/>
              </w:rPr>
            </w:pPr>
            <w:r>
              <w:rPr>
                <w:rFonts w:hint="eastAsia" w:cs="Times New Roman"/>
                <w:szCs w:val="21"/>
                <w:highlight w:val="none"/>
                <w:lang w:val="en-US" w:eastAsia="zh-CN"/>
              </w:rPr>
              <w:t>35.5（3）</w:t>
            </w:r>
          </w:p>
        </w:tc>
        <w:tc>
          <w:tcPr>
            <w:tcW w:w="8253" w:type="dxa"/>
            <w:gridSpan w:val="2"/>
            <w:vAlign w:val="center"/>
          </w:tcPr>
          <w:p>
            <w:pPr>
              <w:keepNext w:val="0"/>
              <w:keepLines w:val="0"/>
              <w:widowControl/>
              <w:suppressLineNumbers w:val="0"/>
              <w:spacing w:line="360" w:lineRule="auto"/>
              <w:jc w:val="left"/>
              <w:rPr>
                <w:rFonts w:hint="eastAsia" w:ascii="Times New Roman" w:hAnsi="宋体" w:eastAsia="宋体" w:cs="Times New Roman"/>
                <w:kern w:val="2"/>
                <w:sz w:val="21"/>
                <w:szCs w:val="21"/>
                <w:highlight w:val="none"/>
                <w:lang w:val="en-US" w:eastAsia="zh-CN" w:bidi="ar-SA"/>
              </w:rPr>
            </w:pPr>
            <w:r>
              <w:rPr>
                <w:rFonts w:hint="eastAsia" w:ascii="Calibri" w:hAnsi="宋体" w:eastAsia="宋体" w:cs="Times New Roman"/>
                <w:kern w:val="2"/>
                <w:sz w:val="21"/>
                <w:szCs w:val="21"/>
                <w:highlight w:val="none"/>
                <w:lang w:val="en-US" w:eastAsia="zh-CN" w:bidi="ar-SA"/>
              </w:rPr>
              <w:t>因西藏自治区公共资源交易平台在项目进场登记时会在系统内自动生成一个登记编号，投标人在编制投标文件时以采购文件内的项目编号为准。</w:t>
            </w:r>
          </w:p>
        </w:tc>
      </w:tr>
    </w:tbl>
    <w:p>
      <w:pPr>
        <w:rPr>
          <w:highlight w:val="none"/>
        </w:rPr>
      </w:pPr>
      <w:r>
        <w:rPr>
          <w:szCs w:val="21"/>
          <w:highlight w:val="none"/>
        </w:rPr>
        <w:br w:type="page"/>
      </w:r>
    </w:p>
    <w:p>
      <w:pPr>
        <w:pStyle w:val="4"/>
        <w:numPr>
          <w:ilvl w:val="0"/>
          <w:numId w:val="0"/>
        </w:numPr>
        <w:bidi w:val="0"/>
        <w:jc w:val="center"/>
        <w:rPr>
          <w:rFonts w:hint="eastAsia"/>
          <w:highlight w:val="none"/>
        </w:rPr>
      </w:pPr>
      <w:bookmarkStart w:id="71" w:name="_Toc818"/>
      <w:bookmarkStart w:id="72" w:name="_Toc22233"/>
      <w:bookmarkStart w:id="73" w:name="_Toc16087"/>
      <w:bookmarkStart w:id="74" w:name="_Toc3798"/>
      <w:bookmarkStart w:id="75" w:name="_Toc386486141"/>
      <w:bookmarkStart w:id="76" w:name="_Toc7905"/>
      <w:bookmarkStart w:id="77" w:name="_Toc3970"/>
      <w:bookmarkStart w:id="78" w:name="_Toc364392609"/>
      <w:bookmarkStart w:id="79" w:name="_Toc244341281"/>
      <w:bookmarkStart w:id="80" w:name="_Toc416124835"/>
      <w:bookmarkStart w:id="81" w:name="_Toc26519"/>
      <w:bookmarkStart w:id="82" w:name="_Toc6897"/>
      <w:bookmarkStart w:id="83" w:name="_Toc371448862"/>
      <w:r>
        <w:rPr>
          <w:rFonts w:hint="eastAsia"/>
          <w:highlight w:val="none"/>
        </w:rPr>
        <w:t>一、总则</w:t>
      </w:r>
      <w:bookmarkEnd w:id="71"/>
      <w:bookmarkEnd w:id="72"/>
      <w:bookmarkEnd w:id="73"/>
      <w:bookmarkEnd w:id="74"/>
      <w:bookmarkEnd w:id="75"/>
      <w:bookmarkEnd w:id="76"/>
      <w:bookmarkEnd w:id="77"/>
      <w:bookmarkEnd w:id="78"/>
      <w:bookmarkEnd w:id="79"/>
      <w:bookmarkEnd w:id="80"/>
      <w:bookmarkEnd w:id="81"/>
      <w:bookmarkEnd w:id="82"/>
      <w:bookmarkEnd w:id="83"/>
    </w:p>
    <w:p>
      <w:pPr>
        <w:keepNext/>
        <w:keepLines/>
        <w:spacing w:line="360" w:lineRule="auto"/>
        <w:ind w:firstLine="422" w:firstLineChars="200"/>
        <w:outlineLvl w:val="2"/>
        <w:rPr>
          <w:b/>
          <w:szCs w:val="21"/>
          <w:highlight w:val="none"/>
        </w:rPr>
      </w:pPr>
      <w:bookmarkStart w:id="84" w:name="_Toc1762"/>
      <w:bookmarkStart w:id="85" w:name="_Toc489145704"/>
      <w:bookmarkStart w:id="86" w:name="_Toc247085690"/>
      <w:bookmarkStart w:id="87" w:name="_Toc179632547"/>
      <w:bookmarkStart w:id="88" w:name="_Toc144974498"/>
      <w:bookmarkStart w:id="89" w:name="_Toc246996176"/>
      <w:bookmarkStart w:id="90" w:name="_Toc518289464"/>
      <w:bookmarkStart w:id="91" w:name="_Toc296602421"/>
      <w:bookmarkStart w:id="92" w:name="_Toc152045530"/>
      <w:bookmarkStart w:id="93" w:name="_Toc152042306"/>
      <w:bookmarkStart w:id="94" w:name="_Toc246996919"/>
      <w:bookmarkStart w:id="95" w:name="_Toc489197808"/>
      <w:bookmarkStart w:id="96" w:name="_Toc516851583"/>
      <w:r>
        <w:rPr>
          <w:b/>
          <w:szCs w:val="21"/>
          <w:highlight w:val="none"/>
        </w:rPr>
        <w:t>1. 项目概况</w:t>
      </w:r>
      <w:bookmarkEnd w:id="84"/>
    </w:p>
    <w:p>
      <w:pPr>
        <w:pageBreakBefore w:val="0"/>
        <w:widowControl w:val="0"/>
        <w:kinsoku/>
        <w:wordWrap/>
        <w:overflowPunct/>
        <w:topLinePunct w:val="0"/>
        <w:autoSpaceDE/>
        <w:autoSpaceDN/>
        <w:bidi w:val="0"/>
        <w:adjustRightInd/>
        <w:snapToGrid/>
        <w:spacing w:line="360" w:lineRule="auto"/>
        <w:ind w:firstLine="420" w:firstLineChars="200"/>
        <w:textAlignment w:val="auto"/>
        <w:outlineLvl w:val="9"/>
        <w:rPr>
          <w:szCs w:val="21"/>
          <w:highlight w:val="none"/>
        </w:rPr>
      </w:pPr>
      <w:r>
        <w:rPr>
          <w:szCs w:val="21"/>
          <w:highlight w:val="none"/>
        </w:rPr>
        <w:t>1.1根据《中华人民共和国政府采购法》、《中华人民共和国政府采购法实施条例》、《政府采购货物和服务招标投标管理办法》（财政部令第87号）等有关法律、法规的规定，本项目已具备招标条件，现对本项目进行公开招标。</w:t>
      </w:r>
    </w:p>
    <w:p>
      <w:pPr>
        <w:pageBreakBefore w:val="0"/>
        <w:widowControl w:val="0"/>
        <w:kinsoku/>
        <w:wordWrap/>
        <w:overflowPunct/>
        <w:topLinePunct w:val="0"/>
        <w:autoSpaceDE/>
        <w:autoSpaceDN/>
        <w:bidi w:val="0"/>
        <w:adjustRightInd/>
        <w:snapToGrid/>
        <w:spacing w:line="360" w:lineRule="auto"/>
        <w:ind w:firstLine="420" w:firstLineChars="200"/>
        <w:textAlignment w:val="auto"/>
        <w:outlineLvl w:val="9"/>
        <w:rPr>
          <w:rFonts w:hint="eastAsia"/>
          <w:szCs w:val="21"/>
          <w:highlight w:val="none"/>
        </w:rPr>
      </w:pPr>
      <w:r>
        <w:rPr>
          <w:rFonts w:hint="eastAsia"/>
          <w:szCs w:val="21"/>
          <w:highlight w:val="none"/>
        </w:rPr>
        <w:t>1.2 本项目采购人：见“投标人须知前附表”。</w:t>
      </w:r>
    </w:p>
    <w:p>
      <w:pPr>
        <w:pageBreakBefore w:val="0"/>
        <w:widowControl w:val="0"/>
        <w:kinsoku/>
        <w:wordWrap/>
        <w:overflowPunct/>
        <w:topLinePunct w:val="0"/>
        <w:autoSpaceDE/>
        <w:autoSpaceDN/>
        <w:bidi w:val="0"/>
        <w:adjustRightInd/>
        <w:snapToGrid/>
        <w:spacing w:line="360" w:lineRule="auto"/>
        <w:ind w:firstLine="420" w:firstLineChars="200"/>
        <w:textAlignment w:val="auto"/>
        <w:outlineLvl w:val="9"/>
        <w:rPr>
          <w:rFonts w:hint="eastAsia"/>
          <w:szCs w:val="21"/>
          <w:highlight w:val="none"/>
        </w:rPr>
      </w:pPr>
      <w:r>
        <w:rPr>
          <w:rFonts w:hint="eastAsia"/>
          <w:szCs w:val="21"/>
          <w:highlight w:val="none"/>
        </w:rPr>
        <w:t>1.3 本项目采购代理机构：见“投标人须知前附表”。</w:t>
      </w:r>
    </w:p>
    <w:p>
      <w:pPr>
        <w:pageBreakBefore w:val="0"/>
        <w:widowControl w:val="0"/>
        <w:kinsoku/>
        <w:wordWrap/>
        <w:overflowPunct/>
        <w:topLinePunct w:val="0"/>
        <w:autoSpaceDE/>
        <w:autoSpaceDN/>
        <w:bidi w:val="0"/>
        <w:adjustRightInd/>
        <w:snapToGrid/>
        <w:spacing w:line="360" w:lineRule="auto"/>
        <w:ind w:firstLine="420" w:firstLineChars="200"/>
        <w:textAlignment w:val="auto"/>
        <w:outlineLvl w:val="9"/>
        <w:rPr>
          <w:rFonts w:hint="eastAsia"/>
          <w:szCs w:val="21"/>
          <w:highlight w:val="none"/>
        </w:rPr>
      </w:pPr>
      <w:r>
        <w:rPr>
          <w:rFonts w:hint="eastAsia"/>
          <w:szCs w:val="21"/>
          <w:highlight w:val="none"/>
        </w:rPr>
        <w:t>1.4 本项目名称及招标编号：见“投标人须知前附表”。</w:t>
      </w:r>
    </w:p>
    <w:p>
      <w:pPr>
        <w:keepNext/>
        <w:keepLines/>
        <w:pageBreakBefore w:val="0"/>
        <w:widowControl w:val="0"/>
        <w:kinsoku/>
        <w:wordWrap/>
        <w:overflowPunct/>
        <w:topLinePunct w:val="0"/>
        <w:autoSpaceDE/>
        <w:autoSpaceDN/>
        <w:bidi w:val="0"/>
        <w:adjustRightInd/>
        <w:snapToGrid/>
        <w:spacing w:line="360" w:lineRule="auto"/>
        <w:ind w:firstLine="420" w:firstLineChars="200"/>
        <w:textAlignment w:val="auto"/>
        <w:outlineLvl w:val="9"/>
        <w:rPr>
          <w:rFonts w:hint="eastAsia"/>
          <w:b/>
          <w:szCs w:val="21"/>
          <w:highlight w:val="none"/>
        </w:rPr>
      </w:pPr>
      <w:r>
        <w:rPr>
          <w:rFonts w:hint="eastAsia"/>
          <w:bCs/>
          <w:szCs w:val="21"/>
          <w:highlight w:val="none"/>
        </w:rPr>
        <w:t>1.5本项目预算金额、最高限价（如果有）：见“投标人须知前附表”。</w:t>
      </w:r>
    </w:p>
    <w:p>
      <w:pPr>
        <w:keepNext/>
        <w:keepLines/>
        <w:pageBreakBefore w:val="0"/>
        <w:widowControl w:val="0"/>
        <w:kinsoku/>
        <w:wordWrap/>
        <w:overflowPunct/>
        <w:topLinePunct w:val="0"/>
        <w:autoSpaceDE/>
        <w:autoSpaceDN/>
        <w:bidi w:val="0"/>
        <w:adjustRightInd/>
        <w:snapToGrid/>
        <w:spacing w:line="360" w:lineRule="auto"/>
        <w:ind w:firstLine="422" w:firstLineChars="200"/>
        <w:textAlignment w:val="auto"/>
        <w:outlineLvl w:val="2"/>
        <w:rPr>
          <w:rFonts w:hint="eastAsia" w:eastAsia="宋体"/>
          <w:b/>
          <w:szCs w:val="21"/>
          <w:highlight w:val="none"/>
          <w:lang w:eastAsia="zh-CN"/>
        </w:rPr>
      </w:pPr>
      <w:bookmarkStart w:id="97" w:name="_Toc17821"/>
      <w:r>
        <w:rPr>
          <w:rFonts w:hint="eastAsia"/>
          <w:b/>
          <w:szCs w:val="21"/>
          <w:highlight w:val="none"/>
        </w:rPr>
        <w:t>2. 招标范围、</w:t>
      </w:r>
      <w:r>
        <w:rPr>
          <w:rFonts w:hint="eastAsia"/>
          <w:b/>
          <w:szCs w:val="21"/>
          <w:highlight w:val="none"/>
          <w:lang w:eastAsia="zh-CN"/>
        </w:rPr>
        <w:t>服务期</w:t>
      </w:r>
      <w:r>
        <w:rPr>
          <w:rFonts w:hint="eastAsia"/>
          <w:b/>
          <w:szCs w:val="21"/>
          <w:highlight w:val="none"/>
        </w:rPr>
        <w:t>及</w:t>
      </w:r>
      <w:bookmarkEnd w:id="97"/>
      <w:r>
        <w:rPr>
          <w:rFonts w:hint="eastAsia"/>
          <w:b/>
          <w:szCs w:val="21"/>
          <w:highlight w:val="none"/>
          <w:lang w:eastAsia="zh-CN"/>
        </w:rPr>
        <w:t>服务地点</w:t>
      </w:r>
    </w:p>
    <w:p>
      <w:pPr>
        <w:spacing w:line="360" w:lineRule="auto"/>
        <w:ind w:firstLine="420" w:firstLineChars="200"/>
        <w:rPr>
          <w:rFonts w:hint="eastAsia"/>
          <w:szCs w:val="21"/>
          <w:highlight w:val="none"/>
        </w:rPr>
      </w:pPr>
      <w:r>
        <w:rPr>
          <w:rFonts w:hint="eastAsia"/>
          <w:szCs w:val="21"/>
          <w:highlight w:val="none"/>
        </w:rPr>
        <w:t>2.1本项目招标范围：见“投标人须知前附表”。</w:t>
      </w:r>
    </w:p>
    <w:p>
      <w:pPr>
        <w:spacing w:line="360" w:lineRule="auto"/>
        <w:ind w:firstLine="420" w:firstLineChars="200"/>
        <w:rPr>
          <w:rFonts w:hint="eastAsia"/>
          <w:szCs w:val="21"/>
          <w:highlight w:val="none"/>
        </w:rPr>
      </w:pPr>
      <w:r>
        <w:rPr>
          <w:rFonts w:hint="eastAsia"/>
          <w:szCs w:val="21"/>
          <w:highlight w:val="none"/>
        </w:rPr>
        <w:t>2.2本项目</w:t>
      </w:r>
      <w:r>
        <w:rPr>
          <w:rFonts w:hint="eastAsia"/>
          <w:szCs w:val="21"/>
          <w:highlight w:val="none"/>
          <w:lang w:eastAsia="zh-CN"/>
        </w:rPr>
        <w:t>服务期</w:t>
      </w:r>
      <w:r>
        <w:rPr>
          <w:rFonts w:hint="eastAsia"/>
          <w:szCs w:val="21"/>
          <w:highlight w:val="none"/>
        </w:rPr>
        <w:t>及</w:t>
      </w:r>
      <w:r>
        <w:rPr>
          <w:rFonts w:hint="eastAsia"/>
          <w:szCs w:val="21"/>
          <w:highlight w:val="none"/>
          <w:lang w:eastAsia="zh-CN"/>
        </w:rPr>
        <w:t>服务地点</w:t>
      </w:r>
      <w:r>
        <w:rPr>
          <w:rFonts w:hint="eastAsia"/>
          <w:szCs w:val="21"/>
          <w:highlight w:val="none"/>
        </w:rPr>
        <w:t>：见“投标人须知前附表”。</w:t>
      </w:r>
    </w:p>
    <w:p>
      <w:pPr>
        <w:keepNext/>
        <w:keepLines/>
        <w:spacing w:line="360" w:lineRule="auto"/>
        <w:ind w:firstLine="422" w:firstLineChars="200"/>
        <w:outlineLvl w:val="2"/>
        <w:rPr>
          <w:rFonts w:hint="eastAsia"/>
          <w:b/>
          <w:szCs w:val="21"/>
          <w:highlight w:val="none"/>
        </w:rPr>
      </w:pPr>
      <w:bookmarkStart w:id="98" w:name="_Toc25533"/>
      <w:r>
        <w:rPr>
          <w:rFonts w:hint="eastAsia" w:ascii="宋体"/>
          <w:b/>
          <w:color w:val="000000"/>
          <w:szCs w:val="21"/>
          <w:highlight w:val="none"/>
        </w:rPr>
        <w:t>★</w:t>
      </w:r>
      <w:r>
        <w:rPr>
          <w:rFonts w:hint="eastAsia"/>
          <w:b/>
          <w:szCs w:val="21"/>
          <w:highlight w:val="none"/>
        </w:rPr>
        <w:t>3. 投标人资格要求</w:t>
      </w:r>
      <w:bookmarkEnd w:id="98"/>
    </w:p>
    <w:p>
      <w:pPr>
        <w:spacing w:line="360" w:lineRule="auto"/>
        <w:ind w:firstLine="420" w:firstLineChars="200"/>
        <w:rPr>
          <w:rFonts w:hint="eastAsia"/>
          <w:szCs w:val="21"/>
          <w:highlight w:val="none"/>
        </w:rPr>
      </w:pPr>
      <w:r>
        <w:rPr>
          <w:rFonts w:hint="eastAsia"/>
          <w:szCs w:val="21"/>
          <w:highlight w:val="none"/>
        </w:rPr>
        <w:t xml:space="preserve">3.1 </w:t>
      </w:r>
      <w:r>
        <w:rPr>
          <w:rFonts w:hint="eastAsia" w:ascii="宋体" w:hAnsi="宋体" w:cs="Arial"/>
          <w:color w:val="000000"/>
          <w:kern w:val="0"/>
          <w:szCs w:val="21"/>
          <w:highlight w:val="none"/>
        </w:rPr>
        <w:t>投标人</w:t>
      </w:r>
      <w:r>
        <w:rPr>
          <w:rFonts w:hint="eastAsia" w:ascii="宋体"/>
          <w:color w:val="000000"/>
          <w:szCs w:val="21"/>
          <w:highlight w:val="none"/>
        </w:rPr>
        <w:t>应具备《中华人民共和国政府采购法》第二十二条规定的资格条件，并按</w:t>
      </w:r>
      <w:r>
        <w:rPr>
          <w:kern w:val="0"/>
          <w:szCs w:val="21"/>
          <w:highlight w:val="none"/>
        </w:rPr>
        <w:t>《中华人民共和国政府采购法实施条例》</w:t>
      </w:r>
      <w:r>
        <w:rPr>
          <w:rFonts w:hint="eastAsia" w:ascii="宋体"/>
          <w:color w:val="000000"/>
          <w:szCs w:val="21"/>
          <w:highlight w:val="none"/>
        </w:rPr>
        <w:t>第十七条的规定</w:t>
      </w:r>
      <w:r>
        <w:rPr>
          <w:rFonts w:hint="eastAsia"/>
          <w:kern w:val="0"/>
          <w:szCs w:val="21"/>
          <w:highlight w:val="none"/>
        </w:rPr>
        <w:t>提供证明材料。</w:t>
      </w:r>
      <w:r>
        <w:rPr>
          <w:rFonts w:hint="eastAsia"/>
          <w:szCs w:val="21"/>
          <w:highlight w:val="none"/>
        </w:rPr>
        <w:t>详见</w:t>
      </w:r>
      <w:r>
        <w:rPr>
          <w:rFonts w:hint="eastAsia" w:ascii="宋体"/>
          <w:color w:val="000000"/>
          <w:szCs w:val="21"/>
          <w:highlight w:val="none"/>
        </w:rPr>
        <w:t>第一章“招标公告”</w:t>
      </w:r>
      <w:r>
        <w:rPr>
          <w:rFonts w:hint="eastAsia" w:ascii="宋体"/>
          <w:color w:val="000000"/>
          <w:szCs w:val="21"/>
          <w:highlight w:val="none"/>
          <w:lang w:eastAsia="zh-CN"/>
        </w:rPr>
        <w:t>。</w:t>
      </w:r>
      <w:r>
        <w:rPr>
          <w:rFonts w:hint="eastAsia" w:ascii="宋体"/>
          <w:color w:val="000000"/>
          <w:szCs w:val="21"/>
          <w:highlight w:val="none"/>
          <w:lang w:val="en-US" w:eastAsia="zh-CN"/>
        </w:rPr>
        <w:t>说明：</w:t>
      </w:r>
      <w:r>
        <w:rPr>
          <w:rFonts w:hint="eastAsia"/>
          <w:kern w:val="0"/>
          <w:szCs w:val="21"/>
          <w:highlight w:val="none"/>
          <w:lang w:val="en-US" w:eastAsia="zh-CN"/>
        </w:rPr>
        <w:t>银行、保险、石油化工、电力、电信等特殊行业可以分支机构的身份参加政府采购</w:t>
      </w:r>
      <w:r>
        <w:rPr>
          <w:rFonts w:hint="eastAsia"/>
          <w:szCs w:val="21"/>
          <w:highlight w:val="none"/>
        </w:rPr>
        <w:t>。</w:t>
      </w:r>
    </w:p>
    <w:p>
      <w:pPr>
        <w:spacing w:line="360" w:lineRule="auto"/>
        <w:ind w:firstLine="420" w:firstLineChars="200"/>
        <w:rPr>
          <w:rFonts w:hint="eastAsia"/>
          <w:szCs w:val="21"/>
          <w:highlight w:val="none"/>
        </w:rPr>
      </w:pPr>
      <w:r>
        <w:rPr>
          <w:rFonts w:hint="eastAsia"/>
          <w:szCs w:val="21"/>
          <w:highlight w:val="none"/>
        </w:rPr>
        <w:t>3.2</w:t>
      </w:r>
      <w:r>
        <w:rPr>
          <w:rFonts w:hint="eastAsia" w:ascii="宋体"/>
          <w:color w:val="000000"/>
          <w:szCs w:val="21"/>
          <w:highlight w:val="none"/>
        </w:rPr>
        <w:t>投标人应符合采购人根据采购项目的特殊要求规定的特定资格条件，</w:t>
      </w:r>
      <w:r>
        <w:rPr>
          <w:rFonts w:hint="eastAsia" w:ascii="宋体" w:hAnsi="宋体" w:cs="宋体"/>
          <w:szCs w:val="21"/>
          <w:highlight w:val="none"/>
        </w:rPr>
        <w:t>并提供符合特殊要求的证明材料或者情况说明</w:t>
      </w:r>
      <w:r>
        <w:rPr>
          <w:rFonts w:hint="eastAsia" w:ascii="宋体"/>
          <w:color w:val="000000"/>
          <w:szCs w:val="21"/>
          <w:highlight w:val="none"/>
        </w:rPr>
        <w:t>。详见第一章“招标公告”。</w:t>
      </w:r>
    </w:p>
    <w:p>
      <w:pPr>
        <w:spacing w:line="360" w:lineRule="auto"/>
        <w:ind w:firstLine="420" w:firstLineChars="200"/>
        <w:rPr>
          <w:rFonts w:hint="eastAsia"/>
          <w:szCs w:val="21"/>
          <w:highlight w:val="none"/>
        </w:rPr>
      </w:pPr>
      <w:r>
        <w:rPr>
          <w:rFonts w:hint="eastAsia"/>
          <w:szCs w:val="21"/>
          <w:highlight w:val="none"/>
        </w:rPr>
        <w:t>3.3</w:t>
      </w:r>
      <w:r>
        <w:rPr>
          <w:rFonts w:hint="eastAsia" w:ascii="宋体" w:hAnsi="宋体" w:cs="宋体"/>
          <w:szCs w:val="21"/>
          <w:highlight w:val="none"/>
        </w:rPr>
        <w:t>投标人在投标截止时间前未被列入“失信被执行人”、“重大税收违法案件当事人名单”、“政府采购严重违法失信名单”。</w:t>
      </w:r>
      <w:r>
        <w:rPr>
          <w:bCs/>
          <w:szCs w:val="21"/>
          <w:highlight w:val="none"/>
        </w:rPr>
        <w:t>信用信息查询</w:t>
      </w:r>
      <w:r>
        <w:rPr>
          <w:rFonts w:hint="eastAsia"/>
          <w:bCs/>
          <w:szCs w:val="21"/>
          <w:highlight w:val="none"/>
        </w:rPr>
        <w:t>时间及渠道</w:t>
      </w:r>
      <w:r>
        <w:rPr>
          <w:rFonts w:hint="eastAsia" w:ascii="宋体"/>
          <w:color w:val="000000"/>
          <w:szCs w:val="21"/>
          <w:highlight w:val="none"/>
        </w:rPr>
        <w:t>详见第一章“招标公告”。</w:t>
      </w:r>
      <w:r>
        <w:rPr>
          <w:bCs/>
          <w:szCs w:val="21"/>
          <w:highlight w:val="none"/>
        </w:rPr>
        <w:t>信用信息查询记录</w:t>
      </w:r>
      <w:r>
        <w:rPr>
          <w:rFonts w:hint="eastAsia"/>
          <w:bCs/>
          <w:szCs w:val="21"/>
          <w:highlight w:val="none"/>
        </w:rPr>
        <w:t>以书面形式</w:t>
      </w:r>
      <w:r>
        <w:rPr>
          <w:bCs/>
          <w:szCs w:val="21"/>
          <w:highlight w:val="none"/>
        </w:rPr>
        <w:t>随采购文件一并存档。</w:t>
      </w:r>
    </w:p>
    <w:p>
      <w:pPr>
        <w:spacing w:line="360" w:lineRule="auto"/>
        <w:ind w:firstLine="420" w:firstLineChars="200"/>
        <w:rPr>
          <w:rFonts w:hint="eastAsia"/>
          <w:szCs w:val="21"/>
          <w:highlight w:val="none"/>
        </w:rPr>
      </w:pPr>
      <w:r>
        <w:rPr>
          <w:rFonts w:hint="eastAsia"/>
          <w:szCs w:val="21"/>
          <w:highlight w:val="none"/>
        </w:rPr>
        <w:t>3.4其他条件</w:t>
      </w:r>
    </w:p>
    <w:p>
      <w:pPr>
        <w:spacing w:line="360" w:lineRule="auto"/>
        <w:ind w:firstLine="420" w:firstLineChars="200"/>
        <w:rPr>
          <w:rFonts w:hint="eastAsia"/>
          <w:szCs w:val="21"/>
          <w:highlight w:val="none"/>
        </w:rPr>
      </w:pPr>
      <w:r>
        <w:rPr>
          <w:rFonts w:hint="eastAsia"/>
          <w:szCs w:val="21"/>
          <w:highlight w:val="none"/>
        </w:rPr>
        <w:t>（1）</w:t>
      </w:r>
      <w:r>
        <w:rPr>
          <w:szCs w:val="21"/>
          <w:highlight w:val="none"/>
        </w:rPr>
        <w:t>单位负责人为同一人或者存在直接控股、管理关系的不同供应商，不得参加同一合同项下的政府采购活动。</w:t>
      </w:r>
    </w:p>
    <w:p>
      <w:pPr>
        <w:spacing w:line="360" w:lineRule="auto"/>
        <w:ind w:firstLine="420" w:firstLineChars="200"/>
        <w:rPr>
          <w:rFonts w:hint="eastAsia"/>
          <w:szCs w:val="21"/>
          <w:highlight w:val="none"/>
        </w:rPr>
      </w:pPr>
      <w:r>
        <w:rPr>
          <w:rFonts w:hint="eastAsia"/>
          <w:szCs w:val="21"/>
          <w:highlight w:val="none"/>
        </w:rPr>
        <w:t>（2）</w:t>
      </w:r>
      <w:r>
        <w:rPr>
          <w:szCs w:val="21"/>
          <w:highlight w:val="none"/>
        </w:rPr>
        <w:t>投标人不得是直接或间接地与为本次采购的货物提供整体设计、规范编制或者项目管理、监理、检测等服务的供应商</w:t>
      </w:r>
      <w:r>
        <w:rPr>
          <w:rFonts w:hint="eastAsia"/>
          <w:szCs w:val="21"/>
          <w:highlight w:val="none"/>
        </w:rPr>
        <w:t>。</w:t>
      </w:r>
    </w:p>
    <w:p>
      <w:pPr>
        <w:spacing w:line="360" w:lineRule="auto"/>
        <w:ind w:firstLine="420" w:firstLineChars="200"/>
        <w:rPr>
          <w:szCs w:val="21"/>
          <w:highlight w:val="none"/>
        </w:rPr>
      </w:pPr>
      <w:r>
        <w:rPr>
          <w:rFonts w:hint="eastAsia"/>
          <w:szCs w:val="21"/>
          <w:highlight w:val="none"/>
        </w:rPr>
        <w:t>（3）</w:t>
      </w:r>
      <w:r>
        <w:rPr>
          <w:rFonts w:hint="eastAsia"/>
          <w:szCs w:val="21"/>
          <w:highlight w:val="none"/>
          <w:lang w:val="en-US" w:eastAsia="zh-CN"/>
        </w:rPr>
        <w:t>投标人不得存在的其他关联情形：</w:t>
      </w:r>
      <w:r>
        <w:rPr>
          <w:rFonts w:hint="eastAsia"/>
          <w:szCs w:val="21"/>
          <w:highlight w:val="none"/>
        </w:rPr>
        <w:t>详见“投标人须知前附表”。</w:t>
      </w:r>
    </w:p>
    <w:p>
      <w:pPr>
        <w:spacing w:line="360" w:lineRule="auto"/>
        <w:ind w:firstLine="420" w:firstLineChars="200"/>
        <w:rPr>
          <w:rFonts w:hint="eastAsia"/>
          <w:szCs w:val="21"/>
          <w:highlight w:val="none"/>
        </w:rPr>
      </w:pPr>
      <w:r>
        <w:rPr>
          <w:rFonts w:hint="eastAsia"/>
          <w:szCs w:val="21"/>
          <w:highlight w:val="none"/>
        </w:rPr>
        <w:t>3.5是否接受联合体参加：详见</w:t>
      </w:r>
      <w:r>
        <w:rPr>
          <w:rFonts w:hint="eastAsia"/>
          <w:bCs/>
          <w:szCs w:val="21"/>
          <w:highlight w:val="none"/>
        </w:rPr>
        <w:t>“投标人须知前附表”</w:t>
      </w:r>
      <w:r>
        <w:rPr>
          <w:rFonts w:hint="eastAsia"/>
          <w:szCs w:val="21"/>
          <w:highlight w:val="none"/>
        </w:rPr>
        <w:t>。接受联合体投标的，联合体各方还应遵守以下规定：</w:t>
      </w:r>
    </w:p>
    <w:p>
      <w:pPr>
        <w:spacing w:line="360" w:lineRule="auto"/>
        <w:ind w:firstLine="420" w:firstLineChars="200"/>
        <w:rPr>
          <w:rFonts w:hint="eastAsia"/>
          <w:szCs w:val="21"/>
          <w:highlight w:val="none"/>
        </w:rPr>
      </w:pPr>
      <w:r>
        <w:rPr>
          <w:rFonts w:hint="eastAsia"/>
          <w:szCs w:val="21"/>
          <w:highlight w:val="none"/>
        </w:rPr>
        <w:t>（1）联合体各方之间应当签订共同投标协议，共同投标协议中应确定主办方（主体），明确约定联合体各方承担的工作和相应的责任，并将共同投标协议连同投标文件一并提交采购代理机构；</w:t>
      </w:r>
    </w:p>
    <w:p>
      <w:pPr>
        <w:spacing w:line="360" w:lineRule="auto"/>
        <w:ind w:firstLine="420" w:firstLineChars="200"/>
        <w:rPr>
          <w:rFonts w:hint="eastAsia"/>
          <w:szCs w:val="21"/>
          <w:highlight w:val="none"/>
        </w:rPr>
      </w:pPr>
      <w:r>
        <w:rPr>
          <w:rFonts w:hint="eastAsia"/>
          <w:szCs w:val="21"/>
          <w:highlight w:val="none"/>
        </w:rPr>
        <w:t>（2）采购人根据采购项目的特殊要求规定的特定条件的，联合体各方中至少应有一方符合本项目的特定条件；以联合体形式参加投标的，联合体各方均应满足投标人资格要求，联合体中有同类资质的供应商按照联合体分工承担相同工作的，应当按照资质等级较低的供应商确定资质等级。</w:t>
      </w:r>
    </w:p>
    <w:p>
      <w:pPr>
        <w:spacing w:line="360" w:lineRule="auto"/>
        <w:ind w:firstLine="420" w:firstLineChars="200"/>
        <w:rPr>
          <w:rFonts w:hint="eastAsia"/>
          <w:szCs w:val="21"/>
          <w:highlight w:val="none"/>
        </w:rPr>
      </w:pPr>
      <w:r>
        <w:rPr>
          <w:rFonts w:hint="eastAsia"/>
          <w:szCs w:val="21"/>
          <w:highlight w:val="none"/>
        </w:rPr>
        <w:t>（3）联合体各方不得再以自己名义单独或参加其他联合体在同一合同项下投标。</w:t>
      </w:r>
    </w:p>
    <w:p>
      <w:pPr>
        <w:spacing w:line="360" w:lineRule="auto"/>
        <w:ind w:firstLine="420" w:firstLineChars="200"/>
        <w:rPr>
          <w:rFonts w:hint="eastAsia"/>
          <w:szCs w:val="21"/>
          <w:highlight w:val="none"/>
        </w:rPr>
      </w:pPr>
      <w:r>
        <w:rPr>
          <w:rFonts w:hint="eastAsia"/>
          <w:szCs w:val="21"/>
          <w:highlight w:val="none"/>
        </w:rPr>
        <w:t>3.6如投标人为满足投标人资格要求提供虚假材料，一经查实，视为未实质性响应招标文件，投标人的投标文件将按无效处理。</w:t>
      </w:r>
    </w:p>
    <w:p>
      <w:pPr>
        <w:spacing w:line="360" w:lineRule="auto"/>
        <w:ind w:firstLine="420" w:firstLineChars="200"/>
        <w:rPr>
          <w:rFonts w:hint="eastAsia"/>
          <w:szCs w:val="21"/>
          <w:highlight w:val="none"/>
        </w:rPr>
      </w:pPr>
      <w:r>
        <w:rPr>
          <w:rFonts w:hint="eastAsia"/>
          <w:szCs w:val="21"/>
          <w:highlight w:val="none"/>
        </w:rPr>
        <w:t>3.7符合上述条件的投标人应承担投标及履约中应承担的全部责任与义务。</w:t>
      </w:r>
    </w:p>
    <w:p>
      <w:pPr>
        <w:keepNext/>
        <w:keepLines/>
        <w:pageBreakBefore w:val="0"/>
        <w:widowControl w:val="0"/>
        <w:kinsoku/>
        <w:wordWrap/>
        <w:overflowPunct/>
        <w:topLinePunct w:val="0"/>
        <w:autoSpaceDE/>
        <w:autoSpaceDN/>
        <w:bidi w:val="0"/>
        <w:adjustRightInd/>
        <w:snapToGrid/>
        <w:spacing w:line="360" w:lineRule="auto"/>
        <w:ind w:firstLine="422" w:firstLineChars="200"/>
        <w:textAlignment w:val="auto"/>
        <w:outlineLvl w:val="2"/>
        <w:rPr>
          <w:rFonts w:hint="eastAsia"/>
          <w:b/>
          <w:szCs w:val="21"/>
          <w:highlight w:val="none"/>
        </w:rPr>
      </w:pPr>
      <w:bookmarkStart w:id="99" w:name="_Toc4952"/>
      <w:r>
        <w:rPr>
          <w:rFonts w:hint="eastAsia"/>
          <w:b/>
          <w:szCs w:val="21"/>
          <w:highlight w:val="none"/>
        </w:rPr>
        <w:t>4. 费用承担</w:t>
      </w:r>
      <w:bookmarkEnd w:id="99"/>
    </w:p>
    <w:p>
      <w:pPr>
        <w:spacing w:line="360" w:lineRule="auto"/>
        <w:ind w:firstLine="420" w:firstLineChars="200"/>
        <w:rPr>
          <w:rFonts w:hint="eastAsia"/>
          <w:szCs w:val="21"/>
          <w:highlight w:val="none"/>
        </w:rPr>
      </w:pPr>
      <w:r>
        <w:rPr>
          <w:rFonts w:hint="eastAsia"/>
          <w:szCs w:val="21"/>
          <w:highlight w:val="none"/>
        </w:rPr>
        <w:t>4.1投标人准备和参加投标活动发生的费用自理；</w:t>
      </w:r>
    </w:p>
    <w:p>
      <w:pPr>
        <w:spacing w:line="360" w:lineRule="auto"/>
        <w:ind w:firstLine="420" w:firstLineChars="200"/>
        <w:rPr>
          <w:rFonts w:hint="eastAsia"/>
          <w:szCs w:val="21"/>
          <w:highlight w:val="none"/>
        </w:rPr>
      </w:pPr>
      <w:r>
        <w:rPr>
          <w:rFonts w:hint="eastAsia"/>
          <w:szCs w:val="21"/>
          <w:highlight w:val="none"/>
        </w:rPr>
        <w:t>4.2中标人须在领取中标通知书时向采购代理机构支付招标代理服务费，招标代理服务费的计算或金额见</w:t>
      </w:r>
      <w:r>
        <w:rPr>
          <w:rFonts w:hint="eastAsia"/>
          <w:bCs/>
          <w:szCs w:val="21"/>
          <w:highlight w:val="none"/>
        </w:rPr>
        <w:t>“投标人须知前附表”</w:t>
      </w:r>
      <w:r>
        <w:rPr>
          <w:rFonts w:hint="eastAsia"/>
          <w:szCs w:val="21"/>
          <w:highlight w:val="none"/>
        </w:rPr>
        <w:t>。</w:t>
      </w:r>
    </w:p>
    <w:p>
      <w:pPr>
        <w:keepNext/>
        <w:keepLines/>
        <w:pageBreakBefore w:val="0"/>
        <w:widowControl w:val="0"/>
        <w:kinsoku/>
        <w:wordWrap/>
        <w:overflowPunct/>
        <w:topLinePunct w:val="0"/>
        <w:autoSpaceDE/>
        <w:autoSpaceDN/>
        <w:bidi w:val="0"/>
        <w:adjustRightInd/>
        <w:snapToGrid/>
        <w:spacing w:line="360" w:lineRule="auto"/>
        <w:ind w:firstLine="422" w:firstLineChars="200"/>
        <w:textAlignment w:val="auto"/>
        <w:outlineLvl w:val="2"/>
        <w:rPr>
          <w:rFonts w:hint="eastAsia"/>
          <w:b/>
          <w:szCs w:val="21"/>
          <w:highlight w:val="none"/>
        </w:rPr>
      </w:pPr>
      <w:bookmarkStart w:id="100" w:name="_Toc23493"/>
      <w:r>
        <w:rPr>
          <w:rFonts w:hint="eastAsia"/>
          <w:b/>
          <w:szCs w:val="21"/>
          <w:highlight w:val="none"/>
        </w:rPr>
        <w:t>5. 保密</w:t>
      </w:r>
      <w:bookmarkEnd w:id="100"/>
    </w:p>
    <w:p>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 xml:space="preserve">参与招标投标活动的各方应对招标文件和投标文件中的商业和技术等秘密保密，违者应对由此造成的后果承担法律责任。 </w:t>
      </w:r>
    </w:p>
    <w:p>
      <w:pPr>
        <w:keepNext/>
        <w:keepLines/>
        <w:pageBreakBefore w:val="0"/>
        <w:widowControl w:val="0"/>
        <w:kinsoku/>
        <w:wordWrap/>
        <w:overflowPunct/>
        <w:topLinePunct w:val="0"/>
        <w:autoSpaceDE/>
        <w:autoSpaceDN/>
        <w:bidi w:val="0"/>
        <w:adjustRightInd/>
        <w:snapToGrid/>
        <w:spacing w:line="360" w:lineRule="auto"/>
        <w:ind w:firstLine="422" w:firstLineChars="200"/>
        <w:textAlignment w:val="auto"/>
        <w:outlineLvl w:val="2"/>
        <w:rPr>
          <w:rFonts w:hint="eastAsia"/>
          <w:b/>
          <w:szCs w:val="21"/>
          <w:highlight w:val="none"/>
        </w:rPr>
      </w:pPr>
      <w:bookmarkStart w:id="101" w:name="_Toc23860"/>
      <w:r>
        <w:rPr>
          <w:rFonts w:hint="eastAsia"/>
          <w:b/>
          <w:szCs w:val="21"/>
          <w:highlight w:val="none"/>
        </w:rPr>
        <w:t>6. 语言文字</w:t>
      </w:r>
      <w:bookmarkEnd w:id="101"/>
    </w:p>
    <w:p>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招标投标文件使用的语言文字为中文。专用术语使用外文的，应附有中文注释。</w:t>
      </w:r>
    </w:p>
    <w:p>
      <w:pPr>
        <w:keepNext/>
        <w:keepLines/>
        <w:spacing w:line="360" w:lineRule="auto"/>
        <w:ind w:firstLine="422" w:firstLineChars="200"/>
        <w:outlineLvl w:val="2"/>
        <w:rPr>
          <w:rFonts w:hint="eastAsia"/>
          <w:b/>
          <w:szCs w:val="21"/>
          <w:highlight w:val="none"/>
        </w:rPr>
      </w:pPr>
      <w:bookmarkStart w:id="102" w:name="_Toc26479"/>
      <w:r>
        <w:rPr>
          <w:rFonts w:hint="eastAsia"/>
          <w:b/>
          <w:szCs w:val="21"/>
          <w:highlight w:val="none"/>
        </w:rPr>
        <w:t>7. 计量单位</w:t>
      </w:r>
      <w:bookmarkEnd w:id="102"/>
    </w:p>
    <w:p>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所有计量均采用中华人民共和国法定计量单位。</w:t>
      </w:r>
    </w:p>
    <w:p>
      <w:pPr>
        <w:keepNext/>
        <w:keepLines/>
        <w:spacing w:line="360" w:lineRule="auto"/>
        <w:ind w:firstLine="422" w:firstLineChars="200"/>
        <w:outlineLvl w:val="2"/>
        <w:rPr>
          <w:rFonts w:hint="eastAsia"/>
          <w:b/>
          <w:szCs w:val="21"/>
          <w:highlight w:val="none"/>
        </w:rPr>
      </w:pPr>
      <w:bookmarkStart w:id="103" w:name="_Toc8011"/>
      <w:r>
        <w:rPr>
          <w:rFonts w:hint="eastAsia"/>
          <w:b/>
          <w:szCs w:val="21"/>
          <w:highlight w:val="none"/>
        </w:rPr>
        <w:t>8. 现场考察</w:t>
      </w:r>
      <w:bookmarkEnd w:id="103"/>
    </w:p>
    <w:p>
      <w:pPr>
        <w:spacing w:line="360" w:lineRule="auto"/>
        <w:ind w:firstLine="420" w:firstLineChars="200"/>
        <w:rPr>
          <w:rFonts w:hint="eastAsia"/>
          <w:szCs w:val="21"/>
          <w:highlight w:val="none"/>
        </w:rPr>
      </w:pPr>
      <w:r>
        <w:rPr>
          <w:rFonts w:hint="eastAsia"/>
          <w:szCs w:val="21"/>
          <w:highlight w:val="none"/>
        </w:rPr>
        <w:t xml:space="preserve">8.1 </w:t>
      </w:r>
      <w:r>
        <w:rPr>
          <w:rFonts w:hint="eastAsia"/>
          <w:bCs/>
          <w:szCs w:val="21"/>
          <w:highlight w:val="none"/>
        </w:rPr>
        <w:t>“投标人须知前附表”</w:t>
      </w:r>
      <w:r>
        <w:rPr>
          <w:rFonts w:hint="eastAsia"/>
          <w:szCs w:val="21"/>
          <w:highlight w:val="none"/>
        </w:rPr>
        <w:t>规定组织现场考察的，采购人按</w:t>
      </w:r>
      <w:r>
        <w:rPr>
          <w:rFonts w:hint="eastAsia"/>
          <w:bCs/>
          <w:szCs w:val="21"/>
          <w:highlight w:val="none"/>
        </w:rPr>
        <w:t>“投标人须知前附表”</w:t>
      </w:r>
      <w:r>
        <w:rPr>
          <w:rFonts w:hint="eastAsia"/>
          <w:szCs w:val="21"/>
          <w:highlight w:val="none"/>
        </w:rPr>
        <w:t xml:space="preserve">规定的时间、集中地点组织投标人考察现场。 </w:t>
      </w:r>
    </w:p>
    <w:p>
      <w:pPr>
        <w:spacing w:line="360" w:lineRule="auto"/>
        <w:ind w:firstLine="420" w:firstLineChars="200"/>
        <w:rPr>
          <w:rFonts w:hint="eastAsia"/>
          <w:szCs w:val="21"/>
          <w:highlight w:val="none"/>
        </w:rPr>
      </w:pPr>
      <w:r>
        <w:rPr>
          <w:rFonts w:hint="eastAsia"/>
          <w:szCs w:val="21"/>
          <w:highlight w:val="none"/>
        </w:rPr>
        <w:t>8.2 投标人现场考察发生的费用自理。</w:t>
      </w:r>
    </w:p>
    <w:p>
      <w:pPr>
        <w:spacing w:line="360" w:lineRule="auto"/>
        <w:ind w:firstLine="420" w:firstLineChars="200"/>
        <w:rPr>
          <w:rFonts w:hint="eastAsia"/>
          <w:szCs w:val="21"/>
          <w:highlight w:val="none"/>
        </w:rPr>
      </w:pPr>
      <w:r>
        <w:rPr>
          <w:rFonts w:hint="eastAsia"/>
          <w:szCs w:val="21"/>
          <w:highlight w:val="none"/>
        </w:rPr>
        <w:t>8.3 除采购人的原因外，投标人自行负责在现场考察中所发生的人员伤亡和财产损失。</w:t>
      </w:r>
    </w:p>
    <w:p>
      <w:pPr>
        <w:spacing w:line="360" w:lineRule="auto"/>
        <w:ind w:firstLine="420" w:firstLineChars="200"/>
        <w:rPr>
          <w:rFonts w:hint="eastAsia"/>
          <w:szCs w:val="21"/>
          <w:highlight w:val="none"/>
        </w:rPr>
      </w:pPr>
      <w:r>
        <w:rPr>
          <w:rFonts w:hint="eastAsia"/>
          <w:szCs w:val="21"/>
          <w:highlight w:val="none"/>
        </w:rPr>
        <w:t>8.4 采购人在现场考察中介绍的项目场地和相关的周边环境情况，供投标人在编制投标文件时参考，采购人不对投标人据此作出的判断和决策负责。</w:t>
      </w:r>
    </w:p>
    <w:p>
      <w:pPr>
        <w:keepNext/>
        <w:keepLines/>
        <w:spacing w:line="360" w:lineRule="auto"/>
        <w:ind w:firstLine="422" w:firstLineChars="200"/>
        <w:outlineLvl w:val="2"/>
        <w:rPr>
          <w:rFonts w:hint="eastAsia"/>
          <w:b/>
          <w:szCs w:val="21"/>
          <w:highlight w:val="none"/>
        </w:rPr>
      </w:pPr>
      <w:bookmarkStart w:id="104" w:name="_Toc1695"/>
      <w:r>
        <w:rPr>
          <w:rFonts w:hint="eastAsia"/>
          <w:b/>
          <w:szCs w:val="21"/>
          <w:highlight w:val="none"/>
        </w:rPr>
        <w:t>9. 开标前答疑会</w:t>
      </w:r>
      <w:bookmarkEnd w:id="104"/>
    </w:p>
    <w:p>
      <w:pPr>
        <w:spacing w:line="360" w:lineRule="auto"/>
        <w:ind w:firstLine="420" w:firstLineChars="200"/>
        <w:rPr>
          <w:rFonts w:hint="eastAsia"/>
          <w:szCs w:val="21"/>
          <w:highlight w:val="none"/>
        </w:rPr>
      </w:pPr>
      <w:r>
        <w:rPr>
          <w:rFonts w:hint="eastAsia"/>
          <w:szCs w:val="21"/>
          <w:highlight w:val="none"/>
        </w:rPr>
        <w:t xml:space="preserve">9.1 </w:t>
      </w:r>
      <w:r>
        <w:rPr>
          <w:rFonts w:hint="eastAsia"/>
          <w:bCs/>
          <w:szCs w:val="21"/>
          <w:highlight w:val="none"/>
        </w:rPr>
        <w:t>“投标人须知前附表”</w:t>
      </w:r>
      <w:r>
        <w:rPr>
          <w:rFonts w:hint="eastAsia"/>
          <w:szCs w:val="21"/>
          <w:highlight w:val="none"/>
        </w:rPr>
        <w:t>规定召开开标前答疑会的，采购人按</w:t>
      </w:r>
      <w:r>
        <w:rPr>
          <w:rFonts w:hint="eastAsia"/>
          <w:bCs/>
          <w:szCs w:val="21"/>
          <w:highlight w:val="none"/>
        </w:rPr>
        <w:t>“投标人须知前附表”</w:t>
      </w:r>
      <w:r>
        <w:rPr>
          <w:rFonts w:hint="eastAsia"/>
          <w:szCs w:val="21"/>
          <w:highlight w:val="none"/>
        </w:rPr>
        <w:t>规定的时间和地点召开开标前答疑会，澄清投标人提出的问题。</w:t>
      </w:r>
    </w:p>
    <w:p>
      <w:pPr>
        <w:keepNext/>
        <w:keepLines/>
        <w:spacing w:line="360" w:lineRule="auto"/>
        <w:ind w:firstLine="422" w:firstLineChars="200"/>
        <w:outlineLvl w:val="2"/>
        <w:rPr>
          <w:rFonts w:hint="eastAsia"/>
          <w:b/>
          <w:szCs w:val="21"/>
          <w:highlight w:val="none"/>
        </w:rPr>
      </w:pPr>
      <w:bookmarkStart w:id="105" w:name="_Toc16454"/>
      <w:bookmarkStart w:id="106" w:name="_Toc16510"/>
      <w:bookmarkStart w:id="107" w:name="_Toc528186460"/>
      <w:r>
        <w:rPr>
          <w:rFonts w:hint="eastAsia"/>
          <w:b/>
          <w:szCs w:val="21"/>
          <w:highlight w:val="none"/>
        </w:rPr>
        <w:t>10.质疑</w:t>
      </w:r>
      <w:bookmarkEnd w:id="105"/>
      <w:bookmarkEnd w:id="106"/>
      <w:bookmarkEnd w:id="107"/>
    </w:p>
    <w:p>
      <w:pPr>
        <w:spacing w:line="360" w:lineRule="auto"/>
        <w:ind w:firstLine="420" w:firstLineChars="200"/>
        <w:rPr>
          <w:rFonts w:hint="eastAsia"/>
          <w:szCs w:val="21"/>
          <w:highlight w:val="none"/>
        </w:rPr>
      </w:pPr>
      <w:bookmarkStart w:id="108" w:name="_Toc489145712"/>
      <w:bookmarkStart w:id="109" w:name="_Toc489197816"/>
      <w:r>
        <w:rPr>
          <w:rFonts w:hint="eastAsia"/>
          <w:szCs w:val="21"/>
          <w:highlight w:val="none"/>
        </w:rPr>
        <w:t>10.1投标人认为采购文件、采购过程、中标或者成交结果使自己的权益受到损害的，可以在知道或者应知其权益受到损害之日起7个工作日内，以书面形式向采购人、采购代理机构提出质疑。提出质疑的投标人应当是参与所质疑项目采购活动的投标人。</w:t>
      </w:r>
    </w:p>
    <w:p>
      <w:pPr>
        <w:spacing w:line="360" w:lineRule="auto"/>
        <w:ind w:firstLine="420" w:firstLineChars="200"/>
        <w:rPr>
          <w:rFonts w:hint="eastAsia"/>
          <w:szCs w:val="21"/>
          <w:highlight w:val="none"/>
        </w:rPr>
      </w:pPr>
      <w:r>
        <w:rPr>
          <w:rFonts w:hint="eastAsia"/>
          <w:szCs w:val="21"/>
          <w:highlight w:val="none"/>
        </w:rPr>
        <w:t>投标人针对同一采购程序环节的质疑，应在法定质疑期内一次性提出，</w:t>
      </w:r>
      <w:r>
        <w:rPr>
          <w:rFonts w:hint="eastAsia"/>
          <w:color w:val="000000"/>
          <w:szCs w:val="21"/>
          <w:highlight w:val="none"/>
        </w:rPr>
        <w:t>提出质疑时应当有明确的请求和必要的证明材料，</w:t>
      </w:r>
      <w:r>
        <w:rPr>
          <w:rFonts w:hint="eastAsia"/>
          <w:szCs w:val="21"/>
          <w:highlight w:val="none"/>
        </w:rPr>
        <w:t>否则采购人、采购代理机构有权拒收。</w:t>
      </w:r>
    </w:p>
    <w:p>
      <w:pPr>
        <w:spacing w:line="360" w:lineRule="auto"/>
        <w:ind w:firstLine="420" w:firstLineChars="200"/>
        <w:rPr>
          <w:szCs w:val="21"/>
          <w:highlight w:val="none"/>
        </w:rPr>
      </w:pPr>
      <w:r>
        <w:rPr>
          <w:szCs w:val="21"/>
          <w:highlight w:val="none"/>
        </w:rPr>
        <w:t>10.2</w:t>
      </w:r>
      <w:r>
        <w:rPr>
          <w:rFonts w:hint="eastAsia"/>
          <w:szCs w:val="21"/>
          <w:highlight w:val="none"/>
        </w:rPr>
        <w:t>“</w:t>
      </w:r>
      <w:r>
        <w:rPr>
          <w:szCs w:val="21"/>
          <w:highlight w:val="none"/>
        </w:rPr>
        <w:t>知道或者应知其权益受到损害之日</w:t>
      </w:r>
      <w:r>
        <w:rPr>
          <w:rFonts w:hint="eastAsia"/>
          <w:szCs w:val="21"/>
          <w:highlight w:val="none"/>
        </w:rPr>
        <w:t>”</w:t>
      </w:r>
      <w:r>
        <w:rPr>
          <w:szCs w:val="21"/>
          <w:highlight w:val="none"/>
        </w:rPr>
        <w:t>是指：</w:t>
      </w:r>
    </w:p>
    <w:p>
      <w:pPr>
        <w:spacing w:line="360" w:lineRule="auto"/>
        <w:ind w:firstLine="420" w:firstLineChars="200"/>
        <w:rPr>
          <w:szCs w:val="21"/>
          <w:highlight w:val="none"/>
        </w:rPr>
      </w:pPr>
      <w:r>
        <w:rPr>
          <w:szCs w:val="21"/>
          <w:highlight w:val="none"/>
        </w:rPr>
        <w:t>（1）对可以质疑的采购文件提出质疑的，为收到采购文件之日或者采购文件公告期限届满之日；</w:t>
      </w:r>
    </w:p>
    <w:p>
      <w:pPr>
        <w:spacing w:line="360" w:lineRule="auto"/>
        <w:ind w:firstLine="420" w:firstLineChars="200"/>
        <w:rPr>
          <w:szCs w:val="21"/>
          <w:highlight w:val="none"/>
        </w:rPr>
      </w:pPr>
      <w:r>
        <w:rPr>
          <w:szCs w:val="21"/>
          <w:highlight w:val="none"/>
        </w:rPr>
        <w:t>（2）对采购过程提出质疑的，为各采购程序环节结束之日；</w:t>
      </w:r>
    </w:p>
    <w:p>
      <w:pPr>
        <w:spacing w:line="360" w:lineRule="auto"/>
        <w:ind w:firstLine="420" w:firstLineChars="200"/>
        <w:rPr>
          <w:szCs w:val="21"/>
          <w:highlight w:val="none"/>
        </w:rPr>
      </w:pPr>
      <w:r>
        <w:rPr>
          <w:szCs w:val="21"/>
          <w:highlight w:val="none"/>
        </w:rPr>
        <w:t>（3）对中标或者成交结果提出质疑的，为中标或者成交结果公告期限届满之日。</w:t>
      </w:r>
    </w:p>
    <w:p>
      <w:pPr>
        <w:spacing w:line="360" w:lineRule="auto"/>
        <w:ind w:firstLine="420" w:firstLineChars="200"/>
        <w:rPr>
          <w:szCs w:val="21"/>
          <w:highlight w:val="none"/>
        </w:rPr>
      </w:pPr>
      <w:r>
        <w:rPr>
          <w:szCs w:val="21"/>
          <w:highlight w:val="none"/>
        </w:rPr>
        <w:t>10.3投标人可以委托代理人进行质疑和投诉。其授权委托书应当载明代理人的姓名或者名称、代理事项、具体权限、期限和相关事项。投标人为自然人的，应当由本人签字；投标人为法人或者其他组织的，应当由法定代表人、主要负责人</w:t>
      </w:r>
      <w:r>
        <w:rPr>
          <w:color w:val="000000"/>
          <w:szCs w:val="21"/>
          <w:highlight w:val="none"/>
        </w:rPr>
        <w:t>，或者其授权代表</w:t>
      </w:r>
      <w:r>
        <w:rPr>
          <w:szCs w:val="21"/>
          <w:highlight w:val="none"/>
        </w:rPr>
        <w:t>签字或者盖章，并加盖公章。代理人提出质疑和投诉，应当提交投标人签署的授权委托书。</w:t>
      </w:r>
    </w:p>
    <w:p>
      <w:pPr>
        <w:spacing w:line="360" w:lineRule="auto"/>
        <w:ind w:firstLine="420" w:firstLineChars="200"/>
        <w:rPr>
          <w:szCs w:val="21"/>
          <w:highlight w:val="none"/>
        </w:rPr>
      </w:pPr>
      <w:r>
        <w:rPr>
          <w:szCs w:val="21"/>
          <w:highlight w:val="none"/>
        </w:rPr>
        <w:t>10.4投标人提出质疑应符合《政府采购质疑和投诉办法》（财政部令第94号）和财政部《政府采购供应商质疑函范本》的规定。投标人提出质疑应当提交质疑函和必要的证明材料。质疑函应当包括下列内容：</w:t>
      </w:r>
    </w:p>
    <w:p>
      <w:pPr>
        <w:spacing w:line="360" w:lineRule="auto"/>
        <w:ind w:firstLine="420" w:firstLineChars="200"/>
        <w:rPr>
          <w:szCs w:val="21"/>
          <w:highlight w:val="none"/>
        </w:rPr>
      </w:pPr>
      <w:r>
        <w:rPr>
          <w:szCs w:val="21"/>
          <w:highlight w:val="none"/>
        </w:rPr>
        <w:t>（1）投标人的姓名或者名称、地址、邮编、联系人及联系电话；</w:t>
      </w:r>
    </w:p>
    <w:p>
      <w:pPr>
        <w:spacing w:line="360" w:lineRule="auto"/>
        <w:ind w:firstLine="420" w:firstLineChars="200"/>
        <w:rPr>
          <w:szCs w:val="21"/>
          <w:highlight w:val="none"/>
        </w:rPr>
      </w:pPr>
      <w:r>
        <w:rPr>
          <w:szCs w:val="21"/>
          <w:highlight w:val="none"/>
        </w:rPr>
        <w:t>（2）质疑项目的名称、编号；</w:t>
      </w:r>
    </w:p>
    <w:p>
      <w:pPr>
        <w:spacing w:line="360" w:lineRule="auto"/>
        <w:ind w:firstLine="420" w:firstLineChars="200"/>
        <w:rPr>
          <w:szCs w:val="21"/>
          <w:highlight w:val="none"/>
        </w:rPr>
      </w:pPr>
      <w:r>
        <w:rPr>
          <w:szCs w:val="21"/>
          <w:highlight w:val="none"/>
        </w:rPr>
        <w:t>（3）具体、明确的质疑事项和与质疑事项相关的请求；</w:t>
      </w:r>
    </w:p>
    <w:p>
      <w:pPr>
        <w:spacing w:line="360" w:lineRule="auto"/>
        <w:ind w:firstLine="420" w:firstLineChars="200"/>
        <w:rPr>
          <w:szCs w:val="21"/>
          <w:highlight w:val="none"/>
        </w:rPr>
      </w:pPr>
      <w:r>
        <w:rPr>
          <w:szCs w:val="21"/>
          <w:highlight w:val="none"/>
        </w:rPr>
        <w:t>（4）事实依据；</w:t>
      </w:r>
    </w:p>
    <w:p>
      <w:pPr>
        <w:spacing w:line="360" w:lineRule="auto"/>
        <w:ind w:firstLine="420" w:firstLineChars="200"/>
        <w:rPr>
          <w:szCs w:val="21"/>
          <w:highlight w:val="none"/>
        </w:rPr>
      </w:pPr>
      <w:r>
        <w:rPr>
          <w:szCs w:val="21"/>
          <w:highlight w:val="none"/>
        </w:rPr>
        <w:t>（5）必要的法律依据；</w:t>
      </w:r>
    </w:p>
    <w:p>
      <w:pPr>
        <w:spacing w:line="360" w:lineRule="auto"/>
        <w:ind w:firstLine="420" w:firstLineChars="200"/>
        <w:rPr>
          <w:szCs w:val="21"/>
          <w:highlight w:val="none"/>
        </w:rPr>
      </w:pPr>
      <w:r>
        <w:rPr>
          <w:szCs w:val="21"/>
          <w:highlight w:val="none"/>
        </w:rPr>
        <w:t>（6）提出质疑的日期。</w:t>
      </w:r>
    </w:p>
    <w:p>
      <w:pPr>
        <w:spacing w:line="360" w:lineRule="auto"/>
        <w:ind w:firstLine="435"/>
        <w:rPr>
          <w:szCs w:val="21"/>
          <w:highlight w:val="none"/>
        </w:rPr>
      </w:pPr>
      <w:r>
        <w:rPr>
          <w:color w:val="000000"/>
          <w:szCs w:val="21"/>
          <w:highlight w:val="none"/>
        </w:rPr>
        <w:t>注：《政府采购供应商质疑函范本》详见中国政府采购网（</w:t>
      </w:r>
      <w:r>
        <w:rPr>
          <w:color w:val="000000"/>
          <w:szCs w:val="21"/>
          <w:highlight w:val="none"/>
        </w:rPr>
        <w:fldChar w:fldCharType="begin"/>
      </w:r>
      <w:r>
        <w:rPr>
          <w:color w:val="000000"/>
          <w:szCs w:val="21"/>
          <w:highlight w:val="none"/>
        </w:rPr>
        <w:instrText xml:space="preserve"> HYPERLINK "http://www.ccgp.gov.cn/" </w:instrText>
      </w:r>
      <w:r>
        <w:rPr>
          <w:color w:val="000000"/>
          <w:szCs w:val="21"/>
          <w:highlight w:val="none"/>
        </w:rPr>
        <w:fldChar w:fldCharType="separate"/>
      </w:r>
      <w:r>
        <w:rPr>
          <w:rStyle w:val="41"/>
          <w:color w:val="000000"/>
          <w:szCs w:val="21"/>
          <w:highlight w:val="none"/>
        </w:rPr>
        <w:t>http://www.ccgp.gov.cn/</w:t>
      </w:r>
      <w:r>
        <w:rPr>
          <w:color w:val="000000"/>
          <w:szCs w:val="21"/>
          <w:highlight w:val="none"/>
        </w:rPr>
        <w:fldChar w:fldCharType="end"/>
      </w:r>
      <w:r>
        <w:rPr>
          <w:color w:val="000000"/>
          <w:szCs w:val="21"/>
          <w:highlight w:val="none"/>
        </w:rPr>
        <w:t>）</w:t>
      </w:r>
    </w:p>
    <w:p>
      <w:pPr>
        <w:spacing w:line="360" w:lineRule="auto"/>
        <w:ind w:firstLine="435"/>
        <w:rPr>
          <w:szCs w:val="21"/>
          <w:highlight w:val="none"/>
        </w:rPr>
      </w:pPr>
      <w:r>
        <w:rPr>
          <w:szCs w:val="21"/>
          <w:highlight w:val="none"/>
        </w:rPr>
        <w:t>投标人为自然人的，应当由本人签字；投标人为法人或者其他组织的，应当由法定代表人、主要负责人，或者其授权代表签字或者盖章，并加盖公章。</w:t>
      </w:r>
    </w:p>
    <w:p>
      <w:pPr>
        <w:spacing w:line="360" w:lineRule="auto"/>
        <w:ind w:firstLine="420" w:firstLineChars="200"/>
        <w:rPr>
          <w:szCs w:val="21"/>
          <w:highlight w:val="none"/>
        </w:rPr>
      </w:pPr>
      <w:r>
        <w:rPr>
          <w:szCs w:val="21"/>
          <w:highlight w:val="none"/>
        </w:rPr>
        <w:t>10.5投标人不得捏造事实、提供虚假材料或者以非法手段取得证明材料。</w:t>
      </w:r>
    </w:p>
    <w:p>
      <w:pPr>
        <w:spacing w:line="360" w:lineRule="auto"/>
        <w:ind w:firstLine="420" w:firstLineChars="200"/>
        <w:rPr>
          <w:szCs w:val="21"/>
          <w:highlight w:val="none"/>
        </w:rPr>
      </w:pPr>
      <w:r>
        <w:rPr>
          <w:szCs w:val="21"/>
          <w:highlight w:val="none"/>
        </w:rPr>
        <w:t>10.6质疑函应当使用中文。相关当事人提供外文书证或者外国语视听资料的，应当附有中文译本，由翻译机构盖章或者翻译人员签名。</w:t>
      </w:r>
    </w:p>
    <w:p>
      <w:pPr>
        <w:spacing w:line="360" w:lineRule="auto"/>
        <w:ind w:firstLine="420" w:firstLineChars="200"/>
        <w:rPr>
          <w:szCs w:val="21"/>
          <w:highlight w:val="none"/>
        </w:rPr>
      </w:pPr>
      <w:r>
        <w:rPr>
          <w:szCs w:val="21"/>
          <w:highlight w:val="none"/>
        </w:rPr>
        <w:t>10.7采购人、采购代理机构将在收到投标人质疑函后7个工作日内作出书面答复，但质疑答复的内容不涉及商业秘密。</w:t>
      </w:r>
    </w:p>
    <w:p>
      <w:pPr>
        <w:spacing w:line="360" w:lineRule="auto"/>
        <w:ind w:firstLine="420" w:firstLineChars="200"/>
        <w:rPr>
          <w:szCs w:val="21"/>
          <w:highlight w:val="none"/>
        </w:rPr>
      </w:pPr>
      <w:r>
        <w:rPr>
          <w:szCs w:val="21"/>
          <w:highlight w:val="none"/>
        </w:rPr>
        <w:t>10.8投标人对评审过程、中标结果提出质疑的，采购人、采购代理机构可以组织原评标委员会协助</w:t>
      </w:r>
      <w:r>
        <w:rPr>
          <w:rFonts w:hint="eastAsia"/>
          <w:szCs w:val="21"/>
          <w:highlight w:val="none"/>
        </w:rPr>
        <w:t>处理及</w:t>
      </w:r>
      <w:r>
        <w:rPr>
          <w:szCs w:val="21"/>
          <w:highlight w:val="none"/>
        </w:rPr>
        <w:t>答复质疑。质疑答复导致中标结果改变的，采购人或者采购代理机构会将有关情况书面报告本级财政部门。</w:t>
      </w:r>
    </w:p>
    <w:p>
      <w:pPr>
        <w:spacing w:line="360" w:lineRule="auto"/>
        <w:ind w:firstLine="420" w:firstLineChars="200"/>
        <w:rPr>
          <w:szCs w:val="21"/>
          <w:highlight w:val="none"/>
        </w:rPr>
      </w:pPr>
      <w:r>
        <w:rPr>
          <w:szCs w:val="21"/>
          <w:highlight w:val="none"/>
        </w:rPr>
        <w:t>10.9接收质疑</w:t>
      </w:r>
    </w:p>
    <w:p>
      <w:pPr>
        <w:spacing w:line="360" w:lineRule="auto"/>
        <w:ind w:firstLine="420" w:firstLineChars="200"/>
        <w:rPr>
          <w:szCs w:val="21"/>
          <w:highlight w:val="none"/>
        </w:rPr>
      </w:pPr>
      <w:r>
        <w:rPr>
          <w:szCs w:val="21"/>
          <w:highlight w:val="none"/>
        </w:rPr>
        <w:t>接收质疑的方式：接收的质疑应为书面方式。接收质疑函的部门、联系、联系电话、通讯地址，详见</w:t>
      </w:r>
      <w:r>
        <w:rPr>
          <w:rFonts w:hint="eastAsia"/>
          <w:szCs w:val="21"/>
          <w:highlight w:val="none"/>
        </w:rPr>
        <w:t>“</w:t>
      </w:r>
      <w:r>
        <w:rPr>
          <w:szCs w:val="21"/>
          <w:highlight w:val="none"/>
        </w:rPr>
        <w:t>投标人须知</w:t>
      </w:r>
      <w:r>
        <w:rPr>
          <w:bCs/>
          <w:szCs w:val="21"/>
          <w:highlight w:val="none"/>
        </w:rPr>
        <w:t>前附表</w:t>
      </w:r>
      <w:r>
        <w:rPr>
          <w:rFonts w:hint="eastAsia"/>
          <w:bCs/>
          <w:szCs w:val="21"/>
          <w:highlight w:val="none"/>
        </w:rPr>
        <w:t>”</w:t>
      </w:r>
      <w:r>
        <w:rPr>
          <w:szCs w:val="21"/>
          <w:highlight w:val="none"/>
        </w:rPr>
        <w:t>。</w:t>
      </w:r>
    </w:p>
    <w:p>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outlineLvl w:val="2"/>
        <w:rPr>
          <w:rFonts w:hint="eastAsia"/>
          <w:b/>
          <w:bCs/>
          <w:szCs w:val="21"/>
          <w:highlight w:val="none"/>
        </w:rPr>
      </w:pPr>
      <w:bookmarkStart w:id="110" w:name="_Toc25151"/>
      <w:bookmarkStart w:id="111" w:name="_Toc528186461"/>
      <w:bookmarkStart w:id="112" w:name="_Toc9852"/>
      <w:r>
        <w:rPr>
          <w:rFonts w:hint="eastAsia"/>
          <w:b/>
          <w:bCs/>
          <w:szCs w:val="21"/>
          <w:highlight w:val="none"/>
        </w:rPr>
        <w:t>11.投诉</w:t>
      </w:r>
      <w:bookmarkEnd w:id="108"/>
      <w:bookmarkEnd w:id="109"/>
      <w:bookmarkEnd w:id="110"/>
      <w:bookmarkEnd w:id="111"/>
      <w:bookmarkEnd w:id="112"/>
    </w:p>
    <w:p>
      <w:pPr>
        <w:spacing w:line="360" w:lineRule="auto"/>
        <w:ind w:firstLine="420" w:firstLineChars="200"/>
        <w:rPr>
          <w:szCs w:val="21"/>
          <w:highlight w:val="none"/>
        </w:rPr>
      </w:pPr>
      <w:r>
        <w:rPr>
          <w:szCs w:val="21"/>
          <w:highlight w:val="none"/>
        </w:rPr>
        <w:t>11.1投诉必须首先经过质疑程序。质疑人对采购人、采购代理机构的答复不满意，或者采购人、采购代理机构未在规定的时间内做出答复的，可以在答复期满后15个工作日内书面向同级财政部门提出投诉。</w:t>
      </w:r>
    </w:p>
    <w:bookmarkEnd w:id="85"/>
    <w:bookmarkEnd w:id="86"/>
    <w:bookmarkEnd w:id="87"/>
    <w:bookmarkEnd w:id="88"/>
    <w:bookmarkEnd w:id="89"/>
    <w:bookmarkEnd w:id="90"/>
    <w:bookmarkEnd w:id="91"/>
    <w:bookmarkEnd w:id="92"/>
    <w:bookmarkEnd w:id="93"/>
    <w:bookmarkEnd w:id="94"/>
    <w:bookmarkEnd w:id="95"/>
    <w:bookmarkEnd w:id="96"/>
    <w:p>
      <w:pPr>
        <w:keepNext/>
        <w:keepLines/>
        <w:spacing w:line="360" w:lineRule="auto"/>
        <w:jc w:val="center"/>
        <w:outlineLvl w:val="1"/>
        <w:rPr>
          <w:rFonts w:ascii="宋体" w:hAnsi="宋体"/>
          <w:b/>
          <w:spacing w:val="40"/>
          <w:sz w:val="28"/>
          <w:szCs w:val="28"/>
          <w:highlight w:val="none"/>
        </w:rPr>
      </w:pPr>
      <w:bookmarkStart w:id="113" w:name="_Toc29199"/>
      <w:bookmarkStart w:id="114" w:name="_Toc246996930"/>
      <w:bookmarkStart w:id="115" w:name="_Toc144974510"/>
      <w:bookmarkStart w:id="116" w:name="_Toc246996187"/>
      <w:bookmarkStart w:id="117" w:name="_Toc26818"/>
      <w:bookmarkStart w:id="118" w:name="_Toc152045542"/>
      <w:bookmarkStart w:id="119" w:name="_Toc247085701"/>
      <w:bookmarkStart w:id="120" w:name="_Toc401342135"/>
      <w:bookmarkStart w:id="121" w:name="_Toc296602432"/>
      <w:bookmarkStart w:id="122" w:name="_Toc17348"/>
      <w:bookmarkStart w:id="123" w:name="_Toc480817644"/>
      <w:bookmarkStart w:id="124" w:name="_Toc378239079"/>
      <w:bookmarkStart w:id="125" w:name="_Toc378239352"/>
      <w:bookmarkStart w:id="126" w:name="_Toc179632560"/>
      <w:bookmarkStart w:id="127" w:name="_Toc516851591"/>
      <w:bookmarkStart w:id="128" w:name="_Toc489197817"/>
      <w:bookmarkStart w:id="129" w:name="_Toc518289472"/>
      <w:bookmarkStart w:id="130" w:name="_Toc489145713"/>
      <w:bookmarkStart w:id="131" w:name="_Toc152042318"/>
      <w:bookmarkStart w:id="132" w:name="_Toc378239171"/>
      <w:bookmarkStart w:id="133" w:name="_Toc488633605"/>
      <w:r>
        <w:rPr>
          <w:rFonts w:hint="eastAsia" w:ascii="宋体" w:hAnsi="宋体"/>
          <w:b/>
          <w:spacing w:val="40"/>
          <w:sz w:val="28"/>
          <w:szCs w:val="28"/>
          <w:highlight w:val="none"/>
        </w:rPr>
        <w:t>二、招标文件</w:t>
      </w:r>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p>
    <w:p>
      <w:pPr>
        <w:keepNext/>
        <w:keepLines/>
        <w:spacing w:line="360" w:lineRule="auto"/>
        <w:ind w:firstLine="422" w:firstLineChars="200"/>
        <w:outlineLvl w:val="2"/>
        <w:rPr>
          <w:rFonts w:hint="eastAsia"/>
          <w:b/>
          <w:szCs w:val="21"/>
          <w:highlight w:val="none"/>
        </w:rPr>
      </w:pPr>
      <w:bookmarkStart w:id="134" w:name="_Toc31191"/>
      <w:bookmarkStart w:id="135" w:name="_Toc246996188"/>
      <w:bookmarkStart w:id="136" w:name="_Toc246996931"/>
      <w:bookmarkStart w:id="137" w:name="_Toc144974511"/>
      <w:bookmarkStart w:id="138" w:name="_Toc247085702"/>
      <w:bookmarkStart w:id="139" w:name="_Toc516851592"/>
      <w:bookmarkStart w:id="140" w:name="_Toc152042319"/>
      <w:bookmarkStart w:id="141" w:name="_Toc489145714"/>
      <w:bookmarkStart w:id="142" w:name="_Toc518289473"/>
      <w:bookmarkStart w:id="143" w:name="_Toc152045543"/>
      <w:bookmarkStart w:id="144" w:name="_Toc179632561"/>
      <w:bookmarkStart w:id="145" w:name="_Toc489197818"/>
      <w:bookmarkStart w:id="146" w:name="_Toc296602433"/>
      <w:r>
        <w:rPr>
          <w:rFonts w:hint="eastAsia"/>
          <w:b/>
          <w:szCs w:val="21"/>
          <w:highlight w:val="none"/>
        </w:rPr>
        <w:t>12.招标文件编制依据</w:t>
      </w:r>
      <w:bookmarkEnd w:id="134"/>
    </w:p>
    <w:p>
      <w:pPr>
        <w:spacing w:line="360" w:lineRule="auto"/>
        <w:ind w:firstLine="420" w:firstLineChars="200"/>
        <w:rPr>
          <w:szCs w:val="21"/>
          <w:highlight w:val="none"/>
        </w:rPr>
      </w:pPr>
      <w:r>
        <w:rPr>
          <w:szCs w:val="21"/>
          <w:highlight w:val="none"/>
        </w:rPr>
        <w:t>12.1本项目招标文件根据《中华人民共和国政府采购法》、《中华人民共和国政府采购法实施条例》、《政府采购货物和服务招标投标管理办法》（财政部令第87号）等有关法律、法规编制。</w:t>
      </w:r>
    </w:p>
    <w:p>
      <w:pPr>
        <w:keepNext/>
        <w:keepLines/>
        <w:spacing w:line="360" w:lineRule="auto"/>
        <w:ind w:firstLine="422" w:firstLineChars="200"/>
        <w:outlineLvl w:val="2"/>
        <w:rPr>
          <w:rFonts w:hint="eastAsia"/>
          <w:b/>
          <w:szCs w:val="21"/>
          <w:highlight w:val="none"/>
        </w:rPr>
      </w:pPr>
      <w:bookmarkStart w:id="147" w:name="_Toc14728"/>
      <w:r>
        <w:rPr>
          <w:rFonts w:hint="eastAsia"/>
          <w:b/>
          <w:szCs w:val="21"/>
          <w:highlight w:val="none"/>
        </w:rPr>
        <w:t>13. 招标文件的构成</w:t>
      </w:r>
      <w:bookmarkEnd w:id="147"/>
    </w:p>
    <w:p>
      <w:pPr>
        <w:spacing w:line="360" w:lineRule="auto"/>
        <w:ind w:firstLine="420" w:firstLineChars="200"/>
        <w:rPr>
          <w:szCs w:val="21"/>
          <w:highlight w:val="none"/>
        </w:rPr>
      </w:pPr>
      <w:r>
        <w:rPr>
          <w:szCs w:val="21"/>
          <w:highlight w:val="none"/>
        </w:rPr>
        <w:t>13.1 要求提供的货物、采购过程及合同条款在招标文件中均有说明，招标文件共六章，各章的内容如下：</w:t>
      </w:r>
    </w:p>
    <w:p>
      <w:pPr>
        <w:spacing w:line="360" w:lineRule="auto"/>
        <w:ind w:firstLine="420" w:firstLineChars="200"/>
        <w:rPr>
          <w:szCs w:val="21"/>
          <w:highlight w:val="none"/>
        </w:rPr>
      </w:pPr>
      <w:r>
        <w:rPr>
          <w:szCs w:val="21"/>
          <w:highlight w:val="none"/>
        </w:rPr>
        <w:t>第一章  公开招标公告</w:t>
      </w:r>
    </w:p>
    <w:p>
      <w:pPr>
        <w:spacing w:line="360" w:lineRule="auto"/>
        <w:ind w:firstLine="420" w:firstLineChars="200"/>
        <w:rPr>
          <w:szCs w:val="21"/>
          <w:highlight w:val="none"/>
        </w:rPr>
      </w:pPr>
      <w:r>
        <w:rPr>
          <w:szCs w:val="21"/>
          <w:highlight w:val="none"/>
        </w:rPr>
        <w:t>第二章  投标人须知</w:t>
      </w:r>
    </w:p>
    <w:p>
      <w:pPr>
        <w:spacing w:line="360" w:lineRule="auto"/>
        <w:ind w:firstLine="420" w:firstLineChars="200"/>
        <w:rPr>
          <w:szCs w:val="21"/>
          <w:highlight w:val="none"/>
        </w:rPr>
      </w:pPr>
      <w:r>
        <w:rPr>
          <w:szCs w:val="21"/>
          <w:highlight w:val="none"/>
        </w:rPr>
        <w:t>第三章  合同书样式及主要条款</w:t>
      </w:r>
    </w:p>
    <w:p>
      <w:pPr>
        <w:spacing w:line="360" w:lineRule="auto"/>
        <w:ind w:firstLine="420" w:firstLineChars="200"/>
        <w:rPr>
          <w:szCs w:val="21"/>
          <w:highlight w:val="none"/>
        </w:rPr>
      </w:pPr>
      <w:r>
        <w:rPr>
          <w:szCs w:val="21"/>
          <w:highlight w:val="none"/>
        </w:rPr>
        <w:t>第四章  投标文件格式</w:t>
      </w:r>
    </w:p>
    <w:p>
      <w:pPr>
        <w:spacing w:line="360" w:lineRule="auto"/>
        <w:ind w:firstLine="420" w:firstLineChars="200"/>
        <w:rPr>
          <w:szCs w:val="21"/>
          <w:highlight w:val="none"/>
        </w:rPr>
      </w:pPr>
      <w:r>
        <w:rPr>
          <w:szCs w:val="21"/>
          <w:highlight w:val="none"/>
        </w:rPr>
        <w:t>第五章  采购需求</w:t>
      </w:r>
    </w:p>
    <w:p>
      <w:pPr>
        <w:spacing w:line="360" w:lineRule="auto"/>
        <w:ind w:firstLine="420" w:firstLineChars="200"/>
        <w:rPr>
          <w:szCs w:val="21"/>
          <w:highlight w:val="none"/>
        </w:rPr>
      </w:pPr>
      <w:r>
        <w:rPr>
          <w:szCs w:val="21"/>
          <w:highlight w:val="none"/>
        </w:rPr>
        <w:t>第六章  评标方法</w:t>
      </w:r>
    </w:p>
    <w:p>
      <w:pPr>
        <w:spacing w:line="360" w:lineRule="auto"/>
        <w:ind w:firstLine="420" w:firstLineChars="200"/>
        <w:rPr>
          <w:szCs w:val="21"/>
          <w:highlight w:val="none"/>
        </w:rPr>
      </w:pPr>
      <w:r>
        <w:rPr>
          <w:szCs w:val="21"/>
          <w:highlight w:val="none"/>
        </w:rPr>
        <w:t>13.2 根据本章对招标文件所作的澄清、修改，构成招标文件的组成部分。</w:t>
      </w:r>
    </w:p>
    <w:p>
      <w:pPr>
        <w:keepNext/>
        <w:keepLines/>
        <w:spacing w:line="360" w:lineRule="auto"/>
        <w:ind w:firstLine="422" w:firstLineChars="200"/>
        <w:outlineLvl w:val="2"/>
        <w:rPr>
          <w:rFonts w:hint="eastAsia"/>
          <w:b/>
          <w:szCs w:val="21"/>
          <w:highlight w:val="none"/>
        </w:rPr>
      </w:pPr>
      <w:bookmarkStart w:id="148" w:name="_Toc16201"/>
      <w:r>
        <w:rPr>
          <w:rFonts w:hint="eastAsia"/>
          <w:b/>
          <w:szCs w:val="21"/>
          <w:highlight w:val="none"/>
        </w:rPr>
        <w:t>14. 招标文件的询问、澄清、修改</w:t>
      </w:r>
      <w:bookmarkEnd w:id="148"/>
      <w:r>
        <w:rPr>
          <w:rFonts w:hint="eastAsia"/>
          <w:b/>
          <w:szCs w:val="21"/>
          <w:highlight w:val="none"/>
        </w:rPr>
        <w:t xml:space="preserve"> </w:t>
      </w:r>
    </w:p>
    <w:p>
      <w:pPr>
        <w:spacing w:line="360" w:lineRule="auto"/>
        <w:ind w:firstLine="420" w:firstLineChars="200"/>
        <w:rPr>
          <w:rFonts w:hint="eastAsia"/>
          <w:szCs w:val="21"/>
          <w:highlight w:val="none"/>
        </w:rPr>
      </w:pPr>
      <w:r>
        <w:rPr>
          <w:rFonts w:hint="eastAsia"/>
          <w:szCs w:val="21"/>
          <w:highlight w:val="none"/>
        </w:rPr>
        <w:t>14.1投标人应认真阅读招标文件，如有疑问，</w:t>
      </w:r>
      <w:r>
        <w:rPr>
          <w:rFonts w:hint="eastAsia" w:ascii="宋体"/>
          <w:color w:val="000000"/>
          <w:szCs w:val="21"/>
          <w:highlight w:val="none"/>
        </w:rPr>
        <w:t>如发现表中技术参数、配置有误或要求不合理的，投标人必须在“投标人须知前附表”规定截止时间前以书面形式（加盖单位鲜章）</w:t>
      </w:r>
      <w:r>
        <w:rPr>
          <w:rFonts w:hint="eastAsia"/>
          <w:szCs w:val="21"/>
          <w:highlight w:val="none"/>
        </w:rPr>
        <w:t>提出询问，或</w:t>
      </w:r>
      <w:r>
        <w:rPr>
          <w:rFonts w:hint="eastAsia" w:ascii="宋体"/>
          <w:color w:val="000000"/>
          <w:szCs w:val="21"/>
          <w:highlight w:val="none"/>
        </w:rPr>
        <w:t>要求采购代理机构澄清</w:t>
      </w:r>
      <w:r>
        <w:rPr>
          <w:rFonts w:hint="eastAsia"/>
          <w:szCs w:val="21"/>
          <w:highlight w:val="none"/>
        </w:rPr>
        <w:t>，采购人或者采购代理机构在接到询问后的3个工作日内对投标人依法提出的询问作出答复，但答复的内容不涉及商业秘密。</w:t>
      </w:r>
    </w:p>
    <w:p>
      <w:pPr>
        <w:spacing w:line="360" w:lineRule="auto"/>
        <w:ind w:firstLine="420" w:firstLineChars="200"/>
        <w:rPr>
          <w:rFonts w:hint="eastAsia"/>
          <w:szCs w:val="21"/>
          <w:highlight w:val="none"/>
        </w:rPr>
      </w:pPr>
      <w:r>
        <w:rPr>
          <w:rFonts w:hint="eastAsia"/>
          <w:szCs w:val="21"/>
          <w:highlight w:val="none"/>
        </w:rPr>
        <w:t>14.2招标文件询问联系方式：详见“投标人须知前附表”。</w:t>
      </w:r>
    </w:p>
    <w:p>
      <w:pPr>
        <w:spacing w:line="360" w:lineRule="auto"/>
        <w:ind w:firstLine="420" w:firstLineChars="200"/>
        <w:rPr>
          <w:rFonts w:hint="eastAsia"/>
          <w:szCs w:val="21"/>
          <w:highlight w:val="none"/>
        </w:rPr>
      </w:pPr>
      <w:r>
        <w:rPr>
          <w:rFonts w:hint="eastAsia"/>
          <w:szCs w:val="21"/>
          <w:highlight w:val="none"/>
        </w:rPr>
        <w:t>14.3采购人、采购代理机构可以对已发出的招标文件进行必要的澄清或者修改，澄清或者修改的内容作为招标文件的组成部分。采购人、采购代理机构将同时发布澄清、修改文件进行说明以保证投标人能重新下载并用于编制投标文件。招标文件的澄清、修改文件内容均以网上电子文件为准，当招标文件、招标文件澄清、修改文件内容前后相互矛盾时，以最后发出的为准。澄清或者修改的内容可能影响投标文件编制的，采购人或者采购代理机构将在投标截止时间至少15日前，以网上电子文件形式通知所有接收招标文件的投标人，不足15日的，采购人或者采购代理机构将顺延提交投标文件的截止时间。投标人应在电子投标文件（光盘）提交截止时间前及时登录</w:t>
      </w:r>
      <w:r>
        <w:rPr>
          <w:rFonts w:hint="eastAsia" w:hAnsi="宋体" w:cs="宋体"/>
          <w:szCs w:val="21"/>
          <w:lang w:eastAsia="zh-CN"/>
        </w:rPr>
        <w:t>拉萨市公共资源交易网 （http://ggzy.lasa.gov.cn/）</w:t>
      </w:r>
      <w:r>
        <w:rPr>
          <w:rFonts w:hint="eastAsia"/>
          <w:szCs w:val="21"/>
          <w:highlight w:val="none"/>
        </w:rPr>
        <w:t>中查看有关该项目招标文件的澄清、修改内容。如因投标人自身原因导致未及时查看有关该项目招标文件的澄清、修改内容，由此造成的一切后果由投标自行承担。</w:t>
      </w:r>
    </w:p>
    <w:bookmarkEnd w:id="135"/>
    <w:bookmarkEnd w:id="136"/>
    <w:bookmarkEnd w:id="137"/>
    <w:bookmarkEnd w:id="138"/>
    <w:bookmarkEnd w:id="139"/>
    <w:bookmarkEnd w:id="140"/>
    <w:bookmarkEnd w:id="141"/>
    <w:bookmarkEnd w:id="142"/>
    <w:bookmarkEnd w:id="143"/>
    <w:bookmarkEnd w:id="144"/>
    <w:bookmarkEnd w:id="145"/>
    <w:bookmarkEnd w:id="146"/>
    <w:p>
      <w:pPr>
        <w:keepNext/>
        <w:keepLines/>
        <w:spacing w:line="360" w:lineRule="auto"/>
        <w:jc w:val="center"/>
        <w:outlineLvl w:val="1"/>
        <w:rPr>
          <w:rFonts w:ascii="宋体" w:hAnsi="宋体" w:cs="黑体"/>
          <w:b/>
          <w:spacing w:val="40"/>
          <w:sz w:val="28"/>
          <w:szCs w:val="28"/>
          <w:highlight w:val="none"/>
        </w:rPr>
      </w:pPr>
      <w:bookmarkStart w:id="149" w:name="_Toc488633606"/>
      <w:bookmarkStart w:id="150" w:name="_Toc518289475"/>
      <w:bookmarkStart w:id="151" w:name="_Toc378239172"/>
      <w:bookmarkStart w:id="152" w:name="_Toc29509"/>
      <w:bookmarkStart w:id="153" w:name="_Toc16829"/>
      <w:bookmarkStart w:id="154" w:name="_Toc489197821"/>
      <w:bookmarkStart w:id="155" w:name="_Toc144974514"/>
      <w:bookmarkStart w:id="156" w:name="_Toc401342136"/>
      <w:bookmarkStart w:id="157" w:name="_Toc16591"/>
      <w:bookmarkStart w:id="158" w:name="_Toc179632564"/>
      <w:bookmarkStart w:id="159" w:name="_Toc152045546"/>
      <w:bookmarkStart w:id="160" w:name="_Toc246996191"/>
      <w:bookmarkStart w:id="161" w:name="_Toc480817645"/>
      <w:bookmarkStart w:id="162" w:name="_Toc516851594"/>
      <w:bookmarkStart w:id="163" w:name="_Toc296602436"/>
      <w:bookmarkStart w:id="164" w:name="_Toc378239353"/>
      <w:bookmarkStart w:id="165" w:name="_Toc152042322"/>
      <w:bookmarkStart w:id="166" w:name="_Toc247085705"/>
      <w:bookmarkStart w:id="167" w:name="_Toc378239080"/>
      <w:bookmarkStart w:id="168" w:name="_Toc246996934"/>
      <w:bookmarkStart w:id="169" w:name="_Toc489145717"/>
      <w:r>
        <w:rPr>
          <w:rFonts w:hint="eastAsia" w:ascii="宋体" w:hAnsi="宋体" w:cs="黑体"/>
          <w:b/>
          <w:spacing w:val="40"/>
          <w:sz w:val="28"/>
          <w:szCs w:val="28"/>
          <w:highlight w:val="none"/>
        </w:rPr>
        <w:t>三、投标文件</w:t>
      </w:r>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p>
    <w:p>
      <w:pPr>
        <w:pStyle w:val="5"/>
        <w:numPr>
          <w:ilvl w:val="0"/>
          <w:numId w:val="0"/>
        </w:numPr>
        <w:spacing w:before="0"/>
        <w:ind w:firstLine="422" w:firstLineChars="200"/>
        <w:rPr>
          <w:rFonts w:hint="eastAsia" w:eastAsia="宋体"/>
          <w:sz w:val="21"/>
          <w:szCs w:val="21"/>
          <w:highlight w:val="none"/>
        </w:rPr>
      </w:pPr>
      <w:bookmarkStart w:id="170" w:name="_Toc21920"/>
      <w:bookmarkStart w:id="171" w:name="_Toc6312"/>
      <w:bookmarkStart w:id="172" w:name="_Toc518289477"/>
      <w:bookmarkStart w:id="173" w:name="_Toc489197823"/>
      <w:bookmarkStart w:id="174" w:name="_Toc516851596"/>
      <w:bookmarkStart w:id="175" w:name="_Toc489145719"/>
      <w:r>
        <w:rPr>
          <w:rFonts w:hint="eastAsia" w:eastAsia="宋体"/>
          <w:sz w:val="21"/>
          <w:szCs w:val="21"/>
          <w:highlight w:val="none"/>
        </w:rPr>
        <w:t>15.投标文件编写注意事项</w:t>
      </w:r>
      <w:bookmarkEnd w:id="170"/>
      <w:bookmarkEnd w:id="171"/>
    </w:p>
    <w:p>
      <w:pPr>
        <w:spacing w:line="360" w:lineRule="auto"/>
        <w:ind w:firstLine="420" w:firstLineChars="200"/>
        <w:jc w:val="left"/>
        <w:rPr>
          <w:rFonts w:hint="eastAsia"/>
          <w:szCs w:val="21"/>
          <w:highlight w:val="none"/>
        </w:rPr>
      </w:pPr>
      <w:r>
        <w:rPr>
          <w:rFonts w:hint="eastAsia"/>
          <w:szCs w:val="21"/>
          <w:highlight w:val="none"/>
        </w:rPr>
        <w:t>★1</w:t>
      </w:r>
      <w:r>
        <w:rPr>
          <w:szCs w:val="21"/>
          <w:highlight w:val="none"/>
        </w:rPr>
        <w:t>5</w:t>
      </w:r>
      <w:r>
        <w:rPr>
          <w:rFonts w:hint="eastAsia"/>
          <w:szCs w:val="21"/>
          <w:highlight w:val="none"/>
        </w:rPr>
        <w:t>.1 潜在投标人应仔细阅读招标文件，在完全了解采购内容、技术性能要求和商务条件后，根据招标文件编写投标文件。</w:t>
      </w:r>
      <w:r>
        <w:rPr>
          <w:szCs w:val="21"/>
          <w:highlight w:val="none"/>
        </w:rPr>
        <w:t>如果没有按照招标文件要求提交全部投标文件或者资料，没有对招标文件的实质性要求和条件作出响应是投标人的风险，并可能导致该投标无效。</w:t>
      </w:r>
    </w:p>
    <w:p>
      <w:pPr>
        <w:spacing w:line="360" w:lineRule="auto"/>
        <w:ind w:firstLine="420" w:firstLineChars="200"/>
        <w:jc w:val="left"/>
        <w:rPr>
          <w:rFonts w:hint="eastAsia"/>
          <w:szCs w:val="21"/>
          <w:highlight w:val="none"/>
        </w:rPr>
      </w:pPr>
      <w:r>
        <w:rPr>
          <w:rFonts w:hint="eastAsia"/>
          <w:szCs w:val="21"/>
          <w:highlight w:val="none"/>
        </w:rPr>
        <w:t>15.2 对招标文件提出的实质性要求和条件作出响应是指投标人的投标文件必须对招标文件中规定的实质性要求和条件作出满足或者优于原要求和条件的承诺，并提供相应的证明材料。</w:t>
      </w:r>
    </w:p>
    <w:p>
      <w:pPr>
        <w:spacing w:line="360" w:lineRule="auto"/>
        <w:ind w:firstLine="480"/>
        <w:jc w:val="left"/>
        <w:rPr>
          <w:rFonts w:hint="eastAsia" w:ascii="宋体"/>
          <w:bCs/>
          <w:color w:val="000000"/>
          <w:szCs w:val="21"/>
          <w:highlight w:val="none"/>
        </w:rPr>
      </w:pPr>
      <w:r>
        <w:rPr>
          <w:rFonts w:hint="eastAsia"/>
          <w:szCs w:val="21"/>
          <w:highlight w:val="none"/>
        </w:rPr>
        <w:t>★</w:t>
      </w:r>
      <w:r>
        <w:rPr>
          <w:b/>
          <w:bCs/>
          <w:szCs w:val="21"/>
          <w:highlight w:val="none"/>
        </w:rPr>
        <w:t>15.3招标文件中的实质性要求和条件详见“投标人须知前附表”</w:t>
      </w:r>
      <w:r>
        <w:rPr>
          <w:rFonts w:hint="eastAsia"/>
          <w:b/>
          <w:bCs/>
          <w:szCs w:val="21"/>
          <w:highlight w:val="none"/>
        </w:rPr>
        <w:t>，</w:t>
      </w:r>
      <w:r>
        <w:rPr>
          <w:rFonts w:hint="eastAsia" w:ascii="宋体"/>
          <w:bCs/>
          <w:color w:val="000000"/>
          <w:szCs w:val="21"/>
          <w:highlight w:val="none"/>
        </w:rPr>
        <w:t>为不允许偏离的实质性要求和条件，不满足任何一条将导致投标无效。</w:t>
      </w:r>
    </w:p>
    <w:p>
      <w:pPr>
        <w:keepNext w:val="0"/>
        <w:keepLines w:val="0"/>
        <w:pageBreakBefore w:val="0"/>
        <w:widowControl w:val="0"/>
        <w:kinsoku/>
        <w:wordWrap/>
        <w:overflowPunct/>
        <w:topLinePunct w:val="0"/>
        <w:autoSpaceDE/>
        <w:autoSpaceDN/>
        <w:bidi w:val="0"/>
        <w:adjustRightInd/>
        <w:snapToGrid/>
        <w:spacing w:line="360" w:lineRule="auto"/>
        <w:ind w:firstLine="482"/>
        <w:jc w:val="left"/>
        <w:textAlignment w:val="auto"/>
        <w:outlineLvl w:val="2"/>
        <w:rPr>
          <w:b/>
          <w:bCs/>
          <w:szCs w:val="21"/>
          <w:highlight w:val="none"/>
        </w:rPr>
      </w:pPr>
      <w:bookmarkStart w:id="176" w:name="_Toc27836"/>
      <w:r>
        <w:rPr>
          <w:b/>
          <w:bCs/>
          <w:szCs w:val="21"/>
          <w:highlight w:val="none"/>
        </w:rPr>
        <w:t>16. 投标文件的组成</w:t>
      </w:r>
      <w:bookmarkEnd w:id="176"/>
    </w:p>
    <w:p>
      <w:pPr>
        <w:spacing w:line="360" w:lineRule="auto"/>
        <w:ind w:firstLine="420" w:firstLineChars="200"/>
        <w:jc w:val="left"/>
        <w:rPr>
          <w:rFonts w:hint="eastAsia"/>
          <w:szCs w:val="21"/>
          <w:highlight w:val="none"/>
        </w:rPr>
      </w:pPr>
      <w:r>
        <w:rPr>
          <w:rFonts w:hint="eastAsia"/>
          <w:szCs w:val="21"/>
          <w:highlight w:val="none"/>
        </w:rPr>
        <w:t>16.1本项目所述的投标文件包含纸质投标文件和电子投标文件（光盘刻录或U盘，包括全部投标文件Word、Excel版内容及投标文件正本PDF扫描件），本项目是否提交纸质投标文件详见“投标人须知前附表”。</w:t>
      </w:r>
    </w:p>
    <w:p>
      <w:pPr>
        <w:spacing w:line="360" w:lineRule="auto"/>
        <w:ind w:firstLine="420" w:firstLineChars="200"/>
        <w:jc w:val="left"/>
        <w:rPr>
          <w:rFonts w:hint="eastAsia"/>
          <w:szCs w:val="21"/>
          <w:highlight w:val="none"/>
        </w:rPr>
      </w:pPr>
      <w:r>
        <w:rPr>
          <w:rFonts w:hint="eastAsia"/>
          <w:szCs w:val="21"/>
          <w:highlight w:val="none"/>
        </w:rPr>
        <w:t>16.2投标人的投标文件应由下列部分构成。有关文件的提交如未特别注明需提供原件的，可提供加盖</w:t>
      </w:r>
      <w:r>
        <w:rPr>
          <w:rFonts w:hint="eastAsia"/>
          <w:szCs w:val="21"/>
          <w:highlight w:val="none"/>
          <w:lang w:val="en-US" w:eastAsia="zh-CN"/>
        </w:rPr>
        <w:t>电子</w:t>
      </w:r>
      <w:r>
        <w:rPr>
          <w:rFonts w:hint="eastAsia"/>
          <w:szCs w:val="21"/>
          <w:highlight w:val="none"/>
        </w:rPr>
        <w:t>公章的</w:t>
      </w:r>
      <w:r>
        <w:rPr>
          <w:rFonts w:hint="eastAsia"/>
          <w:szCs w:val="21"/>
          <w:highlight w:val="none"/>
          <w:lang w:val="en-US" w:eastAsia="zh-CN"/>
        </w:rPr>
        <w:t>扫描</w:t>
      </w:r>
      <w:r>
        <w:rPr>
          <w:rFonts w:hint="eastAsia"/>
          <w:szCs w:val="21"/>
          <w:highlight w:val="none"/>
        </w:rPr>
        <w:t>件。</w:t>
      </w:r>
    </w:p>
    <w:p>
      <w:pPr>
        <w:spacing w:line="360" w:lineRule="auto"/>
        <w:ind w:firstLine="420" w:firstLineChars="200"/>
        <w:jc w:val="left"/>
        <w:rPr>
          <w:rFonts w:hint="eastAsia"/>
          <w:szCs w:val="21"/>
          <w:highlight w:val="none"/>
        </w:rPr>
      </w:pPr>
      <w:r>
        <w:rPr>
          <w:rFonts w:hint="eastAsia"/>
          <w:szCs w:val="21"/>
          <w:highlight w:val="none"/>
        </w:rPr>
        <w:t>16.2.1《投标文件》第一册 ★资格证明文件</w:t>
      </w:r>
    </w:p>
    <w:p>
      <w:pPr>
        <w:spacing w:line="360" w:lineRule="auto"/>
        <w:ind w:firstLine="420" w:firstLineChars="200"/>
        <w:jc w:val="left"/>
        <w:rPr>
          <w:rFonts w:hint="eastAsia"/>
          <w:szCs w:val="21"/>
          <w:highlight w:val="none"/>
        </w:rPr>
      </w:pPr>
      <w:r>
        <w:rPr>
          <w:rFonts w:hint="eastAsia"/>
          <w:szCs w:val="21"/>
          <w:highlight w:val="none"/>
        </w:rPr>
        <w:t>包括，满足本章“★3.投标人资格要求”的要求提供的资格证明文件，详见“投标人须知前附表”，并按第四章“投标文件格式”（格式1）编制。</w:t>
      </w:r>
    </w:p>
    <w:p>
      <w:pPr>
        <w:spacing w:line="360" w:lineRule="auto"/>
        <w:ind w:firstLine="420" w:firstLineChars="200"/>
        <w:jc w:val="left"/>
        <w:rPr>
          <w:rFonts w:hint="eastAsia"/>
          <w:szCs w:val="21"/>
          <w:highlight w:val="none"/>
        </w:rPr>
      </w:pPr>
      <w:r>
        <w:rPr>
          <w:rFonts w:hint="eastAsia"/>
          <w:szCs w:val="21"/>
          <w:highlight w:val="none"/>
        </w:rPr>
        <w:t>16.2.2《投标文件》第二册</w:t>
      </w:r>
    </w:p>
    <w:p>
      <w:pPr>
        <w:spacing w:line="360" w:lineRule="auto"/>
        <w:ind w:firstLine="420" w:firstLineChars="200"/>
        <w:jc w:val="left"/>
        <w:rPr>
          <w:szCs w:val="21"/>
          <w:highlight w:val="none"/>
        </w:rPr>
      </w:pPr>
      <w:r>
        <w:rPr>
          <w:szCs w:val="21"/>
          <w:highlight w:val="none"/>
        </w:rPr>
        <w:t>包括</w:t>
      </w:r>
      <w:r>
        <w:rPr>
          <w:rFonts w:hint="eastAsia"/>
          <w:szCs w:val="21"/>
          <w:highlight w:val="none"/>
        </w:rPr>
        <w:t>但不限于以下内容</w:t>
      </w:r>
      <w:r>
        <w:rPr>
          <w:szCs w:val="21"/>
          <w:highlight w:val="none"/>
        </w:rPr>
        <w:t>：</w:t>
      </w:r>
    </w:p>
    <w:p>
      <w:pPr>
        <w:spacing w:line="360" w:lineRule="auto"/>
        <w:ind w:firstLine="420" w:firstLineChars="200"/>
        <w:jc w:val="left"/>
        <w:rPr>
          <w:szCs w:val="21"/>
          <w:highlight w:val="none"/>
        </w:rPr>
      </w:pPr>
      <w:r>
        <w:rPr>
          <w:rFonts w:hint="eastAsia"/>
          <w:szCs w:val="21"/>
          <w:highlight w:val="none"/>
        </w:rPr>
        <w:t>（1）响应本项目招标文件要求的文件、资料，按第四章“投标文件格式”提供的“格式2”至“格式16”及其要求编制；</w:t>
      </w:r>
    </w:p>
    <w:p>
      <w:pPr>
        <w:spacing w:line="360" w:lineRule="auto"/>
        <w:ind w:firstLine="420" w:firstLineChars="200"/>
        <w:jc w:val="left"/>
        <w:rPr>
          <w:bCs/>
          <w:color w:val="000000"/>
          <w:szCs w:val="21"/>
          <w:highlight w:val="none"/>
        </w:rPr>
      </w:pPr>
      <w:r>
        <w:rPr>
          <w:bCs/>
          <w:color w:val="000000"/>
          <w:szCs w:val="21"/>
          <w:highlight w:val="none"/>
        </w:rPr>
        <w:t>（</w:t>
      </w:r>
      <w:r>
        <w:rPr>
          <w:rFonts w:hint="eastAsia"/>
          <w:bCs/>
          <w:color w:val="000000"/>
          <w:szCs w:val="21"/>
          <w:highlight w:val="none"/>
        </w:rPr>
        <w:t>2</w:t>
      </w:r>
      <w:r>
        <w:rPr>
          <w:bCs/>
          <w:color w:val="000000"/>
          <w:szCs w:val="21"/>
          <w:highlight w:val="none"/>
        </w:rPr>
        <w:t>）构成投标文件的其他资料。详见</w:t>
      </w:r>
      <w:r>
        <w:rPr>
          <w:rFonts w:hint="eastAsia"/>
          <w:bCs/>
          <w:color w:val="000000"/>
          <w:szCs w:val="21"/>
          <w:highlight w:val="none"/>
        </w:rPr>
        <w:t>“投标人须知前附表”，并按第四章“投标文件格式”提供的“格式17”及要求编制</w:t>
      </w:r>
      <w:r>
        <w:rPr>
          <w:bCs/>
          <w:color w:val="000000"/>
          <w:szCs w:val="21"/>
          <w:highlight w:val="none"/>
        </w:rPr>
        <w:t>。</w:t>
      </w:r>
    </w:p>
    <w:p>
      <w:pPr>
        <w:spacing w:line="360" w:lineRule="auto"/>
        <w:ind w:firstLine="420" w:firstLineChars="200"/>
        <w:jc w:val="left"/>
        <w:rPr>
          <w:rFonts w:hint="eastAsia" w:hAnsi="宋体"/>
          <w:szCs w:val="21"/>
          <w:highlight w:val="none"/>
        </w:rPr>
      </w:pPr>
      <w:r>
        <w:rPr>
          <w:szCs w:val="21"/>
          <w:highlight w:val="none"/>
        </w:rPr>
        <w:t>16.3投标供应商同时参加多个标包（若分标包时）的</w:t>
      </w:r>
      <w:r>
        <w:rPr>
          <w:rFonts w:hint="eastAsia" w:hAnsi="宋体"/>
          <w:szCs w:val="21"/>
          <w:highlight w:val="none"/>
        </w:rPr>
        <w:t>，投标文件应按标包分别编制，单独成册。</w:t>
      </w:r>
    </w:p>
    <w:p>
      <w:pPr>
        <w:spacing w:line="360" w:lineRule="auto"/>
        <w:ind w:firstLine="422" w:firstLineChars="200"/>
        <w:jc w:val="left"/>
        <w:rPr>
          <w:rFonts w:hint="eastAsia" w:ascii="宋体"/>
          <w:bCs/>
          <w:color w:val="000000"/>
          <w:szCs w:val="21"/>
          <w:highlight w:val="none"/>
        </w:rPr>
      </w:pPr>
      <w:r>
        <w:rPr>
          <w:rFonts w:hint="eastAsia" w:ascii="宋体" w:hAnsi="宋体"/>
          <w:b/>
          <w:bCs/>
          <w:szCs w:val="21"/>
          <w:highlight w:val="none"/>
        </w:rPr>
        <w:t>★</w:t>
      </w:r>
      <w:r>
        <w:rPr>
          <w:rFonts w:hint="eastAsia" w:hAnsi="宋体"/>
          <w:szCs w:val="21"/>
          <w:highlight w:val="none"/>
        </w:rPr>
        <w:t>16.4投标人应按第四章《投标文件格式》提供的格式完整地填写，未按招标文件规定格式填写的投标文件按无效投标处理。</w:t>
      </w:r>
    </w:p>
    <w:bookmarkEnd w:id="172"/>
    <w:bookmarkEnd w:id="173"/>
    <w:bookmarkEnd w:id="174"/>
    <w:bookmarkEnd w:id="175"/>
    <w:p>
      <w:pPr>
        <w:keepNext/>
        <w:keepLines/>
        <w:spacing w:line="360" w:lineRule="auto"/>
        <w:ind w:firstLine="422" w:firstLineChars="200"/>
        <w:outlineLvl w:val="2"/>
        <w:rPr>
          <w:rFonts w:hint="eastAsia"/>
          <w:b/>
          <w:szCs w:val="21"/>
          <w:highlight w:val="none"/>
        </w:rPr>
      </w:pPr>
      <w:bookmarkStart w:id="177" w:name="_Toc19187"/>
      <w:bookmarkStart w:id="178" w:name="_Toc516851601"/>
      <w:bookmarkStart w:id="179" w:name="_Toc489197828"/>
      <w:bookmarkStart w:id="180" w:name="_Toc518289482"/>
      <w:bookmarkStart w:id="181" w:name="_Toc489145724"/>
      <w:r>
        <w:rPr>
          <w:rFonts w:hint="eastAsia"/>
          <w:b/>
          <w:szCs w:val="21"/>
          <w:highlight w:val="none"/>
        </w:rPr>
        <w:t>17. 投标报价</w:t>
      </w:r>
      <w:bookmarkEnd w:id="177"/>
    </w:p>
    <w:p>
      <w:pPr>
        <w:spacing w:line="360" w:lineRule="auto"/>
        <w:ind w:firstLine="420" w:firstLineChars="200"/>
        <w:rPr>
          <w:szCs w:val="21"/>
          <w:highlight w:val="none"/>
        </w:rPr>
      </w:pPr>
      <w:r>
        <w:rPr>
          <w:szCs w:val="21"/>
          <w:highlight w:val="none"/>
        </w:rPr>
        <w:t>17.1本项目投标报价采用的币种为人民币。</w:t>
      </w:r>
    </w:p>
    <w:p>
      <w:pPr>
        <w:spacing w:line="360" w:lineRule="auto"/>
        <w:ind w:firstLine="420" w:firstLineChars="200"/>
        <w:rPr>
          <w:rFonts w:hint="eastAsia" w:hAnsi="宋体"/>
          <w:color w:val="000000"/>
          <w:szCs w:val="21"/>
          <w:highlight w:val="none"/>
        </w:rPr>
      </w:pPr>
      <w:r>
        <w:rPr>
          <w:szCs w:val="21"/>
          <w:highlight w:val="none"/>
        </w:rPr>
        <w:t>17.2</w:t>
      </w:r>
      <w:r>
        <w:rPr>
          <w:rFonts w:hint="eastAsia"/>
          <w:szCs w:val="21"/>
        </w:rPr>
        <w:t>供应商必须对所投合同包内所有内容作出完整唯一的投标报价，否则投标文件将按无效处理。投标报价不得以任何理由予以重复计价。供应商应依据招标文件的要求及有关资料，执行国家或行业现行技术、经济标准、定额及规范，根据现行市场价格自行测算出满足采购要求的货物、工程或者服务的投标报价。投标报价包括但不限于为采购人提供的</w:t>
      </w:r>
      <w:r>
        <w:rPr>
          <w:rFonts w:hint="eastAsia"/>
          <w:szCs w:val="21"/>
          <w:lang w:val="en-US" w:eastAsia="zh-CN"/>
        </w:rPr>
        <w:t>服务</w:t>
      </w:r>
      <w:r>
        <w:rPr>
          <w:rFonts w:hint="eastAsia"/>
          <w:szCs w:val="21"/>
        </w:rPr>
        <w:t>的费用，为实施和完成合同范围内各项工作所需的人工费、材料费、装备费、差旅费、管理费、培训费、售后服务、评审费用、市场价格变化的风险费用、利润、税金、保险、政策性文件规定费用等一切费用的总和，该报价应符合市场行情并能保证供应商完成履行合同所需的一切工作。供应商应充分考虑各项风险因素和各项费用，合同（协议）一旦签订，此合同（协议）价格在合同（协议）实施期间将不因市场行情等因素的变化而调整</w:t>
      </w:r>
      <w:r>
        <w:rPr>
          <w:rFonts w:hint="eastAsia" w:hAnsi="宋体"/>
          <w:color w:val="000000"/>
          <w:szCs w:val="21"/>
          <w:highlight w:val="none"/>
        </w:rPr>
        <w:t>。</w:t>
      </w:r>
    </w:p>
    <w:p>
      <w:pPr>
        <w:spacing w:line="360" w:lineRule="auto"/>
        <w:ind w:firstLine="420" w:firstLineChars="200"/>
        <w:rPr>
          <w:rFonts w:hint="eastAsia" w:hAnsi="宋体"/>
          <w:color w:val="000000"/>
          <w:szCs w:val="21"/>
          <w:highlight w:val="none"/>
        </w:rPr>
      </w:pPr>
      <w:r>
        <w:rPr>
          <w:rFonts w:hint="eastAsia" w:hAnsi="宋体"/>
          <w:color w:val="000000"/>
          <w:szCs w:val="21"/>
          <w:highlight w:val="none"/>
        </w:rPr>
        <w:t>17.3无论分项价格是否填报完全，投标报价将被视为已经包含了所有分项价格以及与项目相关的所有货物、工程或者服务费用。由于供应商分项报价填报不完整、不清楚或存在其它任何失误所导致的任何不利后果均由供应商自行承担。</w:t>
      </w:r>
    </w:p>
    <w:p>
      <w:pPr>
        <w:spacing w:line="360" w:lineRule="auto"/>
        <w:ind w:firstLine="420" w:firstLineChars="200"/>
        <w:rPr>
          <w:rFonts w:hint="eastAsia" w:hAnsi="宋体"/>
          <w:color w:val="000000"/>
          <w:szCs w:val="21"/>
          <w:highlight w:val="none"/>
        </w:rPr>
      </w:pPr>
      <w:r>
        <w:rPr>
          <w:rFonts w:hint="eastAsia" w:hAnsi="宋体"/>
          <w:color w:val="000000"/>
          <w:szCs w:val="21"/>
          <w:highlight w:val="none"/>
        </w:rPr>
        <w:t>★17.4供应商不得哄抬报价，也不应低于成本价（或进价）报价。评标委员会认为供应商的投标报价或者某些分项报价明显不合理或者低于成本，有可能影响商品质量和不能诚信履约的，将要求其在规定的期限内提供书面文件予以解释说明，并提交相关证明材料；供应商不能证明其报价合理性的，评标委员会将认定供应商投标文件无效。</w:t>
      </w:r>
    </w:p>
    <w:p>
      <w:pPr>
        <w:spacing w:line="360" w:lineRule="auto"/>
        <w:ind w:firstLine="420" w:firstLineChars="200"/>
        <w:rPr>
          <w:rFonts w:hint="eastAsia" w:hAnsi="宋体"/>
          <w:color w:val="000000"/>
          <w:szCs w:val="21"/>
          <w:highlight w:val="none"/>
        </w:rPr>
      </w:pPr>
      <w:r>
        <w:rPr>
          <w:rFonts w:hint="eastAsia" w:hAnsi="宋体"/>
          <w:color w:val="000000"/>
          <w:szCs w:val="21"/>
          <w:highlight w:val="none"/>
        </w:rPr>
        <w:t>在评标过程中，供应商报价明显低于市场价的，有可能影响服务质量或者不能诚信履约的，评标委员会应当要求其在评标现场合理的时间内提供成本构成书面说明，并提交相关证明材料。供应商书面说明应当按照国家财务会计制度的规定要求，逐项就供应商提供的货物、工程和服务的主营业务成本（应根据供应商企业类型予以区别）、税金及附加、销售费用、管理费用、财务费用等成本构成事项详细陈述。</w:t>
      </w:r>
    </w:p>
    <w:p>
      <w:pPr>
        <w:spacing w:line="360" w:lineRule="auto"/>
        <w:ind w:firstLine="420" w:firstLineChars="200"/>
        <w:rPr>
          <w:rFonts w:hint="eastAsia" w:hAnsi="宋体"/>
          <w:color w:val="000000"/>
          <w:szCs w:val="21"/>
          <w:highlight w:val="none"/>
        </w:rPr>
      </w:pPr>
      <w:r>
        <w:rPr>
          <w:rFonts w:hint="eastAsia" w:hAnsi="宋体"/>
          <w:color w:val="000000"/>
          <w:szCs w:val="21"/>
          <w:highlight w:val="none"/>
        </w:rPr>
        <w:t>供应商书面说明应当签字确认或者加盖公章，否则无效。书面说明的签字确认，供应商为法人的，由其法定代表人或者代理人签字确认；供应商为其他组织的，由其主要负责人或者代理人签字确认；供应商为自然人的，由其本人或者代理人签字确认。</w:t>
      </w:r>
    </w:p>
    <w:p>
      <w:pPr>
        <w:spacing w:line="360" w:lineRule="auto"/>
        <w:ind w:firstLine="420" w:firstLineChars="200"/>
        <w:rPr>
          <w:rFonts w:hint="eastAsia" w:hAnsi="宋体"/>
          <w:color w:val="000000"/>
          <w:szCs w:val="21"/>
          <w:highlight w:val="none"/>
        </w:rPr>
      </w:pPr>
      <w:r>
        <w:rPr>
          <w:rFonts w:hint="eastAsia" w:hAnsi="宋体"/>
          <w:color w:val="000000"/>
          <w:szCs w:val="21"/>
          <w:highlight w:val="none"/>
        </w:rPr>
        <w:t>供应商提供书面说明后，评标委员会应当结合采购项目采购需求、专业实际情况、供应商财务状况报告、与其他供应商比较情况等就供应商书面说明进行审查评价。供应商拒绝或者变相拒绝提供有效书面说明或者书面说明不能证明其报价合理性的，评标委员会应当将其投标文件作为无效处理。</w:t>
      </w:r>
    </w:p>
    <w:p>
      <w:pPr>
        <w:spacing w:line="360" w:lineRule="auto"/>
        <w:ind w:firstLine="420" w:firstLineChars="200"/>
        <w:rPr>
          <w:rFonts w:hint="eastAsia" w:hAnsi="宋体"/>
          <w:color w:val="000000"/>
          <w:szCs w:val="21"/>
          <w:highlight w:val="none"/>
        </w:rPr>
      </w:pPr>
      <w:r>
        <w:rPr>
          <w:rFonts w:hint="eastAsia" w:hAnsi="宋体"/>
          <w:color w:val="000000"/>
          <w:szCs w:val="21"/>
          <w:highlight w:val="none"/>
        </w:rPr>
        <w:t>17.5供应商应保证其提供的货物、工程或者服务在采购人使用期间不受第三方可能提出的所有权、用益物权、担保物权、占有等一切涉及物权及知识产权、商标权、专利权、著作权等相关权利的起诉。</w:t>
      </w:r>
    </w:p>
    <w:p>
      <w:pPr>
        <w:spacing w:line="360" w:lineRule="auto"/>
        <w:ind w:firstLine="420" w:firstLineChars="200"/>
        <w:rPr>
          <w:color w:val="C00000"/>
          <w:szCs w:val="21"/>
          <w:highlight w:val="none"/>
        </w:rPr>
      </w:pPr>
      <w:r>
        <w:rPr>
          <w:rFonts w:hint="eastAsia" w:hAnsi="宋体"/>
          <w:color w:val="000000"/>
          <w:szCs w:val="21"/>
          <w:highlight w:val="none"/>
        </w:rPr>
        <w:t>17.6投标人的投标报价不得超过预算金额，若采购人设有最高投标限价的，投标人的投标报价还应当不得超过最高投标限价</w:t>
      </w:r>
      <w:r>
        <w:rPr>
          <w:szCs w:val="21"/>
          <w:highlight w:val="none"/>
        </w:rPr>
        <w:t>。</w:t>
      </w:r>
    </w:p>
    <w:p>
      <w:pPr>
        <w:keepNext/>
        <w:keepLines/>
        <w:spacing w:line="360" w:lineRule="auto"/>
        <w:ind w:firstLine="422" w:firstLineChars="200"/>
        <w:outlineLvl w:val="2"/>
        <w:rPr>
          <w:rFonts w:hint="eastAsia"/>
          <w:b/>
          <w:szCs w:val="21"/>
          <w:highlight w:val="none"/>
        </w:rPr>
      </w:pPr>
      <w:bookmarkStart w:id="182" w:name="_Toc12840"/>
      <w:r>
        <w:rPr>
          <w:rFonts w:hint="eastAsia"/>
          <w:b/>
          <w:szCs w:val="21"/>
          <w:highlight w:val="none"/>
        </w:rPr>
        <w:t>18. 投标有效期</w:t>
      </w:r>
      <w:bookmarkEnd w:id="182"/>
    </w:p>
    <w:p>
      <w:pPr>
        <w:spacing w:line="360" w:lineRule="auto"/>
        <w:ind w:firstLine="422" w:firstLineChars="200"/>
        <w:jc w:val="left"/>
        <w:rPr>
          <w:rFonts w:hint="eastAsia"/>
          <w:szCs w:val="21"/>
          <w:highlight w:val="none"/>
        </w:rPr>
      </w:pPr>
      <w:r>
        <w:rPr>
          <w:b/>
          <w:color w:val="000000"/>
          <w:szCs w:val="21"/>
          <w:highlight w:val="none"/>
        </w:rPr>
        <w:t>★</w:t>
      </w:r>
      <w:r>
        <w:rPr>
          <w:rFonts w:hint="eastAsia"/>
          <w:szCs w:val="21"/>
          <w:highlight w:val="none"/>
        </w:rPr>
        <w:t>18.1</w:t>
      </w:r>
      <w:r>
        <w:rPr>
          <w:szCs w:val="21"/>
          <w:highlight w:val="none"/>
        </w:rPr>
        <w:t>投标有效期从提交投标文件的截止之日起算。投标文件中承诺的投标有效期应当不少于</w:t>
      </w:r>
      <w:r>
        <w:rPr>
          <w:rFonts w:hint="eastAsia"/>
          <w:szCs w:val="21"/>
          <w:highlight w:val="none"/>
        </w:rPr>
        <w:t>“投标人须知前附表”</w:t>
      </w:r>
      <w:r>
        <w:rPr>
          <w:szCs w:val="21"/>
          <w:highlight w:val="none"/>
        </w:rPr>
        <w:t>中载明的投标有效期。</w:t>
      </w:r>
      <w:r>
        <w:rPr>
          <w:rFonts w:hint="eastAsia"/>
          <w:szCs w:val="21"/>
          <w:highlight w:val="none"/>
        </w:rPr>
        <w:t>在规定的有效期内，投标人不得要求撤销或修改其投标文件。</w:t>
      </w:r>
    </w:p>
    <w:p>
      <w:pPr>
        <w:spacing w:line="360" w:lineRule="auto"/>
        <w:ind w:firstLine="420" w:firstLineChars="200"/>
        <w:jc w:val="left"/>
        <w:rPr>
          <w:rFonts w:hint="eastAsia"/>
          <w:szCs w:val="21"/>
          <w:highlight w:val="none"/>
        </w:rPr>
      </w:pPr>
      <w:r>
        <w:rPr>
          <w:rFonts w:hint="eastAsia"/>
          <w:szCs w:val="21"/>
          <w:highlight w:val="none"/>
        </w:rPr>
        <w:t>18.2 因特殊情况需要延长投标文件有效期的，采购代理机构以书面形式通知所有投标人延长有效期。投标人同意延长的，应相应延长其投标文件中所有内容及投标保证金的有效期，但不得要求或被允许修改或撤销其投标文件；投标人拒绝延长的，其投标文件失效，但投标人有权收回其投标保证金。</w:t>
      </w:r>
    </w:p>
    <w:p>
      <w:pPr>
        <w:keepNext/>
        <w:keepLines/>
        <w:spacing w:line="360" w:lineRule="auto"/>
        <w:ind w:firstLine="422" w:firstLineChars="200"/>
        <w:outlineLvl w:val="2"/>
        <w:rPr>
          <w:rFonts w:hint="eastAsia"/>
          <w:b/>
          <w:szCs w:val="21"/>
          <w:highlight w:val="none"/>
        </w:rPr>
      </w:pPr>
      <w:bookmarkStart w:id="183" w:name="_Toc880"/>
      <w:r>
        <w:rPr>
          <w:rFonts w:hint="eastAsia"/>
          <w:b/>
          <w:szCs w:val="21"/>
          <w:highlight w:val="none"/>
        </w:rPr>
        <w:t>19.投标保证金</w:t>
      </w:r>
      <w:bookmarkEnd w:id="183"/>
    </w:p>
    <w:p>
      <w:pPr>
        <w:spacing w:line="360" w:lineRule="auto"/>
        <w:ind w:firstLine="420" w:firstLineChars="200"/>
        <w:rPr>
          <w:szCs w:val="21"/>
          <w:highlight w:val="none"/>
        </w:rPr>
      </w:pPr>
      <w:r>
        <w:rPr>
          <w:rFonts w:hint="eastAsia"/>
          <w:szCs w:val="21"/>
          <w:highlight w:val="none"/>
        </w:rPr>
        <w:t>19</w:t>
      </w:r>
      <w:r>
        <w:rPr>
          <w:szCs w:val="21"/>
          <w:highlight w:val="none"/>
        </w:rPr>
        <w:t>.1投标人应按</w:t>
      </w:r>
      <w:r>
        <w:rPr>
          <w:rFonts w:hint="eastAsia"/>
          <w:szCs w:val="21"/>
          <w:highlight w:val="none"/>
        </w:rPr>
        <w:t>“投标人须知前附表”</w:t>
      </w:r>
      <w:r>
        <w:rPr>
          <w:szCs w:val="21"/>
          <w:highlight w:val="none"/>
        </w:rPr>
        <w:t>规定的金额、形式交纳投标保证金，投标保证金须在投标文件提交截止时间前从投标人账户提交到</w:t>
      </w:r>
      <w:r>
        <w:rPr>
          <w:rFonts w:hint="eastAsia"/>
          <w:szCs w:val="21"/>
          <w:highlight w:val="none"/>
        </w:rPr>
        <w:t>“投标人须知前附表”指</w:t>
      </w:r>
      <w:r>
        <w:rPr>
          <w:szCs w:val="21"/>
          <w:highlight w:val="none"/>
        </w:rPr>
        <w:t>定的帐户，投标保证金有效期与投标有效期一致。投标人未按照招标文件要求提交投标保证金的，投标无效。</w:t>
      </w:r>
    </w:p>
    <w:p>
      <w:pPr>
        <w:spacing w:line="360" w:lineRule="auto"/>
        <w:ind w:firstLine="420" w:firstLineChars="200"/>
        <w:rPr>
          <w:szCs w:val="21"/>
          <w:highlight w:val="none"/>
        </w:rPr>
      </w:pPr>
      <w:r>
        <w:rPr>
          <w:rFonts w:hint="eastAsia"/>
          <w:szCs w:val="21"/>
          <w:highlight w:val="none"/>
        </w:rPr>
        <w:t>19</w:t>
      </w:r>
      <w:r>
        <w:rPr>
          <w:szCs w:val="21"/>
          <w:highlight w:val="none"/>
        </w:rPr>
        <w:t>.2</w:t>
      </w:r>
      <w:r>
        <w:rPr>
          <w:rFonts w:hint="eastAsia"/>
          <w:szCs w:val="21"/>
          <w:highlight w:val="none"/>
        </w:rPr>
        <w:t>“投标人须知前附表”中列出的保证金代收单位在</w:t>
      </w:r>
      <w:r>
        <w:rPr>
          <w:szCs w:val="21"/>
          <w:highlight w:val="none"/>
        </w:rPr>
        <w:t>中标通知书发出之日起5个工作日内退还未中标人的投标保证金，中标人的投标保证金在采购合同签订后5个工作日内退还，但因投标人自身原因导致无法及时退还的除外。</w:t>
      </w:r>
    </w:p>
    <w:p>
      <w:pPr>
        <w:spacing w:line="360" w:lineRule="auto"/>
        <w:ind w:firstLine="420" w:firstLineChars="200"/>
        <w:rPr>
          <w:szCs w:val="21"/>
          <w:highlight w:val="none"/>
        </w:rPr>
      </w:pPr>
      <w:r>
        <w:rPr>
          <w:szCs w:val="21"/>
          <w:highlight w:val="none"/>
        </w:rPr>
        <w:t xml:space="preserve">出现下列情形之一的，投标保证金不予退还： </w:t>
      </w:r>
    </w:p>
    <w:p>
      <w:pPr>
        <w:spacing w:line="360" w:lineRule="auto"/>
        <w:ind w:firstLine="420" w:firstLineChars="200"/>
        <w:rPr>
          <w:szCs w:val="21"/>
          <w:highlight w:val="none"/>
        </w:rPr>
      </w:pPr>
      <w:r>
        <w:rPr>
          <w:szCs w:val="21"/>
          <w:highlight w:val="none"/>
        </w:rPr>
        <w:t>（1）投标有效期内投标人撤销投标文件的；</w:t>
      </w:r>
    </w:p>
    <w:p>
      <w:pPr>
        <w:spacing w:line="360" w:lineRule="auto"/>
        <w:ind w:firstLine="420" w:firstLineChars="200"/>
        <w:rPr>
          <w:szCs w:val="21"/>
          <w:highlight w:val="none"/>
        </w:rPr>
      </w:pPr>
      <w:r>
        <w:rPr>
          <w:szCs w:val="21"/>
          <w:highlight w:val="none"/>
        </w:rPr>
        <w:t>（2）中标人</w:t>
      </w:r>
      <w:r>
        <w:rPr>
          <w:rFonts w:ascii="宋体" w:hAnsi="宋体" w:cs="宋体"/>
          <w:bCs/>
          <w:color w:val="000000"/>
          <w:kern w:val="0"/>
          <w:szCs w:val="21"/>
          <w:highlight w:val="none"/>
        </w:rPr>
        <w:t>除因不可抗力或招标文件认可的情形以外，</w:t>
      </w:r>
      <w:r>
        <w:rPr>
          <w:szCs w:val="21"/>
          <w:highlight w:val="none"/>
        </w:rPr>
        <w:t>无正当理由不与招标人订立合同，在签订合同时向招标人提出附加条件，或者不按照招标文件要求提交履约保证金的；</w:t>
      </w:r>
    </w:p>
    <w:p>
      <w:pPr>
        <w:spacing w:line="360" w:lineRule="auto"/>
        <w:ind w:firstLine="420" w:firstLineChars="200"/>
        <w:rPr>
          <w:szCs w:val="21"/>
          <w:highlight w:val="none"/>
        </w:rPr>
      </w:pPr>
      <w:r>
        <w:rPr>
          <w:szCs w:val="21"/>
          <w:highlight w:val="none"/>
        </w:rPr>
        <w:t>（3）</w:t>
      </w:r>
      <w:r>
        <w:rPr>
          <w:rFonts w:hint="eastAsia" w:ascii="宋体" w:hAnsi="宋体" w:cs="宋体"/>
          <w:bCs/>
          <w:color w:val="000000"/>
          <w:kern w:val="0"/>
          <w:szCs w:val="21"/>
          <w:highlight w:val="none"/>
        </w:rPr>
        <w:t>投标人</w:t>
      </w:r>
      <w:r>
        <w:rPr>
          <w:rFonts w:ascii="宋体" w:hAnsi="宋体" w:cs="宋体"/>
          <w:bCs/>
          <w:color w:val="000000"/>
          <w:kern w:val="0"/>
          <w:szCs w:val="21"/>
          <w:highlight w:val="none"/>
        </w:rPr>
        <w:t>在投标文件中提供虚假材料的；</w:t>
      </w:r>
    </w:p>
    <w:p>
      <w:pPr>
        <w:spacing w:line="360" w:lineRule="auto"/>
        <w:ind w:firstLine="420" w:firstLineChars="200"/>
        <w:rPr>
          <w:szCs w:val="21"/>
          <w:highlight w:val="none"/>
        </w:rPr>
      </w:pPr>
      <w:r>
        <w:rPr>
          <w:rFonts w:hint="eastAsia"/>
          <w:szCs w:val="21"/>
          <w:highlight w:val="none"/>
        </w:rPr>
        <w:t>（4）</w:t>
      </w:r>
      <w:r>
        <w:rPr>
          <w:szCs w:val="21"/>
          <w:highlight w:val="none"/>
        </w:rPr>
        <w:t>法律法规或招标文件规定的其他情形。</w:t>
      </w:r>
    </w:p>
    <w:bookmarkEnd w:id="178"/>
    <w:bookmarkEnd w:id="179"/>
    <w:bookmarkEnd w:id="180"/>
    <w:bookmarkEnd w:id="181"/>
    <w:p>
      <w:pPr>
        <w:keepNext/>
        <w:keepLines/>
        <w:spacing w:line="360" w:lineRule="auto"/>
        <w:outlineLvl w:val="2"/>
        <w:rPr>
          <w:rFonts w:ascii="宋体" w:hAnsi="宋体"/>
          <w:b/>
          <w:sz w:val="24"/>
          <w:highlight w:val="none"/>
        </w:rPr>
      </w:pPr>
      <w:bookmarkStart w:id="184" w:name="_Toc5522"/>
      <w:bookmarkStart w:id="185" w:name="_Toc489197829"/>
      <w:bookmarkStart w:id="186" w:name="_Toc489145725"/>
      <w:bookmarkStart w:id="187" w:name="_Toc516851602"/>
      <w:bookmarkStart w:id="188" w:name="_Toc518289483"/>
      <w:r>
        <w:rPr>
          <w:rFonts w:hint="eastAsia" w:ascii="宋体" w:hAnsi="宋体"/>
          <w:b/>
          <w:sz w:val="24"/>
          <w:highlight w:val="none"/>
        </w:rPr>
        <w:t>20.投标文件的编制</w:t>
      </w:r>
      <w:bookmarkEnd w:id="184"/>
      <w:bookmarkEnd w:id="185"/>
      <w:bookmarkEnd w:id="186"/>
      <w:bookmarkEnd w:id="187"/>
      <w:bookmarkEnd w:id="188"/>
      <w:bookmarkStart w:id="189" w:name="_Toc296602442"/>
    </w:p>
    <w:bookmarkEnd w:id="189"/>
    <w:p>
      <w:pPr>
        <w:spacing w:line="360" w:lineRule="auto"/>
        <w:ind w:firstLine="420" w:firstLineChars="200"/>
        <w:jc w:val="left"/>
        <w:rPr>
          <w:rFonts w:hint="eastAsia" w:ascii="Calibri" w:hAnsi="宋体"/>
          <w:szCs w:val="21"/>
          <w:highlight w:val="none"/>
        </w:rPr>
      </w:pPr>
      <w:r>
        <w:rPr>
          <w:rFonts w:hint="eastAsia" w:ascii="Calibri" w:hAnsi="宋体"/>
          <w:szCs w:val="21"/>
          <w:highlight w:val="none"/>
        </w:rPr>
        <w:t>20.1投标文件</w:t>
      </w:r>
      <w:r>
        <w:rPr>
          <w:rFonts w:hint="eastAsia" w:ascii="Calibri" w:hAnsi="宋体"/>
          <w:szCs w:val="21"/>
          <w:highlight w:val="none"/>
          <w:lang w:val="en-US" w:eastAsia="zh-CN"/>
        </w:rPr>
        <w:t>应采用</w:t>
      </w:r>
      <w:r>
        <w:rPr>
          <w:rFonts w:hint="eastAsia" w:ascii="Calibri" w:hAnsi="宋体"/>
          <w:szCs w:val="21"/>
          <w:highlight w:val="none"/>
        </w:rPr>
        <w:t>电子交易系统提供的“投标文件制作工具”制作生成。格式符合第</w:t>
      </w:r>
      <w:r>
        <w:rPr>
          <w:rFonts w:hint="eastAsia" w:ascii="Calibri" w:hAnsi="宋体"/>
          <w:szCs w:val="21"/>
          <w:highlight w:val="none"/>
          <w:lang w:val="en-US" w:eastAsia="zh-CN"/>
        </w:rPr>
        <w:t>四</w:t>
      </w:r>
      <w:r>
        <w:rPr>
          <w:rFonts w:hint="eastAsia" w:ascii="Calibri" w:hAnsi="宋体"/>
          <w:szCs w:val="21"/>
          <w:highlight w:val="none"/>
        </w:rPr>
        <w:t>章“投标文件格式”要求。如有必要，可以增加附页，作为投标文件的组成部分。“投标文件制作工具”可以通过电子交易系统下载。投标人应当在互联网络通畅状态下启用最新版投标文件制作工具制作投标文件。</w:t>
      </w:r>
    </w:p>
    <w:p>
      <w:pPr>
        <w:spacing w:line="360" w:lineRule="auto"/>
        <w:ind w:firstLine="420" w:firstLineChars="200"/>
        <w:jc w:val="left"/>
        <w:rPr>
          <w:rFonts w:hint="eastAsia" w:ascii="Calibri" w:hAnsi="宋体"/>
          <w:szCs w:val="21"/>
          <w:highlight w:val="none"/>
        </w:rPr>
      </w:pPr>
      <w:r>
        <w:rPr>
          <w:rFonts w:hint="eastAsia" w:ascii="Calibri" w:hAnsi="宋体"/>
          <w:szCs w:val="21"/>
          <w:highlight w:val="none"/>
          <w:lang w:val="en-US" w:eastAsia="zh-CN"/>
        </w:rPr>
        <w:t>20</w:t>
      </w:r>
      <w:r>
        <w:rPr>
          <w:rFonts w:hint="eastAsia" w:ascii="Calibri" w:hAnsi="宋体"/>
          <w:szCs w:val="21"/>
          <w:highlight w:val="none"/>
        </w:rPr>
        <w:t>.2投标文件应对招标文件有关</w:t>
      </w:r>
      <w:r>
        <w:rPr>
          <w:rFonts w:hint="eastAsia" w:ascii="Calibri" w:hAnsi="宋体"/>
          <w:szCs w:val="21"/>
          <w:highlight w:val="none"/>
          <w:lang w:val="en-US" w:eastAsia="zh-CN"/>
        </w:rPr>
        <w:t>合同履约期限</w:t>
      </w:r>
      <w:r>
        <w:rPr>
          <w:rFonts w:hint="eastAsia" w:ascii="Calibri" w:hAnsi="宋体"/>
          <w:szCs w:val="21"/>
          <w:highlight w:val="none"/>
        </w:rPr>
        <w:t>、投标有效期、质量要求、技术标准和要求、招标范围等实质性内容作出响应。</w:t>
      </w:r>
    </w:p>
    <w:p>
      <w:pPr>
        <w:spacing w:line="360" w:lineRule="auto"/>
        <w:ind w:firstLine="420" w:firstLineChars="200"/>
        <w:jc w:val="left"/>
        <w:rPr>
          <w:rFonts w:hint="eastAsia" w:ascii="Calibri" w:hAnsi="宋体"/>
          <w:szCs w:val="21"/>
          <w:highlight w:val="none"/>
        </w:rPr>
      </w:pPr>
      <w:r>
        <w:rPr>
          <w:rFonts w:hint="eastAsia" w:ascii="Calibri" w:hAnsi="宋体"/>
          <w:szCs w:val="21"/>
          <w:highlight w:val="none"/>
          <w:lang w:val="en-US" w:eastAsia="zh-CN"/>
        </w:rPr>
        <w:t>20</w:t>
      </w:r>
      <w:r>
        <w:rPr>
          <w:rFonts w:hint="eastAsia" w:ascii="Calibri" w:hAnsi="宋体"/>
          <w:szCs w:val="21"/>
          <w:highlight w:val="none"/>
        </w:rPr>
        <w:t>.3投标文件的制作应满足以下规定：</w:t>
      </w:r>
    </w:p>
    <w:p>
      <w:pPr>
        <w:spacing w:line="360" w:lineRule="auto"/>
        <w:ind w:firstLine="420" w:firstLineChars="200"/>
        <w:jc w:val="left"/>
        <w:rPr>
          <w:rFonts w:hint="eastAsia" w:ascii="Calibri" w:hAnsi="宋体"/>
          <w:szCs w:val="21"/>
          <w:highlight w:val="none"/>
        </w:rPr>
      </w:pPr>
      <w:r>
        <w:rPr>
          <w:rFonts w:hint="eastAsia" w:ascii="Calibri" w:hAnsi="宋体"/>
          <w:szCs w:val="21"/>
          <w:highlight w:val="none"/>
        </w:rPr>
        <w:t>（1）投标文件由投标人使用交易系统的“投标文件制作工具”制作生成</w:t>
      </w:r>
      <w:r>
        <w:rPr>
          <w:rFonts w:hint="eastAsia" w:ascii="Calibri" w:hAnsi="宋体"/>
          <w:szCs w:val="21"/>
          <w:highlight w:val="none"/>
          <w:lang w:eastAsia="zh-CN"/>
        </w:rPr>
        <w:t>，</w:t>
      </w:r>
      <w:r>
        <w:rPr>
          <w:rFonts w:hint="eastAsia" w:ascii="Calibri" w:hAnsi="宋体"/>
          <w:szCs w:val="21"/>
          <w:highlight w:val="none"/>
          <w:lang w:val="en-US" w:eastAsia="zh-CN"/>
        </w:rPr>
        <w:t>并</w:t>
      </w:r>
      <w:r>
        <w:rPr>
          <w:rFonts w:hint="eastAsia" w:ascii="Calibri" w:hAnsi="宋体"/>
          <w:szCs w:val="21"/>
          <w:highlight w:val="none"/>
        </w:rPr>
        <w:t>按照“投标文件制作工具”中的各项要求分别制作相关内容。具体方法详见“投标文件制作工具”中的帮助文档。</w:t>
      </w:r>
    </w:p>
    <w:p>
      <w:pPr>
        <w:spacing w:line="360" w:lineRule="auto"/>
        <w:ind w:firstLine="420" w:firstLineChars="200"/>
        <w:jc w:val="left"/>
        <w:rPr>
          <w:rFonts w:hint="eastAsia" w:ascii="Calibri" w:hAnsi="宋体" w:eastAsia="宋体"/>
          <w:szCs w:val="21"/>
          <w:highlight w:val="none"/>
          <w:lang w:eastAsia="zh-CN"/>
        </w:rPr>
      </w:pPr>
      <w:r>
        <w:rPr>
          <w:rFonts w:hint="eastAsia" w:ascii="Calibri" w:hAnsi="宋体"/>
          <w:szCs w:val="21"/>
          <w:highlight w:val="none"/>
        </w:rPr>
        <w:t>（2）制作投标文件时，投标人应按要求上传各项证明材料的彩色扫描件或网页截图。投标文件中提供的资料（包括</w:t>
      </w:r>
      <w:r>
        <w:rPr>
          <w:rFonts w:hint="eastAsia" w:ascii="Calibri" w:hAnsi="宋体"/>
          <w:szCs w:val="21"/>
          <w:highlight w:val="none"/>
          <w:lang w:val="en-US" w:eastAsia="zh-CN"/>
        </w:rPr>
        <w:t>扫描件、网页截图</w:t>
      </w:r>
      <w:r>
        <w:rPr>
          <w:rFonts w:hint="eastAsia" w:ascii="Calibri" w:hAnsi="宋体"/>
          <w:szCs w:val="21"/>
          <w:highlight w:val="none"/>
        </w:rPr>
        <w:t>）、关键内容</w:t>
      </w:r>
      <w:r>
        <w:rPr>
          <w:rFonts w:hint="eastAsia" w:ascii="Calibri" w:hAnsi="宋体"/>
          <w:szCs w:val="21"/>
          <w:highlight w:val="none"/>
          <w:lang w:val="en-US" w:eastAsia="zh-CN"/>
        </w:rPr>
        <w:t>等</w:t>
      </w:r>
      <w:r>
        <w:rPr>
          <w:rFonts w:hint="eastAsia" w:ascii="Calibri" w:hAnsi="宋体"/>
          <w:szCs w:val="21"/>
          <w:highlight w:val="none"/>
        </w:rPr>
        <w:t>必须清晰可辨，若出现字迹潦草、表达不清、未按要求填写而导致非唯一理解，视为未实质性响应招标文件，投标人投标文件将按无效处理</w:t>
      </w:r>
      <w:r>
        <w:rPr>
          <w:rFonts w:hint="eastAsia" w:ascii="Calibri" w:hAnsi="宋体"/>
          <w:szCs w:val="21"/>
          <w:highlight w:val="none"/>
          <w:lang w:eastAsia="zh-CN"/>
        </w:rPr>
        <w:t>。</w:t>
      </w:r>
    </w:p>
    <w:p>
      <w:pPr>
        <w:spacing w:line="360" w:lineRule="auto"/>
        <w:ind w:firstLine="420" w:firstLineChars="200"/>
        <w:jc w:val="left"/>
        <w:rPr>
          <w:rFonts w:hint="eastAsia" w:ascii="Calibri" w:hAnsi="宋体"/>
          <w:szCs w:val="21"/>
          <w:highlight w:val="none"/>
        </w:rPr>
      </w:pPr>
      <w:r>
        <w:rPr>
          <w:rFonts w:hint="eastAsia" w:ascii="Calibri" w:hAnsi="宋体"/>
          <w:szCs w:val="21"/>
          <w:highlight w:val="none"/>
        </w:rPr>
        <w:t>（</w:t>
      </w:r>
      <w:r>
        <w:rPr>
          <w:rFonts w:hint="eastAsia" w:ascii="Calibri" w:hAnsi="宋体"/>
          <w:szCs w:val="21"/>
          <w:highlight w:val="none"/>
          <w:lang w:val="en-US" w:eastAsia="zh-CN"/>
        </w:rPr>
        <w:t>4</w:t>
      </w:r>
      <w:r>
        <w:rPr>
          <w:rFonts w:hint="eastAsia" w:ascii="Calibri" w:hAnsi="宋体"/>
          <w:szCs w:val="21"/>
          <w:highlight w:val="none"/>
        </w:rPr>
        <w:t>）</w:t>
      </w:r>
      <w:r>
        <w:rPr>
          <w:rFonts w:hint="eastAsia" w:ascii="Calibri" w:hAnsi="宋体"/>
          <w:szCs w:val="21"/>
          <w:highlight w:val="none"/>
          <w:lang w:val="en-US" w:eastAsia="zh-CN"/>
        </w:rPr>
        <w:t>投标文件的签署</w:t>
      </w:r>
      <w:r>
        <w:rPr>
          <w:rFonts w:hint="eastAsia" w:ascii="Calibri" w:hAnsi="宋体"/>
          <w:szCs w:val="21"/>
          <w:highlight w:val="none"/>
        </w:rPr>
        <w:t>：</w:t>
      </w:r>
      <w:r>
        <w:rPr>
          <w:rFonts w:hint="eastAsia" w:ascii="Calibri" w:hAnsi="宋体"/>
          <w:szCs w:val="21"/>
          <w:highlight w:val="none"/>
          <w:lang w:val="en-US" w:eastAsia="zh-CN"/>
        </w:rPr>
        <w:t>按</w:t>
      </w:r>
      <w:r>
        <w:rPr>
          <w:rFonts w:hint="eastAsia" w:ascii="Calibri" w:hAnsi="宋体"/>
          <w:szCs w:val="21"/>
          <w:highlight w:val="none"/>
        </w:rPr>
        <w:t>第</w:t>
      </w:r>
      <w:r>
        <w:rPr>
          <w:rFonts w:hint="eastAsia" w:ascii="Calibri" w:hAnsi="宋体"/>
          <w:szCs w:val="21"/>
          <w:highlight w:val="none"/>
          <w:lang w:val="en-US" w:eastAsia="zh-CN"/>
        </w:rPr>
        <w:t>四</w:t>
      </w:r>
      <w:r>
        <w:rPr>
          <w:rFonts w:hint="eastAsia" w:ascii="Calibri" w:hAnsi="宋体"/>
          <w:szCs w:val="21"/>
          <w:highlight w:val="none"/>
        </w:rPr>
        <w:t>章“投标文件格式”</w:t>
      </w:r>
      <w:r>
        <w:rPr>
          <w:rFonts w:hint="eastAsia" w:ascii="Calibri" w:hAnsi="宋体"/>
          <w:szCs w:val="21"/>
          <w:highlight w:val="none"/>
          <w:lang w:val="en-US" w:eastAsia="zh-CN"/>
        </w:rPr>
        <w:t>要求，</w:t>
      </w:r>
      <w:r>
        <w:rPr>
          <w:rFonts w:hint="eastAsia" w:ascii="Calibri" w:hAnsi="宋体"/>
          <w:szCs w:val="21"/>
          <w:highlight w:val="none"/>
        </w:rPr>
        <w:t>采用</w:t>
      </w:r>
      <w:r>
        <w:rPr>
          <w:rFonts w:hint="eastAsia" w:ascii="Calibri" w:hAnsi="宋体"/>
          <w:szCs w:val="21"/>
          <w:highlight w:val="none"/>
          <w:lang w:val="en-US" w:eastAsia="zh-CN"/>
        </w:rPr>
        <w:t>企业CA进行</w:t>
      </w:r>
      <w:r>
        <w:rPr>
          <w:rFonts w:hint="eastAsia" w:ascii="Calibri" w:hAnsi="宋体"/>
          <w:szCs w:val="21"/>
          <w:highlight w:val="none"/>
        </w:rPr>
        <w:t>电子签章及电子签名</w:t>
      </w:r>
      <w:r>
        <w:rPr>
          <w:rFonts w:hint="eastAsia" w:ascii="Calibri" w:hAnsi="宋体"/>
          <w:szCs w:val="21"/>
          <w:highlight w:val="none"/>
          <w:lang w:eastAsia="zh-CN"/>
        </w:rPr>
        <w:t>。</w:t>
      </w:r>
      <w:r>
        <w:rPr>
          <w:rFonts w:hint="eastAsia" w:ascii="Calibri" w:hAnsi="宋体"/>
          <w:szCs w:val="21"/>
          <w:highlight w:val="none"/>
          <w:lang w:val="en-US" w:eastAsia="zh-CN"/>
        </w:rPr>
        <w:t>若</w:t>
      </w:r>
      <w:r>
        <w:rPr>
          <w:rFonts w:hint="eastAsia" w:ascii="Calibri" w:hAnsi="宋体"/>
          <w:szCs w:val="21"/>
          <w:highlight w:val="none"/>
        </w:rPr>
        <w:t>招标文件</w:t>
      </w:r>
      <w:r>
        <w:rPr>
          <w:rFonts w:hint="eastAsia" w:hAnsi="宋体"/>
          <w:szCs w:val="21"/>
          <w:highlight w:val="none"/>
        </w:rPr>
        <w:t>明确要求加盖单位</w:t>
      </w:r>
      <w:r>
        <w:rPr>
          <w:rFonts w:hint="eastAsia" w:hAnsi="宋体"/>
          <w:szCs w:val="21"/>
          <w:highlight w:val="none"/>
          <w:lang w:val="en-US" w:eastAsia="zh-CN"/>
        </w:rPr>
        <w:t>公章</w:t>
      </w:r>
      <w:r>
        <w:rPr>
          <w:rFonts w:hint="eastAsia" w:hAnsi="宋体"/>
          <w:szCs w:val="21"/>
          <w:highlight w:val="none"/>
        </w:rPr>
        <w:t>之处，投标人必须加盖投标人单位公章</w:t>
      </w:r>
      <w:r>
        <w:rPr>
          <w:rFonts w:hint="eastAsia" w:hAnsi="宋体"/>
          <w:szCs w:val="21"/>
          <w:highlight w:val="none"/>
          <w:lang w:eastAsia="zh-CN"/>
        </w:rPr>
        <w:t>，</w:t>
      </w:r>
      <w:r>
        <w:rPr>
          <w:rFonts w:hint="eastAsia" w:ascii="Calibri" w:hAnsi="宋体"/>
          <w:szCs w:val="21"/>
          <w:highlight w:val="none"/>
        </w:rPr>
        <w:t>要求投标人法定代表人或其授权代表签字处，须由本人签署签字（包括姓和名），不得用签名章、签字章等代替，也不得由他人代签，否则其投标无效</w:t>
      </w:r>
      <w:r>
        <w:rPr>
          <w:rFonts w:hint="eastAsia" w:ascii="Calibri" w:hAnsi="宋体"/>
          <w:szCs w:val="21"/>
          <w:highlight w:val="none"/>
          <w:lang w:eastAsia="zh-CN"/>
        </w:rPr>
        <w:t>。</w:t>
      </w:r>
      <w:r>
        <w:rPr>
          <w:rFonts w:hint="eastAsia" w:ascii="Calibri" w:hAnsi="宋体"/>
          <w:szCs w:val="21"/>
          <w:highlight w:val="none"/>
        </w:rPr>
        <w:t>以联合体形式参与投标的，投标文件</w:t>
      </w:r>
      <w:r>
        <w:rPr>
          <w:rFonts w:hint="eastAsia" w:ascii="Calibri" w:hAnsi="宋体"/>
          <w:szCs w:val="21"/>
          <w:highlight w:val="none"/>
          <w:lang w:val="en-US" w:eastAsia="zh-CN"/>
        </w:rPr>
        <w:t>采用</w:t>
      </w:r>
      <w:r>
        <w:rPr>
          <w:rFonts w:hint="eastAsia" w:ascii="Calibri" w:hAnsi="宋体"/>
          <w:szCs w:val="21"/>
          <w:highlight w:val="none"/>
        </w:rPr>
        <w:t>联合体牵头人和个人数字证书电子签章及电子签名。</w:t>
      </w:r>
    </w:p>
    <w:p>
      <w:pPr>
        <w:spacing w:line="360" w:lineRule="auto"/>
        <w:ind w:firstLine="420" w:firstLineChars="200"/>
        <w:jc w:val="left"/>
        <w:rPr>
          <w:rFonts w:hint="eastAsia" w:ascii="Calibri" w:hAnsi="宋体"/>
          <w:szCs w:val="21"/>
          <w:highlight w:val="none"/>
        </w:rPr>
      </w:pPr>
      <w:r>
        <w:rPr>
          <w:rFonts w:hint="eastAsia" w:ascii="Calibri" w:hAnsi="宋体"/>
          <w:szCs w:val="21"/>
          <w:highlight w:val="none"/>
        </w:rPr>
        <w:t>（</w:t>
      </w:r>
      <w:r>
        <w:rPr>
          <w:rFonts w:hint="eastAsia" w:ascii="Calibri" w:hAnsi="宋体"/>
          <w:szCs w:val="21"/>
          <w:highlight w:val="none"/>
          <w:lang w:val="en-US" w:eastAsia="zh-CN"/>
        </w:rPr>
        <w:t>5</w:t>
      </w:r>
      <w:r>
        <w:rPr>
          <w:rFonts w:hint="eastAsia" w:ascii="Calibri" w:hAnsi="宋体"/>
          <w:szCs w:val="21"/>
          <w:highlight w:val="none"/>
        </w:rPr>
        <w:t>）投标文件制作完成后，投标人应使用CA数字证书对投标文件进行文件加密，形成加密的投标文件。采用数字证书加密的，加密时投标文件的所有内容均只能使用同一把数字证书进行加密，否则引起的解密失败责任由投标人自行承担。</w:t>
      </w:r>
    </w:p>
    <w:p>
      <w:pPr>
        <w:spacing w:line="360" w:lineRule="auto"/>
        <w:ind w:firstLine="420" w:firstLineChars="200"/>
        <w:jc w:val="left"/>
        <w:rPr>
          <w:rFonts w:hint="eastAsia" w:ascii="Calibri" w:hAnsi="宋体"/>
          <w:szCs w:val="21"/>
          <w:highlight w:val="none"/>
        </w:rPr>
      </w:pPr>
      <w:r>
        <w:rPr>
          <w:rFonts w:hint="eastAsia" w:ascii="Calibri" w:hAnsi="宋体"/>
          <w:szCs w:val="21"/>
          <w:highlight w:val="none"/>
          <w:lang w:val="en-US" w:eastAsia="zh-CN"/>
        </w:rPr>
        <w:t>20</w:t>
      </w:r>
      <w:r>
        <w:rPr>
          <w:rFonts w:hint="eastAsia" w:ascii="Calibri" w:hAnsi="宋体"/>
          <w:szCs w:val="21"/>
          <w:highlight w:val="none"/>
        </w:rPr>
        <w:t>.4因投标人原因而导致投标文件无法导入交易系统电子开标、评标系统，该投标视为无效投标，投标人自行承担由此导致的全部责任。</w:t>
      </w:r>
    </w:p>
    <w:p>
      <w:pPr>
        <w:spacing w:line="360" w:lineRule="auto"/>
        <w:ind w:firstLine="420" w:firstLineChars="200"/>
        <w:jc w:val="left"/>
        <w:rPr>
          <w:rFonts w:hint="eastAsia" w:ascii="Calibri" w:hAnsi="宋体"/>
          <w:szCs w:val="21"/>
          <w:highlight w:val="none"/>
        </w:rPr>
      </w:pPr>
      <w:r>
        <w:rPr>
          <w:rFonts w:hint="eastAsia" w:ascii="Calibri" w:hAnsi="宋体"/>
          <w:szCs w:val="21"/>
          <w:highlight w:val="none"/>
          <w:lang w:val="en-US" w:eastAsia="zh-CN"/>
        </w:rPr>
        <w:t>20</w:t>
      </w:r>
      <w:r>
        <w:rPr>
          <w:rFonts w:hint="eastAsia" w:ascii="Calibri" w:hAnsi="宋体"/>
          <w:szCs w:val="21"/>
          <w:highlight w:val="none"/>
        </w:rPr>
        <w:t>.5投标文件的制作份数要求：见投标人须知前附表。</w:t>
      </w:r>
    </w:p>
    <w:p>
      <w:pPr>
        <w:keepNext/>
        <w:keepLines/>
        <w:spacing w:line="360" w:lineRule="auto"/>
        <w:ind w:firstLine="240"/>
        <w:jc w:val="center"/>
        <w:outlineLvl w:val="1"/>
        <w:rPr>
          <w:rFonts w:hint="eastAsia" w:ascii="宋体" w:hAnsi="宋体" w:cs="黑体"/>
          <w:b/>
          <w:spacing w:val="40"/>
          <w:sz w:val="28"/>
          <w:szCs w:val="28"/>
          <w:highlight w:val="none"/>
        </w:rPr>
      </w:pPr>
      <w:bookmarkStart w:id="190" w:name="_Toc489197831"/>
      <w:bookmarkStart w:id="191" w:name="_Toc516851604"/>
      <w:bookmarkStart w:id="192" w:name="_Toc488633607"/>
      <w:bookmarkStart w:id="193" w:name="_Toc15658"/>
      <w:bookmarkStart w:id="194" w:name="_Toc29164"/>
      <w:bookmarkStart w:id="195" w:name="_Toc489145727"/>
      <w:bookmarkStart w:id="196" w:name="_Toc518289485"/>
    </w:p>
    <w:p>
      <w:pPr>
        <w:keepNext/>
        <w:keepLines/>
        <w:spacing w:line="360" w:lineRule="auto"/>
        <w:ind w:firstLine="240"/>
        <w:jc w:val="center"/>
        <w:outlineLvl w:val="1"/>
        <w:rPr>
          <w:rFonts w:ascii="宋体" w:hAnsi="宋体" w:cs="黑体"/>
          <w:b/>
          <w:spacing w:val="40"/>
          <w:sz w:val="28"/>
          <w:szCs w:val="28"/>
          <w:highlight w:val="none"/>
        </w:rPr>
      </w:pPr>
      <w:r>
        <w:rPr>
          <w:rFonts w:hint="eastAsia" w:ascii="宋体" w:hAnsi="宋体" w:cs="黑体"/>
          <w:b/>
          <w:spacing w:val="40"/>
          <w:sz w:val="28"/>
          <w:szCs w:val="28"/>
          <w:highlight w:val="none"/>
        </w:rPr>
        <w:t>四、投标</w:t>
      </w:r>
      <w:bookmarkEnd w:id="190"/>
      <w:bookmarkEnd w:id="191"/>
      <w:bookmarkEnd w:id="192"/>
      <w:bookmarkEnd w:id="193"/>
      <w:bookmarkEnd w:id="194"/>
      <w:bookmarkEnd w:id="195"/>
      <w:bookmarkEnd w:id="196"/>
    </w:p>
    <w:p>
      <w:pPr>
        <w:keepNext/>
        <w:keepLines/>
        <w:spacing w:line="360" w:lineRule="auto"/>
        <w:outlineLvl w:val="2"/>
        <w:rPr>
          <w:rFonts w:ascii="宋体" w:hAnsi="宋体"/>
          <w:b/>
          <w:szCs w:val="21"/>
          <w:highlight w:val="none"/>
        </w:rPr>
      </w:pPr>
      <w:bookmarkStart w:id="197" w:name="_Toc489145728"/>
      <w:bookmarkStart w:id="198" w:name="_Toc518289486"/>
      <w:bookmarkStart w:id="199" w:name="_Toc516851605"/>
      <w:bookmarkStart w:id="200" w:name="_Toc489197832"/>
      <w:bookmarkStart w:id="201" w:name="_Toc7318"/>
      <w:r>
        <w:rPr>
          <w:rFonts w:hint="eastAsia" w:ascii="宋体" w:hAnsi="宋体"/>
          <w:b/>
          <w:szCs w:val="21"/>
          <w:highlight w:val="none"/>
        </w:rPr>
        <w:t>21</w:t>
      </w:r>
      <w:r>
        <w:rPr>
          <w:rFonts w:ascii="宋体" w:hAnsi="宋体"/>
          <w:b/>
          <w:szCs w:val="21"/>
          <w:highlight w:val="none"/>
        </w:rPr>
        <w:t xml:space="preserve">. </w:t>
      </w:r>
      <w:r>
        <w:rPr>
          <w:rFonts w:hint="eastAsia" w:ascii="宋体" w:hAnsi="宋体"/>
          <w:b/>
          <w:szCs w:val="21"/>
          <w:highlight w:val="none"/>
        </w:rPr>
        <w:t>投标文</w:t>
      </w:r>
      <w:bookmarkStart w:id="202" w:name="_Toc4707"/>
      <w:bookmarkStart w:id="203" w:name="_Toc378239081"/>
      <w:bookmarkStart w:id="204" w:name="_Toc378239354"/>
      <w:bookmarkStart w:id="205" w:name="_Toc480817646"/>
      <w:bookmarkStart w:id="206" w:name="_Toc378239173"/>
      <w:bookmarkStart w:id="207" w:name="_Toc296602443"/>
      <w:bookmarkStart w:id="208" w:name="_Toc401342137"/>
      <w:r>
        <w:rPr>
          <w:rFonts w:hint="eastAsia" w:ascii="宋体" w:hAnsi="宋体"/>
          <w:b/>
          <w:szCs w:val="21"/>
          <w:highlight w:val="none"/>
        </w:rPr>
        <w:t>件的密封</w:t>
      </w:r>
      <w:bookmarkEnd w:id="202"/>
      <w:bookmarkEnd w:id="203"/>
      <w:bookmarkEnd w:id="204"/>
      <w:bookmarkEnd w:id="205"/>
      <w:bookmarkEnd w:id="206"/>
      <w:bookmarkEnd w:id="207"/>
      <w:bookmarkEnd w:id="208"/>
      <w:r>
        <w:rPr>
          <w:rFonts w:hint="eastAsia" w:ascii="宋体" w:hAnsi="宋体"/>
          <w:b/>
          <w:szCs w:val="21"/>
          <w:highlight w:val="none"/>
        </w:rPr>
        <w:t>和</w:t>
      </w:r>
      <w:bookmarkStart w:id="209" w:name="_Toc247085714"/>
      <w:bookmarkStart w:id="210" w:name="_Toc179632574"/>
      <w:bookmarkStart w:id="211" w:name="_Toc144974524"/>
      <w:bookmarkStart w:id="212" w:name="_Toc152042332"/>
      <w:bookmarkStart w:id="213" w:name="_Toc152045556"/>
      <w:bookmarkStart w:id="214" w:name="_Toc246996943"/>
      <w:bookmarkStart w:id="215" w:name="_Toc296602444"/>
      <w:bookmarkStart w:id="216" w:name="_Toc246996200"/>
      <w:r>
        <w:rPr>
          <w:rFonts w:hint="eastAsia" w:ascii="宋体" w:hAnsi="宋体"/>
          <w:b/>
          <w:szCs w:val="21"/>
          <w:highlight w:val="none"/>
        </w:rPr>
        <w:t>标记</w:t>
      </w:r>
      <w:bookmarkEnd w:id="197"/>
      <w:bookmarkEnd w:id="198"/>
      <w:bookmarkEnd w:id="199"/>
      <w:bookmarkEnd w:id="200"/>
      <w:bookmarkEnd w:id="201"/>
    </w:p>
    <w:p>
      <w:pPr>
        <w:spacing w:line="360" w:lineRule="auto"/>
        <w:ind w:firstLine="420" w:firstLineChars="200"/>
        <w:jc w:val="left"/>
        <w:rPr>
          <w:rFonts w:ascii="Calibri" w:hAnsi="宋体"/>
          <w:szCs w:val="21"/>
          <w:highlight w:val="none"/>
        </w:rPr>
      </w:pPr>
      <w:r>
        <w:rPr>
          <w:rFonts w:hint="eastAsia" w:ascii="Calibri" w:hAnsi="宋体"/>
          <w:szCs w:val="21"/>
          <w:highlight w:val="none"/>
        </w:rPr>
        <w:t>21</w:t>
      </w:r>
      <w:r>
        <w:rPr>
          <w:rFonts w:ascii="Calibri" w:hAnsi="宋体"/>
          <w:szCs w:val="21"/>
          <w:highlight w:val="none"/>
        </w:rPr>
        <w:t>.1</w:t>
      </w:r>
      <w:bookmarkEnd w:id="209"/>
      <w:bookmarkEnd w:id="210"/>
      <w:bookmarkEnd w:id="211"/>
      <w:bookmarkEnd w:id="212"/>
      <w:bookmarkEnd w:id="213"/>
      <w:bookmarkEnd w:id="214"/>
      <w:bookmarkEnd w:id="215"/>
      <w:bookmarkEnd w:id="216"/>
      <w:bookmarkStart w:id="217" w:name="_Toc144974525"/>
      <w:bookmarkStart w:id="218" w:name="_Toc152042333"/>
      <w:bookmarkStart w:id="219" w:name="_Toc246996201"/>
      <w:bookmarkStart w:id="220" w:name="_Toc246996944"/>
      <w:bookmarkStart w:id="221" w:name="_Toc179632575"/>
      <w:bookmarkStart w:id="222" w:name="_Toc152045557"/>
      <w:bookmarkStart w:id="223" w:name="_Toc247085715"/>
      <w:r>
        <w:rPr>
          <w:rFonts w:hint="eastAsia" w:ascii="宋体" w:hAnsi="宋体"/>
          <w:szCs w:val="21"/>
          <w:highlight w:val="none"/>
        </w:rPr>
        <w:t>投标</w:t>
      </w:r>
      <w:r>
        <w:rPr>
          <w:rFonts w:ascii="宋体" w:hAnsi="宋体"/>
          <w:szCs w:val="21"/>
          <w:highlight w:val="none"/>
        </w:rPr>
        <w:t>文件的密封</w:t>
      </w:r>
      <w:r>
        <w:rPr>
          <w:rFonts w:hint="eastAsia" w:ascii="宋体" w:hAnsi="宋体"/>
          <w:szCs w:val="21"/>
          <w:highlight w:val="none"/>
        </w:rPr>
        <w:t>：网上递交的投标文件应使用数字证书进行加密。</w:t>
      </w:r>
    </w:p>
    <w:p>
      <w:pPr>
        <w:spacing w:line="360" w:lineRule="auto"/>
        <w:ind w:firstLine="420" w:firstLineChars="200"/>
        <w:jc w:val="left"/>
        <w:rPr>
          <w:rFonts w:ascii="Calibri" w:hAnsi="宋体"/>
          <w:szCs w:val="21"/>
          <w:highlight w:val="none"/>
        </w:rPr>
      </w:pPr>
      <w:r>
        <w:rPr>
          <w:rFonts w:hint="eastAsia" w:ascii="Calibri" w:hAnsi="宋体"/>
          <w:szCs w:val="21"/>
          <w:highlight w:val="none"/>
        </w:rPr>
        <w:t>21</w:t>
      </w:r>
      <w:r>
        <w:rPr>
          <w:rFonts w:ascii="Calibri" w:hAnsi="宋体"/>
          <w:szCs w:val="21"/>
          <w:highlight w:val="none"/>
        </w:rPr>
        <w:t>.</w:t>
      </w:r>
      <w:r>
        <w:rPr>
          <w:rFonts w:hint="eastAsia" w:ascii="Calibri" w:hAnsi="宋体"/>
          <w:szCs w:val="21"/>
          <w:highlight w:val="none"/>
          <w:lang w:val="en-US" w:eastAsia="zh-CN"/>
        </w:rPr>
        <w:t>2</w:t>
      </w:r>
      <w:r>
        <w:rPr>
          <w:rFonts w:hint="eastAsia" w:ascii="宋体" w:hAnsi="宋体"/>
          <w:bCs/>
          <w:szCs w:val="21"/>
          <w:highlight w:val="none"/>
        </w:rPr>
        <w:t>逾期送达或者未按照招标文件要求密封的投标文件，引起的</w:t>
      </w:r>
      <w:r>
        <w:rPr>
          <w:rFonts w:hint="eastAsia" w:ascii="宋体" w:hAnsi="宋体"/>
          <w:bCs/>
          <w:szCs w:val="21"/>
          <w:highlight w:val="none"/>
          <w:lang w:val="en-US" w:eastAsia="zh-CN"/>
        </w:rPr>
        <w:t>后果</w:t>
      </w:r>
      <w:r>
        <w:rPr>
          <w:rFonts w:hint="eastAsia" w:ascii="宋体" w:hAnsi="宋体"/>
          <w:bCs/>
          <w:szCs w:val="21"/>
          <w:highlight w:val="none"/>
        </w:rPr>
        <w:t>由投标人自行承担</w:t>
      </w:r>
      <w:r>
        <w:rPr>
          <w:rFonts w:hint="eastAsia" w:ascii="Calibri" w:hAnsi="宋体"/>
          <w:szCs w:val="21"/>
          <w:highlight w:val="none"/>
        </w:rPr>
        <w:t>。</w:t>
      </w:r>
    </w:p>
    <w:p>
      <w:pPr>
        <w:keepNext/>
        <w:keepLines/>
        <w:spacing w:line="360" w:lineRule="auto"/>
        <w:outlineLvl w:val="2"/>
        <w:rPr>
          <w:rFonts w:ascii="宋体" w:hAnsi="宋体"/>
          <w:b/>
          <w:szCs w:val="21"/>
          <w:highlight w:val="none"/>
        </w:rPr>
      </w:pPr>
      <w:bookmarkStart w:id="224" w:name="_Toc518289487"/>
      <w:bookmarkStart w:id="225" w:name="_Toc516851606"/>
      <w:bookmarkStart w:id="226" w:name="_Toc489145729"/>
      <w:bookmarkStart w:id="227" w:name="_Toc27428"/>
      <w:bookmarkStart w:id="228" w:name="_Toc489197833"/>
      <w:r>
        <w:rPr>
          <w:rFonts w:hint="eastAsia" w:ascii="宋体" w:hAnsi="宋体"/>
          <w:b/>
          <w:szCs w:val="21"/>
          <w:highlight w:val="none"/>
        </w:rPr>
        <w:t>22</w:t>
      </w:r>
      <w:r>
        <w:rPr>
          <w:rFonts w:ascii="宋体" w:hAnsi="宋体"/>
          <w:b/>
          <w:szCs w:val="21"/>
          <w:highlight w:val="none"/>
        </w:rPr>
        <w:t xml:space="preserve">. </w:t>
      </w:r>
      <w:r>
        <w:rPr>
          <w:rFonts w:hint="eastAsia" w:ascii="宋体" w:hAnsi="宋体"/>
          <w:b/>
          <w:szCs w:val="21"/>
          <w:highlight w:val="none"/>
        </w:rPr>
        <w:t>投标文件的提交</w:t>
      </w:r>
      <w:bookmarkEnd w:id="224"/>
      <w:bookmarkEnd w:id="225"/>
      <w:bookmarkEnd w:id="226"/>
      <w:bookmarkEnd w:id="227"/>
      <w:bookmarkEnd w:id="228"/>
    </w:p>
    <w:p>
      <w:pPr>
        <w:spacing w:line="360" w:lineRule="auto"/>
        <w:ind w:firstLine="420" w:firstLineChars="200"/>
        <w:jc w:val="left"/>
        <w:rPr>
          <w:rFonts w:ascii="Calibri" w:hAnsi="宋体"/>
          <w:szCs w:val="21"/>
          <w:highlight w:val="none"/>
        </w:rPr>
      </w:pPr>
      <w:bookmarkStart w:id="229" w:name="_Toc296602445"/>
      <w:r>
        <w:rPr>
          <w:rFonts w:hint="eastAsia" w:ascii="Calibri" w:hAnsi="宋体"/>
          <w:szCs w:val="21"/>
          <w:highlight w:val="none"/>
        </w:rPr>
        <w:t>22.1</w:t>
      </w:r>
      <w:bookmarkEnd w:id="217"/>
      <w:bookmarkEnd w:id="218"/>
      <w:bookmarkEnd w:id="219"/>
      <w:bookmarkEnd w:id="220"/>
      <w:bookmarkEnd w:id="221"/>
      <w:bookmarkEnd w:id="222"/>
      <w:bookmarkEnd w:id="223"/>
      <w:bookmarkEnd w:id="229"/>
      <w:r>
        <w:rPr>
          <w:rFonts w:hint="eastAsia" w:ascii="Calibri" w:hAnsi="宋体"/>
          <w:szCs w:val="21"/>
          <w:highlight w:val="none"/>
        </w:rPr>
        <w:t>投标文件递交及有关内容：详见《投标人须知前附表》</w:t>
      </w:r>
    </w:p>
    <w:p>
      <w:pPr>
        <w:spacing w:line="360" w:lineRule="auto"/>
        <w:ind w:firstLine="420" w:firstLineChars="200"/>
        <w:jc w:val="left"/>
        <w:rPr>
          <w:rFonts w:ascii="Calibri" w:hAnsi="宋体"/>
          <w:szCs w:val="21"/>
          <w:highlight w:val="none"/>
        </w:rPr>
      </w:pPr>
      <w:r>
        <w:rPr>
          <w:rFonts w:hint="eastAsia" w:ascii="Calibri" w:hAnsi="宋体"/>
          <w:szCs w:val="21"/>
          <w:highlight w:val="none"/>
        </w:rPr>
        <w:t>22</w:t>
      </w:r>
      <w:r>
        <w:rPr>
          <w:rFonts w:ascii="Calibri" w:hAnsi="宋体"/>
          <w:szCs w:val="21"/>
          <w:highlight w:val="none"/>
        </w:rPr>
        <w:t>.</w:t>
      </w:r>
      <w:r>
        <w:rPr>
          <w:rFonts w:hint="eastAsia" w:ascii="Calibri" w:hAnsi="宋体"/>
          <w:szCs w:val="21"/>
          <w:highlight w:val="none"/>
        </w:rPr>
        <w:t>2</w:t>
      </w:r>
      <w:r>
        <w:rPr>
          <w:rFonts w:ascii="Calibri" w:hAnsi="宋体"/>
          <w:szCs w:val="21"/>
          <w:highlight w:val="none"/>
        </w:rPr>
        <w:t xml:space="preserve"> </w:t>
      </w:r>
      <w:r>
        <w:rPr>
          <w:rFonts w:hint="eastAsia" w:ascii="Calibri" w:hAnsi="宋体"/>
          <w:szCs w:val="21"/>
          <w:highlight w:val="none"/>
        </w:rPr>
        <w:t>投标人应当在招标文件要求提交投标文件的截止时间前，将投标文件密封送达投标地点。任何单位和个人不得在开标前开启投标文件。</w:t>
      </w:r>
    </w:p>
    <w:p>
      <w:pPr>
        <w:spacing w:line="360" w:lineRule="auto"/>
        <w:ind w:firstLine="420" w:firstLineChars="200"/>
        <w:jc w:val="left"/>
        <w:rPr>
          <w:rFonts w:ascii="Calibri" w:hAnsi="宋体"/>
          <w:szCs w:val="21"/>
          <w:highlight w:val="none"/>
        </w:rPr>
      </w:pPr>
      <w:r>
        <w:rPr>
          <w:rFonts w:hint="eastAsia" w:ascii="Calibri" w:hAnsi="宋体"/>
          <w:szCs w:val="21"/>
          <w:highlight w:val="none"/>
        </w:rPr>
        <w:t>22</w:t>
      </w:r>
      <w:r>
        <w:rPr>
          <w:rFonts w:ascii="Calibri" w:hAnsi="宋体"/>
          <w:szCs w:val="21"/>
          <w:highlight w:val="none"/>
        </w:rPr>
        <w:t>.</w:t>
      </w:r>
      <w:r>
        <w:rPr>
          <w:rFonts w:hint="eastAsia" w:ascii="Calibri" w:hAnsi="宋体"/>
          <w:szCs w:val="21"/>
          <w:highlight w:val="none"/>
        </w:rPr>
        <w:t>3</w:t>
      </w:r>
      <w:r>
        <w:rPr>
          <w:rFonts w:ascii="Calibri" w:hAnsi="宋体"/>
          <w:szCs w:val="21"/>
          <w:highlight w:val="none"/>
        </w:rPr>
        <w:t xml:space="preserve"> </w:t>
      </w:r>
      <w:r>
        <w:rPr>
          <w:rFonts w:hint="eastAsia" w:ascii="Calibri" w:hAnsi="宋体"/>
          <w:szCs w:val="21"/>
          <w:highlight w:val="none"/>
        </w:rPr>
        <w:t>逾期送达或者未按照招标文件要求密封的投标文件，采购人、采购代理机构将拒收。</w:t>
      </w:r>
    </w:p>
    <w:p>
      <w:pPr>
        <w:spacing w:line="360" w:lineRule="auto"/>
        <w:ind w:firstLine="420" w:firstLineChars="200"/>
        <w:jc w:val="left"/>
        <w:rPr>
          <w:rFonts w:ascii="Calibri" w:hAnsi="宋体"/>
          <w:szCs w:val="21"/>
          <w:highlight w:val="none"/>
        </w:rPr>
      </w:pPr>
      <w:r>
        <w:rPr>
          <w:rFonts w:ascii="Calibri" w:hAnsi="宋体"/>
          <w:szCs w:val="21"/>
          <w:highlight w:val="none"/>
        </w:rPr>
        <w:t>2</w:t>
      </w:r>
      <w:r>
        <w:rPr>
          <w:rFonts w:hint="eastAsia" w:ascii="Calibri" w:hAnsi="宋体"/>
          <w:szCs w:val="21"/>
          <w:highlight w:val="none"/>
        </w:rPr>
        <w:t>2</w:t>
      </w:r>
      <w:r>
        <w:rPr>
          <w:rFonts w:ascii="Calibri" w:hAnsi="宋体"/>
          <w:szCs w:val="21"/>
          <w:highlight w:val="none"/>
        </w:rPr>
        <w:t>.</w:t>
      </w:r>
      <w:r>
        <w:rPr>
          <w:rFonts w:hint="eastAsia" w:ascii="Calibri" w:hAnsi="宋体"/>
          <w:szCs w:val="21"/>
          <w:highlight w:val="none"/>
        </w:rPr>
        <w:t>4</w:t>
      </w:r>
      <w:r>
        <w:rPr>
          <w:rFonts w:ascii="Calibri" w:hAnsi="宋体"/>
          <w:szCs w:val="21"/>
          <w:highlight w:val="none"/>
        </w:rPr>
        <w:t xml:space="preserve"> </w:t>
      </w:r>
      <w:r>
        <w:rPr>
          <w:rFonts w:hint="eastAsia" w:ascii="Calibri" w:hAnsi="宋体"/>
          <w:szCs w:val="21"/>
          <w:highlight w:val="none"/>
        </w:rPr>
        <w:t>除《投标人须知前附表》另有规定外，投标人所提交的投标文件不予退还。</w:t>
      </w:r>
    </w:p>
    <w:p>
      <w:pPr>
        <w:keepNext/>
        <w:keepLines/>
        <w:spacing w:line="360" w:lineRule="auto"/>
        <w:outlineLvl w:val="2"/>
        <w:rPr>
          <w:rFonts w:ascii="宋体" w:hAnsi="宋体"/>
          <w:b/>
          <w:szCs w:val="21"/>
          <w:highlight w:val="none"/>
        </w:rPr>
      </w:pPr>
      <w:bookmarkStart w:id="230" w:name="_Toc489145730"/>
      <w:bookmarkStart w:id="231" w:name="_Toc10937"/>
      <w:bookmarkStart w:id="232" w:name="_Toc516851607"/>
      <w:bookmarkStart w:id="233" w:name="_Toc489197834"/>
      <w:bookmarkStart w:id="234" w:name="_Toc518289488"/>
      <w:r>
        <w:rPr>
          <w:rFonts w:hint="eastAsia" w:ascii="宋体" w:hAnsi="宋体"/>
          <w:b/>
          <w:szCs w:val="21"/>
          <w:highlight w:val="none"/>
        </w:rPr>
        <w:t>23</w:t>
      </w:r>
      <w:r>
        <w:rPr>
          <w:rFonts w:ascii="宋体" w:hAnsi="宋体"/>
          <w:b/>
          <w:szCs w:val="21"/>
          <w:highlight w:val="none"/>
        </w:rPr>
        <w:t xml:space="preserve">. </w:t>
      </w:r>
      <w:r>
        <w:rPr>
          <w:rFonts w:hint="eastAsia" w:ascii="宋体" w:hAnsi="宋体"/>
          <w:b/>
          <w:szCs w:val="21"/>
          <w:highlight w:val="none"/>
        </w:rPr>
        <w:t>投标文件的补充、</w:t>
      </w:r>
      <w:bookmarkStart w:id="235" w:name="_Toc246996945"/>
      <w:bookmarkStart w:id="236" w:name="_Toc144974526"/>
      <w:bookmarkStart w:id="237" w:name="_Toc152042334"/>
      <w:bookmarkStart w:id="238" w:name="_Toc179632576"/>
      <w:bookmarkStart w:id="239" w:name="_Toc152045558"/>
      <w:bookmarkStart w:id="240" w:name="_Toc247085716"/>
      <w:bookmarkStart w:id="241" w:name="_Toc246996202"/>
      <w:bookmarkStart w:id="242" w:name="_Toc296602446"/>
      <w:r>
        <w:rPr>
          <w:rFonts w:hint="eastAsia" w:ascii="宋体" w:hAnsi="宋体"/>
          <w:b/>
          <w:szCs w:val="21"/>
          <w:highlight w:val="none"/>
        </w:rPr>
        <w:t>修改或者撤回</w:t>
      </w:r>
      <w:bookmarkEnd w:id="230"/>
      <w:bookmarkEnd w:id="231"/>
      <w:bookmarkEnd w:id="232"/>
      <w:bookmarkEnd w:id="233"/>
      <w:bookmarkEnd w:id="234"/>
    </w:p>
    <w:p>
      <w:pPr>
        <w:spacing w:line="360" w:lineRule="auto"/>
        <w:ind w:firstLine="420" w:firstLineChars="200"/>
        <w:jc w:val="left"/>
        <w:rPr>
          <w:rFonts w:ascii="Calibri" w:hAnsi="宋体"/>
          <w:szCs w:val="21"/>
          <w:highlight w:val="none"/>
        </w:rPr>
      </w:pPr>
      <w:r>
        <w:rPr>
          <w:rFonts w:ascii="Calibri" w:hAnsi="宋体"/>
          <w:szCs w:val="21"/>
          <w:highlight w:val="none"/>
        </w:rPr>
        <w:t>2</w:t>
      </w:r>
      <w:r>
        <w:rPr>
          <w:rFonts w:hint="eastAsia" w:ascii="Calibri" w:hAnsi="宋体"/>
          <w:szCs w:val="21"/>
          <w:highlight w:val="none"/>
        </w:rPr>
        <w:t>3</w:t>
      </w:r>
      <w:bookmarkEnd w:id="235"/>
      <w:bookmarkEnd w:id="236"/>
      <w:bookmarkEnd w:id="237"/>
      <w:bookmarkEnd w:id="238"/>
      <w:bookmarkEnd w:id="239"/>
      <w:bookmarkEnd w:id="240"/>
      <w:bookmarkEnd w:id="241"/>
      <w:bookmarkEnd w:id="242"/>
      <w:r>
        <w:rPr>
          <w:rFonts w:ascii="Calibri" w:hAnsi="宋体"/>
          <w:szCs w:val="21"/>
          <w:highlight w:val="none"/>
        </w:rPr>
        <w:t>.1</w:t>
      </w:r>
      <w:r>
        <w:rPr>
          <w:rFonts w:hint="eastAsia" w:ascii="宋体" w:hAnsi="宋体"/>
          <w:szCs w:val="21"/>
          <w:highlight w:val="none"/>
        </w:rPr>
        <w:t>在提交投标文件截止时间前，投标人可以补充、修改或者撤回已在网上提交的电子投标文件，无须书面形式通知采购人、采购代理机构。补充、修改的电子投标文件应按照“投标文件制作工具”规定进行编制、密封、标记和提交。</w:t>
      </w:r>
    </w:p>
    <w:p>
      <w:pPr>
        <w:spacing w:line="360" w:lineRule="auto"/>
        <w:ind w:firstLine="420" w:firstLineChars="200"/>
        <w:jc w:val="left"/>
        <w:rPr>
          <w:rFonts w:ascii="Calibri" w:hAnsi="宋体"/>
          <w:szCs w:val="21"/>
          <w:highlight w:val="none"/>
        </w:rPr>
      </w:pPr>
      <w:r>
        <w:rPr>
          <w:rFonts w:ascii="Calibri" w:hAnsi="宋体"/>
          <w:szCs w:val="21"/>
          <w:highlight w:val="none"/>
        </w:rPr>
        <w:t>2</w:t>
      </w:r>
      <w:r>
        <w:rPr>
          <w:rFonts w:hint="eastAsia" w:ascii="Calibri" w:hAnsi="宋体"/>
          <w:szCs w:val="21"/>
          <w:highlight w:val="none"/>
        </w:rPr>
        <w:t>3</w:t>
      </w:r>
      <w:r>
        <w:rPr>
          <w:rFonts w:ascii="Calibri" w:hAnsi="宋体"/>
          <w:szCs w:val="21"/>
          <w:highlight w:val="none"/>
        </w:rPr>
        <w:t xml:space="preserve">.2 </w:t>
      </w:r>
      <w:r>
        <w:rPr>
          <w:rFonts w:hint="eastAsia" w:ascii="Calibri" w:hAnsi="宋体"/>
          <w:szCs w:val="21"/>
          <w:highlight w:val="none"/>
        </w:rPr>
        <w:t>投标人在投标截止时间前撤回已提交的投标文件的，采购人或者采购代理机构将自收到投标人撤回通知之日起7个工作日内，退还已收取的投标保证金，但因投标人自身原因导致无法及时退还的除外。</w:t>
      </w:r>
    </w:p>
    <w:p>
      <w:pPr>
        <w:keepNext/>
        <w:keepLines/>
        <w:spacing w:line="360" w:lineRule="auto"/>
        <w:jc w:val="center"/>
        <w:outlineLvl w:val="1"/>
        <w:rPr>
          <w:rFonts w:ascii="宋体" w:hAnsi="宋体" w:cs="黑体"/>
          <w:b/>
          <w:spacing w:val="40"/>
          <w:sz w:val="28"/>
          <w:szCs w:val="28"/>
          <w:highlight w:val="none"/>
        </w:rPr>
      </w:pPr>
      <w:bookmarkStart w:id="243" w:name="_Toc518289489"/>
      <w:bookmarkStart w:id="244" w:name="_Toc17082"/>
      <w:bookmarkStart w:id="245" w:name="_Toc21806"/>
      <w:bookmarkStart w:id="246" w:name="_Toc488633608"/>
      <w:bookmarkStart w:id="247" w:name="_Toc516851608"/>
      <w:bookmarkStart w:id="248" w:name="_Toc489145731"/>
      <w:bookmarkStart w:id="249" w:name="_Toc489197835"/>
      <w:r>
        <w:rPr>
          <w:rFonts w:hint="eastAsia" w:ascii="宋体" w:hAnsi="宋体" w:cs="黑体"/>
          <w:b/>
          <w:spacing w:val="40"/>
          <w:sz w:val="28"/>
          <w:szCs w:val="28"/>
          <w:highlight w:val="none"/>
        </w:rPr>
        <w:t>五、开标</w:t>
      </w:r>
      <w:bookmarkEnd w:id="243"/>
      <w:bookmarkEnd w:id="244"/>
      <w:bookmarkEnd w:id="245"/>
      <w:bookmarkEnd w:id="246"/>
      <w:bookmarkEnd w:id="247"/>
      <w:bookmarkEnd w:id="248"/>
      <w:bookmarkEnd w:id="249"/>
    </w:p>
    <w:p>
      <w:pPr>
        <w:keepNext/>
        <w:keepLines/>
        <w:spacing w:line="360" w:lineRule="auto"/>
        <w:ind w:firstLine="422" w:firstLineChars="200"/>
        <w:outlineLvl w:val="2"/>
        <w:rPr>
          <w:rFonts w:hint="eastAsia"/>
          <w:b/>
          <w:szCs w:val="21"/>
          <w:highlight w:val="none"/>
        </w:rPr>
      </w:pPr>
      <w:bookmarkStart w:id="250" w:name="_Toc6494"/>
      <w:r>
        <w:rPr>
          <w:rFonts w:hint="eastAsia"/>
          <w:b/>
          <w:szCs w:val="21"/>
          <w:highlight w:val="none"/>
        </w:rPr>
        <w:t>24. 开标</w:t>
      </w:r>
      <w:bookmarkEnd w:id="250"/>
    </w:p>
    <w:p>
      <w:pPr>
        <w:spacing w:line="360" w:lineRule="auto"/>
        <w:ind w:firstLine="420" w:firstLineChars="200"/>
        <w:rPr>
          <w:szCs w:val="21"/>
          <w:highlight w:val="none"/>
        </w:rPr>
      </w:pPr>
      <w:r>
        <w:rPr>
          <w:szCs w:val="21"/>
          <w:highlight w:val="none"/>
        </w:rPr>
        <w:t>2</w:t>
      </w:r>
      <w:r>
        <w:rPr>
          <w:rFonts w:hint="eastAsia"/>
          <w:szCs w:val="21"/>
          <w:highlight w:val="none"/>
        </w:rPr>
        <w:t>4</w:t>
      </w:r>
      <w:r>
        <w:rPr>
          <w:szCs w:val="21"/>
          <w:highlight w:val="none"/>
        </w:rPr>
        <w:t>.1开标将在招标文件确定的投标截止时间的同一时间进行。开标地点为招标文件中预先确定的地点。</w:t>
      </w:r>
    </w:p>
    <w:p>
      <w:pPr>
        <w:spacing w:line="360" w:lineRule="auto"/>
        <w:ind w:firstLine="420" w:firstLineChars="200"/>
        <w:rPr>
          <w:szCs w:val="21"/>
          <w:highlight w:val="none"/>
        </w:rPr>
      </w:pPr>
      <w:r>
        <w:rPr>
          <w:szCs w:val="21"/>
          <w:highlight w:val="none"/>
        </w:rPr>
        <w:t>2</w:t>
      </w:r>
      <w:r>
        <w:rPr>
          <w:rFonts w:hint="eastAsia"/>
          <w:szCs w:val="21"/>
          <w:highlight w:val="none"/>
        </w:rPr>
        <w:t>4</w:t>
      </w:r>
      <w:r>
        <w:rPr>
          <w:szCs w:val="21"/>
          <w:highlight w:val="none"/>
        </w:rPr>
        <w:t>.2投标人不足3家的，不得开标。</w:t>
      </w:r>
    </w:p>
    <w:p>
      <w:pPr>
        <w:spacing w:line="360" w:lineRule="auto"/>
        <w:ind w:firstLine="420" w:firstLineChars="200"/>
        <w:rPr>
          <w:szCs w:val="21"/>
          <w:highlight w:val="none"/>
        </w:rPr>
      </w:pPr>
      <w:r>
        <w:rPr>
          <w:szCs w:val="21"/>
          <w:highlight w:val="none"/>
        </w:rPr>
        <w:t>2</w:t>
      </w:r>
      <w:r>
        <w:rPr>
          <w:rFonts w:hint="eastAsia"/>
          <w:szCs w:val="21"/>
          <w:highlight w:val="none"/>
        </w:rPr>
        <w:t>4</w:t>
      </w:r>
      <w:r>
        <w:rPr>
          <w:szCs w:val="21"/>
          <w:highlight w:val="none"/>
        </w:rPr>
        <w:t>.3投标人的法定代表人或</w:t>
      </w:r>
      <w:r>
        <w:rPr>
          <w:rFonts w:hint="eastAsia"/>
          <w:szCs w:val="21"/>
          <w:highlight w:val="none"/>
        </w:rPr>
        <w:t>其</w:t>
      </w:r>
      <w:r>
        <w:rPr>
          <w:szCs w:val="21"/>
          <w:highlight w:val="none"/>
        </w:rPr>
        <w:t>委托代理人应参加开标会，投标人代表对开标过程和开标记录有疑义，以及认为采购人、采购代理机构相关工作人员有需要回避的情形的，应当场提出询问或者回避申请。采购人、采购代理机构对投标人代表提出的询问或者回避申请将及时进行处理。</w:t>
      </w:r>
    </w:p>
    <w:p>
      <w:pPr>
        <w:spacing w:line="360" w:lineRule="auto"/>
        <w:ind w:firstLine="420" w:firstLineChars="200"/>
        <w:jc w:val="left"/>
        <w:rPr>
          <w:rFonts w:hint="default" w:eastAsia="宋体"/>
          <w:szCs w:val="21"/>
          <w:highlight w:val="none"/>
          <w:lang w:val="en-US" w:eastAsia="zh-CN"/>
        </w:rPr>
      </w:pPr>
      <w:r>
        <w:rPr>
          <w:szCs w:val="21"/>
          <w:highlight w:val="none"/>
        </w:rPr>
        <w:t>2</w:t>
      </w:r>
      <w:r>
        <w:rPr>
          <w:rFonts w:hint="eastAsia"/>
          <w:szCs w:val="21"/>
          <w:highlight w:val="none"/>
        </w:rPr>
        <w:t>4</w:t>
      </w:r>
      <w:r>
        <w:rPr>
          <w:szCs w:val="21"/>
          <w:highlight w:val="none"/>
        </w:rPr>
        <w:t>.4 开标程序</w:t>
      </w:r>
      <w:r>
        <w:rPr>
          <w:rFonts w:hint="eastAsia"/>
          <w:szCs w:val="21"/>
          <w:highlight w:val="none"/>
          <w:lang w:eastAsia="zh-CN"/>
        </w:rPr>
        <w:t>：</w:t>
      </w:r>
      <w:r>
        <w:rPr>
          <w:rFonts w:hint="eastAsia"/>
          <w:szCs w:val="21"/>
          <w:highlight w:val="none"/>
          <w:lang w:val="en-US" w:eastAsia="zh-CN"/>
        </w:rPr>
        <w:t>按拉萨市</w:t>
      </w:r>
      <w:r>
        <w:rPr>
          <w:rFonts w:hint="eastAsia"/>
          <w:szCs w:val="21"/>
          <w:highlight w:val="none"/>
          <w:lang w:eastAsia="zh-CN"/>
        </w:rPr>
        <w:t>公共资源交易平台不见面开标大厅（系统）操作手册</w:t>
      </w:r>
      <w:r>
        <w:rPr>
          <w:rFonts w:hint="eastAsia"/>
          <w:szCs w:val="21"/>
          <w:highlight w:val="none"/>
          <w:lang w:val="en-US" w:eastAsia="zh-CN"/>
        </w:rPr>
        <w:t>操作。</w:t>
      </w:r>
    </w:p>
    <w:p>
      <w:pPr>
        <w:spacing w:line="360" w:lineRule="auto"/>
        <w:ind w:firstLine="420" w:firstLineChars="200"/>
        <w:jc w:val="left"/>
        <w:rPr>
          <w:rFonts w:ascii="Calibri" w:hAnsi="宋体"/>
          <w:szCs w:val="21"/>
          <w:highlight w:val="none"/>
        </w:rPr>
      </w:pPr>
      <w:r>
        <w:rPr>
          <w:rFonts w:hint="eastAsia"/>
          <w:szCs w:val="21"/>
          <w:highlight w:val="none"/>
        </w:rPr>
        <w:t>24.5</w:t>
      </w:r>
      <w:r>
        <w:rPr>
          <w:rFonts w:hint="eastAsia" w:ascii="宋体"/>
          <w:color w:val="000000"/>
          <w:szCs w:val="21"/>
          <w:highlight w:val="none"/>
        </w:rPr>
        <w:t>采购代理机构将做开标记录，投标人对唱标结果签字确认。</w:t>
      </w:r>
      <w:r>
        <w:rPr>
          <w:szCs w:val="21"/>
          <w:highlight w:val="none"/>
        </w:rPr>
        <w:t>如投标人代表未参加开标或未对开标过程和开标记录提出疑义，视同认可开标结果，由此产生的后果由投标人自行负责</w:t>
      </w:r>
      <w:r>
        <w:rPr>
          <w:rFonts w:hint="eastAsia" w:ascii="Calibri" w:hAnsi="宋体"/>
          <w:szCs w:val="21"/>
          <w:highlight w:val="none"/>
        </w:rPr>
        <w:t>。</w:t>
      </w:r>
    </w:p>
    <w:p>
      <w:pPr>
        <w:keepNext/>
        <w:keepLines/>
        <w:spacing w:line="360" w:lineRule="auto"/>
        <w:jc w:val="center"/>
        <w:outlineLvl w:val="1"/>
        <w:rPr>
          <w:rFonts w:ascii="宋体" w:hAnsi="宋体" w:cs="黑体"/>
          <w:b/>
          <w:spacing w:val="40"/>
          <w:sz w:val="28"/>
          <w:szCs w:val="28"/>
          <w:highlight w:val="none"/>
        </w:rPr>
      </w:pPr>
      <w:bookmarkStart w:id="251" w:name="_Toc516851610"/>
      <w:bookmarkStart w:id="252" w:name="_Toc489197837"/>
      <w:bookmarkStart w:id="253" w:name="_Toc489145733"/>
      <w:bookmarkStart w:id="254" w:name="_Toc518289491"/>
      <w:bookmarkStart w:id="255" w:name="_Toc488633609"/>
      <w:bookmarkStart w:id="256" w:name="_Toc17555"/>
      <w:bookmarkStart w:id="257" w:name="_Toc13325"/>
      <w:r>
        <w:rPr>
          <w:rFonts w:hint="eastAsia" w:ascii="宋体" w:hAnsi="宋体" w:cs="黑体"/>
          <w:b/>
          <w:spacing w:val="40"/>
          <w:sz w:val="28"/>
          <w:szCs w:val="28"/>
          <w:highlight w:val="none"/>
        </w:rPr>
        <w:t>六、</w:t>
      </w:r>
      <w:bookmarkEnd w:id="251"/>
      <w:bookmarkEnd w:id="252"/>
      <w:bookmarkEnd w:id="253"/>
      <w:bookmarkEnd w:id="254"/>
      <w:bookmarkEnd w:id="255"/>
      <w:r>
        <w:rPr>
          <w:rFonts w:hint="eastAsia" w:ascii="宋体" w:hAnsi="宋体" w:cs="黑体"/>
          <w:b/>
          <w:spacing w:val="40"/>
          <w:sz w:val="28"/>
          <w:szCs w:val="28"/>
          <w:highlight w:val="none"/>
        </w:rPr>
        <w:t>资格审查及评标</w:t>
      </w:r>
      <w:bookmarkEnd w:id="256"/>
      <w:bookmarkEnd w:id="257"/>
    </w:p>
    <w:p>
      <w:pPr>
        <w:pStyle w:val="5"/>
        <w:keepNext w:val="0"/>
        <w:keepLines w:val="0"/>
        <w:pageBreakBefore w:val="0"/>
        <w:widowControl w:val="0"/>
        <w:numPr>
          <w:ilvl w:val="0"/>
          <w:numId w:val="0"/>
        </w:numPr>
        <w:kinsoku/>
        <w:wordWrap/>
        <w:overflowPunct/>
        <w:topLinePunct w:val="0"/>
        <w:autoSpaceDE/>
        <w:autoSpaceDN/>
        <w:bidi w:val="0"/>
        <w:adjustRightInd w:val="0"/>
        <w:snapToGrid/>
        <w:spacing w:before="0"/>
        <w:ind w:firstLine="422" w:firstLineChars="200"/>
        <w:textAlignment w:val="baseline"/>
        <w:rPr>
          <w:rFonts w:hint="eastAsia" w:eastAsia="宋体"/>
          <w:sz w:val="21"/>
          <w:szCs w:val="21"/>
          <w:highlight w:val="none"/>
        </w:rPr>
      </w:pPr>
      <w:bookmarkStart w:id="258" w:name="_Toc21585"/>
      <w:bookmarkStart w:id="259" w:name="_Toc23451"/>
      <w:r>
        <w:rPr>
          <w:rFonts w:hint="eastAsia" w:eastAsia="宋体"/>
          <w:sz w:val="21"/>
          <w:szCs w:val="21"/>
          <w:highlight w:val="none"/>
        </w:rPr>
        <w:t>25.资格审查</w:t>
      </w:r>
      <w:bookmarkEnd w:id="258"/>
      <w:bookmarkEnd w:id="259"/>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szCs w:val="21"/>
          <w:highlight w:val="none"/>
        </w:rPr>
      </w:pPr>
      <w:r>
        <w:rPr>
          <w:szCs w:val="21"/>
          <w:highlight w:val="none"/>
        </w:rPr>
        <w:t>开标结束后，采购人或者采购代理机构应当依法对投标人的资格进行审查。合格投标人不足3家的，不得评标。</w:t>
      </w:r>
    </w:p>
    <w:p>
      <w:pPr>
        <w:pStyle w:val="18"/>
        <w:keepNext w:val="0"/>
        <w:keepLines w:val="0"/>
        <w:pageBreakBefore w:val="0"/>
        <w:widowControl w:val="0"/>
        <w:tabs>
          <w:tab w:val="left" w:pos="2472"/>
        </w:tabs>
        <w:kinsoku/>
        <w:wordWrap/>
        <w:overflowPunct/>
        <w:topLinePunct w:val="0"/>
        <w:autoSpaceDE/>
        <w:autoSpaceDN/>
        <w:bidi w:val="0"/>
        <w:adjustRightInd/>
        <w:snapToGrid/>
        <w:spacing w:line="360" w:lineRule="auto"/>
        <w:ind w:firstLine="422" w:firstLineChars="200"/>
        <w:textAlignment w:val="auto"/>
        <w:outlineLvl w:val="2"/>
        <w:rPr>
          <w:rFonts w:hint="eastAsia" w:ascii="Times New Roman"/>
          <w:b/>
          <w:szCs w:val="21"/>
          <w:highlight w:val="none"/>
        </w:rPr>
      </w:pPr>
      <w:bookmarkStart w:id="260" w:name="_Toc18161"/>
      <w:r>
        <w:rPr>
          <w:rFonts w:ascii="Times New Roman"/>
          <w:b/>
          <w:bCs/>
          <w:color w:val="000000"/>
          <w:szCs w:val="21"/>
          <w:highlight w:val="none"/>
        </w:rPr>
        <w:t>26.</w:t>
      </w:r>
      <w:r>
        <w:rPr>
          <w:rFonts w:hint="eastAsia" w:ascii="Times New Roman"/>
          <w:b/>
          <w:szCs w:val="21"/>
          <w:highlight w:val="none"/>
        </w:rPr>
        <w:t>评标</w:t>
      </w:r>
      <w:bookmarkEnd w:id="260"/>
    </w:p>
    <w:p>
      <w:pPr>
        <w:pStyle w:val="18"/>
        <w:keepNext w:val="0"/>
        <w:keepLines w:val="0"/>
        <w:pageBreakBefore w:val="0"/>
        <w:widowControl w:val="0"/>
        <w:tabs>
          <w:tab w:val="left" w:pos="2472"/>
        </w:tabs>
        <w:kinsoku/>
        <w:wordWrap/>
        <w:overflowPunct/>
        <w:topLinePunct w:val="0"/>
        <w:autoSpaceDE/>
        <w:autoSpaceDN/>
        <w:bidi w:val="0"/>
        <w:snapToGrid/>
        <w:spacing w:line="360" w:lineRule="auto"/>
        <w:ind w:firstLine="420" w:firstLineChars="200"/>
        <w:outlineLvl w:val="9"/>
        <w:rPr>
          <w:rFonts w:ascii="Times New Roman"/>
          <w:color w:val="000000"/>
          <w:szCs w:val="21"/>
          <w:highlight w:val="none"/>
        </w:rPr>
      </w:pPr>
      <w:r>
        <w:rPr>
          <w:rFonts w:ascii="Times New Roman"/>
          <w:color w:val="000000"/>
          <w:szCs w:val="21"/>
          <w:highlight w:val="none"/>
        </w:rPr>
        <w:t>26.1 评标委员会负责具体评标事务，并独立履行下列职责：</w:t>
      </w:r>
    </w:p>
    <w:p>
      <w:pPr>
        <w:pStyle w:val="18"/>
        <w:keepNext w:val="0"/>
        <w:keepLines w:val="0"/>
        <w:pageBreakBefore w:val="0"/>
        <w:widowControl w:val="0"/>
        <w:tabs>
          <w:tab w:val="left" w:pos="2472"/>
        </w:tabs>
        <w:kinsoku/>
        <w:wordWrap/>
        <w:overflowPunct/>
        <w:topLinePunct w:val="0"/>
        <w:autoSpaceDE/>
        <w:autoSpaceDN/>
        <w:bidi w:val="0"/>
        <w:snapToGrid/>
        <w:spacing w:line="360" w:lineRule="auto"/>
        <w:ind w:firstLine="420" w:firstLineChars="200"/>
        <w:outlineLvl w:val="9"/>
        <w:rPr>
          <w:rFonts w:ascii="Times New Roman"/>
          <w:color w:val="000000"/>
          <w:szCs w:val="21"/>
          <w:highlight w:val="none"/>
        </w:rPr>
      </w:pPr>
      <w:r>
        <w:rPr>
          <w:rFonts w:ascii="Times New Roman"/>
          <w:color w:val="000000"/>
          <w:szCs w:val="21"/>
          <w:highlight w:val="none"/>
        </w:rPr>
        <w:t>（1）审查、评价投标文件是否符合招标文件的商务、技术等实质性要求；</w:t>
      </w:r>
    </w:p>
    <w:p>
      <w:pPr>
        <w:pStyle w:val="18"/>
        <w:keepNext w:val="0"/>
        <w:keepLines w:val="0"/>
        <w:pageBreakBefore w:val="0"/>
        <w:widowControl w:val="0"/>
        <w:tabs>
          <w:tab w:val="left" w:pos="2472"/>
        </w:tabs>
        <w:kinsoku/>
        <w:wordWrap/>
        <w:overflowPunct/>
        <w:topLinePunct w:val="0"/>
        <w:autoSpaceDE/>
        <w:autoSpaceDN/>
        <w:bidi w:val="0"/>
        <w:snapToGrid/>
        <w:spacing w:line="360" w:lineRule="auto"/>
        <w:ind w:firstLine="420" w:firstLineChars="200"/>
        <w:outlineLvl w:val="9"/>
        <w:rPr>
          <w:rFonts w:ascii="Times New Roman"/>
          <w:color w:val="000000"/>
          <w:szCs w:val="21"/>
          <w:highlight w:val="none"/>
        </w:rPr>
      </w:pPr>
      <w:r>
        <w:rPr>
          <w:rFonts w:ascii="Times New Roman"/>
          <w:color w:val="000000"/>
          <w:szCs w:val="21"/>
          <w:highlight w:val="none"/>
        </w:rPr>
        <w:t>（2）要求投标人对投标文件有关事项作出澄清或者说明；</w:t>
      </w:r>
    </w:p>
    <w:p>
      <w:pPr>
        <w:pStyle w:val="18"/>
        <w:keepNext w:val="0"/>
        <w:keepLines w:val="0"/>
        <w:pageBreakBefore w:val="0"/>
        <w:widowControl w:val="0"/>
        <w:tabs>
          <w:tab w:val="left" w:pos="2472"/>
        </w:tabs>
        <w:kinsoku/>
        <w:wordWrap/>
        <w:overflowPunct/>
        <w:topLinePunct w:val="0"/>
        <w:autoSpaceDE/>
        <w:autoSpaceDN/>
        <w:bidi w:val="0"/>
        <w:snapToGrid/>
        <w:spacing w:line="360" w:lineRule="auto"/>
        <w:ind w:firstLine="420" w:firstLineChars="200"/>
        <w:outlineLvl w:val="9"/>
        <w:rPr>
          <w:rFonts w:ascii="Times New Roman"/>
          <w:color w:val="000000"/>
          <w:szCs w:val="21"/>
          <w:highlight w:val="none"/>
        </w:rPr>
      </w:pPr>
      <w:r>
        <w:rPr>
          <w:rFonts w:ascii="Times New Roman"/>
          <w:color w:val="000000"/>
          <w:szCs w:val="21"/>
          <w:highlight w:val="none"/>
        </w:rPr>
        <w:t>（3）对投标文件进行比较和评价；</w:t>
      </w:r>
    </w:p>
    <w:p>
      <w:pPr>
        <w:pStyle w:val="18"/>
        <w:keepNext w:val="0"/>
        <w:keepLines w:val="0"/>
        <w:pageBreakBefore w:val="0"/>
        <w:widowControl w:val="0"/>
        <w:tabs>
          <w:tab w:val="left" w:pos="2472"/>
        </w:tabs>
        <w:kinsoku/>
        <w:wordWrap/>
        <w:overflowPunct/>
        <w:topLinePunct w:val="0"/>
        <w:autoSpaceDE/>
        <w:autoSpaceDN/>
        <w:bidi w:val="0"/>
        <w:snapToGrid/>
        <w:spacing w:line="360" w:lineRule="auto"/>
        <w:ind w:firstLine="420" w:firstLineChars="200"/>
        <w:outlineLvl w:val="9"/>
        <w:rPr>
          <w:rFonts w:ascii="Times New Roman"/>
          <w:color w:val="000000"/>
          <w:szCs w:val="21"/>
          <w:highlight w:val="none"/>
        </w:rPr>
      </w:pPr>
      <w:r>
        <w:rPr>
          <w:rFonts w:ascii="Times New Roman"/>
          <w:color w:val="000000"/>
          <w:szCs w:val="21"/>
          <w:highlight w:val="none"/>
        </w:rPr>
        <w:t>（4）确定中标候选人名单，以及根据采购人委托直接确定中标人；</w:t>
      </w:r>
    </w:p>
    <w:p>
      <w:pPr>
        <w:pStyle w:val="18"/>
        <w:keepNext w:val="0"/>
        <w:keepLines w:val="0"/>
        <w:pageBreakBefore w:val="0"/>
        <w:widowControl w:val="0"/>
        <w:tabs>
          <w:tab w:val="left" w:pos="2472"/>
        </w:tabs>
        <w:kinsoku/>
        <w:wordWrap/>
        <w:overflowPunct/>
        <w:topLinePunct w:val="0"/>
        <w:autoSpaceDE/>
        <w:autoSpaceDN/>
        <w:bidi w:val="0"/>
        <w:snapToGrid/>
        <w:spacing w:line="360" w:lineRule="auto"/>
        <w:ind w:firstLine="420" w:firstLineChars="200"/>
        <w:outlineLvl w:val="9"/>
        <w:rPr>
          <w:rFonts w:ascii="Times New Roman"/>
          <w:color w:val="000000"/>
          <w:szCs w:val="21"/>
          <w:highlight w:val="none"/>
        </w:rPr>
      </w:pPr>
      <w:r>
        <w:rPr>
          <w:rFonts w:ascii="Times New Roman"/>
          <w:color w:val="000000"/>
          <w:szCs w:val="21"/>
          <w:highlight w:val="none"/>
        </w:rPr>
        <w:t>（5）向采购人、采购代理机构或者有关部门报告评标中发现的违法行为。</w:t>
      </w:r>
    </w:p>
    <w:p>
      <w:pPr>
        <w:pStyle w:val="18"/>
        <w:keepNext w:val="0"/>
        <w:keepLines w:val="0"/>
        <w:pageBreakBefore w:val="0"/>
        <w:widowControl w:val="0"/>
        <w:tabs>
          <w:tab w:val="left" w:pos="2472"/>
        </w:tabs>
        <w:kinsoku/>
        <w:wordWrap/>
        <w:overflowPunct/>
        <w:topLinePunct w:val="0"/>
        <w:autoSpaceDE/>
        <w:autoSpaceDN/>
        <w:bidi w:val="0"/>
        <w:adjustRightInd/>
        <w:snapToGrid/>
        <w:spacing w:line="360" w:lineRule="auto"/>
        <w:ind w:firstLine="420" w:firstLineChars="200"/>
        <w:textAlignment w:val="auto"/>
        <w:outlineLvl w:val="9"/>
        <w:rPr>
          <w:rFonts w:ascii="Times New Roman"/>
          <w:color w:val="000000"/>
          <w:szCs w:val="21"/>
          <w:highlight w:val="none"/>
        </w:rPr>
      </w:pPr>
      <w:r>
        <w:rPr>
          <w:rFonts w:ascii="Times New Roman"/>
          <w:color w:val="000000"/>
          <w:szCs w:val="21"/>
          <w:highlight w:val="none"/>
        </w:rPr>
        <w:t>26.2评标委员会由采购人代表和评审专家组成，成员人数见</w:t>
      </w:r>
      <w:r>
        <w:rPr>
          <w:rFonts w:hint="eastAsia" w:ascii="Times New Roman"/>
          <w:color w:val="000000"/>
          <w:szCs w:val="21"/>
          <w:highlight w:val="none"/>
        </w:rPr>
        <w:t>“</w:t>
      </w:r>
      <w:r>
        <w:rPr>
          <w:rFonts w:ascii="Times New Roman"/>
          <w:color w:val="000000"/>
          <w:szCs w:val="21"/>
          <w:highlight w:val="none"/>
        </w:rPr>
        <w:t>投标人须知前附表</w:t>
      </w:r>
      <w:r>
        <w:rPr>
          <w:rFonts w:hint="eastAsia" w:ascii="Times New Roman"/>
          <w:color w:val="000000"/>
          <w:szCs w:val="21"/>
          <w:highlight w:val="none"/>
        </w:rPr>
        <w:t>”</w:t>
      </w:r>
      <w:r>
        <w:rPr>
          <w:rFonts w:ascii="Times New Roman"/>
          <w:color w:val="000000"/>
          <w:szCs w:val="21"/>
          <w:highlight w:val="none"/>
        </w:rPr>
        <w:t>，其中评审专家不得少于成员总数的三分之二。评标委员会应当推选评标组长，采购人代表不得担任组长。</w:t>
      </w:r>
    </w:p>
    <w:p>
      <w:pPr>
        <w:pStyle w:val="18"/>
        <w:keepNext w:val="0"/>
        <w:keepLines w:val="0"/>
        <w:pageBreakBefore w:val="0"/>
        <w:widowControl w:val="0"/>
        <w:tabs>
          <w:tab w:val="left" w:pos="2472"/>
        </w:tabs>
        <w:kinsoku/>
        <w:wordWrap/>
        <w:overflowPunct/>
        <w:topLinePunct w:val="0"/>
        <w:autoSpaceDE/>
        <w:autoSpaceDN/>
        <w:bidi w:val="0"/>
        <w:adjustRightInd/>
        <w:snapToGrid/>
        <w:spacing w:line="360" w:lineRule="auto"/>
        <w:ind w:firstLine="420" w:firstLineChars="200"/>
        <w:textAlignment w:val="auto"/>
        <w:outlineLvl w:val="9"/>
        <w:rPr>
          <w:rFonts w:ascii="Times New Roman"/>
          <w:color w:val="000000"/>
          <w:szCs w:val="21"/>
          <w:highlight w:val="none"/>
        </w:rPr>
      </w:pPr>
      <w:r>
        <w:rPr>
          <w:rFonts w:ascii="Times New Roman"/>
          <w:color w:val="000000"/>
          <w:szCs w:val="21"/>
          <w:highlight w:val="none"/>
        </w:rPr>
        <w:t>26.3采购人委派代表参加评标委员会的，要向采购代理机构出具授权函。除授权代表外，采购人可以委派纪检监察等相关人员进入评审现场，对评审工作实施监督，但不得超过2人。</w:t>
      </w:r>
    </w:p>
    <w:p>
      <w:pPr>
        <w:keepNext w:val="0"/>
        <w:keepLines w:val="0"/>
        <w:pageBreakBefore w:val="0"/>
        <w:widowControl w:val="0"/>
        <w:numPr>
          <w:ilvl w:val="0"/>
          <w:numId w:val="0"/>
        </w:numPr>
        <w:tabs>
          <w:tab w:val="left" w:pos="900"/>
          <w:tab w:val="left" w:pos="1588"/>
        </w:tabs>
        <w:kinsoku/>
        <w:wordWrap/>
        <w:overflowPunct/>
        <w:topLinePunct w:val="0"/>
        <w:autoSpaceDE/>
        <w:autoSpaceDN/>
        <w:bidi w:val="0"/>
        <w:adjustRightInd/>
        <w:snapToGrid/>
        <w:spacing w:before="0" w:line="360" w:lineRule="auto"/>
        <w:ind w:firstLine="422" w:firstLineChars="200"/>
        <w:textAlignment w:val="auto"/>
        <w:outlineLvl w:val="9"/>
        <w:rPr>
          <w:rFonts w:hint="eastAsia" w:ascii="宋体" w:hAnsi="宋体" w:eastAsia="宋体" w:cs="宋体"/>
          <w:sz w:val="21"/>
          <w:szCs w:val="21"/>
          <w:highlight w:val="none"/>
        </w:rPr>
      </w:pPr>
      <w:bookmarkStart w:id="261" w:name="_Toc20194"/>
      <w:r>
        <w:rPr>
          <w:rFonts w:hint="eastAsia" w:eastAsia="宋体"/>
          <w:b/>
          <w:kern w:val="2"/>
          <w:sz w:val="21"/>
          <w:szCs w:val="21"/>
          <w:highlight w:val="none"/>
        </w:rPr>
        <w:t>26.4评标活动遵循公平、公正、科学和择优的原则。</w:t>
      </w:r>
      <w:bookmarkEnd w:id="261"/>
    </w:p>
    <w:p>
      <w:pPr>
        <w:keepNext w:val="0"/>
        <w:keepLines w:val="0"/>
        <w:pageBreakBefore w:val="0"/>
        <w:widowControl w:val="0"/>
        <w:numPr>
          <w:ilvl w:val="0"/>
          <w:numId w:val="0"/>
        </w:numPr>
        <w:tabs>
          <w:tab w:val="left" w:pos="900"/>
          <w:tab w:val="left" w:pos="1588"/>
        </w:tabs>
        <w:kinsoku/>
        <w:wordWrap/>
        <w:overflowPunct/>
        <w:topLinePunct w:val="0"/>
        <w:autoSpaceDE/>
        <w:autoSpaceDN/>
        <w:bidi w:val="0"/>
        <w:adjustRightInd/>
        <w:snapToGrid/>
        <w:spacing w:before="0" w:line="360" w:lineRule="auto"/>
        <w:ind w:firstLine="422" w:firstLineChars="200"/>
        <w:textAlignment w:val="auto"/>
        <w:outlineLvl w:val="9"/>
        <w:rPr>
          <w:rFonts w:eastAsia="宋体"/>
          <w:b/>
          <w:kern w:val="2"/>
          <w:sz w:val="21"/>
          <w:szCs w:val="21"/>
          <w:highlight w:val="none"/>
        </w:rPr>
      </w:pPr>
      <w:bookmarkStart w:id="262" w:name="_Toc28442"/>
      <w:r>
        <w:rPr>
          <w:rFonts w:hint="eastAsia" w:eastAsia="宋体"/>
          <w:b/>
          <w:kern w:val="2"/>
          <w:sz w:val="21"/>
          <w:szCs w:val="21"/>
          <w:highlight w:val="none"/>
        </w:rPr>
        <w:t>26.5本项目评标方法见“投标人须知前附表”，具体方法及程序见第六章“评标办法”。</w:t>
      </w:r>
      <w:bookmarkEnd w:id="262"/>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outlineLvl w:val="9"/>
        <w:rPr>
          <w:rFonts w:hint="eastAsia"/>
          <w:szCs w:val="21"/>
          <w:highlight w:val="none"/>
        </w:rPr>
      </w:pPr>
      <w:r>
        <w:rPr>
          <w:szCs w:val="21"/>
          <w:highlight w:val="none"/>
        </w:rPr>
        <w:t>2</w:t>
      </w:r>
      <w:r>
        <w:rPr>
          <w:rFonts w:hint="eastAsia"/>
          <w:szCs w:val="21"/>
          <w:highlight w:val="none"/>
        </w:rPr>
        <w:t>6</w:t>
      </w:r>
      <w:r>
        <w:rPr>
          <w:szCs w:val="21"/>
          <w:highlight w:val="none"/>
        </w:rPr>
        <w:t>.6</w:t>
      </w:r>
      <w:r>
        <w:rPr>
          <w:rFonts w:hint="eastAsia"/>
          <w:szCs w:val="21"/>
          <w:highlight w:val="none"/>
        </w:rPr>
        <w:t>评标过程的保密</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outlineLvl w:val="9"/>
        <w:rPr>
          <w:rFonts w:hint="eastAsia"/>
          <w:szCs w:val="21"/>
          <w:highlight w:val="none"/>
        </w:rPr>
      </w:pPr>
      <w:r>
        <w:rPr>
          <w:rFonts w:hint="eastAsia"/>
          <w:szCs w:val="21"/>
          <w:highlight w:val="none"/>
        </w:rPr>
        <w:t>26.6.1评标在严格保密的情况下进行。除采购人代表、评标现场组织人员外，采购人的其他工作人员以及与评标工作无关的人员不得进入评标现场。有关人员对评标情况以及在评标过程中获悉的国家秘密、商业秘密负有保密责任。</w:t>
      </w:r>
    </w:p>
    <w:p>
      <w:pPr>
        <w:keepNext w:val="0"/>
        <w:keepLines w:val="0"/>
        <w:pageBreakBefore w:val="0"/>
        <w:widowControl w:val="0"/>
        <w:kinsoku/>
        <w:wordWrap/>
        <w:overflowPunct/>
        <w:topLinePunct w:val="0"/>
        <w:autoSpaceDE/>
        <w:autoSpaceDN/>
        <w:bidi w:val="0"/>
        <w:snapToGrid/>
        <w:spacing w:line="360" w:lineRule="auto"/>
        <w:ind w:firstLine="420" w:firstLineChars="200"/>
        <w:outlineLvl w:val="9"/>
        <w:rPr>
          <w:rFonts w:hint="eastAsia"/>
          <w:szCs w:val="21"/>
          <w:highlight w:val="none"/>
        </w:rPr>
      </w:pPr>
      <w:r>
        <w:rPr>
          <w:rFonts w:hint="eastAsia"/>
          <w:szCs w:val="21"/>
          <w:highlight w:val="none"/>
        </w:rPr>
        <w:t>26.6.2任何单位和个人不得非法干预、影响评</w:t>
      </w:r>
      <w:r>
        <w:rPr>
          <w:rFonts w:hint="eastAsia" w:ascii="宋体" w:hAnsi="宋体" w:cs="宋体"/>
          <w:szCs w:val="21"/>
          <w:highlight w:val="none"/>
        </w:rPr>
        <w:t>审工作。采购人、</w:t>
      </w:r>
      <w:r>
        <w:rPr>
          <w:rFonts w:hint="eastAsia"/>
          <w:szCs w:val="21"/>
          <w:highlight w:val="none"/>
        </w:rPr>
        <w:t>采购代理机构和评标委员会在评标工作中，依法相互监督和制约，并自觉接受财政部门的监督。对非法干预评标工作等违法违规行为，将及时向财政部门报告。</w:t>
      </w:r>
    </w:p>
    <w:p>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outlineLvl w:val="2"/>
        <w:rPr>
          <w:b/>
          <w:bCs/>
          <w:szCs w:val="21"/>
          <w:highlight w:val="none"/>
        </w:rPr>
      </w:pPr>
      <w:bookmarkStart w:id="263" w:name="_Toc18358"/>
      <w:r>
        <w:rPr>
          <w:b/>
          <w:color w:val="000000"/>
          <w:szCs w:val="21"/>
          <w:highlight w:val="none"/>
        </w:rPr>
        <w:t>★</w:t>
      </w:r>
      <w:r>
        <w:rPr>
          <w:b/>
          <w:bCs/>
          <w:szCs w:val="21"/>
          <w:highlight w:val="none"/>
        </w:rPr>
        <w:t>2</w:t>
      </w:r>
      <w:r>
        <w:rPr>
          <w:rFonts w:hint="eastAsia"/>
          <w:b/>
          <w:bCs/>
          <w:szCs w:val="21"/>
          <w:highlight w:val="none"/>
        </w:rPr>
        <w:t>7</w:t>
      </w:r>
      <w:r>
        <w:rPr>
          <w:b/>
          <w:bCs/>
          <w:szCs w:val="21"/>
          <w:highlight w:val="none"/>
        </w:rPr>
        <w:t>.投标人存在下列情况之一的，投标无效：</w:t>
      </w:r>
      <w:bookmarkEnd w:id="263"/>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szCs w:val="21"/>
          <w:highlight w:val="none"/>
        </w:rPr>
      </w:pPr>
      <w:r>
        <w:rPr>
          <w:szCs w:val="21"/>
          <w:highlight w:val="none"/>
        </w:rPr>
        <w:t>（</w:t>
      </w:r>
      <w:r>
        <w:rPr>
          <w:rFonts w:hint="eastAsia"/>
          <w:szCs w:val="21"/>
          <w:highlight w:val="none"/>
        </w:rPr>
        <w:t>1</w:t>
      </w:r>
      <w:r>
        <w:rPr>
          <w:szCs w:val="21"/>
          <w:highlight w:val="none"/>
        </w:rPr>
        <w:t>）未按照招标文件的规定提交投标保证金的；</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szCs w:val="21"/>
          <w:highlight w:val="none"/>
        </w:rPr>
      </w:pPr>
      <w:r>
        <w:rPr>
          <w:szCs w:val="21"/>
          <w:highlight w:val="none"/>
        </w:rPr>
        <w:t>（</w:t>
      </w:r>
      <w:r>
        <w:rPr>
          <w:rFonts w:hint="eastAsia"/>
          <w:szCs w:val="21"/>
          <w:highlight w:val="none"/>
        </w:rPr>
        <w:t>2</w:t>
      </w:r>
      <w:r>
        <w:rPr>
          <w:szCs w:val="21"/>
          <w:highlight w:val="none"/>
        </w:rPr>
        <w:t>）投标文件未按招标文件要求签署、盖章的；</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szCs w:val="21"/>
          <w:highlight w:val="none"/>
        </w:rPr>
      </w:pPr>
      <w:r>
        <w:rPr>
          <w:szCs w:val="21"/>
          <w:highlight w:val="none"/>
        </w:rPr>
        <w:t>（</w:t>
      </w:r>
      <w:r>
        <w:rPr>
          <w:rFonts w:hint="eastAsia"/>
          <w:szCs w:val="21"/>
          <w:highlight w:val="none"/>
        </w:rPr>
        <w:t>3</w:t>
      </w:r>
      <w:r>
        <w:rPr>
          <w:szCs w:val="21"/>
          <w:highlight w:val="none"/>
        </w:rPr>
        <w:t>）不具备招标文件中规定的资格要求的；</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szCs w:val="21"/>
          <w:highlight w:val="none"/>
        </w:rPr>
      </w:pPr>
      <w:r>
        <w:rPr>
          <w:szCs w:val="21"/>
          <w:highlight w:val="none"/>
        </w:rPr>
        <w:t>（</w:t>
      </w:r>
      <w:r>
        <w:rPr>
          <w:rFonts w:hint="eastAsia"/>
          <w:szCs w:val="21"/>
          <w:highlight w:val="none"/>
        </w:rPr>
        <w:t>4</w:t>
      </w:r>
      <w:r>
        <w:rPr>
          <w:szCs w:val="21"/>
          <w:highlight w:val="none"/>
        </w:rPr>
        <w:t>）报价超过招标文件中规定的预算金额或者最高限价的；</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szCs w:val="21"/>
          <w:highlight w:val="none"/>
        </w:rPr>
      </w:pPr>
      <w:r>
        <w:rPr>
          <w:szCs w:val="21"/>
          <w:highlight w:val="none"/>
        </w:rPr>
        <w:t>（</w:t>
      </w:r>
      <w:r>
        <w:rPr>
          <w:rFonts w:hint="eastAsia"/>
          <w:szCs w:val="21"/>
          <w:highlight w:val="none"/>
        </w:rPr>
        <w:t>5</w:t>
      </w:r>
      <w:r>
        <w:rPr>
          <w:szCs w:val="21"/>
          <w:highlight w:val="none"/>
        </w:rPr>
        <w:t>）投标文件含有采购人不能接受的附加条件的</w:t>
      </w:r>
      <w:r>
        <w:rPr>
          <w:rFonts w:hint="eastAsia"/>
          <w:szCs w:val="21"/>
          <w:highlight w:val="none"/>
        </w:rPr>
        <w:t>；</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cs="宋体"/>
          <w:szCs w:val="21"/>
          <w:highlight w:val="none"/>
        </w:rPr>
      </w:pPr>
      <w:r>
        <w:rPr>
          <w:szCs w:val="21"/>
          <w:highlight w:val="none"/>
        </w:rPr>
        <w:t>（</w:t>
      </w:r>
      <w:r>
        <w:rPr>
          <w:rFonts w:hint="eastAsia"/>
          <w:szCs w:val="21"/>
          <w:highlight w:val="none"/>
        </w:rPr>
        <w:t>6</w:t>
      </w:r>
      <w:r>
        <w:rPr>
          <w:szCs w:val="21"/>
          <w:highlight w:val="none"/>
        </w:rPr>
        <w:t>）法律、法规和招标文件规定的其他无效情形。</w:t>
      </w:r>
    </w:p>
    <w:p>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outlineLvl w:val="2"/>
        <w:rPr>
          <w:szCs w:val="21"/>
          <w:highlight w:val="none"/>
        </w:rPr>
      </w:pPr>
      <w:bookmarkStart w:id="264" w:name="_Toc16623"/>
      <w:r>
        <w:rPr>
          <w:b/>
          <w:color w:val="000000"/>
          <w:szCs w:val="21"/>
          <w:highlight w:val="none"/>
        </w:rPr>
        <w:t>★</w:t>
      </w:r>
      <w:r>
        <w:rPr>
          <w:b/>
          <w:bCs/>
          <w:szCs w:val="21"/>
          <w:highlight w:val="none"/>
        </w:rPr>
        <w:t>2</w:t>
      </w:r>
      <w:r>
        <w:rPr>
          <w:rFonts w:hint="eastAsia"/>
          <w:b/>
          <w:bCs/>
          <w:szCs w:val="21"/>
          <w:highlight w:val="none"/>
        </w:rPr>
        <w:t>8</w:t>
      </w:r>
      <w:r>
        <w:rPr>
          <w:b/>
          <w:bCs/>
          <w:szCs w:val="21"/>
          <w:highlight w:val="none"/>
        </w:rPr>
        <w:t>.有下列情形之一的，视为投标人串通投标，其投标无效：</w:t>
      </w:r>
      <w:bookmarkEnd w:id="264"/>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szCs w:val="21"/>
          <w:highlight w:val="none"/>
        </w:rPr>
      </w:pPr>
      <w:r>
        <w:rPr>
          <w:szCs w:val="21"/>
          <w:highlight w:val="none"/>
        </w:rPr>
        <w:t>（</w:t>
      </w:r>
      <w:r>
        <w:rPr>
          <w:rFonts w:hint="eastAsia"/>
          <w:szCs w:val="21"/>
          <w:highlight w:val="none"/>
        </w:rPr>
        <w:t>1</w:t>
      </w:r>
      <w:r>
        <w:rPr>
          <w:szCs w:val="21"/>
          <w:highlight w:val="none"/>
        </w:rPr>
        <w:t>）不同投标人的投标文件由同一单位或者个人编制；</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szCs w:val="21"/>
          <w:highlight w:val="none"/>
        </w:rPr>
      </w:pPr>
      <w:r>
        <w:rPr>
          <w:szCs w:val="21"/>
          <w:highlight w:val="none"/>
        </w:rPr>
        <w:t>（</w:t>
      </w:r>
      <w:r>
        <w:rPr>
          <w:rFonts w:hint="eastAsia"/>
          <w:szCs w:val="21"/>
          <w:highlight w:val="none"/>
        </w:rPr>
        <w:t>2</w:t>
      </w:r>
      <w:r>
        <w:rPr>
          <w:szCs w:val="21"/>
          <w:highlight w:val="none"/>
        </w:rPr>
        <w:t>）不同投标人委托同一单位或者个人办理投标事宜；</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szCs w:val="21"/>
          <w:highlight w:val="none"/>
        </w:rPr>
      </w:pPr>
      <w:r>
        <w:rPr>
          <w:szCs w:val="21"/>
          <w:highlight w:val="none"/>
        </w:rPr>
        <w:t>（</w:t>
      </w:r>
      <w:r>
        <w:rPr>
          <w:rFonts w:hint="eastAsia"/>
          <w:szCs w:val="21"/>
          <w:highlight w:val="none"/>
        </w:rPr>
        <w:t>3</w:t>
      </w:r>
      <w:r>
        <w:rPr>
          <w:szCs w:val="21"/>
          <w:highlight w:val="none"/>
        </w:rPr>
        <w:t>）不同投标人的投标文件载明的项目管理成员或者联系人员为同一人；</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szCs w:val="21"/>
          <w:highlight w:val="none"/>
        </w:rPr>
      </w:pPr>
      <w:r>
        <w:rPr>
          <w:szCs w:val="21"/>
          <w:highlight w:val="none"/>
        </w:rPr>
        <w:t>（</w:t>
      </w:r>
      <w:r>
        <w:rPr>
          <w:rFonts w:hint="eastAsia"/>
          <w:szCs w:val="21"/>
          <w:highlight w:val="none"/>
        </w:rPr>
        <w:t>4</w:t>
      </w:r>
      <w:r>
        <w:rPr>
          <w:szCs w:val="21"/>
          <w:highlight w:val="none"/>
        </w:rPr>
        <w:t>）不同投标人的投标文件异常一致或者投标报价呈规律性差异；</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szCs w:val="21"/>
          <w:highlight w:val="none"/>
        </w:rPr>
      </w:pPr>
      <w:r>
        <w:rPr>
          <w:szCs w:val="21"/>
          <w:highlight w:val="none"/>
        </w:rPr>
        <w:t>（</w:t>
      </w:r>
      <w:r>
        <w:rPr>
          <w:rFonts w:hint="eastAsia"/>
          <w:szCs w:val="21"/>
          <w:highlight w:val="none"/>
        </w:rPr>
        <w:t>5</w:t>
      </w:r>
      <w:r>
        <w:rPr>
          <w:szCs w:val="21"/>
          <w:highlight w:val="none"/>
        </w:rPr>
        <w:t>）不同投标人的投标文件相互混装；</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szCs w:val="21"/>
          <w:highlight w:val="none"/>
        </w:rPr>
      </w:pPr>
      <w:r>
        <w:rPr>
          <w:szCs w:val="21"/>
          <w:highlight w:val="none"/>
        </w:rPr>
        <w:t>（</w:t>
      </w:r>
      <w:r>
        <w:rPr>
          <w:rFonts w:hint="eastAsia"/>
          <w:szCs w:val="21"/>
          <w:highlight w:val="none"/>
        </w:rPr>
        <w:t>6</w:t>
      </w:r>
      <w:r>
        <w:rPr>
          <w:szCs w:val="21"/>
          <w:highlight w:val="none"/>
        </w:rPr>
        <w:t>）不同投标人的投标保证金从同一单位或者个人的账户转出。</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szCs w:val="21"/>
          <w:highlight w:val="none"/>
        </w:rPr>
      </w:pPr>
      <w:r>
        <w:rPr>
          <w:szCs w:val="21"/>
          <w:highlight w:val="none"/>
        </w:rPr>
        <w:t>投标人应当遵循公平竞争的原则，不得恶意串通，不得妨碍其他投标人的竞争行为，不得损害采购人或者其他投标人的合法权益。</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szCs w:val="21"/>
          <w:highlight w:val="none"/>
        </w:rPr>
      </w:pPr>
      <w:r>
        <w:rPr>
          <w:szCs w:val="21"/>
          <w:highlight w:val="none"/>
        </w:rPr>
        <w:t>在评标过程中发现投标人有上述情形的，评标委员会应当认定其投标无效，并书面报告本级财政部门。</w:t>
      </w:r>
    </w:p>
    <w:p>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outlineLvl w:val="2"/>
        <w:rPr>
          <w:b/>
          <w:bCs/>
          <w:szCs w:val="21"/>
          <w:highlight w:val="none"/>
        </w:rPr>
      </w:pPr>
      <w:bookmarkStart w:id="265" w:name="_Toc4699"/>
      <w:r>
        <w:rPr>
          <w:rFonts w:hint="eastAsia"/>
          <w:b/>
          <w:bCs/>
          <w:szCs w:val="21"/>
          <w:highlight w:val="none"/>
        </w:rPr>
        <w:t>29</w:t>
      </w:r>
      <w:r>
        <w:rPr>
          <w:b/>
          <w:bCs/>
          <w:szCs w:val="21"/>
          <w:highlight w:val="none"/>
        </w:rPr>
        <w:t>.在招标采购中，出现下列情形之一的，应予废标：</w:t>
      </w:r>
      <w:bookmarkEnd w:id="265"/>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outlineLvl w:val="9"/>
        <w:rPr>
          <w:szCs w:val="21"/>
          <w:highlight w:val="none"/>
        </w:rPr>
      </w:pPr>
      <w:r>
        <w:rPr>
          <w:szCs w:val="21"/>
          <w:highlight w:val="none"/>
        </w:rPr>
        <w:t>（</w:t>
      </w:r>
      <w:r>
        <w:rPr>
          <w:rFonts w:hint="eastAsia"/>
          <w:szCs w:val="21"/>
          <w:highlight w:val="none"/>
        </w:rPr>
        <w:t>1</w:t>
      </w:r>
      <w:r>
        <w:rPr>
          <w:szCs w:val="21"/>
          <w:highlight w:val="none"/>
        </w:rPr>
        <w:t>）符合专业条件的供应商或者对招标文件作实质响应的供应商不足三家的；</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outlineLvl w:val="9"/>
        <w:rPr>
          <w:szCs w:val="21"/>
          <w:highlight w:val="none"/>
        </w:rPr>
      </w:pPr>
      <w:r>
        <w:rPr>
          <w:szCs w:val="21"/>
          <w:highlight w:val="none"/>
        </w:rPr>
        <w:t>（</w:t>
      </w:r>
      <w:r>
        <w:rPr>
          <w:rFonts w:hint="eastAsia"/>
          <w:szCs w:val="21"/>
          <w:highlight w:val="none"/>
        </w:rPr>
        <w:t>2</w:t>
      </w:r>
      <w:r>
        <w:rPr>
          <w:szCs w:val="21"/>
          <w:highlight w:val="none"/>
        </w:rPr>
        <w:t>）出现影响采购公正的违法、违规行为的；</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outlineLvl w:val="9"/>
        <w:rPr>
          <w:szCs w:val="21"/>
          <w:highlight w:val="none"/>
        </w:rPr>
      </w:pPr>
      <w:r>
        <w:rPr>
          <w:szCs w:val="21"/>
          <w:highlight w:val="none"/>
        </w:rPr>
        <w:t>（</w:t>
      </w:r>
      <w:r>
        <w:rPr>
          <w:rFonts w:hint="eastAsia"/>
          <w:szCs w:val="21"/>
          <w:highlight w:val="none"/>
        </w:rPr>
        <w:t>3</w:t>
      </w:r>
      <w:r>
        <w:rPr>
          <w:szCs w:val="21"/>
          <w:highlight w:val="none"/>
        </w:rPr>
        <w:t>）投标人的报价均超过了采购预算，采购人不能支付的；</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outlineLvl w:val="9"/>
        <w:rPr>
          <w:szCs w:val="21"/>
          <w:highlight w:val="none"/>
        </w:rPr>
      </w:pPr>
      <w:r>
        <w:rPr>
          <w:szCs w:val="21"/>
          <w:highlight w:val="none"/>
        </w:rPr>
        <w:t>（</w:t>
      </w:r>
      <w:r>
        <w:rPr>
          <w:rFonts w:hint="eastAsia"/>
          <w:szCs w:val="21"/>
          <w:highlight w:val="none"/>
        </w:rPr>
        <w:t>4</w:t>
      </w:r>
      <w:r>
        <w:rPr>
          <w:szCs w:val="21"/>
          <w:highlight w:val="none"/>
        </w:rPr>
        <w:t>）因重大变故，采购任务取消的。</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outlineLvl w:val="9"/>
        <w:rPr>
          <w:rFonts w:ascii="Calibri" w:hAnsi="宋体"/>
          <w:szCs w:val="21"/>
          <w:highlight w:val="none"/>
        </w:rPr>
      </w:pPr>
      <w:r>
        <w:rPr>
          <w:szCs w:val="21"/>
          <w:highlight w:val="none"/>
        </w:rPr>
        <w:t>废标后，采购人应当将废标理由通知所有投标人</w:t>
      </w:r>
      <w:r>
        <w:rPr>
          <w:rFonts w:hint="eastAsia" w:ascii="Calibri" w:hAnsi="宋体"/>
          <w:szCs w:val="21"/>
          <w:highlight w:val="none"/>
        </w:rPr>
        <w:t>。</w:t>
      </w:r>
    </w:p>
    <w:p>
      <w:pPr>
        <w:keepNext/>
        <w:keepLines/>
        <w:spacing w:line="360" w:lineRule="auto"/>
        <w:jc w:val="center"/>
        <w:outlineLvl w:val="1"/>
        <w:rPr>
          <w:rFonts w:ascii="宋体" w:hAnsi="宋体" w:cs="黑体"/>
          <w:b/>
          <w:spacing w:val="40"/>
          <w:sz w:val="28"/>
          <w:szCs w:val="28"/>
          <w:highlight w:val="none"/>
        </w:rPr>
      </w:pPr>
      <w:bookmarkStart w:id="266" w:name="_Toc17486"/>
      <w:bookmarkStart w:id="267" w:name="_Toc489197842"/>
      <w:bookmarkStart w:id="268" w:name="_Toc516851615"/>
      <w:bookmarkStart w:id="269" w:name="_Toc6080"/>
      <w:bookmarkStart w:id="270" w:name="_Toc488633610"/>
      <w:bookmarkStart w:id="271" w:name="_Toc489145738"/>
      <w:bookmarkStart w:id="272" w:name="_Toc518289496"/>
      <w:r>
        <w:rPr>
          <w:rFonts w:hint="eastAsia" w:ascii="宋体" w:hAnsi="宋体" w:cs="黑体"/>
          <w:b/>
          <w:spacing w:val="40"/>
          <w:sz w:val="28"/>
          <w:szCs w:val="28"/>
          <w:highlight w:val="none"/>
        </w:rPr>
        <w:t>七、中标结果</w:t>
      </w:r>
      <w:bookmarkEnd w:id="266"/>
      <w:bookmarkEnd w:id="267"/>
      <w:bookmarkEnd w:id="268"/>
      <w:bookmarkEnd w:id="269"/>
      <w:bookmarkEnd w:id="270"/>
      <w:bookmarkEnd w:id="271"/>
      <w:bookmarkEnd w:id="272"/>
    </w:p>
    <w:p>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outlineLvl w:val="2"/>
        <w:rPr>
          <w:b/>
          <w:bCs/>
          <w:szCs w:val="21"/>
          <w:highlight w:val="none"/>
        </w:rPr>
      </w:pPr>
      <w:bookmarkStart w:id="273" w:name="_Toc18374"/>
      <w:bookmarkStart w:id="274" w:name="_Toc489197843"/>
      <w:bookmarkStart w:id="275" w:name="_Toc489145739"/>
      <w:bookmarkStart w:id="276" w:name="_Toc518289497"/>
      <w:bookmarkStart w:id="277" w:name="_Toc516851616"/>
      <w:r>
        <w:rPr>
          <w:b/>
          <w:bCs/>
          <w:szCs w:val="21"/>
          <w:highlight w:val="none"/>
        </w:rPr>
        <w:t>3</w:t>
      </w:r>
      <w:r>
        <w:rPr>
          <w:rFonts w:hint="eastAsia"/>
          <w:b/>
          <w:bCs/>
          <w:szCs w:val="21"/>
          <w:highlight w:val="none"/>
        </w:rPr>
        <w:t>0</w:t>
      </w:r>
      <w:r>
        <w:rPr>
          <w:b/>
          <w:bCs/>
          <w:szCs w:val="21"/>
          <w:highlight w:val="none"/>
        </w:rPr>
        <w:t>.中标投标人的确定</w:t>
      </w:r>
      <w:bookmarkEnd w:id="273"/>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szCs w:val="21"/>
          <w:highlight w:val="none"/>
        </w:rPr>
      </w:pPr>
      <w:r>
        <w:rPr>
          <w:szCs w:val="21"/>
          <w:highlight w:val="none"/>
        </w:rPr>
        <w:t>3</w:t>
      </w:r>
      <w:r>
        <w:rPr>
          <w:rFonts w:hint="eastAsia"/>
          <w:szCs w:val="21"/>
          <w:highlight w:val="none"/>
        </w:rPr>
        <w:t>0</w:t>
      </w:r>
      <w:r>
        <w:rPr>
          <w:szCs w:val="21"/>
          <w:highlight w:val="none"/>
        </w:rPr>
        <w:t>.1 采购代理机构应当在评标结束后2个工作日内将评标报告送采购人。</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szCs w:val="21"/>
          <w:highlight w:val="none"/>
        </w:rPr>
      </w:pPr>
      <w:r>
        <w:rPr>
          <w:szCs w:val="21"/>
          <w:highlight w:val="none"/>
        </w:rPr>
        <w:t>3</w:t>
      </w:r>
      <w:r>
        <w:rPr>
          <w:rFonts w:hint="eastAsia"/>
          <w:szCs w:val="21"/>
          <w:highlight w:val="none"/>
        </w:rPr>
        <w:t>0</w:t>
      </w:r>
      <w:r>
        <w:rPr>
          <w:szCs w:val="21"/>
          <w:highlight w:val="none"/>
        </w:rPr>
        <w:t>.2采购人应当自收到评标报告之日起5个工作日内，在评标报告确定的中标候选人名单中按顺序确定中标人。</w:t>
      </w:r>
    </w:p>
    <w:p>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outlineLvl w:val="2"/>
        <w:rPr>
          <w:rFonts w:hint="eastAsia"/>
          <w:b/>
          <w:bCs/>
          <w:szCs w:val="21"/>
          <w:highlight w:val="none"/>
        </w:rPr>
      </w:pPr>
      <w:bookmarkStart w:id="278" w:name="_Toc12169"/>
      <w:r>
        <w:rPr>
          <w:rFonts w:hint="eastAsia"/>
          <w:b/>
          <w:bCs/>
          <w:szCs w:val="21"/>
          <w:highlight w:val="none"/>
        </w:rPr>
        <w:t>31. 中标通知</w:t>
      </w:r>
      <w:bookmarkEnd w:id="278"/>
    </w:p>
    <w:p>
      <w:pPr>
        <w:spacing w:line="360" w:lineRule="auto"/>
        <w:ind w:firstLine="420" w:firstLineChars="200"/>
        <w:rPr>
          <w:szCs w:val="21"/>
          <w:highlight w:val="none"/>
        </w:rPr>
      </w:pPr>
      <w:r>
        <w:rPr>
          <w:szCs w:val="21"/>
          <w:highlight w:val="none"/>
        </w:rPr>
        <w:t>3</w:t>
      </w:r>
      <w:r>
        <w:rPr>
          <w:rFonts w:hint="eastAsia"/>
          <w:szCs w:val="21"/>
          <w:highlight w:val="none"/>
        </w:rPr>
        <w:t>1</w:t>
      </w:r>
      <w:r>
        <w:rPr>
          <w:szCs w:val="21"/>
          <w:highlight w:val="none"/>
        </w:rPr>
        <w:t>.1 自中标人确定之日起2个工作日内，在省级以上财政部门指定的媒体上公告中标结果，招标文件应当随中标结果同时公告。中标公告期限为1个工作日。在公告中标结果的同时，采购人或者采购代理机构应当向中标人发出中标通知书；对未通过资格审查的投标人，应当告知其未通过的原因；采用综合评分法评审的，还应当告知未中标人本人的评审得分与排序。</w:t>
      </w:r>
    </w:p>
    <w:p>
      <w:pPr>
        <w:spacing w:line="360" w:lineRule="auto"/>
        <w:ind w:firstLine="420" w:firstLineChars="200"/>
        <w:rPr>
          <w:szCs w:val="21"/>
          <w:highlight w:val="none"/>
        </w:rPr>
      </w:pPr>
      <w:r>
        <w:rPr>
          <w:szCs w:val="21"/>
          <w:highlight w:val="none"/>
        </w:rPr>
        <w:t>3</w:t>
      </w:r>
      <w:r>
        <w:rPr>
          <w:rFonts w:hint="eastAsia"/>
          <w:szCs w:val="21"/>
          <w:highlight w:val="none"/>
        </w:rPr>
        <w:t>1</w:t>
      </w:r>
      <w:r>
        <w:rPr>
          <w:szCs w:val="21"/>
          <w:highlight w:val="none"/>
        </w:rPr>
        <w:t>.2中标通知书是合同的一个组成部分。</w:t>
      </w:r>
    </w:p>
    <w:p>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outlineLvl w:val="2"/>
        <w:rPr>
          <w:rFonts w:hint="eastAsia"/>
          <w:b/>
          <w:bCs/>
          <w:szCs w:val="21"/>
          <w:highlight w:val="none"/>
        </w:rPr>
      </w:pPr>
      <w:bookmarkStart w:id="279" w:name="_Toc10094"/>
      <w:r>
        <w:rPr>
          <w:rFonts w:hint="eastAsia"/>
          <w:b/>
          <w:bCs/>
          <w:szCs w:val="21"/>
          <w:highlight w:val="none"/>
        </w:rPr>
        <w:t>32. 签订合同</w:t>
      </w:r>
      <w:bookmarkEnd w:id="279"/>
    </w:p>
    <w:p>
      <w:pPr>
        <w:spacing w:line="360" w:lineRule="auto"/>
        <w:ind w:firstLine="420" w:firstLineChars="200"/>
        <w:jc w:val="left"/>
        <w:rPr>
          <w:szCs w:val="21"/>
          <w:highlight w:val="none"/>
        </w:rPr>
      </w:pPr>
      <w:r>
        <w:rPr>
          <w:szCs w:val="21"/>
          <w:highlight w:val="none"/>
        </w:rPr>
        <w:t>3</w:t>
      </w:r>
      <w:r>
        <w:rPr>
          <w:rFonts w:hint="eastAsia"/>
          <w:szCs w:val="21"/>
          <w:highlight w:val="none"/>
        </w:rPr>
        <w:t>2</w:t>
      </w:r>
      <w:r>
        <w:rPr>
          <w:szCs w:val="21"/>
          <w:highlight w:val="none"/>
        </w:rPr>
        <w:t>.1采购人应当自中标通知书发出之日起30日内，按照招标文件和中标人投标文件的规定，与中标人签订书面合同。所签订的合同不得对招标文件确定的事项和中标人投标文件作实质性修改。</w:t>
      </w:r>
    </w:p>
    <w:p>
      <w:pPr>
        <w:spacing w:line="360" w:lineRule="auto"/>
        <w:ind w:firstLine="420" w:firstLineChars="200"/>
        <w:jc w:val="left"/>
        <w:rPr>
          <w:szCs w:val="21"/>
          <w:highlight w:val="none"/>
        </w:rPr>
      </w:pPr>
      <w:r>
        <w:rPr>
          <w:szCs w:val="21"/>
          <w:highlight w:val="none"/>
        </w:rPr>
        <w:t>3</w:t>
      </w:r>
      <w:r>
        <w:rPr>
          <w:rFonts w:hint="eastAsia"/>
          <w:szCs w:val="21"/>
          <w:highlight w:val="none"/>
        </w:rPr>
        <w:t>2</w:t>
      </w:r>
      <w:r>
        <w:rPr>
          <w:szCs w:val="21"/>
          <w:highlight w:val="none"/>
        </w:rPr>
        <w:t>.2 中标通知书发出后，中标人无正当理由放弃中标或拒签合同的，采购人取消其中标资格，其投标保证金不予退还；给采购人造成的损失超过投标保证金数额的，中标人还应当对超过部分予以赔偿。</w:t>
      </w:r>
    </w:p>
    <w:p>
      <w:pPr>
        <w:spacing w:line="360" w:lineRule="auto"/>
        <w:ind w:firstLine="420" w:firstLineChars="200"/>
        <w:jc w:val="left"/>
        <w:rPr>
          <w:szCs w:val="21"/>
          <w:highlight w:val="none"/>
        </w:rPr>
      </w:pPr>
      <w:r>
        <w:rPr>
          <w:szCs w:val="21"/>
          <w:highlight w:val="none"/>
        </w:rPr>
        <w:t>3</w:t>
      </w:r>
      <w:r>
        <w:rPr>
          <w:rFonts w:hint="eastAsia"/>
          <w:szCs w:val="21"/>
          <w:highlight w:val="none"/>
        </w:rPr>
        <w:t>2</w:t>
      </w:r>
      <w:r>
        <w:rPr>
          <w:szCs w:val="21"/>
          <w:highlight w:val="none"/>
        </w:rPr>
        <w:t>.3排名第一的中标候选人放弃中标、因不可抗力不能履行合同、不按照招标文件要求提交履约保证金，或者被查实存在影响中标结果的违法行为等情形，不符合中标条件的，采购人将按照评标委员会提出的中标候选人名单排序依次确定其他中标候选人为中标人，也可以重新招标。</w:t>
      </w:r>
    </w:p>
    <w:p>
      <w:pPr>
        <w:spacing w:line="360" w:lineRule="auto"/>
        <w:ind w:firstLine="420" w:firstLineChars="200"/>
        <w:jc w:val="left"/>
        <w:rPr>
          <w:szCs w:val="21"/>
          <w:highlight w:val="none"/>
        </w:rPr>
      </w:pPr>
      <w:r>
        <w:rPr>
          <w:szCs w:val="21"/>
          <w:highlight w:val="none"/>
        </w:rPr>
        <w:t>3</w:t>
      </w:r>
      <w:r>
        <w:rPr>
          <w:rFonts w:hint="eastAsia"/>
          <w:szCs w:val="21"/>
          <w:highlight w:val="none"/>
        </w:rPr>
        <w:t>2</w:t>
      </w:r>
      <w:r>
        <w:rPr>
          <w:szCs w:val="21"/>
          <w:highlight w:val="none"/>
        </w:rPr>
        <w:t>.4政府采购合同应当包括采购人与中标人的名称和住所、标的、数量、质量、价款或者报酬、履行期限及地点和方式、验收要求、违约责任、解决争议的方法等内容。</w:t>
      </w:r>
    </w:p>
    <w:p>
      <w:pPr>
        <w:spacing w:line="360" w:lineRule="auto"/>
        <w:ind w:firstLine="420" w:firstLineChars="200"/>
        <w:jc w:val="left"/>
        <w:rPr>
          <w:szCs w:val="21"/>
          <w:highlight w:val="none"/>
        </w:rPr>
      </w:pPr>
      <w:r>
        <w:rPr>
          <w:szCs w:val="21"/>
          <w:highlight w:val="none"/>
        </w:rPr>
        <w:t>3</w:t>
      </w:r>
      <w:r>
        <w:rPr>
          <w:rFonts w:hint="eastAsia"/>
          <w:szCs w:val="21"/>
          <w:highlight w:val="none"/>
        </w:rPr>
        <w:t>2</w:t>
      </w:r>
      <w:r>
        <w:rPr>
          <w:szCs w:val="21"/>
          <w:highlight w:val="none"/>
        </w:rPr>
        <w:t>.5政府采购合同履行中，采购人需追加与合同标的相同的货物、工程或者服务的，在不改变合同其他条款的前提下，可以与中标人协商签订补充合同，但所有补充合同的采购金额不得超过原合同采购金额的百分之十。</w:t>
      </w:r>
    </w:p>
    <w:p>
      <w:pPr>
        <w:spacing w:line="360" w:lineRule="auto"/>
        <w:ind w:firstLine="420" w:firstLineChars="200"/>
        <w:jc w:val="left"/>
        <w:rPr>
          <w:rFonts w:hint="eastAsia"/>
          <w:szCs w:val="21"/>
          <w:highlight w:val="none"/>
        </w:rPr>
      </w:pPr>
      <w:r>
        <w:rPr>
          <w:szCs w:val="21"/>
          <w:highlight w:val="none"/>
        </w:rPr>
        <w:t>3</w:t>
      </w:r>
      <w:r>
        <w:rPr>
          <w:rFonts w:hint="eastAsia"/>
          <w:szCs w:val="21"/>
          <w:highlight w:val="none"/>
        </w:rPr>
        <w:t>2</w:t>
      </w:r>
      <w:r>
        <w:rPr>
          <w:szCs w:val="21"/>
          <w:highlight w:val="none"/>
        </w:rPr>
        <w:t>.6</w:t>
      </w:r>
      <w:r>
        <w:rPr>
          <w:rFonts w:hint="eastAsia"/>
          <w:szCs w:val="21"/>
          <w:highlight w:val="none"/>
        </w:rPr>
        <w:t>采购人根据</w:t>
      </w:r>
      <w:r>
        <w:rPr>
          <w:szCs w:val="21"/>
          <w:highlight w:val="none"/>
        </w:rPr>
        <w:t>项目的实际情况</w:t>
      </w:r>
      <w:r>
        <w:rPr>
          <w:rFonts w:hint="eastAsia"/>
          <w:szCs w:val="21"/>
          <w:highlight w:val="none"/>
        </w:rPr>
        <w:t>在“</w:t>
      </w:r>
      <w:r>
        <w:rPr>
          <w:szCs w:val="21"/>
          <w:highlight w:val="none"/>
        </w:rPr>
        <w:t>投标人须知前附表</w:t>
      </w:r>
      <w:r>
        <w:rPr>
          <w:rFonts w:hint="eastAsia"/>
          <w:szCs w:val="21"/>
          <w:highlight w:val="none"/>
        </w:rPr>
        <w:t>”明确允许投标人</w:t>
      </w:r>
      <w:r>
        <w:rPr>
          <w:szCs w:val="21"/>
          <w:highlight w:val="none"/>
        </w:rPr>
        <w:t>在中标后将中标项目的非主体、非关键性工作分包的，</w:t>
      </w:r>
      <w:r>
        <w:rPr>
          <w:rFonts w:hint="eastAsia"/>
          <w:szCs w:val="21"/>
          <w:highlight w:val="none"/>
        </w:rPr>
        <w:t>投标人</w:t>
      </w:r>
      <w:r>
        <w:rPr>
          <w:szCs w:val="21"/>
          <w:highlight w:val="none"/>
        </w:rPr>
        <w:t>应当在投标文件中载明</w:t>
      </w:r>
      <w:r>
        <w:rPr>
          <w:rFonts w:hint="eastAsia"/>
          <w:szCs w:val="21"/>
          <w:highlight w:val="none"/>
        </w:rPr>
        <w:t>拟</w:t>
      </w:r>
      <w:r>
        <w:rPr>
          <w:szCs w:val="21"/>
          <w:highlight w:val="none"/>
        </w:rPr>
        <w:t>分包</w:t>
      </w:r>
      <w:r>
        <w:rPr>
          <w:rFonts w:hint="eastAsia"/>
          <w:szCs w:val="21"/>
          <w:highlight w:val="none"/>
        </w:rPr>
        <w:t>的内容及</w:t>
      </w:r>
      <w:r>
        <w:rPr>
          <w:szCs w:val="21"/>
          <w:highlight w:val="none"/>
        </w:rPr>
        <w:t>承担主体，分包承担主体应当具备相应资质条件且不得再次分包。</w:t>
      </w:r>
      <w:r>
        <w:rPr>
          <w:rFonts w:hint="eastAsia"/>
          <w:szCs w:val="21"/>
          <w:highlight w:val="none"/>
        </w:rPr>
        <w:t>否则中标无效。</w:t>
      </w:r>
    </w:p>
    <w:p>
      <w:pPr>
        <w:spacing w:line="360" w:lineRule="auto"/>
        <w:ind w:firstLine="420" w:firstLineChars="200"/>
        <w:jc w:val="left"/>
        <w:rPr>
          <w:color w:val="C00000"/>
          <w:szCs w:val="21"/>
          <w:highlight w:val="none"/>
        </w:rPr>
      </w:pPr>
      <w:r>
        <w:rPr>
          <w:rFonts w:hint="eastAsia"/>
          <w:szCs w:val="21"/>
          <w:highlight w:val="none"/>
        </w:rPr>
        <w:t>32.7</w:t>
      </w:r>
      <w:r>
        <w:rPr>
          <w:szCs w:val="21"/>
          <w:highlight w:val="none"/>
        </w:rPr>
        <w:t>采购人应当加强对中标人的履约管理，并按照采购合同约定，及时向中标人支付采购资金。对于中标人违反采购合同约定的行为，采购人应当及时处理，依法追究其违约责任。</w:t>
      </w:r>
    </w:p>
    <w:p>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outlineLvl w:val="2"/>
        <w:rPr>
          <w:rFonts w:hint="eastAsia"/>
          <w:b/>
          <w:bCs/>
          <w:szCs w:val="21"/>
          <w:highlight w:val="none"/>
        </w:rPr>
      </w:pPr>
      <w:bookmarkStart w:id="280" w:name="_Toc11812"/>
      <w:r>
        <w:rPr>
          <w:rFonts w:hint="eastAsia"/>
          <w:b/>
          <w:bCs/>
          <w:szCs w:val="21"/>
          <w:highlight w:val="none"/>
        </w:rPr>
        <w:t>33.履约保证金</w:t>
      </w:r>
      <w:bookmarkEnd w:id="280"/>
    </w:p>
    <w:p>
      <w:pPr>
        <w:spacing w:line="360" w:lineRule="auto"/>
        <w:ind w:firstLine="420" w:firstLineChars="200"/>
        <w:jc w:val="left"/>
        <w:rPr>
          <w:rFonts w:hint="eastAsia"/>
          <w:szCs w:val="21"/>
          <w:highlight w:val="none"/>
        </w:rPr>
      </w:pPr>
      <w:r>
        <w:rPr>
          <w:rFonts w:hint="eastAsia"/>
          <w:szCs w:val="21"/>
          <w:highlight w:val="none"/>
        </w:rPr>
        <w:t>33.1 签订合同前，中标人应按“投标人须知前附表”中确定的履约保证金的金额和形式，向采购代理机构交纳履约保证金，否则，视中标人违约，采购代理机构将没收中标人的全部投标保证金。</w:t>
      </w:r>
    </w:p>
    <w:p>
      <w:pPr>
        <w:spacing w:line="360" w:lineRule="auto"/>
        <w:ind w:firstLine="420" w:firstLineChars="200"/>
        <w:jc w:val="left"/>
        <w:rPr>
          <w:rFonts w:hint="eastAsia"/>
          <w:szCs w:val="21"/>
          <w:highlight w:val="none"/>
        </w:rPr>
      </w:pPr>
      <w:r>
        <w:rPr>
          <w:rFonts w:hint="eastAsia"/>
          <w:szCs w:val="21"/>
          <w:highlight w:val="none"/>
        </w:rPr>
        <w:t>33.2 签订合同后，如中标人不按双方签订合同约定履约，则没收其全部履约保证金，履约保证金不足以赔偿损失的，按实际损失赔偿。</w:t>
      </w:r>
    </w:p>
    <w:p>
      <w:pPr>
        <w:spacing w:line="360" w:lineRule="auto"/>
        <w:ind w:firstLine="420" w:firstLineChars="200"/>
        <w:jc w:val="left"/>
        <w:rPr>
          <w:rFonts w:hint="eastAsia"/>
          <w:szCs w:val="21"/>
          <w:highlight w:val="none"/>
        </w:rPr>
      </w:pPr>
      <w:r>
        <w:rPr>
          <w:rFonts w:hint="eastAsia"/>
          <w:szCs w:val="21"/>
          <w:highlight w:val="none"/>
        </w:rPr>
        <w:t>33.3 履约保证金在中标人按合同约定验收合格后，无息退还。</w:t>
      </w:r>
    </w:p>
    <w:p>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outlineLvl w:val="2"/>
        <w:rPr>
          <w:rFonts w:hint="eastAsia"/>
          <w:b/>
          <w:bCs/>
          <w:szCs w:val="21"/>
          <w:highlight w:val="none"/>
        </w:rPr>
      </w:pPr>
      <w:bookmarkStart w:id="281" w:name="_Toc6913"/>
      <w:r>
        <w:rPr>
          <w:rFonts w:hint="eastAsia"/>
          <w:b/>
          <w:bCs/>
          <w:szCs w:val="21"/>
          <w:highlight w:val="none"/>
        </w:rPr>
        <w:t>34.</w:t>
      </w:r>
      <w:bookmarkStart w:id="282" w:name="_Toc27034942"/>
      <w:r>
        <w:rPr>
          <w:rFonts w:hint="eastAsia"/>
          <w:b/>
          <w:bCs/>
          <w:szCs w:val="21"/>
          <w:highlight w:val="none"/>
        </w:rPr>
        <w:t>解释权</w:t>
      </w:r>
      <w:bookmarkEnd w:id="281"/>
      <w:bookmarkEnd w:id="282"/>
    </w:p>
    <w:p>
      <w:pPr>
        <w:spacing w:line="360" w:lineRule="auto"/>
        <w:ind w:firstLine="420" w:firstLineChars="200"/>
        <w:jc w:val="left"/>
        <w:rPr>
          <w:rFonts w:ascii="Calibri" w:hAnsi="宋体"/>
          <w:szCs w:val="21"/>
          <w:highlight w:val="none"/>
        </w:rPr>
      </w:pPr>
      <w:r>
        <w:rPr>
          <w:rFonts w:hint="eastAsia"/>
          <w:szCs w:val="21"/>
          <w:highlight w:val="none"/>
        </w:rPr>
        <w:t>本招标文件是根据《中华人民共和国政府采购法》及相关法律法规编制，解释权属采购代理机构。</w:t>
      </w:r>
      <w:bookmarkEnd w:id="274"/>
      <w:bookmarkEnd w:id="275"/>
      <w:bookmarkEnd w:id="276"/>
      <w:bookmarkEnd w:id="277"/>
    </w:p>
    <w:p>
      <w:pPr>
        <w:keepNext/>
        <w:keepLines/>
        <w:spacing w:line="360" w:lineRule="auto"/>
        <w:jc w:val="center"/>
        <w:outlineLvl w:val="1"/>
        <w:rPr>
          <w:rFonts w:ascii="宋体" w:hAnsi="宋体" w:cs="黑体"/>
          <w:b/>
          <w:spacing w:val="40"/>
          <w:sz w:val="28"/>
          <w:szCs w:val="28"/>
          <w:highlight w:val="none"/>
        </w:rPr>
      </w:pPr>
      <w:bookmarkStart w:id="283" w:name="_Toc516851620"/>
      <w:bookmarkStart w:id="284" w:name="_Toc30864"/>
      <w:bookmarkStart w:id="285" w:name="_Toc11484"/>
      <w:bookmarkStart w:id="286" w:name="_Toc489145743"/>
      <w:bookmarkStart w:id="287" w:name="_Toc518289501"/>
      <w:bookmarkStart w:id="288" w:name="_Toc489197847"/>
      <w:bookmarkStart w:id="289" w:name="_Toc488633611"/>
      <w:r>
        <w:rPr>
          <w:rFonts w:hint="eastAsia" w:ascii="宋体" w:hAnsi="宋体" w:cs="黑体"/>
          <w:b/>
          <w:spacing w:val="40"/>
          <w:sz w:val="28"/>
          <w:szCs w:val="28"/>
          <w:highlight w:val="none"/>
        </w:rPr>
        <w:t>八、其他事项</w:t>
      </w:r>
      <w:bookmarkEnd w:id="283"/>
      <w:bookmarkEnd w:id="284"/>
      <w:bookmarkEnd w:id="285"/>
      <w:bookmarkEnd w:id="286"/>
      <w:bookmarkEnd w:id="287"/>
      <w:bookmarkEnd w:id="288"/>
      <w:bookmarkEnd w:id="289"/>
    </w:p>
    <w:p>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outlineLvl w:val="2"/>
        <w:rPr>
          <w:rFonts w:hint="eastAsia"/>
          <w:b/>
          <w:bCs/>
          <w:szCs w:val="21"/>
          <w:highlight w:val="none"/>
        </w:rPr>
      </w:pPr>
      <w:bookmarkStart w:id="290" w:name="_Toc7083"/>
      <w:r>
        <w:rPr>
          <w:rFonts w:hint="eastAsia"/>
          <w:b/>
          <w:bCs/>
          <w:szCs w:val="21"/>
          <w:highlight w:val="none"/>
        </w:rPr>
        <w:t>35.需要补充的其他内容</w:t>
      </w:r>
      <w:bookmarkEnd w:id="290"/>
    </w:p>
    <w:p>
      <w:pPr>
        <w:pageBreakBefore w:val="0"/>
        <w:kinsoku/>
        <w:wordWrap/>
        <w:overflowPunct/>
        <w:topLinePunct w:val="0"/>
        <w:bidi w:val="0"/>
        <w:spacing w:after="0" w:line="360" w:lineRule="auto"/>
        <w:ind w:firstLine="422" w:firstLineChars="200"/>
        <w:jc w:val="left"/>
        <w:rPr>
          <w:szCs w:val="21"/>
          <w:highlight w:val="none"/>
        </w:rPr>
      </w:pPr>
      <w:r>
        <w:rPr>
          <w:rFonts w:hint="eastAsia"/>
          <w:b/>
          <w:bCs/>
          <w:szCs w:val="21"/>
          <w:highlight w:val="none"/>
        </w:rPr>
        <w:t>3</w:t>
      </w:r>
      <w:r>
        <w:rPr>
          <w:b/>
          <w:bCs/>
          <w:szCs w:val="21"/>
          <w:highlight w:val="none"/>
        </w:rPr>
        <w:t>5</w:t>
      </w:r>
      <w:r>
        <w:rPr>
          <w:rFonts w:hint="eastAsia"/>
          <w:b/>
          <w:bCs/>
          <w:szCs w:val="21"/>
          <w:highlight w:val="none"/>
        </w:rPr>
        <w:t>.1政府采购节能产品、环境标志产品政策</w:t>
      </w:r>
    </w:p>
    <w:p>
      <w:pPr>
        <w:pageBreakBefore w:val="0"/>
        <w:kinsoku/>
        <w:wordWrap/>
        <w:overflowPunct/>
        <w:topLinePunct w:val="0"/>
        <w:bidi w:val="0"/>
        <w:spacing w:after="0" w:line="360" w:lineRule="auto"/>
        <w:ind w:firstLine="420" w:firstLineChars="200"/>
        <w:jc w:val="left"/>
        <w:rPr>
          <w:rFonts w:hAnsi="宋体"/>
          <w:szCs w:val="21"/>
          <w:highlight w:val="none"/>
        </w:rPr>
      </w:pPr>
      <w:r>
        <w:rPr>
          <w:rFonts w:hint="eastAsia" w:hAnsi="宋体"/>
          <w:szCs w:val="21"/>
          <w:highlight w:val="none"/>
        </w:rPr>
        <w:t>35.1.1根据《财政部 发展改革委 生态环境部 市场监管总局 关于调整优化节能产品、环境标志产品政府采购执行机制的通知》（财库〔2019〕9号），对政府采购节能产品、环境标志产品实施品目清单管理。</w:t>
      </w:r>
    </w:p>
    <w:p>
      <w:pPr>
        <w:pageBreakBefore w:val="0"/>
        <w:kinsoku/>
        <w:wordWrap/>
        <w:overflowPunct/>
        <w:topLinePunct w:val="0"/>
        <w:bidi w:val="0"/>
        <w:spacing w:after="0" w:line="360" w:lineRule="auto"/>
        <w:ind w:firstLine="420" w:firstLineChars="200"/>
        <w:jc w:val="left"/>
        <w:rPr>
          <w:rFonts w:hAnsi="宋体"/>
          <w:szCs w:val="21"/>
          <w:highlight w:val="none"/>
        </w:rPr>
      </w:pPr>
      <w:r>
        <w:rPr>
          <w:rFonts w:hint="eastAsia" w:hAnsi="宋体"/>
          <w:szCs w:val="21"/>
          <w:highlight w:val="none"/>
        </w:rPr>
        <w:t>35.1.2节能产品是指列入财政部和发展改革委公布的《关于印发节能产品政府采购品目清单的通知》（财库〔2019〕19号）《节能产品政府采购品目清单》中的产品，其中以“★”标注的为政府强制采购产品。</w:t>
      </w:r>
    </w:p>
    <w:p>
      <w:pPr>
        <w:pageBreakBefore w:val="0"/>
        <w:kinsoku/>
        <w:wordWrap/>
        <w:overflowPunct/>
        <w:topLinePunct w:val="0"/>
        <w:bidi w:val="0"/>
        <w:spacing w:after="0" w:line="360" w:lineRule="auto"/>
        <w:ind w:firstLine="420" w:firstLineChars="200"/>
        <w:jc w:val="left"/>
        <w:rPr>
          <w:rFonts w:hAnsi="宋体"/>
          <w:szCs w:val="21"/>
          <w:highlight w:val="none"/>
        </w:rPr>
      </w:pPr>
      <w:r>
        <w:rPr>
          <w:rFonts w:hint="eastAsia" w:hAnsi="宋体"/>
          <w:szCs w:val="21"/>
          <w:highlight w:val="none"/>
        </w:rPr>
        <w:t>35.1.3环境标志产品是指列入财政部和生态环境部公布的《关于印发环境标志产品政府采购品目清单的通知》（财库〔2019〕18号）《环境标志产品政府采购品目清单》中的产品。</w:t>
      </w:r>
    </w:p>
    <w:p>
      <w:pPr>
        <w:pageBreakBefore w:val="0"/>
        <w:kinsoku/>
        <w:wordWrap/>
        <w:overflowPunct/>
        <w:topLinePunct w:val="0"/>
        <w:bidi w:val="0"/>
        <w:spacing w:after="0" w:line="360" w:lineRule="auto"/>
        <w:ind w:firstLine="420" w:firstLineChars="200"/>
        <w:jc w:val="left"/>
        <w:rPr>
          <w:rFonts w:hAnsi="宋体"/>
          <w:szCs w:val="21"/>
          <w:highlight w:val="none"/>
        </w:rPr>
      </w:pPr>
      <w:r>
        <w:rPr>
          <w:rFonts w:hint="eastAsia" w:hAnsi="宋体"/>
          <w:szCs w:val="21"/>
          <w:highlight w:val="none"/>
        </w:rPr>
        <w:t>35.1.4投标产品属于财政部和国家发改委公布的当期《节能产品政府采购品目清单》中以“★”标注类别的节能产品，投标人需在投标文件中提供节能产品认证证书。</w:t>
      </w:r>
    </w:p>
    <w:p>
      <w:pPr>
        <w:pageBreakBefore w:val="0"/>
        <w:kinsoku/>
        <w:wordWrap/>
        <w:overflowPunct/>
        <w:topLinePunct w:val="0"/>
        <w:bidi w:val="0"/>
        <w:spacing w:after="0" w:line="360" w:lineRule="auto"/>
        <w:ind w:firstLine="420" w:firstLineChars="200"/>
        <w:jc w:val="left"/>
        <w:rPr>
          <w:rFonts w:hAnsi="宋体"/>
          <w:szCs w:val="21"/>
          <w:highlight w:val="none"/>
        </w:rPr>
      </w:pPr>
      <w:r>
        <w:rPr>
          <w:rFonts w:hint="eastAsia" w:hAnsi="宋体"/>
          <w:szCs w:val="21"/>
          <w:highlight w:val="none"/>
        </w:rPr>
        <w:t>35.1.5产品属于节能产品或环境标志产品的，投标人需在投标文件中提供产品经国家确定的参与实施政府采购节能产品认证机构或参与实施政府采购环境标志产品认证机构出具的、处于有效期之内的节能产品、环境标志产品认证证书，采购人及采购代理机构将对获得证书的产品实施政府优先采购或强制采购。</w:t>
      </w:r>
    </w:p>
    <w:p>
      <w:pPr>
        <w:pageBreakBefore w:val="0"/>
        <w:kinsoku/>
        <w:wordWrap/>
        <w:overflowPunct/>
        <w:topLinePunct w:val="0"/>
        <w:bidi w:val="0"/>
        <w:spacing w:after="0" w:line="360" w:lineRule="auto"/>
        <w:ind w:firstLine="420" w:firstLineChars="200"/>
        <w:jc w:val="left"/>
        <w:rPr>
          <w:rFonts w:hAnsi="宋体"/>
          <w:szCs w:val="21"/>
          <w:highlight w:val="none"/>
        </w:rPr>
      </w:pPr>
      <w:r>
        <w:rPr>
          <w:rFonts w:hint="eastAsia" w:hAnsi="宋体"/>
          <w:szCs w:val="21"/>
          <w:highlight w:val="none"/>
        </w:rPr>
        <w:t>35.1.6财政部、发展改革委、生态环境部、市场监管总局“关于调整优化节能产品、环境标志产品政府采购执行机制的通知财库〔2019〕9号”、“关于印发环境标志产品政府采购品目清单的通知”财库〔2019〕18号及“关于印发节能产品政府采购品目清单的通知”财库〔2019〕19号、市场监管总局关于发布参与实施政府采购节能产品、环境标志产品认证机构名录的公告2019年第16号可通过中国政府采购网（http://www.ccgp.gov.cn/）查阅、下载。</w:t>
      </w:r>
    </w:p>
    <w:p>
      <w:pPr>
        <w:pageBreakBefore w:val="0"/>
        <w:kinsoku/>
        <w:wordWrap/>
        <w:overflowPunct/>
        <w:topLinePunct w:val="0"/>
        <w:bidi w:val="0"/>
        <w:spacing w:after="0" w:line="360" w:lineRule="auto"/>
        <w:ind w:firstLine="420" w:firstLineChars="200"/>
        <w:jc w:val="left"/>
        <w:rPr>
          <w:szCs w:val="21"/>
          <w:highlight w:val="none"/>
        </w:rPr>
      </w:pPr>
      <w:r>
        <w:rPr>
          <w:rFonts w:hint="eastAsia" w:hAnsi="宋体"/>
          <w:szCs w:val="21"/>
          <w:highlight w:val="none"/>
        </w:rPr>
        <w:t>35.1.7若投标人在投标文件中未提供产品经国家确定的参与实施政府采购节能产品认证机构或参与实施政府采购环境标志产品认证机构出具的、处于有效期之内的节能产品、环境标志产品认证证书，评标委员会在评审过程中将不予认可，由此造成的一切后果投标人自行承担</w:t>
      </w:r>
      <w:r>
        <w:rPr>
          <w:rFonts w:hint="eastAsia"/>
          <w:szCs w:val="21"/>
          <w:highlight w:val="none"/>
        </w:rPr>
        <w:t>。</w:t>
      </w:r>
    </w:p>
    <w:p>
      <w:pPr>
        <w:pageBreakBefore w:val="0"/>
        <w:kinsoku/>
        <w:wordWrap/>
        <w:overflowPunct/>
        <w:topLinePunct w:val="0"/>
        <w:bidi w:val="0"/>
        <w:spacing w:after="0" w:line="360" w:lineRule="auto"/>
        <w:ind w:firstLine="422" w:firstLineChars="200"/>
        <w:jc w:val="left"/>
        <w:rPr>
          <w:szCs w:val="21"/>
          <w:highlight w:val="none"/>
        </w:rPr>
      </w:pPr>
      <w:r>
        <w:rPr>
          <w:b/>
          <w:bCs/>
          <w:szCs w:val="21"/>
          <w:highlight w:val="none"/>
        </w:rPr>
        <w:t>3</w:t>
      </w:r>
      <w:r>
        <w:rPr>
          <w:rFonts w:hint="eastAsia"/>
          <w:b/>
          <w:bCs/>
          <w:szCs w:val="21"/>
          <w:highlight w:val="none"/>
        </w:rPr>
        <w:t>5</w:t>
      </w:r>
      <w:r>
        <w:rPr>
          <w:b/>
          <w:bCs/>
          <w:szCs w:val="21"/>
          <w:highlight w:val="none"/>
        </w:rPr>
        <w:t>.</w:t>
      </w:r>
      <w:r>
        <w:rPr>
          <w:rFonts w:hint="eastAsia"/>
          <w:b/>
          <w:bCs/>
          <w:szCs w:val="21"/>
          <w:highlight w:val="none"/>
        </w:rPr>
        <w:t>2</w:t>
      </w:r>
      <w:r>
        <w:rPr>
          <w:b/>
          <w:bCs/>
          <w:szCs w:val="21"/>
          <w:highlight w:val="none"/>
        </w:rPr>
        <w:t>政府采购促进中小企业发展</w:t>
      </w:r>
      <w:r>
        <w:rPr>
          <w:rFonts w:hint="eastAsia"/>
          <w:b/>
          <w:bCs/>
          <w:szCs w:val="21"/>
          <w:highlight w:val="none"/>
        </w:rPr>
        <w:t>政策</w:t>
      </w:r>
    </w:p>
    <w:p>
      <w:pPr>
        <w:pageBreakBefore w:val="0"/>
        <w:kinsoku/>
        <w:wordWrap/>
        <w:overflowPunct/>
        <w:topLinePunct w:val="0"/>
        <w:bidi w:val="0"/>
        <w:spacing w:after="0" w:line="360" w:lineRule="auto"/>
        <w:ind w:firstLine="420" w:firstLineChars="200"/>
        <w:jc w:val="left"/>
        <w:rPr>
          <w:rFonts w:hint="eastAsia"/>
          <w:szCs w:val="21"/>
          <w:highlight w:val="none"/>
        </w:rPr>
      </w:pPr>
      <w:r>
        <w:rPr>
          <w:rFonts w:hint="eastAsia"/>
          <w:szCs w:val="21"/>
          <w:highlight w:val="none"/>
          <w:lang w:eastAsia="zh-CN"/>
        </w:rPr>
        <w:t>35.2</w:t>
      </w:r>
      <w:r>
        <w:rPr>
          <w:rFonts w:hint="eastAsia"/>
          <w:szCs w:val="21"/>
          <w:highlight w:val="none"/>
        </w:rPr>
        <w:t>.1 根据《关于印发&lt;政府采购促进中小企业发展管理办法&gt;的通知》（财库〔2020〕46 号）的规定，中小企业是指在中华人民共和国境内依法设立，依据国务院批准的中小企业划分标准确定的中型企业、小型企业和微型企业，但与大企业的负责人为同一人，或者与大企业存在直接控股、管理关系的除外。</w:t>
      </w:r>
    </w:p>
    <w:p>
      <w:pPr>
        <w:pageBreakBefore w:val="0"/>
        <w:kinsoku/>
        <w:wordWrap/>
        <w:overflowPunct/>
        <w:topLinePunct w:val="0"/>
        <w:bidi w:val="0"/>
        <w:spacing w:after="0" w:line="360" w:lineRule="auto"/>
        <w:ind w:firstLine="420" w:firstLineChars="200"/>
        <w:jc w:val="left"/>
        <w:rPr>
          <w:rFonts w:hint="eastAsia"/>
          <w:szCs w:val="21"/>
          <w:highlight w:val="none"/>
        </w:rPr>
      </w:pPr>
      <w:r>
        <w:rPr>
          <w:rFonts w:hint="eastAsia"/>
          <w:szCs w:val="21"/>
          <w:highlight w:val="none"/>
          <w:lang w:eastAsia="zh-CN"/>
        </w:rPr>
        <w:t>35.2</w:t>
      </w:r>
      <w:r>
        <w:rPr>
          <w:rFonts w:hint="eastAsia"/>
          <w:szCs w:val="21"/>
          <w:highlight w:val="none"/>
        </w:rPr>
        <w:t>.2 符合中小企业划分标准的个体工商户，在政府采购活动中视同中小企业。</w:t>
      </w:r>
    </w:p>
    <w:p>
      <w:pPr>
        <w:pageBreakBefore w:val="0"/>
        <w:kinsoku/>
        <w:wordWrap/>
        <w:overflowPunct/>
        <w:topLinePunct w:val="0"/>
        <w:bidi w:val="0"/>
        <w:spacing w:after="0" w:line="360" w:lineRule="auto"/>
        <w:ind w:firstLine="420" w:firstLineChars="200"/>
        <w:jc w:val="left"/>
        <w:rPr>
          <w:rFonts w:hint="eastAsia"/>
          <w:szCs w:val="21"/>
          <w:highlight w:val="none"/>
        </w:rPr>
      </w:pPr>
      <w:r>
        <w:rPr>
          <w:rFonts w:hint="eastAsia"/>
          <w:szCs w:val="21"/>
          <w:highlight w:val="none"/>
          <w:lang w:eastAsia="zh-CN"/>
        </w:rPr>
        <w:t>35.2</w:t>
      </w:r>
      <w:r>
        <w:rPr>
          <w:rFonts w:hint="eastAsia"/>
          <w:szCs w:val="21"/>
          <w:highlight w:val="none"/>
        </w:rPr>
        <w:t>.3 在政府采购活动中，供应商提供的货物、工程或者服务符合下列情形的，享受《关于印发&lt;政府采购促进中小企业发展管理办法&gt;的通知》（财库〔2020〕46 号）规定的中小企业扶持政策：</w:t>
      </w:r>
    </w:p>
    <w:p>
      <w:pPr>
        <w:pageBreakBefore w:val="0"/>
        <w:kinsoku/>
        <w:wordWrap/>
        <w:overflowPunct/>
        <w:topLinePunct w:val="0"/>
        <w:bidi w:val="0"/>
        <w:spacing w:after="0" w:line="360" w:lineRule="auto"/>
        <w:ind w:firstLine="420" w:firstLineChars="200"/>
        <w:jc w:val="left"/>
        <w:rPr>
          <w:rFonts w:hint="eastAsia"/>
          <w:szCs w:val="21"/>
          <w:highlight w:val="none"/>
        </w:rPr>
      </w:pPr>
      <w:r>
        <w:rPr>
          <w:rFonts w:hint="eastAsia"/>
          <w:szCs w:val="21"/>
          <w:highlight w:val="none"/>
        </w:rPr>
        <w:t>（一）在货物采购项目中，货物由中小企业制造，即货物由中小企业生产且使用该中小企业商号或者注册商标；</w:t>
      </w:r>
    </w:p>
    <w:p>
      <w:pPr>
        <w:pageBreakBefore w:val="0"/>
        <w:kinsoku/>
        <w:wordWrap/>
        <w:overflowPunct/>
        <w:topLinePunct w:val="0"/>
        <w:bidi w:val="0"/>
        <w:spacing w:after="0" w:line="360" w:lineRule="auto"/>
        <w:ind w:firstLine="420" w:firstLineChars="200"/>
        <w:jc w:val="left"/>
        <w:rPr>
          <w:rFonts w:hint="eastAsia"/>
          <w:szCs w:val="21"/>
          <w:highlight w:val="none"/>
        </w:rPr>
      </w:pPr>
      <w:r>
        <w:rPr>
          <w:rFonts w:hint="eastAsia"/>
          <w:szCs w:val="21"/>
          <w:highlight w:val="none"/>
        </w:rPr>
        <w:t>（二）在工程采购项目中，工程由中小企业承建，即工程施工单位为中小企业；</w:t>
      </w:r>
    </w:p>
    <w:p>
      <w:pPr>
        <w:pageBreakBefore w:val="0"/>
        <w:kinsoku/>
        <w:wordWrap/>
        <w:overflowPunct/>
        <w:topLinePunct w:val="0"/>
        <w:bidi w:val="0"/>
        <w:spacing w:after="0" w:line="360" w:lineRule="auto"/>
        <w:ind w:firstLine="420" w:firstLineChars="200"/>
        <w:jc w:val="left"/>
        <w:rPr>
          <w:rFonts w:hint="eastAsia"/>
          <w:szCs w:val="21"/>
          <w:highlight w:val="none"/>
        </w:rPr>
      </w:pPr>
      <w:r>
        <w:rPr>
          <w:rFonts w:hint="eastAsia"/>
          <w:szCs w:val="21"/>
          <w:highlight w:val="none"/>
        </w:rPr>
        <w:t>（三）在服务采购项目中，服务由中小企业承接，即提供服务的人员为中小企业依照《中华人民共和国劳动合同法》订立劳动合同的从业人员。</w:t>
      </w:r>
    </w:p>
    <w:p>
      <w:pPr>
        <w:pageBreakBefore w:val="0"/>
        <w:kinsoku/>
        <w:wordWrap/>
        <w:overflowPunct/>
        <w:topLinePunct w:val="0"/>
        <w:bidi w:val="0"/>
        <w:spacing w:after="0" w:line="360" w:lineRule="auto"/>
        <w:ind w:firstLine="420" w:firstLineChars="200"/>
        <w:jc w:val="left"/>
        <w:rPr>
          <w:rFonts w:hint="eastAsia"/>
          <w:szCs w:val="21"/>
          <w:highlight w:val="none"/>
        </w:rPr>
      </w:pPr>
      <w:r>
        <w:rPr>
          <w:rFonts w:hint="eastAsia"/>
          <w:szCs w:val="21"/>
          <w:highlight w:val="none"/>
          <w:lang w:eastAsia="zh-CN"/>
        </w:rPr>
        <w:t>35.2</w:t>
      </w:r>
      <w:r>
        <w:rPr>
          <w:rFonts w:hint="eastAsia"/>
          <w:szCs w:val="21"/>
          <w:highlight w:val="none"/>
        </w:rPr>
        <w:t>.4 在货物采购项目中，供应商提供的货物既有中小企业制造货物，也有大型企业制造货物的，不享受本办法规定的中小企业扶持政策。</w:t>
      </w:r>
    </w:p>
    <w:p>
      <w:pPr>
        <w:pageBreakBefore w:val="0"/>
        <w:kinsoku/>
        <w:wordWrap/>
        <w:overflowPunct/>
        <w:topLinePunct w:val="0"/>
        <w:bidi w:val="0"/>
        <w:spacing w:after="0" w:line="360" w:lineRule="auto"/>
        <w:ind w:firstLine="420" w:firstLineChars="200"/>
        <w:jc w:val="left"/>
        <w:rPr>
          <w:rFonts w:hint="eastAsia"/>
          <w:szCs w:val="21"/>
          <w:highlight w:val="none"/>
        </w:rPr>
      </w:pPr>
      <w:r>
        <w:rPr>
          <w:rFonts w:hint="eastAsia"/>
          <w:szCs w:val="21"/>
          <w:highlight w:val="none"/>
          <w:lang w:eastAsia="zh-CN"/>
        </w:rPr>
        <w:t>35.2</w:t>
      </w:r>
      <w:r>
        <w:rPr>
          <w:rFonts w:hint="eastAsia"/>
          <w:szCs w:val="21"/>
          <w:highlight w:val="none"/>
        </w:rPr>
        <w:t>.5 以联合体形式参加政府采购活动，联合体各方均为中小企业的，联合体视同中小企业。其中，联合体各方均为小微企业的</w:t>
      </w:r>
      <w:r>
        <w:rPr>
          <w:rFonts w:hint="eastAsia"/>
          <w:szCs w:val="21"/>
          <w:highlight w:val="none"/>
          <w:lang w:eastAsia="zh-CN"/>
        </w:rPr>
        <w:t>，</w:t>
      </w:r>
      <w:r>
        <w:rPr>
          <w:rFonts w:hint="eastAsia"/>
          <w:szCs w:val="21"/>
          <w:highlight w:val="none"/>
        </w:rPr>
        <w:t>联合体视同小微企业。</w:t>
      </w:r>
    </w:p>
    <w:p>
      <w:pPr>
        <w:pageBreakBefore w:val="0"/>
        <w:kinsoku/>
        <w:wordWrap/>
        <w:overflowPunct/>
        <w:topLinePunct w:val="0"/>
        <w:bidi w:val="0"/>
        <w:spacing w:after="0" w:line="360" w:lineRule="auto"/>
        <w:ind w:firstLine="420" w:firstLineChars="200"/>
        <w:jc w:val="left"/>
        <w:rPr>
          <w:rFonts w:hint="eastAsia"/>
          <w:szCs w:val="21"/>
          <w:highlight w:val="none"/>
        </w:rPr>
      </w:pPr>
      <w:r>
        <w:rPr>
          <w:rFonts w:hint="eastAsia"/>
          <w:szCs w:val="21"/>
          <w:highlight w:val="none"/>
          <w:lang w:eastAsia="zh-CN"/>
        </w:rPr>
        <w:t>35.2</w:t>
      </w:r>
      <w:r>
        <w:rPr>
          <w:rFonts w:hint="eastAsia"/>
          <w:szCs w:val="21"/>
          <w:highlight w:val="none"/>
        </w:rPr>
        <w:t>.6 中小企业参加政府采购活动，应当出具《关于印发&lt;政府采购促进中小企业发展管理办法&gt;的通知》（财库〔2020〕46 号）规定的《中小企业声明函》，否则不得享受相关中小企业扶持政策。</w:t>
      </w:r>
    </w:p>
    <w:p>
      <w:pPr>
        <w:pageBreakBefore w:val="0"/>
        <w:kinsoku/>
        <w:wordWrap/>
        <w:overflowPunct/>
        <w:topLinePunct w:val="0"/>
        <w:bidi w:val="0"/>
        <w:spacing w:after="0" w:line="360" w:lineRule="auto"/>
        <w:ind w:firstLine="420" w:firstLineChars="200"/>
        <w:jc w:val="left"/>
        <w:rPr>
          <w:rFonts w:hint="eastAsia"/>
          <w:szCs w:val="21"/>
          <w:highlight w:val="none"/>
        </w:rPr>
      </w:pPr>
      <w:r>
        <w:rPr>
          <w:rFonts w:hint="eastAsia"/>
          <w:szCs w:val="21"/>
          <w:highlight w:val="none"/>
          <w:lang w:eastAsia="zh-CN"/>
        </w:rPr>
        <w:t>35.2</w:t>
      </w:r>
      <w:r>
        <w:rPr>
          <w:rFonts w:hint="eastAsia"/>
          <w:szCs w:val="21"/>
          <w:highlight w:val="none"/>
        </w:rPr>
        <w:t>.7 规定依据《关于印发&lt;政府采购促进中小企业发展管理办法&gt;的通知》（财库〔2020〕46号）规定享受扶持政策获得政府采购合同的，小微企业不得将合同分包给大中型企业，中型企业不得将合同分包给大型企业。</w:t>
      </w:r>
    </w:p>
    <w:p>
      <w:pPr>
        <w:pageBreakBefore w:val="0"/>
        <w:kinsoku/>
        <w:wordWrap/>
        <w:overflowPunct/>
        <w:topLinePunct w:val="0"/>
        <w:bidi w:val="0"/>
        <w:spacing w:after="0" w:line="360" w:lineRule="auto"/>
        <w:ind w:firstLine="420" w:firstLineChars="200"/>
        <w:jc w:val="left"/>
        <w:rPr>
          <w:rFonts w:hint="eastAsia"/>
          <w:szCs w:val="21"/>
          <w:highlight w:val="none"/>
        </w:rPr>
      </w:pPr>
      <w:r>
        <w:rPr>
          <w:rFonts w:hint="eastAsia"/>
          <w:szCs w:val="21"/>
          <w:highlight w:val="none"/>
          <w:lang w:eastAsia="zh-CN"/>
        </w:rPr>
        <w:t>35.2</w:t>
      </w:r>
      <w:r>
        <w:rPr>
          <w:rFonts w:hint="eastAsia"/>
          <w:szCs w:val="21"/>
          <w:highlight w:val="none"/>
        </w:rPr>
        <w:t>.8 本规定所称中小企业划分标准，是指国务院有关部门根据企业从业人员、营业收入、资产总额等指标制定的中小企业划型标准，详见国家统计局关于印发《统计上大中小微型企业划分办法（2017）》的通知（国统字〔2017〕213号）。</w:t>
      </w:r>
    </w:p>
    <w:p>
      <w:pPr>
        <w:pageBreakBefore w:val="0"/>
        <w:kinsoku/>
        <w:wordWrap/>
        <w:overflowPunct/>
        <w:topLinePunct w:val="0"/>
        <w:bidi w:val="0"/>
        <w:spacing w:after="0" w:line="360" w:lineRule="auto"/>
        <w:ind w:firstLine="420" w:firstLineChars="200"/>
        <w:jc w:val="left"/>
        <w:rPr>
          <w:rFonts w:hint="eastAsia"/>
          <w:szCs w:val="21"/>
          <w:highlight w:val="none"/>
        </w:rPr>
      </w:pPr>
      <w:r>
        <w:rPr>
          <w:rFonts w:hint="eastAsia"/>
          <w:szCs w:val="21"/>
          <w:highlight w:val="none"/>
          <w:lang w:eastAsia="zh-CN"/>
        </w:rPr>
        <w:t>35.2</w:t>
      </w:r>
      <w:r>
        <w:rPr>
          <w:rFonts w:hint="eastAsia"/>
          <w:szCs w:val="21"/>
          <w:highlight w:val="none"/>
        </w:rPr>
        <w:t>.9 符合“关于印发《政府采购促进中小企业发展管理办法》的通知”（财库〔2020〕46号文）第四条情形的，按《关于进一步加大政府采购支持中小企业力度的通知》（财库〔2022〕19号）规定，享受中小企业扶持政策，对符合规定的小微企业报价给予10 %的扣除，用扣除后的价格参与评审；</w:t>
      </w:r>
    </w:p>
    <w:p>
      <w:pPr>
        <w:pageBreakBefore w:val="0"/>
        <w:kinsoku/>
        <w:wordWrap/>
        <w:overflowPunct/>
        <w:topLinePunct w:val="0"/>
        <w:bidi w:val="0"/>
        <w:spacing w:after="0" w:line="360" w:lineRule="auto"/>
        <w:ind w:firstLine="420" w:firstLineChars="200"/>
        <w:jc w:val="left"/>
        <w:rPr>
          <w:szCs w:val="21"/>
          <w:highlight w:val="none"/>
        </w:rPr>
      </w:pPr>
      <w:r>
        <w:rPr>
          <w:rFonts w:hint="eastAsia"/>
          <w:szCs w:val="21"/>
          <w:highlight w:val="none"/>
          <w:lang w:eastAsia="zh-CN"/>
        </w:rPr>
        <w:t>35.2</w:t>
      </w:r>
      <w:r>
        <w:rPr>
          <w:rFonts w:hint="eastAsia"/>
          <w:szCs w:val="21"/>
          <w:highlight w:val="none"/>
        </w:rPr>
        <w:t>.</w:t>
      </w:r>
      <w:r>
        <w:rPr>
          <w:rFonts w:hint="eastAsia"/>
          <w:szCs w:val="21"/>
          <w:highlight w:val="none"/>
          <w:lang w:val="en-US" w:eastAsia="zh-CN"/>
        </w:rPr>
        <w:t>10</w:t>
      </w:r>
      <w:r>
        <w:rPr>
          <w:rFonts w:hint="eastAsia"/>
          <w:highlight w:val="none"/>
        </w:rPr>
        <w:t>中标、成交供应商享受本办法规定的中小企业扶持政策的，采购人、采购代理机构应当随中标、成交结果公开中标、成交供应商的《中小企业声明函》。供应商按照本办法规定提供声明函内容不实的，属于提供虚假材料谋取中标、成交，依照《中华人民共和国政府采购法》等国家有关规定追究相应责任</w:t>
      </w:r>
    </w:p>
    <w:p>
      <w:pPr>
        <w:pageBreakBefore w:val="0"/>
        <w:kinsoku/>
        <w:wordWrap/>
        <w:overflowPunct/>
        <w:topLinePunct w:val="0"/>
        <w:bidi w:val="0"/>
        <w:spacing w:after="0" w:line="360" w:lineRule="auto"/>
        <w:ind w:firstLine="422" w:firstLineChars="200"/>
        <w:jc w:val="left"/>
        <w:rPr>
          <w:szCs w:val="21"/>
          <w:highlight w:val="none"/>
        </w:rPr>
      </w:pPr>
      <w:r>
        <w:rPr>
          <w:b/>
          <w:bCs/>
          <w:szCs w:val="21"/>
          <w:highlight w:val="none"/>
        </w:rPr>
        <w:t>3</w:t>
      </w:r>
      <w:r>
        <w:rPr>
          <w:rFonts w:hint="eastAsia"/>
          <w:b/>
          <w:bCs/>
          <w:szCs w:val="21"/>
          <w:highlight w:val="none"/>
        </w:rPr>
        <w:t>5</w:t>
      </w:r>
      <w:r>
        <w:rPr>
          <w:b/>
          <w:bCs/>
          <w:szCs w:val="21"/>
          <w:highlight w:val="none"/>
        </w:rPr>
        <w:t>.</w:t>
      </w:r>
      <w:r>
        <w:rPr>
          <w:rFonts w:hint="eastAsia"/>
          <w:b/>
          <w:bCs/>
          <w:szCs w:val="21"/>
          <w:highlight w:val="none"/>
        </w:rPr>
        <w:t>3</w:t>
      </w:r>
      <w:r>
        <w:rPr>
          <w:b/>
          <w:bCs/>
          <w:szCs w:val="21"/>
          <w:highlight w:val="none"/>
        </w:rPr>
        <w:t>政府采购支持监狱企业发展</w:t>
      </w:r>
      <w:r>
        <w:rPr>
          <w:rFonts w:hint="eastAsia"/>
          <w:b/>
          <w:bCs/>
          <w:szCs w:val="21"/>
          <w:highlight w:val="none"/>
        </w:rPr>
        <w:t>政策</w:t>
      </w:r>
    </w:p>
    <w:p>
      <w:pPr>
        <w:pageBreakBefore w:val="0"/>
        <w:kinsoku/>
        <w:wordWrap/>
        <w:overflowPunct/>
        <w:topLinePunct w:val="0"/>
        <w:bidi w:val="0"/>
        <w:spacing w:after="0" w:line="360" w:lineRule="auto"/>
        <w:ind w:firstLine="420" w:firstLineChars="200"/>
        <w:jc w:val="left"/>
        <w:rPr>
          <w:szCs w:val="21"/>
          <w:highlight w:val="none"/>
        </w:rPr>
      </w:pPr>
      <w:r>
        <w:rPr>
          <w:szCs w:val="21"/>
          <w:highlight w:val="none"/>
        </w:rPr>
        <w:t>3</w:t>
      </w:r>
      <w:r>
        <w:rPr>
          <w:rFonts w:hint="eastAsia"/>
          <w:szCs w:val="21"/>
          <w:highlight w:val="none"/>
        </w:rPr>
        <w:t>5</w:t>
      </w:r>
      <w:r>
        <w:rPr>
          <w:szCs w:val="21"/>
          <w:highlight w:val="none"/>
        </w:rPr>
        <w:t>.</w:t>
      </w:r>
      <w:r>
        <w:rPr>
          <w:rFonts w:hint="eastAsia"/>
          <w:szCs w:val="21"/>
          <w:highlight w:val="none"/>
        </w:rPr>
        <w:t>3</w:t>
      </w:r>
      <w:r>
        <w:rPr>
          <w:szCs w:val="21"/>
          <w:highlight w:val="none"/>
        </w:rPr>
        <w:t>.1根据《财政部司法部关于政府采购支持监狱企业发展有关问题的通知》（财库〔2014〕68号）的规定，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pPr>
        <w:pageBreakBefore w:val="0"/>
        <w:kinsoku/>
        <w:wordWrap/>
        <w:overflowPunct/>
        <w:topLinePunct w:val="0"/>
        <w:bidi w:val="0"/>
        <w:spacing w:after="0" w:line="360" w:lineRule="auto"/>
        <w:ind w:firstLine="420" w:firstLineChars="200"/>
        <w:jc w:val="left"/>
        <w:rPr>
          <w:szCs w:val="21"/>
          <w:highlight w:val="none"/>
        </w:rPr>
      </w:pPr>
      <w:r>
        <w:rPr>
          <w:szCs w:val="21"/>
          <w:highlight w:val="none"/>
        </w:rPr>
        <w:t>3</w:t>
      </w:r>
      <w:r>
        <w:rPr>
          <w:rFonts w:hint="eastAsia"/>
          <w:szCs w:val="21"/>
          <w:highlight w:val="none"/>
        </w:rPr>
        <w:t>5</w:t>
      </w:r>
      <w:r>
        <w:rPr>
          <w:szCs w:val="21"/>
          <w:highlight w:val="none"/>
        </w:rPr>
        <w:t>.</w:t>
      </w:r>
      <w:r>
        <w:rPr>
          <w:rFonts w:hint="eastAsia"/>
          <w:szCs w:val="21"/>
          <w:highlight w:val="none"/>
        </w:rPr>
        <w:t>3</w:t>
      </w:r>
      <w:r>
        <w:rPr>
          <w:szCs w:val="21"/>
          <w:highlight w:val="none"/>
        </w:rPr>
        <w:t>.2监狱企业参加政府采购活动时，应当提供由省级以上监狱管理局、戒毒管理局（含新疆生产建设兵团）出具的属于监狱企业的证明文件。</w:t>
      </w:r>
    </w:p>
    <w:p>
      <w:pPr>
        <w:pageBreakBefore w:val="0"/>
        <w:kinsoku/>
        <w:wordWrap/>
        <w:overflowPunct/>
        <w:topLinePunct w:val="0"/>
        <w:bidi w:val="0"/>
        <w:spacing w:after="0" w:line="360" w:lineRule="auto"/>
        <w:ind w:firstLine="420" w:firstLineChars="200"/>
        <w:jc w:val="left"/>
        <w:rPr>
          <w:rFonts w:ascii="宋体" w:hAnsi="宋体" w:cs="宋体"/>
          <w:szCs w:val="21"/>
          <w:highlight w:val="none"/>
        </w:rPr>
      </w:pPr>
      <w:r>
        <w:rPr>
          <w:szCs w:val="21"/>
          <w:highlight w:val="none"/>
        </w:rPr>
        <w:t>3</w:t>
      </w:r>
      <w:r>
        <w:rPr>
          <w:rFonts w:hint="eastAsia"/>
          <w:szCs w:val="21"/>
          <w:highlight w:val="none"/>
        </w:rPr>
        <w:t>5</w:t>
      </w:r>
      <w:r>
        <w:rPr>
          <w:szCs w:val="21"/>
          <w:highlight w:val="none"/>
        </w:rPr>
        <w:t>.2.3在政府采购活动中，监狱企业视同小型、微型企业，享受预留份额、评审中价格扣除等政府采购促进中小企业发展的政府采购政策。</w:t>
      </w:r>
    </w:p>
    <w:p>
      <w:pPr>
        <w:pageBreakBefore w:val="0"/>
        <w:kinsoku/>
        <w:wordWrap/>
        <w:overflowPunct/>
        <w:topLinePunct w:val="0"/>
        <w:bidi w:val="0"/>
        <w:spacing w:after="0" w:line="360" w:lineRule="auto"/>
        <w:ind w:firstLine="422" w:firstLineChars="200"/>
        <w:jc w:val="left"/>
        <w:rPr>
          <w:b/>
          <w:bCs/>
          <w:szCs w:val="21"/>
          <w:highlight w:val="none"/>
        </w:rPr>
      </w:pPr>
      <w:r>
        <w:rPr>
          <w:b/>
          <w:bCs/>
          <w:szCs w:val="21"/>
          <w:highlight w:val="none"/>
        </w:rPr>
        <w:t>3</w:t>
      </w:r>
      <w:r>
        <w:rPr>
          <w:rFonts w:hint="eastAsia"/>
          <w:b/>
          <w:bCs/>
          <w:szCs w:val="21"/>
          <w:highlight w:val="none"/>
        </w:rPr>
        <w:t>5</w:t>
      </w:r>
      <w:r>
        <w:rPr>
          <w:b/>
          <w:bCs/>
          <w:szCs w:val="21"/>
          <w:highlight w:val="none"/>
        </w:rPr>
        <w:t>.4政府采购促进残疾人就业政策</w:t>
      </w:r>
    </w:p>
    <w:p>
      <w:pPr>
        <w:pageBreakBefore w:val="0"/>
        <w:kinsoku/>
        <w:wordWrap/>
        <w:overflowPunct/>
        <w:topLinePunct w:val="0"/>
        <w:bidi w:val="0"/>
        <w:spacing w:after="0" w:line="360" w:lineRule="auto"/>
        <w:ind w:firstLine="420" w:firstLineChars="200"/>
        <w:jc w:val="left"/>
        <w:rPr>
          <w:szCs w:val="21"/>
          <w:highlight w:val="none"/>
        </w:rPr>
      </w:pPr>
      <w:r>
        <w:rPr>
          <w:szCs w:val="21"/>
          <w:highlight w:val="none"/>
        </w:rPr>
        <w:t>3</w:t>
      </w:r>
      <w:r>
        <w:rPr>
          <w:rFonts w:hint="eastAsia"/>
          <w:szCs w:val="21"/>
          <w:highlight w:val="none"/>
        </w:rPr>
        <w:t>5</w:t>
      </w:r>
      <w:r>
        <w:rPr>
          <w:szCs w:val="21"/>
          <w:highlight w:val="none"/>
        </w:rPr>
        <w:t>.4.1根据《三部门联合发布关于促进残疾人就业政府采购政策的通知》（财库〔2017〕141号）的规定，享受政府采购支持政策的残疾人福利性单位应当同时满足以下条件：</w:t>
      </w:r>
    </w:p>
    <w:p>
      <w:pPr>
        <w:pageBreakBefore w:val="0"/>
        <w:kinsoku/>
        <w:wordWrap/>
        <w:overflowPunct/>
        <w:topLinePunct w:val="0"/>
        <w:bidi w:val="0"/>
        <w:spacing w:after="0" w:line="360" w:lineRule="auto"/>
        <w:ind w:firstLine="420" w:firstLineChars="200"/>
        <w:jc w:val="left"/>
        <w:rPr>
          <w:szCs w:val="21"/>
          <w:highlight w:val="none"/>
        </w:rPr>
      </w:pPr>
      <w:r>
        <w:rPr>
          <w:szCs w:val="21"/>
          <w:highlight w:val="none"/>
        </w:rPr>
        <w:t>（</w:t>
      </w:r>
      <w:r>
        <w:rPr>
          <w:rFonts w:hint="eastAsia"/>
          <w:szCs w:val="21"/>
          <w:highlight w:val="none"/>
        </w:rPr>
        <w:t>1</w:t>
      </w:r>
      <w:r>
        <w:rPr>
          <w:szCs w:val="21"/>
          <w:highlight w:val="none"/>
        </w:rPr>
        <w:t>）安置的残疾人占本单位在职职工人数的比例不低于25%（含25%），并且安置的残疾人人数不少于10人（含10人）；</w:t>
      </w:r>
    </w:p>
    <w:p>
      <w:pPr>
        <w:pageBreakBefore w:val="0"/>
        <w:kinsoku/>
        <w:wordWrap/>
        <w:overflowPunct/>
        <w:topLinePunct w:val="0"/>
        <w:bidi w:val="0"/>
        <w:spacing w:after="0" w:line="360" w:lineRule="auto"/>
        <w:ind w:firstLine="420" w:firstLineChars="200"/>
        <w:jc w:val="left"/>
        <w:rPr>
          <w:szCs w:val="21"/>
          <w:highlight w:val="none"/>
        </w:rPr>
      </w:pPr>
      <w:r>
        <w:rPr>
          <w:szCs w:val="21"/>
          <w:highlight w:val="none"/>
        </w:rPr>
        <w:t>（</w:t>
      </w:r>
      <w:r>
        <w:rPr>
          <w:rFonts w:hint="eastAsia"/>
          <w:szCs w:val="21"/>
          <w:highlight w:val="none"/>
        </w:rPr>
        <w:t>2</w:t>
      </w:r>
      <w:r>
        <w:rPr>
          <w:szCs w:val="21"/>
          <w:highlight w:val="none"/>
        </w:rPr>
        <w:t>）依法与安置的每位残疾人签订了一年以上（含一年）的劳动合同或服务协议；</w:t>
      </w:r>
    </w:p>
    <w:p>
      <w:pPr>
        <w:pageBreakBefore w:val="0"/>
        <w:kinsoku/>
        <w:wordWrap/>
        <w:overflowPunct/>
        <w:topLinePunct w:val="0"/>
        <w:bidi w:val="0"/>
        <w:spacing w:after="0" w:line="360" w:lineRule="auto"/>
        <w:ind w:firstLine="420" w:firstLineChars="200"/>
        <w:jc w:val="left"/>
        <w:rPr>
          <w:szCs w:val="21"/>
          <w:highlight w:val="none"/>
        </w:rPr>
      </w:pPr>
      <w:r>
        <w:rPr>
          <w:szCs w:val="21"/>
          <w:highlight w:val="none"/>
        </w:rPr>
        <w:t>（</w:t>
      </w:r>
      <w:r>
        <w:rPr>
          <w:rFonts w:hint="eastAsia"/>
          <w:szCs w:val="21"/>
          <w:highlight w:val="none"/>
        </w:rPr>
        <w:t>3</w:t>
      </w:r>
      <w:r>
        <w:rPr>
          <w:szCs w:val="21"/>
          <w:highlight w:val="none"/>
        </w:rPr>
        <w:t>）为安置的每位残疾人按月足额缴纳了基本养老保险、基本医疗保险、失业保险、工伤保险和生育保险等社会保险费；</w:t>
      </w:r>
    </w:p>
    <w:p>
      <w:pPr>
        <w:pageBreakBefore w:val="0"/>
        <w:kinsoku/>
        <w:wordWrap/>
        <w:overflowPunct/>
        <w:topLinePunct w:val="0"/>
        <w:bidi w:val="0"/>
        <w:spacing w:after="0" w:line="360" w:lineRule="auto"/>
        <w:ind w:firstLine="420" w:firstLineChars="200"/>
        <w:jc w:val="left"/>
        <w:rPr>
          <w:szCs w:val="21"/>
          <w:highlight w:val="none"/>
        </w:rPr>
      </w:pPr>
      <w:r>
        <w:rPr>
          <w:szCs w:val="21"/>
          <w:highlight w:val="none"/>
        </w:rPr>
        <w:t>（</w:t>
      </w:r>
      <w:r>
        <w:rPr>
          <w:rFonts w:hint="eastAsia"/>
          <w:szCs w:val="21"/>
          <w:highlight w:val="none"/>
        </w:rPr>
        <w:t>4</w:t>
      </w:r>
      <w:r>
        <w:rPr>
          <w:szCs w:val="21"/>
          <w:highlight w:val="none"/>
        </w:rPr>
        <w:t>）通过银行等金融机构向安置的每位残疾人，按月支付了不低于单位所在区县适用的经省级人民政府批准的月最低工资标准的工资；</w:t>
      </w:r>
    </w:p>
    <w:p>
      <w:pPr>
        <w:pageBreakBefore w:val="0"/>
        <w:kinsoku/>
        <w:wordWrap/>
        <w:overflowPunct/>
        <w:topLinePunct w:val="0"/>
        <w:bidi w:val="0"/>
        <w:spacing w:after="0" w:line="360" w:lineRule="auto"/>
        <w:ind w:firstLine="420" w:firstLineChars="200"/>
        <w:jc w:val="left"/>
        <w:rPr>
          <w:szCs w:val="21"/>
          <w:highlight w:val="none"/>
        </w:rPr>
      </w:pPr>
      <w:r>
        <w:rPr>
          <w:szCs w:val="21"/>
          <w:highlight w:val="none"/>
        </w:rPr>
        <w:t>（</w:t>
      </w:r>
      <w:r>
        <w:rPr>
          <w:rFonts w:hint="eastAsia"/>
          <w:szCs w:val="21"/>
          <w:highlight w:val="none"/>
        </w:rPr>
        <w:t>5</w:t>
      </w:r>
      <w:r>
        <w:rPr>
          <w:szCs w:val="21"/>
          <w:highlight w:val="none"/>
        </w:rPr>
        <w:t>）提供本单位制造的货物、承担的工程或者服务（以下简称产品），或者提供其他残疾人福利性单位制造的货物（不包括使用非残疾人福利性单位注册商标的货物）。</w:t>
      </w:r>
    </w:p>
    <w:p>
      <w:pPr>
        <w:pageBreakBefore w:val="0"/>
        <w:kinsoku/>
        <w:wordWrap/>
        <w:overflowPunct/>
        <w:topLinePunct w:val="0"/>
        <w:bidi w:val="0"/>
        <w:spacing w:after="0" w:line="360" w:lineRule="auto"/>
        <w:ind w:firstLine="420" w:firstLineChars="200"/>
        <w:jc w:val="left"/>
        <w:rPr>
          <w:szCs w:val="21"/>
          <w:highlight w:val="none"/>
        </w:rPr>
      </w:pPr>
      <w:r>
        <w:rPr>
          <w:szCs w:val="21"/>
          <w:highlight w:val="none"/>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pPr>
        <w:pageBreakBefore w:val="0"/>
        <w:kinsoku/>
        <w:wordWrap/>
        <w:overflowPunct/>
        <w:topLinePunct w:val="0"/>
        <w:bidi w:val="0"/>
        <w:spacing w:after="0" w:line="360" w:lineRule="auto"/>
        <w:ind w:firstLine="420" w:firstLineChars="200"/>
        <w:jc w:val="left"/>
        <w:rPr>
          <w:szCs w:val="21"/>
          <w:highlight w:val="none"/>
        </w:rPr>
      </w:pPr>
      <w:r>
        <w:rPr>
          <w:szCs w:val="21"/>
          <w:highlight w:val="none"/>
        </w:rPr>
        <w:t>3</w:t>
      </w:r>
      <w:r>
        <w:rPr>
          <w:rFonts w:hint="eastAsia"/>
          <w:szCs w:val="21"/>
          <w:highlight w:val="none"/>
        </w:rPr>
        <w:t>5</w:t>
      </w:r>
      <w:r>
        <w:rPr>
          <w:szCs w:val="21"/>
          <w:highlight w:val="none"/>
        </w:rPr>
        <w:t>.4.2符合条件的残疾人福利性单位在参加政府采购活动时，应当按《三部门联合发布关于促进残疾人就业政府采购政策的通知》（财库〔2017〕141号）提供规定的《残疾人福利性单位声明函》，并对声明的真实性负责。</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szCs w:val="21"/>
          <w:highlight w:val="none"/>
        </w:rPr>
      </w:pPr>
      <w:r>
        <w:rPr>
          <w:szCs w:val="21"/>
          <w:highlight w:val="none"/>
        </w:rPr>
        <w:t>3</w:t>
      </w:r>
      <w:r>
        <w:rPr>
          <w:rFonts w:hint="eastAsia"/>
          <w:szCs w:val="21"/>
          <w:highlight w:val="none"/>
        </w:rPr>
        <w:t>5</w:t>
      </w:r>
      <w:r>
        <w:rPr>
          <w:szCs w:val="21"/>
          <w:highlight w:val="none"/>
        </w:rPr>
        <w:t>.4.3本项目针对残疾人福利性单位产品的价格给予扣除，</w:t>
      </w:r>
      <w:r>
        <w:rPr>
          <w:rFonts w:hint="eastAsia"/>
          <w:szCs w:val="21"/>
          <w:highlight w:val="none"/>
        </w:rPr>
        <w:t>扣除比例同小型和微型企业产品的价格给予扣除的比例，</w:t>
      </w:r>
      <w:r>
        <w:rPr>
          <w:szCs w:val="21"/>
          <w:highlight w:val="none"/>
        </w:rPr>
        <w:t>用扣除后的价格参与评审。残疾人福利性单位属于小型、微型企业的，不重复享受政策。</w:t>
      </w:r>
    </w:p>
    <w:p>
      <w:pPr>
        <w:keepNext w:val="0"/>
        <w:keepLines w:val="0"/>
        <w:pageBreakBefore w:val="0"/>
        <w:widowControl w:val="0"/>
        <w:kinsoku/>
        <w:wordWrap/>
        <w:overflowPunct/>
        <w:topLinePunct w:val="0"/>
        <w:autoSpaceDE/>
        <w:autoSpaceDN/>
        <w:bidi w:val="0"/>
        <w:adjustRightInd/>
        <w:snapToGrid/>
        <w:spacing w:line="360" w:lineRule="auto"/>
        <w:ind w:firstLine="422" w:firstLineChars="200"/>
        <w:jc w:val="left"/>
        <w:textAlignment w:val="auto"/>
        <w:rPr>
          <w:rFonts w:hint="eastAsia"/>
          <w:szCs w:val="21"/>
          <w:highlight w:val="none"/>
        </w:rPr>
      </w:pPr>
      <w:r>
        <w:rPr>
          <w:rFonts w:hint="eastAsia"/>
          <w:b/>
          <w:bCs/>
          <w:szCs w:val="21"/>
          <w:highlight w:val="none"/>
        </w:rPr>
        <w:t>35.</w:t>
      </w:r>
      <w:r>
        <w:rPr>
          <w:rFonts w:hint="eastAsia"/>
          <w:b/>
          <w:bCs/>
          <w:szCs w:val="21"/>
          <w:highlight w:val="none"/>
          <w:lang w:val="en-US" w:eastAsia="zh-CN"/>
        </w:rPr>
        <w:t>5</w:t>
      </w:r>
      <w:r>
        <w:rPr>
          <w:b/>
          <w:bCs/>
          <w:szCs w:val="21"/>
          <w:highlight w:val="none"/>
        </w:rPr>
        <w:t>其它需要补充的其他内容：</w:t>
      </w:r>
      <w:r>
        <w:rPr>
          <w:szCs w:val="21"/>
          <w:highlight w:val="none"/>
        </w:rPr>
        <w:t>详见</w:t>
      </w:r>
      <w:r>
        <w:rPr>
          <w:rFonts w:hint="eastAsia"/>
          <w:szCs w:val="21"/>
          <w:highlight w:val="none"/>
        </w:rPr>
        <w:t>“</w:t>
      </w:r>
      <w:r>
        <w:rPr>
          <w:szCs w:val="21"/>
          <w:highlight w:val="none"/>
        </w:rPr>
        <w:t>投标人须知前附表</w:t>
      </w:r>
      <w:r>
        <w:rPr>
          <w:rFonts w:hint="eastAsia"/>
          <w:szCs w:val="21"/>
          <w:highlight w:val="none"/>
        </w:rPr>
        <w:t>”</w:t>
      </w:r>
      <w:r>
        <w:rPr>
          <w:szCs w:val="21"/>
          <w:highlight w:val="none"/>
        </w:rPr>
        <w:t>。</w:t>
      </w:r>
    </w:p>
    <w:p>
      <w:pPr>
        <w:pStyle w:val="3"/>
        <w:numPr>
          <w:ilvl w:val="0"/>
          <w:numId w:val="0"/>
        </w:numPr>
        <w:spacing w:before="0"/>
        <w:jc w:val="center"/>
        <w:rPr>
          <w:rFonts w:hint="eastAsia" w:ascii="黑体"/>
          <w:sz w:val="32"/>
          <w:szCs w:val="32"/>
          <w:highlight w:val="none"/>
        </w:rPr>
      </w:pPr>
      <w:r>
        <w:rPr>
          <w:rFonts w:hint="eastAsia" w:ascii="宋体" w:eastAsia="宋体"/>
          <w:highlight w:val="none"/>
        </w:rPr>
        <w:br w:type="page"/>
      </w:r>
      <w:bookmarkStart w:id="291" w:name="_Toc17214"/>
      <w:bookmarkStart w:id="292" w:name="_Toc6411"/>
      <w:bookmarkStart w:id="293" w:name="_Toc14247"/>
      <w:r>
        <w:rPr>
          <w:rFonts w:hint="eastAsia" w:ascii="黑体"/>
          <w:sz w:val="32"/>
          <w:szCs w:val="32"/>
          <w:highlight w:val="none"/>
        </w:rPr>
        <w:t>第三章  合同书样式及主要条款</w:t>
      </w:r>
      <w:bookmarkEnd w:id="291"/>
      <w:bookmarkEnd w:id="292"/>
      <w:bookmarkEnd w:id="293"/>
    </w:p>
    <w:p>
      <w:pPr>
        <w:keepNext w:val="0"/>
        <w:keepLines w:val="0"/>
        <w:pageBreakBefore w:val="0"/>
        <w:widowControl/>
        <w:kinsoku/>
        <w:wordWrap/>
        <w:overflowPunct/>
        <w:topLinePunct w:val="0"/>
        <w:autoSpaceDE/>
        <w:autoSpaceDN/>
        <w:bidi w:val="0"/>
        <w:adjustRightInd/>
        <w:snapToGrid/>
        <w:spacing w:before="120" w:beforeLines="50" w:line="360" w:lineRule="auto"/>
        <w:jc w:val="center"/>
        <w:textAlignment w:val="auto"/>
        <w:outlineLvl w:val="1"/>
        <w:rPr>
          <w:rFonts w:hint="eastAsia" w:ascii="黑体" w:hAnsi="黑体" w:eastAsia="黑体" w:cs="黑体"/>
          <w:b/>
          <w:sz w:val="28"/>
          <w:szCs w:val="28"/>
          <w:highlight w:val="none"/>
        </w:rPr>
      </w:pPr>
      <w:bookmarkStart w:id="294" w:name="_Toc14780"/>
      <w:bookmarkStart w:id="295" w:name="_Toc9787"/>
      <w:bookmarkStart w:id="296" w:name="_Toc19795"/>
      <w:bookmarkStart w:id="297" w:name="_Toc8164"/>
      <w:bookmarkStart w:id="298" w:name="_Toc220"/>
      <w:bookmarkStart w:id="299" w:name="_Toc1529"/>
      <w:bookmarkStart w:id="300" w:name="_Toc2573"/>
      <w:bookmarkStart w:id="301" w:name="_Toc11175"/>
      <w:bookmarkStart w:id="302" w:name="_Toc24244"/>
      <w:bookmarkStart w:id="303" w:name="_Toc16900"/>
      <w:bookmarkStart w:id="304" w:name="_Toc23657"/>
      <w:bookmarkStart w:id="305" w:name="_Toc8965"/>
      <w:bookmarkStart w:id="306" w:name="_Toc418755636"/>
      <w:r>
        <w:rPr>
          <w:rFonts w:hint="eastAsia" w:ascii="黑体" w:hAnsi="黑体" w:eastAsia="黑体" w:cs="黑体"/>
          <w:b/>
          <w:sz w:val="28"/>
          <w:szCs w:val="28"/>
          <w:highlight w:val="none"/>
        </w:rPr>
        <w:t>一、主要合同条件</w:t>
      </w:r>
      <w:bookmarkEnd w:id="294"/>
      <w:bookmarkEnd w:id="295"/>
      <w:bookmarkEnd w:id="296"/>
      <w:bookmarkEnd w:id="297"/>
      <w:bookmarkEnd w:id="298"/>
      <w:bookmarkEnd w:id="299"/>
      <w:bookmarkEnd w:id="300"/>
      <w:bookmarkEnd w:id="301"/>
      <w:bookmarkEnd w:id="302"/>
      <w:bookmarkEnd w:id="303"/>
      <w:bookmarkEnd w:id="304"/>
    </w:p>
    <w:tbl>
      <w:tblPr>
        <w:tblStyle w:val="3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5"/>
        <w:gridCol w:w="2240"/>
        <w:gridCol w:w="57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755" w:type="dxa"/>
            <w:tcBorders>
              <w:bottom w:val="single" w:color="auto" w:sz="4" w:space="0"/>
            </w:tcBorders>
            <w:vAlign w:val="center"/>
          </w:tcPr>
          <w:p>
            <w:pPr>
              <w:pStyle w:val="18"/>
              <w:adjustRightInd w:val="0"/>
              <w:snapToGrid w:val="0"/>
              <w:jc w:val="center"/>
              <w:rPr>
                <w:rFonts w:hint="eastAsia" w:hAnsi="宋体" w:cs="宋体"/>
                <w:b/>
                <w:bCs/>
                <w:sz w:val="24"/>
                <w:szCs w:val="24"/>
                <w:highlight w:val="none"/>
              </w:rPr>
            </w:pPr>
            <w:r>
              <w:rPr>
                <w:rFonts w:hint="eastAsia" w:hAnsi="宋体" w:cs="宋体"/>
                <w:b/>
                <w:bCs/>
                <w:sz w:val="24"/>
                <w:szCs w:val="24"/>
                <w:highlight w:val="none"/>
              </w:rPr>
              <w:t>序号</w:t>
            </w:r>
          </w:p>
        </w:tc>
        <w:tc>
          <w:tcPr>
            <w:tcW w:w="2240" w:type="dxa"/>
            <w:tcBorders>
              <w:bottom w:val="single" w:color="auto" w:sz="4" w:space="0"/>
            </w:tcBorders>
            <w:vAlign w:val="center"/>
          </w:tcPr>
          <w:p>
            <w:pPr>
              <w:pStyle w:val="18"/>
              <w:adjustRightInd w:val="0"/>
              <w:jc w:val="center"/>
              <w:rPr>
                <w:rFonts w:hint="eastAsia" w:hAnsi="宋体" w:cs="宋体"/>
                <w:b/>
                <w:bCs/>
                <w:sz w:val="24"/>
                <w:szCs w:val="24"/>
                <w:highlight w:val="none"/>
              </w:rPr>
            </w:pPr>
            <w:r>
              <w:rPr>
                <w:rFonts w:hint="eastAsia" w:hAnsi="宋体" w:cs="宋体"/>
                <w:b/>
                <w:bCs/>
                <w:sz w:val="24"/>
                <w:szCs w:val="24"/>
                <w:highlight w:val="none"/>
              </w:rPr>
              <w:t>内   容</w:t>
            </w:r>
          </w:p>
        </w:tc>
        <w:tc>
          <w:tcPr>
            <w:tcW w:w="5707" w:type="dxa"/>
            <w:tcBorders>
              <w:bottom w:val="single" w:color="auto" w:sz="4" w:space="0"/>
            </w:tcBorders>
            <w:vAlign w:val="center"/>
          </w:tcPr>
          <w:p>
            <w:pPr>
              <w:pStyle w:val="18"/>
              <w:adjustRightInd w:val="0"/>
              <w:snapToGrid w:val="0"/>
              <w:jc w:val="center"/>
              <w:rPr>
                <w:rFonts w:hint="eastAsia" w:hAnsi="宋体" w:cs="宋体"/>
                <w:b/>
                <w:bCs/>
                <w:sz w:val="24"/>
                <w:szCs w:val="24"/>
                <w:highlight w:val="none"/>
              </w:rPr>
            </w:pPr>
            <w:r>
              <w:rPr>
                <w:rFonts w:hint="eastAsia" w:hAnsi="宋体" w:cs="宋体"/>
                <w:b/>
                <w:bCs/>
                <w:sz w:val="24"/>
                <w:szCs w:val="24"/>
                <w:highlight w:val="none"/>
              </w:rPr>
              <w:t>要   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exact"/>
          <w:jc w:val="center"/>
        </w:trPr>
        <w:tc>
          <w:tcPr>
            <w:tcW w:w="755" w:type="dxa"/>
            <w:tcBorders>
              <w:top w:val="single" w:color="auto" w:sz="4" w:space="0"/>
            </w:tcBorders>
            <w:vAlign w:val="center"/>
          </w:tcPr>
          <w:p>
            <w:pPr>
              <w:pStyle w:val="18"/>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hAnsi="宋体" w:cs="宋体"/>
                <w:bCs/>
                <w:szCs w:val="21"/>
                <w:highlight w:val="none"/>
              </w:rPr>
            </w:pPr>
            <w:r>
              <w:rPr>
                <w:rFonts w:hint="eastAsia" w:hAnsi="宋体" w:cs="宋体"/>
                <w:bCs/>
                <w:szCs w:val="21"/>
                <w:highlight w:val="none"/>
              </w:rPr>
              <w:t>1</w:t>
            </w:r>
          </w:p>
        </w:tc>
        <w:tc>
          <w:tcPr>
            <w:tcW w:w="2240" w:type="dxa"/>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宋体" w:hAnsi="宋体" w:eastAsia="宋体" w:cs="宋体"/>
                <w:szCs w:val="21"/>
                <w:highlight w:val="none"/>
                <w:lang w:eastAsia="zh-CN"/>
              </w:rPr>
            </w:pPr>
            <w:r>
              <w:rPr>
                <w:rFonts w:hint="eastAsia" w:ascii="宋体" w:hAnsi="宋体" w:cs="宋体"/>
                <w:szCs w:val="21"/>
                <w:highlight w:val="none"/>
                <w:lang w:eastAsia="zh-CN"/>
              </w:rPr>
              <w:t>服务期</w:t>
            </w:r>
          </w:p>
        </w:tc>
        <w:tc>
          <w:tcPr>
            <w:tcW w:w="5707" w:type="dxa"/>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spacing w:line="440" w:lineRule="exact"/>
              <w:jc w:val="left"/>
              <w:textAlignment w:val="auto"/>
              <w:rPr>
                <w:rFonts w:hint="eastAsia" w:ascii="宋体" w:hAnsi="宋体" w:eastAsia="宋体" w:cs="宋体"/>
                <w:szCs w:val="21"/>
                <w:highlight w:val="none"/>
                <w:lang w:eastAsia="zh-CN"/>
              </w:rPr>
            </w:pPr>
            <w:r>
              <w:rPr>
                <w:rFonts w:hint="eastAsia" w:ascii="宋体" w:hAnsi="宋体" w:cs="宋体"/>
                <w:szCs w:val="21"/>
                <w:highlight w:val="none"/>
              </w:rPr>
              <w:t>详见第一章“招标公告”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55" w:type="dxa"/>
            <w:vAlign w:val="center"/>
          </w:tcPr>
          <w:p>
            <w:pPr>
              <w:pStyle w:val="18"/>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hAnsi="宋体" w:cs="宋体"/>
                <w:bCs/>
                <w:szCs w:val="21"/>
                <w:highlight w:val="none"/>
              </w:rPr>
            </w:pPr>
            <w:r>
              <w:rPr>
                <w:rFonts w:hint="eastAsia" w:hAnsi="宋体" w:cs="宋体"/>
                <w:bCs/>
                <w:szCs w:val="21"/>
                <w:highlight w:val="none"/>
              </w:rPr>
              <w:t>2</w:t>
            </w:r>
          </w:p>
        </w:tc>
        <w:tc>
          <w:tcPr>
            <w:tcW w:w="2240" w:type="dxa"/>
            <w:vAlign w:val="center"/>
          </w:tcPr>
          <w:p>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宋体" w:hAnsi="宋体" w:eastAsia="宋体" w:cs="宋体"/>
                <w:szCs w:val="21"/>
                <w:highlight w:val="none"/>
                <w:lang w:eastAsia="zh-CN"/>
              </w:rPr>
            </w:pPr>
            <w:r>
              <w:rPr>
                <w:rFonts w:hint="eastAsia" w:ascii="宋体" w:hAnsi="宋体" w:cs="宋体"/>
                <w:szCs w:val="21"/>
                <w:highlight w:val="none"/>
                <w:lang w:eastAsia="zh-CN"/>
              </w:rPr>
              <w:t>服务地点</w:t>
            </w:r>
          </w:p>
        </w:tc>
        <w:tc>
          <w:tcPr>
            <w:tcW w:w="5707" w:type="dxa"/>
            <w:vAlign w:val="center"/>
          </w:tcPr>
          <w:p>
            <w:pPr>
              <w:keepNext w:val="0"/>
              <w:keepLines w:val="0"/>
              <w:pageBreakBefore w:val="0"/>
              <w:widowControl w:val="0"/>
              <w:kinsoku/>
              <w:wordWrap/>
              <w:overflowPunct/>
              <w:topLinePunct w:val="0"/>
              <w:autoSpaceDE/>
              <w:autoSpaceDN/>
              <w:bidi w:val="0"/>
              <w:adjustRightInd w:val="0"/>
              <w:snapToGrid w:val="0"/>
              <w:spacing w:line="440" w:lineRule="exact"/>
              <w:jc w:val="left"/>
              <w:textAlignment w:val="auto"/>
              <w:rPr>
                <w:rFonts w:hint="eastAsia" w:ascii="宋体" w:hAnsi="宋体" w:cs="宋体"/>
                <w:szCs w:val="21"/>
                <w:highlight w:val="none"/>
              </w:rPr>
            </w:pPr>
            <w:r>
              <w:rPr>
                <w:rFonts w:hint="eastAsia" w:ascii="宋体" w:hAnsi="宋体" w:cs="宋体"/>
                <w:szCs w:val="21"/>
                <w:highlight w:val="none"/>
              </w:rPr>
              <w:t>详见第一章“招标公告”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8" w:hRule="atLeast"/>
          <w:jc w:val="center"/>
        </w:trPr>
        <w:tc>
          <w:tcPr>
            <w:tcW w:w="755" w:type="dxa"/>
            <w:vAlign w:val="center"/>
          </w:tcPr>
          <w:p>
            <w:pPr>
              <w:pStyle w:val="18"/>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hAnsi="宋体" w:eastAsia="宋体" w:cs="宋体"/>
                <w:bCs/>
                <w:szCs w:val="21"/>
                <w:highlight w:val="none"/>
                <w:lang w:eastAsia="zh-CN"/>
              </w:rPr>
            </w:pPr>
            <w:r>
              <w:rPr>
                <w:rFonts w:hint="eastAsia" w:hAnsi="宋体" w:cs="宋体"/>
                <w:bCs/>
                <w:szCs w:val="21"/>
                <w:highlight w:val="none"/>
                <w:lang w:val="en-US" w:eastAsia="zh-CN"/>
              </w:rPr>
              <w:t>3</w:t>
            </w:r>
          </w:p>
        </w:tc>
        <w:tc>
          <w:tcPr>
            <w:tcW w:w="2240" w:type="dxa"/>
            <w:vAlign w:val="center"/>
          </w:tcPr>
          <w:p>
            <w:pPr>
              <w:keepNext w:val="0"/>
              <w:keepLines w:val="0"/>
              <w:pageBreakBefore w:val="0"/>
              <w:widowControl w:val="0"/>
              <w:kinsoku/>
              <w:wordWrap/>
              <w:overflowPunct/>
              <w:topLinePunct w:val="0"/>
              <w:autoSpaceDE/>
              <w:autoSpaceDN/>
              <w:bidi w:val="0"/>
              <w:spacing w:line="440" w:lineRule="exact"/>
              <w:jc w:val="center"/>
              <w:textAlignment w:val="auto"/>
              <w:rPr>
                <w:rFonts w:hint="eastAsia" w:ascii="宋体" w:hAnsi="宋体" w:eastAsia="宋体" w:cs="宋体"/>
                <w:color w:val="auto"/>
                <w:kern w:val="2"/>
                <w:sz w:val="21"/>
                <w:szCs w:val="22"/>
                <w:highlight w:val="yellow"/>
                <w:lang w:val="en-US" w:eastAsia="zh-CN" w:bidi="ar-SA"/>
              </w:rPr>
            </w:pPr>
            <w:r>
              <w:rPr>
                <w:rFonts w:hint="eastAsia" w:ascii="宋体" w:hAnsi="宋体" w:cs="宋体"/>
                <w:color w:val="auto"/>
                <w:szCs w:val="22"/>
                <w:highlight w:val="none"/>
              </w:rPr>
              <w:t>付款方式</w:t>
            </w:r>
          </w:p>
        </w:tc>
        <w:tc>
          <w:tcPr>
            <w:tcW w:w="5707" w:type="dxa"/>
            <w:vAlign w:val="center"/>
          </w:tcPr>
          <w:p>
            <w:pPr>
              <w:keepNext w:val="0"/>
              <w:keepLines w:val="0"/>
              <w:pageBreakBefore w:val="0"/>
              <w:widowControl w:val="0"/>
              <w:kinsoku/>
              <w:wordWrap/>
              <w:overflowPunct/>
              <w:topLinePunct w:val="0"/>
              <w:autoSpaceDE/>
              <w:autoSpaceDN/>
              <w:bidi w:val="0"/>
              <w:spacing w:line="440" w:lineRule="exact"/>
              <w:jc w:val="left"/>
              <w:textAlignment w:val="auto"/>
              <w:rPr>
                <w:rFonts w:hint="eastAsia" w:ascii="宋体" w:hAnsi="宋体" w:eastAsia="宋体" w:cs="宋体"/>
                <w:color w:val="auto"/>
                <w:kern w:val="2"/>
                <w:sz w:val="21"/>
                <w:szCs w:val="22"/>
                <w:highlight w:val="yellow"/>
                <w:lang w:val="en-US" w:eastAsia="zh-CN" w:bidi="ar-SA"/>
              </w:rPr>
            </w:pPr>
            <w:r>
              <w:rPr>
                <w:rFonts w:hint="eastAsia" w:ascii="宋体" w:hAnsi="宋体" w:eastAsia="宋体" w:cs="宋体"/>
                <w:color w:val="auto"/>
                <w:kern w:val="2"/>
                <w:sz w:val="21"/>
                <w:szCs w:val="22"/>
                <w:highlight w:val="none"/>
                <w:lang w:val="en-US" w:eastAsia="zh-CN" w:bidi="ar-SA"/>
              </w:rPr>
              <w:t>甲方与乙方签订合同后的15个工作日内支付基础报酬。甲方出具正式审计文书5个工作日内先支付乙方60%的绩效报酬，待行政复议和行政诉讼期满，且期间未发生针对中介机构查出问题的行政复议或行政诉讼后十个工作日内支付剩余40%的绩效报酬。若期间发生行政复议或行政诉讼，乙方必须安排相应专业人员前来应诉，行政复议或诉讼结果未改变审计造价核减结论的，自判决之日起十个工作日内支付剩余40%的绩效报酬。如行政复议、行政诉讼等司法结论改变、撤销或否定（包括部分改变、撤销、否定）核减结论的，甲方将根据造价核减结论变化从剩余40%绩效报酬中相应扣除应付费用，剩余费用不足以抵扣的，乙方必须退回相应的费用。乙方未安排相应专业人员前来应诉的，剩余40%的绩效报酬将不予支付</w:t>
            </w:r>
            <w:r>
              <w:rPr>
                <w:rFonts w:hint="eastAsia" w:ascii="宋体" w:hAnsi="宋体" w:cs="宋体"/>
                <w:color w:val="auto"/>
                <w:kern w:val="2"/>
                <w:sz w:val="21"/>
                <w:szCs w:val="22"/>
                <w:highlight w:val="none"/>
                <w:lang w:val="en-US" w:eastAsia="zh-CN" w:bidi="ar-SA"/>
              </w:rPr>
              <w:t>。</w:t>
            </w:r>
          </w:p>
        </w:tc>
      </w:tr>
    </w:tbl>
    <w:p>
      <w:pPr>
        <w:spacing w:line="360" w:lineRule="auto"/>
        <w:ind w:firstLine="422" w:firstLineChars="200"/>
        <w:rPr>
          <w:rFonts w:hint="eastAsia" w:ascii="宋体"/>
          <w:b/>
          <w:sz w:val="21"/>
          <w:szCs w:val="21"/>
          <w:highlight w:val="none"/>
        </w:rPr>
      </w:pPr>
    </w:p>
    <w:bookmarkEnd w:id="305"/>
    <w:bookmarkEnd w:id="306"/>
    <w:p>
      <w:pPr>
        <w:spacing w:line="360" w:lineRule="auto"/>
        <w:ind w:firstLine="482" w:firstLineChars="200"/>
        <w:rPr>
          <w:rFonts w:hint="eastAsia" w:ascii="宋体"/>
          <w:b/>
          <w:sz w:val="24"/>
          <w:highlight w:val="none"/>
        </w:rPr>
      </w:pPr>
    </w:p>
    <w:p>
      <w:pPr>
        <w:keepNext w:val="0"/>
        <w:keepLines w:val="0"/>
        <w:pageBreakBefore w:val="0"/>
        <w:widowControl/>
        <w:kinsoku/>
        <w:wordWrap/>
        <w:overflowPunct/>
        <w:topLinePunct w:val="0"/>
        <w:autoSpaceDE/>
        <w:autoSpaceDN/>
        <w:bidi w:val="0"/>
        <w:adjustRightInd/>
        <w:snapToGrid/>
        <w:spacing w:before="120" w:beforeLines="50" w:line="360" w:lineRule="auto"/>
        <w:jc w:val="center"/>
        <w:textAlignment w:val="auto"/>
        <w:outlineLvl w:val="1"/>
        <w:rPr>
          <w:rFonts w:hint="eastAsia" w:ascii="黑体" w:hAnsi="黑体" w:eastAsia="黑体" w:cs="黑体"/>
          <w:b/>
          <w:sz w:val="28"/>
          <w:szCs w:val="28"/>
          <w:highlight w:val="none"/>
        </w:rPr>
      </w:pPr>
      <w:bookmarkStart w:id="307" w:name="_Toc8534"/>
      <w:bookmarkStart w:id="308" w:name="_Toc13647"/>
      <w:bookmarkStart w:id="309" w:name="_Toc23219"/>
      <w:bookmarkStart w:id="310" w:name="_Toc7451"/>
      <w:bookmarkStart w:id="311" w:name="_Toc17101"/>
      <w:bookmarkStart w:id="312" w:name="_Toc3086"/>
      <w:bookmarkStart w:id="313" w:name="_Toc13170"/>
      <w:bookmarkStart w:id="314" w:name="_Toc25394"/>
      <w:bookmarkStart w:id="315" w:name="_Toc8354"/>
      <w:bookmarkStart w:id="316" w:name="_Toc3410"/>
      <w:bookmarkStart w:id="317" w:name="_Toc3082"/>
      <w:r>
        <w:rPr>
          <w:rFonts w:hint="eastAsia" w:ascii="黑体" w:hAnsi="黑体" w:eastAsia="黑体" w:cs="黑体"/>
          <w:b/>
          <w:sz w:val="28"/>
          <w:szCs w:val="28"/>
          <w:highlight w:val="none"/>
        </w:rPr>
        <w:t>二、合同格式</w:t>
      </w:r>
      <w:bookmarkEnd w:id="307"/>
      <w:bookmarkEnd w:id="308"/>
      <w:bookmarkEnd w:id="309"/>
      <w:bookmarkEnd w:id="310"/>
      <w:bookmarkEnd w:id="311"/>
      <w:bookmarkEnd w:id="312"/>
      <w:bookmarkEnd w:id="313"/>
      <w:bookmarkEnd w:id="314"/>
      <w:bookmarkEnd w:id="315"/>
      <w:bookmarkEnd w:id="316"/>
      <w:bookmarkEnd w:id="317"/>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bCs/>
          <w:sz w:val="24"/>
          <w:highlight w:val="none"/>
        </w:rPr>
      </w:pPr>
      <w:r>
        <w:rPr>
          <w:rFonts w:hint="eastAsia" w:ascii="宋体"/>
          <w:bCs/>
          <w:szCs w:val="21"/>
          <w:highlight w:val="none"/>
        </w:rPr>
        <w:t>说明：1、本合同格式仅供参考，具体由采购人及中标人最终商定，但不能改变招标文件、投标文件实质性条件。</w:t>
      </w:r>
    </w:p>
    <w:p>
      <w:pPr>
        <w:spacing w:line="400" w:lineRule="exact"/>
        <w:rPr>
          <w:rFonts w:ascii="仿宋_GB2312" w:hAnsi="宋体" w:eastAsia="仿宋_GB2312" w:cs="Times New Roman"/>
          <w:sz w:val="24"/>
          <w:szCs w:val="24"/>
          <w:lang w:bidi="ar-SA"/>
        </w:rPr>
      </w:pPr>
      <w:r>
        <w:rPr>
          <w:rFonts w:hint="eastAsia" w:ascii="宋体"/>
          <w:bCs/>
          <w:sz w:val="24"/>
          <w:highlight w:val="none"/>
        </w:rPr>
        <w:br w:type="page"/>
      </w:r>
      <w:r>
        <w:rPr>
          <w:rFonts w:hint="eastAsia" w:ascii="宋体"/>
          <w:bCs/>
          <w:sz w:val="24"/>
          <w:highlight w:val="none"/>
        </w:rPr>
        <w:t xml:space="preserve">    </w:t>
      </w:r>
    </w:p>
    <w:p>
      <w:pPr>
        <w:jc w:val="center"/>
        <w:rPr>
          <w:rFonts w:hint="eastAsia" w:ascii="仿宋_GB2312" w:eastAsia="仿宋_GB2312"/>
          <w:b/>
          <w:color w:val="auto"/>
          <w:sz w:val="44"/>
          <w:highlight w:val="none"/>
          <w:lang w:eastAsia="zh-CN"/>
        </w:rPr>
      </w:pPr>
    </w:p>
    <w:p>
      <w:pPr>
        <w:jc w:val="center"/>
        <w:rPr>
          <w:rFonts w:hint="eastAsia" w:ascii="仿宋_GB2312" w:eastAsia="仿宋_GB2312"/>
          <w:b/>
          <w:color w:val="auto"/>
          <w:sz w:val="44"/>
          <w:highlight w:val="none"/>
          <w:lang w:eastAsia="zh-CN"/>
        </w:rPr>
      </w:pPr>
      <w:r>
        <w:rPr>
          <w:rFonts w:hint="eastAsia" w:ascii="仿宋_GB2312" w:eastAsia="仿宋_GB2312"/>
          <w:b/>
          <w:color w:val="auto"/>
          <w:sz w:val="44"/>
          <w:highlight w:val="none"/>
          <w:lang w:eastAsia="zh-CN"/>
        </w:rPr>
        <w:t>2023年曲水县“十三五”期间政府项目（2000万-5000万）审计</w:t>
      </w:r>
      <w:r>
        <w:rPr>
          <w:rFonts w:hint="eastAsia" w:ascii="仿宋_GB2312" w:eastAsia="仿宋_GB2312"/>
          <w:b/>
          <w:color w:val="auto"/>
          <w:sz w:val="44"/>
          <w:highlight w:val="none"/>
          <w:lang w:val="en-US" w:eastAsia="zh-CN"/>
        </w:rPr>
        <w:t>协议</w:t>
      </w:r>
    </w:p>
    <w:p>
      <w:pPr>
        <w:spacing w:line="360" w:lineRule="auto"/>
        <w:rPr>
          <w:rFonts w:hint="eastAsia" w:ascii="宋体" w:hAnsi="宋体"/>
          <w:b/>
          <w:bCs/>
          <w:color w:val="auto"/>
          <w:sz w:val="32"/>
          <w:szCs w:val="32"/>
          <w:highlight w:val="none"/>
        </w:rPr>
      </w:pPr>
    </w:p>
    <w:p>
      <w:pPr>
        <w:spacing w:line="360" w:lineRule="auto"/>
        <w:rPr>
          <w:rFonts w:hint="eastAsia" w:ascii="宋体" w:hAnsi="宋体"/>
          <w:b/>
          <w:bCs/>
          <w:color w:val="auto"/>
          <w:sz w:val="32"/>
          <w:szCs w:val="32"/>
          <w:highlight w:val="none"/>
        </w:rPr>
      </w:pPr>
    </w:p>
    <w:p>
      <w:pPr>
        <w:spacing w:line="360" w:lineRule="auto"/>
        <w:rPr>
          <w:rFonts w:hint="eastAsia" w:ascii="宋体" w:hAnsi="宋体"/>
          <w:b/>
          <w:bCs/>
          <w:color w:val="auto"/>
          <w:sz w:val="32"/>
          <w:szCs w:val="32"/>
          <w:highlight w:val="none"/>
        </w:rPr>
      </w:pPr>
    </w:p>
    <w:p>
      <w:pPr>
        <w:spacing w:line="360" w:lineRule="auto"/>
        <w:rPr>
          <w:rFonts w:hint="eastAsia" w:ascii="宋体" w:hAnsi="宋体"/>
          <w:b/>
          <w:bCs/>
          <w:color w:val="auto"/>
          <w:sz w:val="32"/>
          <w:szCs w:val="32"/>
          <w:highlight w:val="none"/>
        </w:rPr>
      </w:pPr>
    </w:p>
    <w:p>
      <w:pPr>
        <w:spacing w:line="360" w:lineRule="auto"/>
        <w:rPr>
          <w:rFonts w:hint="eastAsia" w:ascii="宋体" w:hAnsi="宋体"/>
          <w:b/>
          <w:bCs/>
          <w:color w:val="auto"/>
          <w:sz w:val="32"/>
          <w:szCs w:val="32"/>
          <w:highlight w:val="none"/>
        </w:rPr>
      </w:pPr>
    </w:p>
    <w:p>
      <w:pPr>
        <w:adjustRightInd w:val="0"/>
        <w:spacing w:before="120" w:beforeLines="0" w:line="360" w:lineRule="auto"/>
        <w:rPr>
          <w:rFonts w:hint="eastAsia" w:ascii="宋体" w:hAnsi="宋体"/>
          <w:color w:val="auto"/>
          <w:sz w:val="32"/>
          <w:szCs w:val="32"/>
          <w:highlight w:val="none"/>
        </w:rPr>
      </w:pPr>
      <w:r>
        <w:rPr>
          <w:rFonts w:hint="eastAsia" w:ascii="宋体" w:hAnsi="宋体"/>
          <w:b/>
          <w:bCs/>
          <w:color w:val="auto"/>
          <w:sz w:val="32"/>
          <w:szCs w:val="32"/>
          <w:highlight w:val="none"/>
        </w:rPr>
        <w:t xml:space="preserve"> </w:t>
      </w:r>
    </w:p>
    <w:p>
      <w:pPr>
        <w:spacing w:line="360" w:lineRule="auto"/>
        <w:rPr>
          <w:rFonts w:hint="eastAsia" w:ascii="仿宋_GB2312" w:eastAsia="仿宋_GB2312"/>
          <w:b/>
          <w:bCs/>
          <w:color w:val="auto"/>
          <w:sz w:val="32"/>
          <w:szCs w:val="32"/>
          <w:highlight w:val="none"/>
          <w:u w:val="single"/>
        </w:rPr>
      </w:pPr>
      <w:r>
        <w:rPr>
          <w:rFonts w:hint="eastAsia" w:ascii="仿宋_GB2312" w:eastAsia="仿宋_GB2312"/>
          <w:b/>
          <w:bCs/>
          <w:color w:val="auto"/>
          <w:sz w:val="32"/>
          <w:szCs w:val="32"/>
          <w:highlight w:val="none"/>
          <w:lang w:eastAsia="zh-CN"/>
        </w:rPr>
        <w:t>协议</w:t>
      </w:r>
      <w:r>
        <w:rPr>
          <w:rFonts w:hint="eastAsia" w:ascii="仿宋_GB2312" w:eastAsia="仿宋_GB2312"/>
          <w:b/>
          <w:bCs/>
          <w:color w:val="auto"/>
          <w:sz w:val="32"/>
          <w:szCs w:val="32"/>
          <w:highlight w:val="none"/>
        </w:rPr>
        <w:t>编号：</w:t>
      </w:r>
      <w:r>
        <w:rPr>
          <w:rFonts w:hint="eastAsia" w:ascii="仿宋_GB2312" w:eastAsia="仿宋_GB2312"/>
          <w:b/>
          <w:bCs/>
          <w:color w:val="auto"/>
          <w:sz w:val="32"/>
          <w:szCs w:val="32"/>
          <w:highlight w:val="none"/>
          <w:u w:val="single"/>
        </w:rPr>
        <w:t xml:space="preserve">      </w:t>
      </w:r>
      <w:r>
        <w:rPr>
          <w:rFonts w:hint="eastAsia" w:ascii="仿宋_GB2312" w:eastAsia="仿宋_GB2312"/>
          <w:b/>
          <w:bCs/>
          <w:color w:val="auto"/>
          <w:sz w:val="32"/>
          <w:szCs w:val="32"/>
          <w:highlight w:val="none"/>
          <w:u w:val="single"/>
          <w:lang w:val="en-US" w:eastAsia="zh-CN"/>
        </w:rPr>
        <w:t xml:space="preserve">              </w:t>
      </w:r>
      <w:r>
        <w:rPr>
          <w:rFonts w:ascii="仿宋_GB2312" w:eastAsia="仿宋_GB2312"/>
          <w:b/>
          <w:bCs/>
          <w:color w:val="auto"/>
          <w:sz w:val="32"/>
          <w:szCs w:val="32"/>
          <w:highlight w:val="none"/>
          <w:u w:val="single"/>
        </w:rPr>
        <w:t xml:space="preserve">   </w:t>
      </w:r>
      <w:r>
        <w:rPr>
          <w:rFonts w:hint="eastAsia" w:ascii="仿宋_GB2312" w:eastAsia="仿宋_GB2312"/>
          <w:b/>
          <w:bCs/>
          <w:color w:val="auto"/>
          <w:sz w:val="32"/>
          <w:szCs w:val="32"/>
          <w:highlight w:val="none"/>
          <w:u w:val="single"/>
        </w:rPr>
        <w:t xml:space="preserve">        </w:t>
      </w:r>
      <w:r>
        <w:rPr>
          <w:rFonts w:hint="eastAsia" w:ascii="仿宋_GB2312" w:eastAsia="仿宋_GB2312"/>
          <w:b/>
          <w:bCs/>
          <w:color w:val="auto"/>
          <w:sz w:val="32"/>
          <w:szCs w:val="32"/>
          <w:highlight w:val="none"/>
          <w:u w:val="single"/>
          <w:lang w:val="en-US" w:eastAsia="zh-CN"/>
        </w:rPr>
        <w:t xml:space="preserve">   </w:t>
      </w:r>
    </w:p>
    <w:p>
      <w:pPr>
        <w:spacing w:line="360" w:lineRule="auto"/>
        <w:rPr>
          <w:rFonts w:hint="eastAsia" w:ascii="仿宋_GB2312" w:eastAsia="仿宋_GB2312"/>
          <w:b/>
          <w:bCs/>
          <w:color w:val="auto"/>
          <w:sz w:val="32"/>
          <w:szCs w:val="32"/>
          <w:highlight w:val="none"/>
        </w:rPr>
      </w:pPr>
      <w:r>
        <w:rPr>
          <w:rFonts w:hint="eastAsia" w:ascii="仿宋_GB2312" w:eastAsia="仿宋_GB2312"/>
          <w:b/>
          <w:bCs/>
          <w:color w:val="auto"/>
          <w:sz w:val="32"/>
          <w:szCs w:val="32"/>
          <w:highlight w:val="none"/>
        </w:rPr>
        <w:t>项目名称：</w:t>
      </w:r>
      <w:r>
        <w:rPr>
          <w:rFonts w:hint="eastAsia" w:ascii="仿宋_GB2312" w:eastAsia="仿宋_GB2312"/>
          <w:b/>
          <w:bCs/>
          <w:color w:val="auto"/>
          <w:sz w:val="32"/>
          <w:szCs w:val="32"/>
          <w:highlight w:val="none"/>
          <w:u w:val="single"/>
          <w:lang w:val="en-US" w:eastAsia="zh-CN"/>
        </w:rPr>
        <w:t xml:space="preserve">   </w:t>
      </w:r>
      <w:r>
        <w:rPr>
          <w:rFonts w:hint="eastAsia" w:ascii="仿宋_GB2312" w:eastAsia="仿宋_GB2312"/>
          <w:b/>
          <w:bCs/>
          <w:color w:val="auto"/>
          <w:sz w:val="32"/>
          <w:szCs w:val="32"/>
          <w:highlight w:val="none"/>
          <w:u w:val="single"/>
        </w:rPr>
        <w:t xml:space="preserve">             </w:t>
      </w:r>
      <w:r>
        <w:rPr>
          <w:rFonts w:hint="eastAsia" w:ascii="仿宋_GB2312" w:eastAsia="仿宋_GB2312"/>
          <w:b/>
          <w:bCs/>
          <w:color w:val="auto"/>
          <w:sz w:val="32"/>
          <w:szCs w:val="32"/>
          <w:highlight w:val="none"/>
          <w:u w:val="single"/>
          <w:lang w:val="en-US" w:eastAsia="zh-CN"/>
        </w:rPr>
        <w:t xml:space="preserve">                          </w:t>
      </w:r>
      <w:r>
        <w:rPr>
          <w:rFonts w:hint="eastAsia" w:ascii="仿宋_GB2312" w:eastAsia="仿宋_GB2312"/>
          <w:b/>
          <w:bCs/>
          <w:color w:val="auto"/>
          <w:sz w:val="32"/>
          <w:szCs w:val="32"/>
          <w:highlight w:val="none"/>
        </w:rPr>
        <w:t xml:space="preserve">                       </w:t>
      </w:r>
    </w:p>
    <w:p>
      <w:pPr>
        <w:spacing w:line="360" w:lineRule="auto"/>
        <w:rPr>
          <w:rFonts w:hint="eastAsia" w:ascii="仿宋_GB2312" w:eastAsia="仿宋_GB2312"/>
          <w:b/>
          <w:bCs/>
          <w:color w:val="auto"/>
          <w:sz w:val="32"/>
          <w:szCs w:val="32"/>
          <w:highlight w:val="none"/>
          <w:u w:val="single"/>
        </w:rPr>
      </w:pPr>
      <w:r>
        <w:rPr>
          <w:rFonts w:hint="eastAsia" w:ascii="仿宋_GB2312" w:eastAsia="仿宋_GB2312"/>
          <w:b/>
          <w:bCs/>
          <w:color w:val="auto"/>
          <w:sz w:val="32"/>
          <w:szCs w:val="32"/>
          <w:highlight w:val="none"/>
          <w:lang w:eastAsia="zh-CN"/>
        </w:rPr>
        <w:t>甲方</w:t>
      </w:r>
      <w:r>
        <w:rPr>
          <w:rFonts w:hint="eastAsia" w:ascii="仿宋_GB2312" w:eastAsia="仿宋_GB2312"/>
          <w:b/>
          <w:bCs/>
          <w:color w:val="auto"/>
          <w:sz w:val="32"/>
          <w:szCs w:val="32"/>
          <w:highlight w:val="none"/>
          <w:lang w:val="en-US" w:eastAsia="zh-CN"/>
        </w:rPr>
        <w:t xml:space="preserve"> </w:t>
      </w:r>
      <w:r>
        <w:rPr>
          <w:rFonts w:hint="eastAsia" w:ascii="仿宋_GB2312" w:eastAsia="仿宋_GB2312"/>
          <w:b/>
          <w:bCs/>
          <w:color w:val="auto"/>
          <w:sz w:val="32"/>
          <w:szCs w:val="32"/>
          <w:highlight w:val="none"/>
        </w:rPr>
        <w:t>：</w:t>
      </w:r>
      <w:r>
        <w:rPr>
          <w:rFonts w:hint="eastAsia" w:ascii="仿宋_GB2312" w:eastAsia="仿宋_GB2312"/>
          <w:b/>
          <w:bCs/>
          <w:color w:val="auto"/>
          <w:sz w:val="32"/>
          <w:szCs w:val="32"/>
          <w:highlight w:val="none"/>
          <w:u w:val="single"/>
          <w:lang w:val="en-US" w:eastAsia="zh-CN"/>
        </w:rPr>
        <w:t xml:space="preserve">                        </w:t>
      </w:r>
      <w:r>
        <w:rPr>
          <w:rFonts w:hint="eastAsia" w:ascii="仿宋_GB2312" w:eastAsia="仿宋_GB2312"/>
          <w:b/>
          <w:bCs/>
          <w:color w:val="auto"/>
          <w:sz w:val="32"/>
          <w:szCs w:val="32"/>
          <w:highlight w:val="none"/>
          <w:u w:val="single"/>
        </w:rPr>
        <w:t xml:space="preserve">     </w:t>
      </w:r>
      <w:r>
        <w:rPr>
          <w:rFonts w:hint="eastAsia" w:ascii="仿宋_GB2312" w:eastAsia="仿宋_GB2312"/>
          <w:b/>
          <w:bCs/>
          <w:color w:val="auto"/>
          <w:sz w:val="32"/>
          <w:szCs w:val="32"/>
          <w:highlight w:val="none"/>
          <w:u w:val="single"/>
          <w:lang w:val="en-US" w:eastAsia="zh-CN"/>
        </w:rPr>
        <w:t xml:space="preserve">                </w:t>
      </w:r>
    </w:p>
    <w:p>
      <w:pPr>
        <w:spacing w:line="360" w:lineRule="auto"/>
        <w:rPr>
          <w:rFonts w:ascii="仿宋_GB2312" w:eastAsia="仿宋_GB2312"/>
          <w:b/>
          <w:bCs/>
          <w:color w:val="auto"/>
          <w:sz w:val="32"/>
          <w:szCs w:val="32"/>
          <w:highlight w:val="none"/>
          <w:u w:val="single"/>
        </w:rPr>
      </w:pPr>
      <w:r>
        <w:rPr>
          <w:rFonts w:hint="eastAsia" w:ascii="仿宋_GB2312" w:eastAsia="仿宋_GB2312"/>
          <w:b/>
          <w:bCs/>
          <w:color w:val="auto"/>
          <w:sz w:val="32"/>
          <w:szCs w:val="32"/>
          <w:highlight w:val="none"/>
          <w:lang w:eastAsia="zh-CN"/>
        </w:rPr>
        <w:t>乙方</w:t>
      </w:r>
      <w:r>
        <w:rPr>
          <w:rFonts w:hint="eastAsia" w:ascii="仿宋_GB2312" w:eastAsia="仿宋_GB2312"/>
          <w:b/>
          <w:bCs/>
          <w:color w:val="auto"/>
          <w:sz w:val="32"/>
          <w:szCs w:val="32"/>
          <w:highlight w:val="none"/>
        </w:rPr>
        <w:t>：</w:t>
      </w:r>
      <w:r>
        <w:rPr>
          <w:rFonts w:hint="eastAsia" w:ascii="仿宋_GB2312" w:eastAsia="仿宋_GB2312"/>
          <w:b/>
          <w:bCs/>
          <w:color w:val="auto"/>
          <w:sz w:val="32"/>
          <w:szCs w:val="32"/>
          <w:highlight w:val="none"/>
          <w:u w:val="single"/>
        </w:rPr>
        <w:t xml:space="preserve">　    </w:t>
      </w:r>
      <w:r>
        <w:rPr>
          <w:rFonts w:hint="eastAsia" w:ascii="仿宋_GB2312" w:eastAsia="仿宋_GB2312"/>
          <w:b/>
          <w:color w:val="auto"/>
          <w:sz w:val="32"/>
          <w:szCs w:val="32"/>
          <w:highlight w:val="none"/>
          <w:u w:val="single"/>
        </w:rPr>
        <w:t xml:space="preserve">                         </w:t>
      </w:r>
      <w:r>
        <w:rPr>
          <w:rFonts w:hint="eastAsia" w:ascii="仿宋_GB2312" w:eastAsia="仿宋_GB2312"/>
          <w:b/>
          <w:color w:val="auto"/>
          <w:sz w:val="32"/>
          <w:szCs w:val="32"/>
          <w:highlight w:val="none"/>
          <w:u w:val="single"/>
          <w:lang w:val="en-US" w:eastAsia="zh-CN"/>
        </w:rPr>
        <w:t xml:space="preserve">           </w:t>
      </w:r>
      <w:r>
        <w:rPr>
          <w:rFonts w:hint="eastAsia" w:ascii="仿宋_GB2312" w:eastAsia="仿宋_GB2312"/>
          <w:b/>
          <w:color w:val="auto"/>
          <w:sz w:val="32"/>
          <w:szCs w:val="32"/>
          <w:highlight w:val="none"/>
          <w:u w:val="single"/>
        </w:rPr>
        <w:t xml:space="preserve"> </w:t>
      </w:r>
      <w:r>
        <w:rPr>
          <w:rFonts w:hint="eastAsia" w:ascii="仿宋_GB2312" w:eastAsia="仿宋_GB2312"/>
          <w:b/>
          <w:bCs/>
          <w:color w:val="auto"/>
          <w:sz w:val="32"/>
          <w:szCs w:val="32"/>
          <w:highlight w:val="none"/>
          <w:u w:val="single"/>
        </w:rPr>
        <w:t xml:space="preserve">      </w:t>
      </w:r>
    </w:p>
    <w:p>
      <w:pPr>
        <w:spacing w:line="360" w:lineRule="auto"/>
        <w:rPr>
          <w:rFonts w:ascii="仿宋_GB2312" w:eastAsia="仿宋_GB2312"/>
          <w:b/>
          <w:bCs/>
          <w:color w:val="auto"/>
          <w:sz w:val="32"/>
          <w:szCs w:val="32"/>
          <w:highlight w:val="none"/>
          <w:u w:val="single"/>
        </w:rPr>
      </w:pPr>
      <w:r>
        <w:rPr>
          <w:rFonts w:hint="eastAsia" w:ascii="仿宋_GB2312" w:eastAsia="仿宋_GB2312"/>
          <w:b/>
          <w:bCs/>
          <w:color w:val="auto"/>
          <w:sz w:val="32"/>
          <w:szCs w:val="32"/>
          <w:highlight w:val="none"/>
        </w:rPr>
        <w:t>签订日期：</w:t>
      </w:r>
      <w:r>
        <w:rPr>
          <w:rFonts w:hint="eastAsia" w:ascii="仿宋_GB2312" w:eastAsia="仿宋_GB2312"/>
          <w:b/>
          <w:bCs/>
          <w:color w:val="auto"/>
          <w:sz w:val="32"/>
          <w:szCs w:val="32"/>
          <w:highlight w:val="none"/>
          <w:u w:val="single"/>
        </w:rPr>
        <w:t xml:space="preserve">     </w:t>
      </w:r>
      <w:r>
        <w:rPr>
          <w:rFonts w:ascii="仿宋_GB2312" w:eastAsia="仿宋_GB2312"/>
          <w:b/>
          <w:bCs/>
          <w:color w:val="auto"/>
          <w:sz w:val="32"/>
          <w:szCs w:val="32"/>
          <w:highlight w:val="none"/>
          <w:u w:val="single"/>
        </w:rPr>
        <w:t xml:space="preserve"> </w:t>
      </w:r>
      <w:r>
        <w:rPr>
          <w:rFonts w:hint="eastAsia" w:ascii="仿宋_GB2312" w:eastAsia="仿宋_GB2312"/>
          <w:b/>
          <w:bCs/>
          <w:color w:val="auto"/>
          <w:sz w:val="32"/>
          <w:szCs w:val="32"/>
          <w:highlight w:val="none"/>
          <w:u w:val="single"/>
        </w:rPr>
        <w:t xml:space="preserve">      二0   年 </w:t>
      </w:r>
      <w:r>
        <w:rPr>
          <w:rFonts w:hint="eastAsia" w:ascii="仿宋_GB2312" w:eastAsia="仿宋_GB2312"/>
          <w:b/>
          <w:bCs/>
          <w:color w:val="auto"/>
          <w:sz w:val="32"/>
          <w:szCs w:val="32"/>
          <w:highlight w:val="none"/>
          <w:u w:val="single"/>
          <w:lang w:val="en-US" w:eastAsia="zh-CN"/>
        </w:rPr>
        <w:t xml:space="preserve"> </w:t>
      </w:r>
      <w:r>
        <w:rPr>
          <w:rFonts w:hint="eastAsia" w:ascii="仿宋_GB2312" w:eastAsia="仿宋_GB2312"/>
          <w:b/>
          <w:bCs/>
          <w:color w:val="auto"/>
          <w:sz w:val="32"/>
          <w:szCs w:val="32"/>
          <w:highlight w:val="none"/>
          <w:u w:val="single"/>
        </w:rPr>
        <w:t xml:space="preserve">月                 </w:t>
      </w:r>
      <w:r>
        <w:rPr>
          <w:rFonts w:ascii="仿宋_GB2312" w:eastAsia="仿宋_GB2312"/>
          <w:b/>
          <w:bCs/>
          <w:color w:val="auto"/>
          <w:sz w:val="32"/>
          <w:szCs w:val="32"/>
          <w:highlight w:val="none"/>
          <w:u w:val="single"/>
        </w:rPr>
        <w:t xml:space="preserve">   </w:t>
      </w:r>
      <w:r>
        <w:rPr>
          <w:rFonts w:hint="eastAsia" w:ascii="仿宋_GB2312" w:eastAsia="仿宋_GB2312"/>
          <w:b/>
          <w:bCs/>
          <w:color w:val="auto"/>
          <w:sz w:val="32"/>
          <w:szCs w:val="32"/>
          <w:highlight w:val="none"/>
          <w:u w:val="single"/>
          <w:lang w:val="en-US" w:eastAsia="zh-CN"/>
        </w:rPr>
        <w:t xml:space="preserve"> </w:t>
      </w:r>
    </w:p>
    <w:p>
      <w:pPr>
        <w:spacing w:line="360" w:lineRule="auto"/>
        <w:rPr>
          <w:rFonts w:hint="eastAsia" w:ascii="仿宋_GB2312" w:eastAsia="仿宋_GB2312"/>
          <w:b/>
          <w:bCs/>
          <w:color w:val="auto"/>
          <w:sz w:val="32"/>
          <w:szCs w:val="32"/>
          <w:highlight w:val="none"/>
          <w:u w:val="single"/>
        </w:rPr>
      </w:pPr>
      <w:r>
        <w:rPr>
          <w:rFonts w:hint="eastAsia" w:ascii="仿宋_GB2312" w:eastAsia="仿宋_GB2312"/>
          <w:b/>
          <w:bCs/>
          <w:color w:val="auto"/>
          <w:sz w:val="32"/>
          <w:szCs w:val="32"/>
          <w:highlight w:val="none"/>
        </w:rPr>
        <w:t>签订地点：</w:t>
      </w:r>
      <w:r>
        <w:rPr>
          <w:rFonts w:hint="eastAsia" w:ascii="仿宋_GB2312" w:eastAsia="仿宋_GB2312"/>
          <w:b/>
          <w:bCs/>
          <w:color w:val="auto"/>
          <w:sz w:val="32"/>
          <w:szCs w:val="32"/>
          <w:highlight w:val="none"/>
          <w:u w:val="single"/>
        </w:rPr>
        <w:t xml:space="preserve">    </w:t>
      </w:r>
      <w:r>
        <w:rPr>
          <w:rFonts w:ascii="仿宋_GB2312" w:eastAsia="仿宋_GB2312"/>
          <w:b/>
          <w:bCs/>
          <w:color w:val="auto"/>
          <w:sz w:val="32"/>
          <w:szCs w:val="32"/>
          <w:highlight w:val="none"/>
          <w:u w:val="single"/>
        </w:rPr>
        <w:t xml:space="preserve"> </w:t>
      </w:r>
      <w:r>
        <w:rPr>
          <w:rFonts w:hint="eastAsia" w:ascii="仿宋_GB2312" w:eastAsia="仿宋_GB2312"/>
          <w:b/>
          <w:bCs/>
          <w:color w:val="auto"/>
          <w:sz w:val="32"/>
          <w:szCs w:val="32"/>
          <w:highlight w:val="none"/>
          <w:u w:val="single"/>
        </w:rPr>
        <w:t xml:space="preserve">         </w:t>
      </w:r>
      <w:r>
        <w:rPr>
          <w:rFonts w:hint="eastAsia" w:ascii="仿宋_GB2312" w:eastAsia="仿宋_GB2312"/>
          <w:b/>
          <w:bCs/>
          <w:color w:val="auto"/>
          <w:sz w:val="32"/>
          <w:szCs w:val="32"/>
          <w:highlight w:val="none"/>
          <w:u w:val="single"/>
          <w:lang w:val="en-US" w:eastAsia="zh-CN"/>
        </w:rPr>
        <w:t xml:space="preserve">      </w:t>
      </w:r>
      <w:r>
        <w:rPr>
          <w:rFonts w:hint="eastAsia" w:ascii="仿宋_GB2312" w:eastAsia="仿宋_GB2312"/>
          <w:b/>
          <w:bCs/>
          <w:color w:val="auto"/>
          <w:sz w:val="32"/>
          <w:szCs w:val="32"/>
          <w:highlight w:val="none"/>
          <w:u w:val="single"/>
        </w:rPr>
        <w:t xml:space="preserve">                     </w:t>
      </w:r>
      <w:r>
        <w:rPr>
          <w:rFonts w:hint="eastAsia" w:ascii="仿宋_GB2312" w:eastAsia="仿宋_GB2312"/>
          <w:b/>
          <w:bCs/>
          <w:color w:val="auto"/>
          <w:sz w:val="32"/>
          <w:szCs w:val="32"/>
          <w:highlight w:val="none"/>
          <w:u w:val="single"/>
          <w:lang w:val="en-US" w:eastAsia="zh-CN"/>
        </w:rPr>
        <w:t xml:space="preserve">  </w:t>
      </w:r>
    </w:p>
    <w:p>
      <w:pPr>
        <w:adjustRightInd w:val="0"/>
        <w:spacing w:before="120" w:beforeLines="0" w:line="360" w:lineRule="auto"/>
        <w:rPr>
          <w:rFonts w:hint="eastAsia" w:ascii="宋体" w:hAnsi="宋体"/>
          <w:color w:val="auto"/>
          <w:sz w:val="32"/>
          <w:szCs w:val="32"/>
          <w:highlight w:val="none"/>
        </w:rPr>
      </w:pPr>
    </w:p>
    <w:p>
      <w:pPr>
        <w:spacing w:line="360" w:lineRule="auto"/>
        <w:rPr>
          <w:rFonts w:hint="eastAsia" w:ascii="宋体" w:hAnsi="宋体"/>
          <w:b/>
          <w:bCs/>
          <w:color w:val="auto"/>
          <w:sz w:val="32"/>
          <w:szCs w:val="32"/>
          <w:highlight w:val="none"/>
        </w:rPr>
      </w:pPr>
    </w:p>
    <w:p>
      <w:pPr>
        <w:spacing w:line="360" w:lineRule="auto"/>
        <w:jc w:val="center"/>
        <w:rPr>
          <w:rFonts w:hint="eastAsia" w:ascii="宋体" w:hAnsi="宋体"/>
          <w:b/>
          <w:bCs/>
          <w:color w:val="auto"/>
          <w:sz w:val="32"/>
          <w:szCs w:val="32"/>
          <w:highlight w:val="none"/>
        </w:rPr>
      </w:pPr>
      <w:r>
        <w:rPr>
          <w:rFonts w:hint="eastAsia" w:ascii="宋体" w:hAnsi="宋体"/>
          <w:b/>
          <w:bCs/>
          <w:color w:val="auto"/>
          <w:sz w:val="32"/>
          <w:szCs w:val="32"/>
          <w:highlight w:val="none"/>
          <w:lang w:val="en-US" w:eastAsia="zh-CN"/>
        </w:rPr>
        <w:t>****</w:t>
      </w:r>
      <w:r>
        <w:rPr>
          <w:rFonts w:hint="eastAsia" w:ascii="宋体" w:hAnsi="宋体"/>
          <w:b/>
          <w:bCs/>
          <w:color w:val="auto"/>
          <w:sz w:val="32"/>
          <w:szCs w:val="32"/>
          <w:highlight w:val="none"/>
        </w:rPr>
        <w:t xml:space="preserve"> 制定</w:t>
      </w:r>
    </w:p>
    <w:p>
      <w:pPr>
        <w:adjustRightInd w:val="0"/>
        <w:spacing w:before="120" w:beforeLines="0" w:line="360" w:lineRule="auto"/>
        <w:rPr>
          <w:rFonts w:hint="eastAsia" w:ascii="宋体" w:hAnsi="宋体"/>
          <w:color w:val="auto"/>
          <w:sz w:val="32"/>
          <w:szCs w:val="32"/>
          <w:highlight w:val="none"/>
        </w:rPr>
      </w:pPr>
    </w:p>
    <w:p>
      <w:pPr>
        <w:adjustRightInd w:val="0"/>
        <w:spacing w:before="120" w:beforeLines="0" w:line="360" w:lineRule="auto"/>
        <w:ind w:firstLine="648"/>
        <w:rPr>
          <w:rFonts w:hint="eastAsia" w:ascii="宋体" w:hAnsi="宋体"/>
          <w:color w:val="auto"/>
          <w:sz w:val="32"/>
          <w:szCs w:val="32"/>
          <w:highlight w:val="none"/>
        </w:rPr>
      </w:pPr>
    </w:p>
    <w:p>
      <w:pPr>
        <w:adjustRightInd w:val="0"/>
        <w:spacing w:before="120" w:beforeLines="0" w:line="500" w:lineRule="exact"/>
        <w:ind w:firstLine="648"/>
        <w:rPr>
          <w:rFonts w:hint="eastAsia" w:ascii="宋体" w:hAnsi="宋体"/>
          <w:color w:val="auto"/>
          <w:sz w:val="28"/>
          <w:szCs w:val="28"/>
          <w:highlight w:val="none"/>
        </w:rPr>
      </w:pPr>
    </w:p>
    <w:p>
      <w:pPr>
        <w:keepNext w:val="0"/>
        <w:keepLines w:val="0"/>
        <w:pageBreakBefore w:val="0"/>
        <w:kinsoku/>
        <w:wordWrap/>
        <w:overflowPunct/>
        <w:topLinePunct w:val="0"/>
        <w:autoSpaceDE/>
        <w:autoSpaceDN/>
        <w:bidi w:val="0"/>
        <w:adjustRightInd w:val="0"/>
        <w:snapToGrid/>
        <w:spacing w:line="360" w:lineRule="auto"/>
        <w:ind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依据《中华人民共和国</w:t>
      </w:r>
      <w:r>
        <w:rPr>
          <w:rFonts w:hint="eastAsia" w:ascii="宋体" w:hAnsi="宋体" w:eastAsia="宋体" w:cs="宋体"/>
          <w:color w:val="auto"/>
          <w:sz w:val="21"/>
          <w:szCs w:val="21"/>
          <w:highlight w:val="none"/>
          <w:lang w:eastAsia="zh-CN"/>
        </w:rPr>
        <w:t>民法典</w:t>
      </w:r>
      <w:r>
        <w:rPr>
          <w:rFonts w:hint="eastAsia" w:ascii="宋体" w:hAnsi="宋体" w:eastAsia="宋体" w:cs="宋体"/>
          <w:color w:val="auto"/>
          <w:sz w:val="21"/>
          <w:szCs w:val="21"/>
          <w:highlight w:val="none"/>
        </w:rPr>
        <w:t>》等法律规定，</w:t>
      </w:r>
      <w:r>
        <w:rPr>
          <w:rFonts w:hint="eastAsia" w:ascii="宋体" w:hAnsi="宋体" w:eastAsia="宋体" w:cs="宋体"/>
          <w:color w:val="auto"/>
          <w:sz w:val="21"/>
          <w:szCs w:val="21"/>
          <w:highlight w:val="none"/>
          <w:lang w:eastAsia="zh-CN"/>
        </w:rPr>
        <w:t>经公开招标，</w:t>
      </w:r>
      <w:r>
        <w:rPr>
          <w:rFonts w:hint="eastAsia" w:ascii="宋体" w:hAnsi="宋体" w:eastAsia="宋体" w:cs="宋体"/>
          <w:color w:val="auto"/>
          <w:sz w:val="21"/>
          <w:szCs w:val="21"/>
          <w:highlight w:val="none"/>
        </w:rPr>
        <w:t>甲乙双方本着平等、自愿、公正和诚实信用的原则签订本</w:t>
      </w:r>
      <w:r>
        <w:rPr>
          <w:rFonts w:hint="eastAsia" w:ascii="宋体" w:hAnsi="宋体" w:eastAsia="宋体" w:cs="宋体"/>
          <w:color w:val="auto"/>
          <w:sz w:val="21"/>
          <w:szCs w:val="21"/>
          <w:highlight w:val="none"/>
          <w:lang w:eastAsia="zh-CN"/>
        </w:rPr>
        <w:t>合同</w:t>
      </w:r>
      <w:r>
        <w:rPr>
          <w:rFonts w:hint="eastAsia" w:ascii="宋体" w:hAnsi="宋体" w:eastAsia="宋体" w:cs="宋体"/>
          <w:color w:val="auto"/>
          <w:sz w:val="21"/>
          <w:szCs w:val="21"/>
          <w:highlight w:val="none"/>
        </w:rPr>
        <w:t>。</w:t>
      </w:r>
      <w:bookmarkStart w:id="318" w:name="No89"/>
      <w:bookmarkEnd w:id="318"/>
    </w:p>
    <w:p>
      <w:pPr>
        <w:keepNext w:val="0"/>
        <w:keepLines w:val="0"/>
        <w:pageBreakBefore w:val="0"/>
        <w:kinsoku/>
        <w:wordWrap/>
        <w:overflowPunct/>
        <w:topLinePunct w:val="0"/>
        <w:autoSpaceDE/>
        <w:autoSpaceDN/>
        <w:bidi w:val="0"/>
        <w:adjustRightInd w:val="0"/>
        <w:snapToGrid/>
        <w:spacing w:line="360" w:lineRule="auto"/>
        <w:ind w:right="0" w:righ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甲方：</w:t>
      </w:r>
      <w:bookmarkStart w:id="319" w:name="No90"/>
      <w:bookmarkEnd w:id="319"/>
    </w:p>
    <w:p>
      <w:pPr>
        <w:keepNext w:val="0"/>
        <w:keepLines w:val="0"/>
        <w:pageBreakBefore w:val="0"/>
        <w:kinsoku/>
        <w:wordWrap/>
        <w:overflowPunct/>
        <w:topLinePunct w:val="0"/>
        <w:autoSpaceDE/>
        <w:autoSpaceDN/>
        <w:bidi w:val="0"/>
        <w:adjustRightInd w:val="0"/>
        <w:snapToGrid/>
        <w:spacing w:line="360" w:lineRule="auto"/>
        <w:ind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乙方：</w:t>
      </w:r>
      <w:bookmarkStart w:id="320" w:name="No91"/>
      <w:bookmarkEnd w:id="320"/>
    </w:p>
    <w:p>
      <w:pPr>
        <w:keepNext w:val="0"/>
        <w:keepLines w:val="0"/>
        <w:pageBreakBefore w:val="0"/>
        <w:kinsoku/>
        <w:wordWrap/>
        <w:overflowPunct/>
        <w:topLinePunct w:val="0"/>
        <w:autoSpaceDE/>
        <w:autoSpaceDN/>
        <w:bidi w:val="0"/>
        <w:adjustRightInd w:val="0"/>
        <w:snapToGrid/>
        <w:spacing w:line="360" w:lineRule="auto"/>
        <w:ind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一、</w:t>
      </w:r>
      <w:r>
        <w:rPr>
          <w:rFonts w:hint="eastAsia" w:ascii="宋体" w:hAnsi="宋体" w:eastAsia="宋体" w:cs="宋体"/>
          <w:color w:val="auto"/>
          <w:sz w:val="21"/>
          <w:szCs w:val="21"/>
          <w:highlight w:val="none"/>
          <w:lang w:eastAsia="zh-CN"/>
        </w:rPr>
        <w:t>协审</w:t>
      </w:r>
      <w:r>
        <w:rPr>
          <w:rFonts w:hint="eastAsia" w:ascii="宋体" w:hAnsi="宋体" w:eastAsia="宋体" w:cs="宋体"/>
          <w:color w:val="auto"/>
          <w:sz w:val="21"/>
          <w:szCs w:val="21"/>
          <w:highlight w:val="none"/>
        </w:rPr>
        <w:t>事宜</w:t>
      </w:r>
    </w:p>
    <w:p>
      <w:pPr>
        <w:keepNext w:val="0"/>
        <w:keepLines w:val="0"/>
        <w:pageBreakBefore w:val="0"/>
        <w:kinsoku/>
        <w:wordWrap/>
        <w:overflowPunct/>
        <w:topLinePunct w:val="0"/>
        <w:autoSpaceDE/>
        <w:autoSpaceDN/>
        <w:bidi w:val="0"/>
        <w:adjustRightInd w:val="0"/>
        <w:snapToGrid/>
        <w:spacing w:line="360" w:lineRule="auto"/>
        <w:ind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甲方委托乙方</w:t>
      </w:r>
      <w:r>
        <w:rPr>
          <w:rFonts w:hint="eastAsia" w:ascii="宋体" w:hAnsi="宋体" w:eastAsia="宋体" w:cs="宋体"/>
          <w:color w:val="auto"/>
          <w:sz w:val="21"/>
          <w:szCs w:val="21"/>
          <w:highlight w:val="none"/>
          <w:lang w:eastAsia="zh-CN"/>
        </w:rPr>
        <w:t>作为协审中介机构</w:t>
      </w:r>
      <w:r>
        <w:rPr>
          <w:rFonts w:hint="eastAsia" w:ascii="宋体" w:hAnsi="宋体" w:eastAsia="宋体" w:cs="宋体"/>
          <w:color w:val="auto"/>
          <w:sz w:val="21"/>
          <w:szCs w:val="21"/>
          <w:highlight w:val="none"/>
        </w:rPr>
        <w:t>对____________</w:t>
      </w:r>
      <w:r>
        <w:rPr>
          <w:rFonts w:hint="eastAsia" w:ascii="宋体" w:hAnsi="宋体" w:eastAsia="宋体" w:cs="宋体"/>
          <w:color w:val="auto"/>
          <w:sz w:val="21"/>
          <w:szCs w:val="21"/>
          <w:highlight w:val="none"/>
          <w:lang w:eastAsia="zh-CN"/>
        </w:rPr>
        <w:t>（以下简称送审项目）</w:t>
      </w:r>
      <w:r>
        <w:rPr>
          <w:rFonts w:hint="eastAsia" w:ascii="宋体" w:hAnsi="宋体" w:eastAsia="宋体" w:cs="宋体"/>
          <w:color w:val="auto"/>
          <w:sz w:val="21"/>
          <w:szCs w:val="21"/>
          <w:highlight w:val="none"/>
        </w:rPr>
        <w:t>进行工程造价审计，送审金额______万元。审计时间为___年___月___日至___年___月</w:t>
      </w:r>
      <w:bookmarkStart w:id="321" w:name="No93"/>
      <w:bookmarkEnd w:id="321"/>
      <w:r>
        <w:rPr>
          <w:rFonts w:hint="eastAsia" w:ascii="宋体" w:hAnsi="宋体" w:eastAsia="宋体" w:cs="宋体"/>
          <w:color w:val="auto"/>
          <w:sz w:val="21"/>
          <w:szCs w:val="21"/>
          <w:highlight w:val="none"/>
        </w:rPr>
        <w:t>___日。具体工作内容如下：</w:t>
      </w:r>
    </w:p>
    <w:p>
      <w:pPr>
        <w:keepNext w:val="0"/>
        <w:keepLines w:val="0"/>
        <w:pageBreakBefore w:val="0"/>
        <w:kinsoku/>
        <w:wordWrap/>
        <w:overflowPunct/>
        <w:topLinePunct w:val="0"/>
        <w:autoSpaceDE/>
        <w:autoSpaceDN/>
        <w:bidi w:val="0"/>
        <w:adjustRightInd w:val="0"/>
        <w:snapToGrid/>
        <w:spacing w:line="360" w:lineRule="auto"/>
        <w:ind w:right="0" w:rightChars="0"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乙方派出</w:t>
      </w:r>
      <w:r>
        <w:rPr>
          <w:rFonts w:hint="eastAsia" w:ascii="宋体" w:hAnsi="宋体" w:eastAsia="宋体" w:cs="宋体"/>
          <w:color w:val="auto"/>
          <w:sz w:val="21"/>
          <w:szCs w:val="21"/>
          <w:highlight w:val="none"/>
          <w:lang w:eastAsia="zh-CN"/>
        </w:rPr>
        <w:t>协审</w:t>
      </w:r>
      <w:r>
        <w:rPr>
          <w:rFonts w:hint="eastAsia" w:ascii="宋体" w:hAnsi="宋体" w:eastAsia="宋体" w:cs="宋体"/>
          <w:color w:val="auto"/>
          <w:sz w:val="21"/>
          <w:szCs w:val="21"/>
          <w:highlight w:val="none"/>
        </w:rPr>
        <w:t>人员负责对</w:t>
      </w:r>
      <w:r>
        <w:rPr>
          <w:rFonts w:hint="eastAsia" w:ascii="宋体" w:hAnsi="宋体" w:eastAsia="宋体" w:cs="宋体"/>
          <w:color w:val="auto"/>
          <w:sz w:val="21"/>
          <w:szCs w:val="21"/>
          <w:highlight w:val="none"/>
          <w:lang w:eastAsia="zh-CN"/>
        </w:rPr>
        <w:t>送审</w:t>
      </w:r>
      <w:r>
        <w:rPr>
          <w:rFonts w:hint="eastAsia" w:ascii="宋体" w:hAnsi="宋体" w:eastAsia="宋体" w:cs="宋体"/>
          <w:color w:val="auto"/>
          <w:sz w:val="21"/>
          <w:szCs w:val="21"/>
          <w:highlight w:val="none"/>
        </w:rPr>
        <w:t>项目的工程造价进行审核，对工程实地外观质量情况进行现场踏勘，并出具工程造价审核咨询意见书。</w:t>
      </w:r>
    </w:p>
    <w:p>
      <w:pPr>
        <w:pStyle w:val="114"/>
        <w:keepNext w:val="0"/>
        <w:keepLines w:val="0"/>
        <w:pageBreakBefore w:val="0"/>
        <w:kinsoku/>
        <w:wordWrap/>
        <w:overflowPunct/>
        <w:topLinePunct w:val="0"/>
        <w:autoSpaceDE/>
        <w:autoSpaceDN/>
        <w:bidi w:val="0"/>
        <w:adjustRightInd w:val="0"/>
        <w:snapToGrid/>
        <w:spacing w:before="0" w:beforeLines="0" w:beforeAutospacing="0" w:after="0" w:afterLines="0" w:afterAutospacing="0" w:line="360" w:lineRule="auto"/>
        <w:ind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二</w:t>
      </w:r>
      <w:r>
        <w:rPr>
          <w:rFonts w:hint="eastAsia" w:ascii="宋体" w:hAnsi="宋体" w:eastAsia="宋体" w:cs="宋体"/>
          <w:color w:val="auto"/>
          <w:sz w:val="21"/>
          <w:szCs w:val="21"/>
          <w:highlight w:val="none"/>
        </w:rPr>
        <w:t>、甲方责任和义务</w:t>
      </w:r>
    </w:p>
    <w:p>
      <w:pPr>
        <w:pStyle w:val="114"/>
        <w:keepNext w:val="0"/>
        <w:keepLines w:val="0"/>
        <w:pageBreakBefore w:val="0"/>
        <w:kinsoku/>
        <w:wordWrap/>
        <w:overflowPunct/>
        <w:topLinePunct w:val="0"/>
        <w:autoSpaceDE/>
        <w:autoSpaceDN/>
        <w:bidi w:val="0"/>
        <w:adjustRightInd w:val="0"/>
        <w:snapToGrid/>
        <w:spacing w:before="0" w:beforeLines="0" w:beforeAutospacing="0" w:after="0" w:afterLines="0" w:afterAutospacing="0" w:line="360" w:lineRule="auto"/>
        <w:ind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(一)甲方完全领导和管理</w:t>
      </w:r>
      <w:r>
        <w:rPr>
          <w:rFonts w:hint="eastAsia" w:ascii="宋体" w:hAnsi="宋体" w:eastAsia="宋体" w:cs="宋体"/>
          <w:color w:val="auto"/>
          <w:sz w:val="21"/>
          <w:szCs w:val="21"/>
          <w:highlight w:val="none"/>
          <w:lang w:eastAsia="zh-CN"/>
        </w:rPr>
        <w:t>送审</w:t>
      </w:r>
      <w:r>
        <w:rPr>
          <w:rFonts w:hint="eastAsia" w:ascii="宋体" w:hAnsi="宋体" w:eastAsia="宋体" w:cs="宋体"/>
          <w:color w:val="auto"/>
          <w:sz w:val="21"/>
          <w:szCs w:val="21"/>
          <w:highlight w:val="none"/>
        </w:rPr>
        <w:t>项目审计业务，依法实行独立审计</w:t>
      </w:r>
      <w:r>
        <w:rPr>
          <w:rFonts w:hint="eastAsia" w:ascii="宋体" w:hAnsi="宋体" w:eastAsia="宋体" w:cs="宋体"/>
          <w:color w:val="auto"/>
          <w:sz w:val="21"/>
          <w:szCs w:val="21"/>
          <w:highlight w:val="none"/>
          <w:lang w:eastAsia="zh-CN"/>
        </w:rPr>
        <w:t>。</w:t>
      </w:r>
    </w:p>
    <w:p>
      <w:pPr>
        <w:pStyle w:val="114"/>
        <w:keepNext w:val="0"/>
        <w:keepLines w:val="0"/>
        <w:pageBreakBefore w:val="0"/>
        <w:kinsoku/>
        <w:wordWrap/>
        <w:overflowPunct/>
        <w:topLinePunct w:val="0"/>
        <w:autoSpaceDE/>
        <w:autoSpaceDN/>
        <w:bidi w:val="0"/>
        <w:adjustRightInd w:val="0"/>
        <w:snapToGrid/>
        <w:spacing w:before="0" w:beforeLines="0" w:beforeAutospacing="0" w:after="0" w:afterLines="0" w:afterAutospacing="0" w:line="360" w:lineRule="auto"/>
        <w:ind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(二)甲方完全领导和管理</w:t>
      </w:r>
      <w:r>
        <w:rPr>
          <w:rFonts w:hint="eastAsia" w:ascii="宋体" w:hAnsi="宋体" w:eastAsia="宋体" w:cs="宋体"/>
          <w:color w:val="auto"/>
          <w:sz w:val="21"/>
          <w:szCs w:val="21"/>
          <w:highlight w:val="none"/>
          <w:lang w:eastAsia="zh-CN"/>
        </w:rPr>
        <w:t>送审</w:t>
      </w:r>
      <w:r>
        <w:rPr>
          <w:rFonts w:hint="eastAsia" w:ascii="宋体" w:hAnsi="宋体" w:eastAsia="宋体" w:cs="宋体"/>
          <w:color w:val="auto"/>
          <w:sz w:val="21"/>
          <w:szCs w:val="21"/>
          <w:highlight w:val="none"/>
        </w:rPr>
        <w:t>项目</w:t>
      </w:r>
      <w:r>
        <w:rPr>
          <w:rFonts w:hint="eastAsia" w:ascii="宋体" w:hAnsi="宋体" w:eastAsia="宋体" w:cs="宋体"/>
          <w:color w:val="auto"/>
          <w:sz w:val="21"/>
          <w:szCs w:val="21"/>
          <w:highlight w:val="none"/>
          <w:lang w:eastAsia="zh-CN"/>
        </w:rPr>
        <w:t>全部</w:t>
      </w:r>
      <w:r>
        <w:rPr>
          <w:rFonts w:hint="eastAsia" w:ascii="宋体" w:hAnsi="宋体" w:eastAsia="宋体" w:cs="宋体"/>
          <w:color w:val="auto"/>
          <w:sz w:val="21"/>
          <w:szCs w:val="21"/>
          <w:highlight w:val="none"/>
        </w:rPr>
        <w:t>审计人员，包括合同内乙方派出</w:t>
      </w:r>
      <w:r>
        <w:rPr>
          <w:rFonts w:hint="eastAsia" w:ascii="宋体" w:hAnsi="宋体" w:eastAsia="宋体" w:cs="宋体"/>
          <w:color w:val="auto"/>
          <w:sz w:val="21"/>
          <w:szCs w:val="21"/>
          <w:highlight w:val="none"/>
          <w:lang w:eastAsia="zh-CN"/>
        </w:rPr>
        <w:t>协审</w:t>
      </w:r>
      <w:r>
        <w:rPr>
          <w:rFonts w:hint="eastAsia" w:ascii="宋体" w:hAnsi="宋体" w:eastAsia="宋体" w:cs="宋体"/>
          <w:color w:val="auto"/>
          <w:sz w:val="21"/>
          <w:szCs w:val="21"/>
          <w:highlight w:val="none"/>
        </w:rPr>
        <w:t>人员在内。乙方</w:t>
      </w:r>
      <w:r>
        <w:rPr>
          <w:rFonts w:hint="eastAsia" w:ascii="宋体" w:hAnsi="宋体" w:eastAsia="宋体" w:cs="宋体"/>
          <w:color w:val="auto"/>
          <w:sz w:val="21"/>
          <w:szCs w:val="21"/>
          <w:highlight w:val="none"/>
          <w:lang w:eastAsia="zh-CN"/>
        </w:rPr>
        <w:t>派出所有协审</w:t>
      </w:r>
      <w:r>
        <w:rPr>
          <w:rFonts w:hint="eastAsia" w:ascii="宋体" w:hAnsi="宋体" w:eastAsia="宋体" w:cs="宋体"/>
          <w:color w:val="auto"/>
          <w:sz w:val="21"/>
          <w:szCs w:val="21"/>
          <w:highlight w:val="none"/>
        </w:rPr>
        <w:t>人员的工作内容及任务</w:t>
      </w:r>
      <w:r>
        <w:rPr>
          <w:rFonts w:hint="eastAsia" w:ascii="宋体" w:hAnsi="宋体" w:eastAsia="宋体" w:cs="宋体"/>
          <w:color w:val="auto"/>
          <w:sz w:val="21"/>
          <w:szCs w:val="21"/>
          <w:highlight w:val="none"/>
          <w:lang w:eastAsia="zh-CN"/>
        </w:rPr>
        <w:t>全部</w:t>
      </w:r>
      <w:r>
        <w:rPr>
          <w:rFonts w:hint="eastAsia" w:ascii="宋体" w:hAnsi="宋体" w:eastAsia="宋体" w:cs="宋体"/>
          <w:color w:val="auto"/>
          <w:sz w:val="21"/>
          <w:szCs w:val="21"/>
          <w:highlight w:val="none"/>
        </w:rPr>
        <w:t>由甲方指定</w:t>
      </w:r>
      <w:r>
        <w:rPr>
          <w:rFonts w:hint="eastAsia" w:ascii="宋体" w:hAnsi="宋体" w:eastAsia="宋体" w:cs="宋体"/>
          <w:color w:val="auto"/>
          <w:sz w:val="21"/>
          <w:szCs w:val="21"/>
          <w:highlight w:val="none"/>
          <w:lang w:eastAsia="zh-CN"/>
        </w:rPr>
        <w:t>。</w:t>
      </w:r>
    </w:p>
    <w:p>
      <w:pPr>
        <w:pStyle w:val="114"/>
        <w:keepNext w:val="0"/>
        <w:keepLines w:val="0"/>
        <w:pageBreakBefore w:val="0"/>
        <w:kinsoku/>
        <w:wordWrap/>
        <w:overflowPunct/>
        <w:topLinePunct w:val="0"/>
        <w:autoSpaceDE/>
        <w:autoSpaceDN/>
        <w:bidi w:val="0"/>
        <w:adjustRightInd w:val="0"/>
        <w:snapToGrid/>
        <w:spacing w:before="0" w:beforeLines="0" w:beforeAutospacing="0" w:after="0" w:afterLines="0" w:afterAutospacing="0" w:line="360" w:lineRule="auto"/>
        <w:ind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(三)甲方对乙方派出</w:t>
      </w:r>
      <w:r>
        <w:rPr>
          <w:rFonts w:hint="eastAsia" w:ascii="宋体" w:hAnsi="宋体" w:eastAsia="宋体" w:cs="宋体"/>
          <w:color w:val="auto"/>
          <w:sz w:val="21"/>
          <w:szCs w:val="21"/>
          <w:highlight w:val="none"/>
          <w:lang w:eastAsia="zh-CN"/>
        </w:rPr>
        <w:t>所有协审</w:t>
      </w:r>
      <w:r>
        <w:rPr>
          <w:rFonts w:hint="eastAsia" w:ascii="宋体" w:hAnsi="宋体" w:eastAsia="宋体" w:cs="宋体"/>
          <w:color w:val="auto"/>
          <w:sz w:val="21"/>
          <w:szCs w:val="21"/>
          <w:highlight w:val="none"/>
        </w:rPr>
        <w:t>人员的履职情况进行全程监督检查</w:t>
      </w:r>
      <w:r>
        <w:rPr>
          <w:rFonts w:hint="eastAsia" w:ascii="宋体" w:hAnsi="宋体" w:eastAsia="宋体" w:cs="宋体"/>
          <w:color w:val="auto"/>
          <w:sz w:val="21"/>
          <w:szCs w:val="21"/>
          <w:highlight w:val="none"/>
          <w:lang w:eastAsia="zh-CN"/>
        </w:rPr>
        <w:t>。</w:t>
      </w:r>
    </w:p>
    <w:p>
      <w:pPr>
        <w:pStyle w:val="114"/>
        <w:keepNext w:val="0"/>
        <w:keepLines w:val="0"/>
        <w:pageBreakBefore w:val="0"/>
        <w:kinsoku/>
        <w:wordWrap/>
        <w:overflowPunct/>
        <w:topLinePunct w:val="0"/>
        <w:autoSpaceDE/>
        <w:autoSpaceDN/>
        <w:bidi w:val="0"/>
        <w:adjustRightInd w:val="0"/>
        <w:snapToGrid/>
        <w:spacing w:before="0" w:beforeLines="0" w:beforeAutospacing="0" w:after="0" w:afterLines="0" w:afterAutospacing="0" w:line="360" w:lineRule="auto"/>
        <w:ind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eastAsia="zh-CN"/>
        </w:rPr>
        <w:t>四</w:t>
      </w:r>
      <w:r>
        <w:rPr>
          <w:rFonts w:hint="eastAsia" w:ascii="宋体" w:hAnsi="宋体" w:eastAsia="宋体" w:cs="宋体"/>
          <w:color w:val="auto"/>
          <w:sz w:val="21"/>
          <w:szCs w:val="21"/>
          <w:highlight w:val="none"/>
        </w:rPr>
        <w:t>)甲方不得向乙方</w:t>
      </w:r>
      <w:r>
        <w:rPr>
          <w:rFonts w:hint="eastAsia" w:ascii="宋体" w:hAnsi="宋体" w:eastAsia="宋体" w:cs="宋体"/>
          <w:color w:val="auto"/>
          <w:sz w:val="21"/>
          <w:szCs w:val="21"/>
          <w:highlight w:val="none"/>
          <w:lang w:eastAsia="zh-CN"/>
        </w:rPr>
        <w:t>派</w:t>
      </w:r>
      <w:r>
        <w:rPr>
          <w:rFonts w:hint="eastAsia" w:ascii="宋体" w:hAnsi="宋体" w:eastAsia="宋体" w:cs="宋体"/>
          <w:color w:val="auto"/>
          <w:sz w:val="21"/>
          <w:szCs w:val="21"/>
          <w:highlight w:val="none"/>
        </w:rPr>
        <w:t>出</w:t>
      </w:r>
      <w:r>
        <w:rPr>
          <w:rFonts w:hint="eastAsia" w:ascii="宋体" w:hAnsi="宋体" w:eastAsia="宋体" w:cs="宋体"/>
          <w:color w:val="auto"/>
          <w:sz w:val="21"/>
          <w:szCs w:val="21"/>
          <w:highlight w:val="none"/>
          <w:lang w:eastAsia="zh-CN"/>
        </w:rPr>
        <w:t>协审</w:t>
      </w:r>
      <w:r>
        <w:rPr>
          <w:rFonts w:hint="eastAsia" w:ascii="宋体" w:hAnsi="宋体" w:eastAsia="宋体" w:cs="宋体"/>
          <w:color w:val="auto"/>
          <w:sz w:val="21"/>
          <w:szCs w:val="21"/>
          <w:highlight w:val="none"/>
        </w:rPr>
        <w:t>人员提出影响审计结论的不正当要求</w:t>
      </w:r>
      <w:r>
        <w:rPr>
          <w:rFonts w:hint="eastAsia" w:ascii="宋体" w:hAnsi="宋体" w:eastAsia="宋体" w:cs="宋体"/>
          <w:color w:val="auto"/>
          <w:sz w:val="21"/>
          <w:szCs w:val="21"/>
          <w:highlight w:val="none"/>
          <w:lang w:eastAsia="zh-CN"/>
        </w:rPr>
        <w:t>。</w:t>
      </w:r>
    </w:p>
    <w:p>
      <w:pPr>
        <w:pStyle w:val="114"/>
        <w:keepNext w:val="0"/>
        <w:keepLines w:val="0"/>
        <w:pageBreakBefore w:val="0"/>
        <w:kinsoku/>
        <w:wordWrap/>
        <w:overflowPunct/>
        <w:topLinePunct w:val="0"/>
        <w:autoSpaceDE/>
        <w:autoSpaceDN/>
        <w:bidi w:val="0"/>
        <w:adjustRightInd w:val="0"/>
        <w:snapToGrid/>
        <w:spacing w:before="0" w:beforeLines="0" w:beforeAutospacing="0" w:after="0" w:afterLines="0" w:afterAutospacing="0" w:line="360" w:lineRule="auto"/>
        <w:ind w:right="0" w:rightChars="0"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eastAsia="zh-CN"/>
        </w:rPr>
        <w:t>五</w:t>
      </w:r>
      <w:r>
        <w:rPr>
          <w:rFonts w:hint="eastAsia" w:ascii="宋体" w:hAnsi="宋体" w:eastAsia="宋体" w:cs="宋体"/>
          <w:color w:val="auto"/>
          <w:sz w:val="21"/>
          <w:szCs w:val="21"/>
          <w:highlight w:val="none"/>
        </w:rPr>
        <w:t>)甲方</w:t>
      </w:r>
      <w:r>
        <w:rPr>
          <w:rFonts w:hint="eastAsia" w:ascii="宋体" w:hAnsi="宋体" w:eastAsia="宋体" w:cs="宋体"/>
          <w:color w:val="auto"/>
          <w:sz w:val="21"/>
          <w:szCs w:val="21"/>
          <w:highlight w:val="none"/>
          <w:lang w:eastAsia="zh-CN"/>
        </w:rPr>
        <w:t>应按照合同约定及时</w:t>
      </w:r>
      <w:r>
        <w:rPr>
          <w:rFonts w:hint="eastAsia" w:ascii="宋体" w:hAnsi="宋体" w:eastAsia="宋体" w:cs="宋体"/>
          <w:color w:val="auto"/>
          <w:sz w:val="21"/>
          <w:szCs w:val="21"/>
          <w:highlight w:val="none"/>
        </w:rPr>
        <w:t>向乙方支付报酬</w:t>
      </w:r>
      <w:r>
        <w:rPr>
          <w:rFonts w:hint="eastAsia" w:ascii="宋体" w:hAnsi="宋体" w:eastAsia="宋体" w:cs="宋体"/>
          <w:color w:val="auto"/>
          <w:sz w:val="21"/>
          <w:szCs w:val="21"/>
          <w:highlight w:val="none"/>
          <w:lang w:eastAsia="zh-CN"/>
        </w:rPr>
        <w:t>。</w:t>
      </w:r>
    </w:p>
    <w:p>
      <w:pPr>
        <w:pStyle w:val="114"/>
        <w:keepNext w:val="0"/>
        <w:keepLines w:val="0"/>
        <w:pageBreakBefore w:val="0"/>
        <w:kinsoku/>
        <w:wordWrap/>
        <w:overflowPunct/>
        <w:topLinePunct w:val="0"/>
        <w:autoSpaceDE/>
        <w:autoSpaceDN/>
        <w:bidi w:val="0"/>
        <w:adjustRightInd w:val="0"/>
        <w:snapToGrid/>
        <w:spacing w:before="0" w:beforeLines="0" w:beforeAutospacing="0" w:after="0" w:afterLines="0" w:afterAutospacing="0" w:line="360" w:lineRule="auto"/>
        <w:ind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eastAsia="zh-CN"/>
        </w:rPr>
        <w:t>六</w:t>
      </w:r>
      <w:r>
        <w:rPr>
          <w:rFonts w:hint="eastAsia" w:ascii="宋体" w:hAnsi="宋体" w:eastAsia="宋体" w:cs="宋体"/>
          <w:color w:val="auto"/>
          <w:sz w:val="21"/>
          <w:szCs w:val="21"/>
          <w:highlight w:val="none"/>
        </w:rPr>
        <w:t>)甲方应全力支持乙方依法依规独立开展审计。协调好与被审计单位关系，做好审计项目工作现场的有关准备，落实必要的工作环境，保证乙方</w:t>
      </w:r>
      <w:r>
        <w:rPr>
          <w:rFonts w:hint="eastAsia" w:ascii="宋体" w:hAnsi="宋体" w:eastAsia="宋体" w:cs="宋体"/>
          <w:color w:val="auto"/>
          <w:sz w:val="21"/>
          <w:szCs w:val="21"/>
          <w:highlight w:val="none"/>
          <w:lang w:eastAsia="zh-CN"/>
        </w:rPr>
        <w:t>派出协审</w:t>
      </w:r>
      <w:r>
        <w:rPr>
          <w:rFonts w:hint="eastAsia" w:ascii="宋体" w:hAnsi="宋体" w:eastAsia="宋体" w:cs="宋体"/>
          <w:color w:val="auto"/>
          <w:sz w:val="21"/>
          <w:szCs w:val="21"/>
          <w:highlight w:val="none"/>
        </w:rPr>
        <w:t>人员能够顺利开展工作</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切实保障乙方派出</w:t>
      </w:r>
      <w:r>
        <w:rPr>
          <w:rFonts w:hint="eastAsia" w:ascii="宋体" w:hAnsi="宋体" w:eastAsia="宋体" w:cs="宋体"/>
          <w:color w:val="auto"/>
          <w:sz w:val="21"/>
          <w:szCs w:val="21"/>
          <w:highlight w:val="none"/>
          <w:lang w:eastAsia="zh-CN"/>
        </w:rPr>
        <w:t>协审</w:t>
      </w:r>
      <w:r>
        <w:rPr>
          <w:rFonts w:hint="eastAsia" w:ascii="宋体" w:hAnsi="宋体" w:eastAsia="宋体" w:cs="宋体"/>
          <w:color w:val="auto"/>
          <w:sz w:val="21"/>
          <w:szCs w:val="21"/>
          <w:highlight w:val="none"/>
        </w:rPr>
        <w:t>人员的合法权益</w:t>
      </w:r>
      <w:r>
        <w:rPr>
          <w:rFonts w:hint="eastAsia" w:ascii="宋体" w:hAnsi="宋体" w:eastAsia="宋体" w:cs="宋体"/>
          <w:color w:val="auto"/>
          <w:sz w:val="21"/>
          <w:szCs w:val="21"/>
          <w:highlight w:val="none"/>
          <w:lang w:eastAsia="zh-CN"/>
        </w:rPr>
        <w:t>。</w:t>
      </w:r>
    </w:p>
    <w:p>
      <w:pPr>
        <w:pStyle w:val="114"/>
        <w:keepNext w:val="0"/>
        <w:keepLines w:val="0"/>
        <w:pageBreakBefore w:val="0"/>
        <w:kinsoku/>
        <w:wordWrap/>
        <w:overflowPunct/>
        <w:topLinePunct w:val="0"/>
        <w:autoSpaceDE/>
        <w:autoSpaceDN/>
        <w:bidi w:val="0"/>
        <w:adjustRightInd w:val="0"/>
        <w:snapToGrid/>
        <w:spacing w:before="0" w:beforeLines="0" w:beforeAutospacing="0" w:after="0" w:afterLines="0" w:afterAutospacing="0" w:line="360" w:lineRule="auto"/>
        <w:ind w:right="0" w:rightChars="0"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(七)甲方对乙方的造价审核结果进行审理和把关。</w:t>
      </w:r>
    </w:p>
    <w:p>
      <w:pPr>
        <w:pStyle w:val="114"/>
        <w:keepNext w:val="0"/>
        <w:keepLines w:val="0"/>
        <w:pageBreakBefore w:val="0"/>
        <w:kinsoku/>
        <w:wordWrap/>
        <w:overflowPunct/>
        <w:topLinePunct w:val="0"/>
        <w:autoSpaceDE/>
        <w:autoSpaceDN/>
        <w:bidi w:val="0"/>
        <w:adjustRightInd w:val="0"/>
        <w:snapToGrid/>
        <w:spacing w:before="0" w:beforeLines="0" w:beforeAutospacing="0" w:after="0" w:afterLines="0" w:afterAutospacing="0" w:line="360" w:lineRule="auto"/>
        <w:ind w:right="0" w:righ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eastAsia="zh-CN"/>
        </w:rPr>
        <w:t>（八）若乙方无能力承接送审审计项目，人员更换频繁不能满足审计工作需要的，或有违反审计“四严禁”工作要求、“八不准”工作纪律及其他违反廉政纪律行为的，甲方有权立即取消合同，概不支付任何合同费用，如果造成严重后果的，还应赔偿受害方相应的经济损失，甚至承担纪检监察、刑事责任等。</w:t>
      </w:r>
    </w:p>
    <w:p>
      <w:pPr>
        <w:keepNext w:val="0"/>
        <w:keepLines w:val="0"/>
        <w:pageBreakBefore w:val="0"/>
        <w:kinsoku/>
        <w:wordWrap/>
        <w:overflowPunct/>
        <w:topLinePunct w:val="0"/>
        <w:autoSpaceDE/>
        <w:autoSpaceDN/>
        <w:bidi w:val="0"/>
        <w:adjustRightInd w:val="0"/>
        <w:snapToGrid/>
        <w:spacing w:line="360" w:lineRule="auto"/>
        <w:ind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三</w:t>
      </w:r>
      <w:r>
        <w:rPr>
          <w:rFonts w:hint="eastAsia" w:ascii="宋体" w:hAnsi="宋体" w:eastAsia="宋体" w:cs="宋体"/>
          <w:color w:val="auto"/>
          <w:sz w:val="21"/>
          <w:szCs w:val="21"/>
          <w:highlight w:val="none"/>
        </w:rPr>
        <w:t>、乙方的责任和义务</w:t>
      </w:r>
    </w:p>
    <w:p>
      <w:pPr>
        <w:pStyle w:val="114"/>
        <w:keepNext w:val="0"/>
        <w:keepLines w:val="0"/>
        <w:pageBreakBefore w:val="0"/>
        <w:kinsoku/>
        <w:wordWrap/>
        <w:overflowPunct/>
        <w:topLinePunct w:val="0"/>
        <w:autoSpaceDE/>
        <w:autoSpaceDN/>
        <w:bidi w:val="0"/>
        <w:adjustRightInd w:val="0"/>
        <w:snapToGrid/>
        <w:spacing w:before="0" w:beforeLines="0" w:beforeAutospacing="0" w:after="0" w:afterLines="0" w:afterAutospacing="0" w:line="360" w:lineRule="auto"/>
        <w:ind w:right="0" w:rightChars="0" w:firstLine="420" w:firstLineChars="200"/>
        <w:textAlignment w:val="auto"/>
        <w:rPr>
          <w:rFonts w:hint="eastAsia" w:ascii="宋体" w:hAnsi="宋体" w:eastAsia="宋体" w:cs="宋体"/>
          <w:color w:val="auto"/>
          <w:sz w:val="21"/>
          <w:szCs w:val="21"/>
          <w:highlight w:val="none"/>
        </w:rPr>
      </w:pPr>
      <w:bookmarkStart w:id="322" w:name="No95_D2"/>
      <w:bookmarkEnd w:id="322"/>
      <w:r>
        <w:rPr>
          <w:rFonts w:hint="eastAsia" w:ascii="宋体" w:hAnsi="宋体" w:eastAsia="宋体" w:cs="宋体"/>
          <w:color w:val="auto"/>
          <w:sz w:val="21"/>
          <w:szCs w:val="21"/>
          <w:highlight w:val="none"/>
        </w:rPr>
        <w:t>(一)乙方</w:t>
      </w:r>
      <w:r>
        <w:rPr>
          <w:rFonts w:hint="eastAsia" w:ascii="宋体" w:hAnsi="宋体" w:eastAsia="宋体" w:cs="宋体"/>
          <w:color w:val="auto"/>
          <w:sz w:val="21"/>
          <w:szCs w:val="21"/>
          <w:highlight w:val="none"/>
          <w:lang w:eastAsia="zh-CN"/>
        </w:rPr>
        <w:t>实际</w:t>
      </w:r>
      <w:r>
        <w:rPr>
          <w:rFonts w:hint="eastAsia" w:ascii="宋体" w:hAnsi="宋体" w:eastAsia="宋体" w:cs="宋体"/>
          <w:color w:val="auto"/>
          <w:sz w:val="21"/>
          <w:szCs w:val="21"/>
          <w:highlight w:val="none"/>
        </w:rPr>
        <w:t>派出</w:t>
      </w:r>
      <w:r>
        <w:rPr>
          <w:rFonts w:hint="eastAsia" w:ascii="宋体" w:hAnsi="宋体" w:eastAsia="宋体" w:cs="宋体"/>
          <w:color w:val="auto"/>
          <w:sz w:val="21"/>
          <w:szCs w:val="21"/>
          <w:highlight w:val="none"/>
          <w:lang w:eastAsia="zh-CN"/>
        </w:rPr>
        <w:t>协审</w:t>
      </w:r>
      <w:r>
        <w:rPr>
          <w:rFonts w:hint="eastAsia" w:ascii="宋体" w:hAnsi="宋体" w:eastAsia="宋体" w:cs="宋体"/>
          <w:color w:val="auto"/>
          <w:sz w:val="21"/>
          <w:szCs w:val="21"/>
          <w:highlight w:val="none"/>
        </w:rPr>
        <w:t>人员</w:t>
      </w:r>
      <w:r>
        <w:rPr>
          <w:rFonts w:hint="eastAsia" w:ascii="宋体" w:hAnsi="宋体" w:eastAsia="宋体" w:cs="宋体"/>
          <w:color w:val="auto"/>
          <w:sz w:val="21"/>
          <w:szCs w:val="21"/>
          <w:highlight w:val="none"/>
          <w:lang w:eastAsia="zh-CN"/>
        </w:rPr>
        <w:t>必须同投标文件中拟派出协审人员一致，</w:t>
      </w:r>
      <w:r>
        <w:rPr>
          <w:rFonts w:hint="eastAsia" w:ascii="宋体" w:hAnsi="宋体" w:eastAsia="宋体" w:cs="宋体"/>
          <w:color w:val="auto"/>
          <w:sz w:val="21"/>
          <w:szCs w:val="21"/>
          <w:highlight w:val="none"/>
        </w:rPr>
        <w:t>在项目审计中</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必须遵守国家法律法规和执业规范，保守审计秘密和被审计单位的商业秘密，有较高的职业道德和专业素质，且近年来没有违法和违规执业行为。乙方对</w:t>
      </w:r>
      <w:r>
        <w:rPr>
          <w:rFonts w:hint="eastAsia" w:ascii="宋体" w:hAnsi="宋体" w:eastAsia="宋体" w:cs="宋体"/>
          <w:color w:val="auto"/>
          <w:sz w:val="21"/>
          <w:szCs w:val="21"/>
          <w:highlight w:val="none"/>
          <w:lang w:eastAsia="zh-CN"/>
        </w:rPr>
        <w:t>其</w:t>
      </w:r>
      <w:r>
        <w:rPr>
          <w:rFonts w:hint="eastAsia" w:ascii="宋体" w:hAnsi="宋体" w:eastAsia="宋体" w:cs="宋体"/>
          <w:color w:val="auto"/>
          <w:sz w:val="21"/>
          <w:szCs w:val="21"/>
          <w:highlight w:val="none"/>
        </w:rPr>
        <w:t>所派出</w:t>
      </w:r>
      <w:r>
        <w:rPr>
          <w:rFonts w:hint="eastAsia" w:ascii="宋体" w:hAnsi="宋体" w:eastAsia="宋体" w:cs="宋体"/>
          <w:color w:val="auto"/>
          <w:sz w:val="21"/>
          <w:szCs w:val="21"/>
          <w:highlight w:val="none"/>
          <w:lang w:eastAsia="zh-CN"/>
        </w:rPr>
        <w:t>协审</w:t>
      </w:r>
      <w:r>
        <w:rPr>
          <w:rFonts w:hint="eastAsia" w:ascii="宋体" w:hAnsi="宋体" w:eastAsia="宋体" w:cs="宋体"/>
          <w:color w:val="auto"/>
          <w:sz w:val="21"/>
          <w:szCs w:val="21"/>
          <w:highlight w:val="none"/>
        </w:rPr>
        <w:t>人员的业务技能、组织纪律、廉洁自律等承担全部法律责任</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 xml:space="preserve"> </w:t>
      </w:r>
    </w:p>
    <w:p>
      <w:pPr>
        <w:pStyle w:val="114"/>
        <w:keepNext w:val="0"/>
        <w:keepLines w:val="0"/>
        <w:pageBreakBefore w:val="0"/>
        <w:kinsoku/>
        <w:wordWrap/>
        <w:overflowPunct/>
        <w:topLinePunct w:val="0"/>
        <w:autoSpaceDE/>
        <w:autoSpaceDN/>
        <w:bidi w:val="0"/>
        <w:adjustRightInd w:val="0"/>
        <w:snapToGrid/>
        <w:spacing w:before="0" w:beforeLines="0" w:beforeAutospacing="0" w:after="0" w:afterLines="0" w:afterAutospacing="0" w:line="360" w:lineRule="auto"/>
        <w:ind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(二)乙方及其派出</w:t>
      </w:r>
      <w:r>
        <w:rPr>
          <w:rFonts w:hint="eastAsia" w:ascii="宋体" w:hAnsi="宋体" w:eastAsia="宋体" w:cs="宋体"/>
          <w:color w:val="auto"/>
          <w:sz w:val="21"/>
          <w:szCs w:val="21"/>
          <w:highlight w:val="none"/>
          <w:lang w:eastAsia="zh-CN"/>
        </w:rPr>
        <w:t>协审</w:t>
      </w:r>
      <w:r>
        <w:rPr>
          <w:rFonts w:hint="eastAsia" w:ascii="宋体" w:hAnsi="宋体" w:eastAsia="宋体" w:cs="宋体"/>
          <w:color w:val="auto"/>
          <w:sz w:val="21"/>
          <w:szCs w:val="21"/>
          <w:highlight w:val="none"/>
        </w:rPr>
        <w:t>人员必须按照</w:t>
      </w:r>
      <w:r>
        <w:rPr>
          <w:rFonts w:hint="eastAsia" w:ascii="宋体" w:hAnsi="宋体" w:eastAsia="宋体" w:cs="宋体"/>
          <w:color w:val="auto"/>
          <w:sz w:val="21"/>
          <w:szCs w:val="21"/>
          <w:highlight w:val="none"/>
          <w:lang w:eastAsia="zh-CN"/>
        </w:rPr>
        <w:t>国家法律法规、职业规范和</w:t>
      </w:r>
      <w:r>
        <w:rPr>
          <w:rFonts w:hint="eastAsia" w:ascii="宋体" w:hAnsi="宋体" w:eastAsia="宋体" w:cs="宋体"/>
          <w:color w:val="auto"/>
          <w:sz w:val="21"/>
          <w:szCs w:val="21"/>
          <w:highlight w:val="none"/>
        </w:rPr>
        <w:t>甲方的要求执行审计工作纪律、保密纪律和廉政规定，并签订廉政和保密责任书</w:t>
      </w:r>
      <w:r>
        <w:rPr>
          <w:rFonts w:hint="eastAsia" w:ascii="宋体" w:hAnsi="宋体" w:eastAsia="宋体" w:cs="宋体"/>
          <w:color w:val="auto"/>
          <w:sz w:val="21"/>
          <w:szCs w:val="21"/>
          <w:highlight w:val="none"/>
          <w:lang w:eastAsia="zh-CN"/>
        </w:rPr>
        <w:t>。</w:t>
      </w:r>
    </w:p>
    <w:p>
      <w:pPr>
        <w:pStyle w:val="114"/>
        <w:keepNext w:val="0"/>
        <w:keepLines w:val="0"/>
        <w:pageBreakBefore w:val="0"/>
        <w:kinsoku/>
        <w:wordWrap/>
        <w:overflowPunct/>
        <w:topLinePunct w:val="0"/>
        <w:autoSpaceDE/>
        <w:autoSpaceDN/>
        <w:bidi w:val="0"/>
        <w:adjustRightInd w:val="0"/>
        <w:snapToGrid/>
        <w:spacing w:before="0" w:beforeLines="0" w:beforeAutospacing="0" w:after="0" w:afterLines="0" w:afterAutospacing="0" w:line="360" w:lineRule="auto"/>
        <w:ind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(三)乙方</w:t>
      </w:r>
      <w:r>
        <w:rPr>
          <w:rFonts w:hint="eastAsia" w:ascii="宋体" w:hAnsi="宋体" w:eastAsia="宋体" w:cs="宋体"/>
          <w:color w:val="auto"/>
          <w:sz w:val="21"/>
          <w:szCs w:val="21"/>
          <w:highlight w:val="none"/>
          <w:lang w:eastAsia="zh-CN"/>
        </w:rPr>
        <w:t>派出协审</w:t>
      </w:r>
      <w:r>
        <w:rPr>
          <w:rFonts w:hint="eastAsia" w:ascii="宋体" w:hAnsi="宋体" w:eastAsia="宋体" w:cs="宋体"/>
          <w:color w:val="auto"/>
          <w:sz w:val="21"/>
          <w:szCs w:val="21"/>
          <w:highlight w:val="none"/>
        </w:rPr>
        <w:t>人员全程服从甲方管理和业务领导，除参与完成工程造价审计，同时还应积极配合甲方做好项目施工、监理、设计等参建单位前期招投标、合同管理、环境保护措施等审计工作</w:t>
      </w:r>
      <w:r>
        <w:rPr>
          <w:rFonts w:hint="eastAsia" w:ascii="宋体" w:hAnsi="宋体" w:eastAsia="宋体" w:cs="宋体"/>
          <w:color w:val="auto"/>
          <w:sz w:val="21"/>
          <w:szCs w:val="21"/>
          <w:highlight w:val="none"/>
          <w:lang w:eastAsia="zh-CN"/>
        </w:rPr>
        <w:t>，发现的问题线索及时向甲方审计组如实报告，如有隐瞒，应承担相应法律责任。</w:t>
      </w:r>
    </w:p>
    <w:p>
      <w:pPr>
        <w:pStyle w:val="114"/>
        <w:keepNext w:val="0"/>
        <w:keepLines w:val="0"/>
        <w:pageBreakBefore w:val="0"/>
        <w:kinsoku/>
        <w:wordWrap/>
        <w:overflowPunct/>
        <w:topLinePunct w:val="0"/>
        <w:autoSpaceDE/>
        <w:autoSpaceDN/>
        <w:bidi w:val="0"/>
        <w:adjustRightInd w:val="0"/>
        <w:snapToGrid/>
        <w:spacing w:before="0" w:beforeLines="0" w:beforeAutospacing="0" w:after="0" w:afterLines="0" w:afterAutospacing="0" w:line="360" w:lineRule="auto"/>
        <w:ind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(四)乙方及其派出</w:t>
      </w:r>
      <w:r>
        <w:rPr>
          <w:rFonts w:hint="eastAsia" w:ascii="宋体" w:hAnsi="宋体" w:eastAsia="宋体" w:cs="宋体"/>
          <w:color w:val="auto"/>
          <w:sz w:val="21"/>
          <w:szCs w:val="21"/>
          <w:highlight w:val="none"/>
          <w:lang w:eastAsia="zh-CN"/>
        </w:rPr>
        <w:t>协审</w:t>
      </w:r>
      <w:r>
        <w:rPr>
          <w:rFonts w:hint="eastAsia" w:ascii="宋体" w:hAnsi="宋体" w:eastAsia="宋体" w:cs="宋体"/>
          <w:color w:val="auto"/>
          <w:sz w:val="21"/>
          <w:szCs w:val="21"/>
          <w:highlight w:val="none"/>
        </w:rPr>
        <w:t>人员应接受甲方的全程监督、检查，对于审计中的重大</w:t>
      </w:r>
      <w:r>
        <w:rPr>
          <w:rFonts w:hint="eastAsia" w:ascii="宋体" w:hAnsi="宋体" w:eastAsia="宋体" w:cs="宋体"/>
          <w:color w:val="auto"/>
          <w:sz w:val="21"/>
          <w:szCs w:val="21"/>
          <w:highlight w:val="none"/>
          <w:lang w:eastAsia="zh-CN"/>
        </w:rPr>
        <w:t>事项</w:t>
      </w:r>
      <w:r>
        <w:rPr>
          <w:rFonts w:hint="eastAsia" w:ascii="宋体" w:hAnsi="宋体" w:eastAsia="宋体" w:cs="宋体"/>
          <w:color w:val="auto"/>
          <w:sz w:val="21"/>
          <w:szCs w:val="21"/>
          <w:highlight w:val="none"/>
        </w:rPr>
        <w:t>和疑难问题，应及时向甲方</w:t>
      </w:r>
      <w:r>
        <w:rPr>
          <w:rFonts w:hint="eastAsia" w:ascii="宋体" w:hAnsi="宋体" w:eastAsia="宋体" w:cs="宋体"/>
          <w:color w:val="auto"/>
          <w:sz w:val="21"/>
          <w:szCs w:val="21"/>
          <w:highlight w:val="none"/>
          <w:lang w:eastAsia="zh-CN"/>
        </w:rPr>
        <w:t>请示</w:t>
      </w:r>
      <w:r>
        <w:rPr>
          <w:rFonts w:hint="eastAsia" w:ascii="宋体" w:hAnsi="宋体" w:eastAsia="宋体" w:cs="宋体"/>
          <w:color w:val="auto"/>
          <w:sz w:val="21"/>
          <w:szCs w:val="21"/>
          <w:highlight w:val="none"/>
        </w:rPr>
        <w:t>报告</w:t>
      </w:r>
      <w:r>
        <w:rPr>
          <w:rFonts w:hint="eastAsia" w:ascii="宋体" w:hAnsi="宋体" w:eastAsia="宋体" w:cs="宋体"/>
          <w:color w:val="auto"/>
          <w:sz w:val="21"/>
          <w:szCs w:val="21"/>
          <w:highlight w:val="none"/>
          <w:lang w:eastAsia="zh-CN"/>
        </w:rPr>
        <w:t>。</w:t>
      </w:r>
    </w:p>
    <w:p>
      <w:pPr>
        <w:pStyle w:val="114"/>
        <w:keepNext w:val="0"/>
        <w:keepLines w:val="0"/>
        <w:pageBreakBefore w:val="0"/>
        <w:kinsoku/>
        <w:wordWrap/>
        <w:overflowPunct/>
        <w:topLinePunct w:val="0"/>
        <w:autoSpaceDE/>
        <w:autoSpaceDN/>
        <w:bidi w:val="0"/>
        <w:adjustRightInd w:val="0"/>
        <w:snapToGrid/>
        <w:spacing w:before="0" w:beforeLines="0" w:beforeAutospacing="0" w:after="0" w:afterLines="0" w:afterAutospacing="0" w:line="360" w:lineRule="auto"/>
        <w:ind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(五)乙方派出</w:t>
      </w:r>
      <w:r>
        <w:rPr>
          <w:rFonts w:hint="eastAsia" w:ascii="宋体" w:hAnsi="宋体" w:eastAsia="宋体" w:cs="宋体"/>
          <w:color w:val="auto"/>
          <w:sz w:val="21"/>
          <w:szCs w:val="21"/>
          <w:highlight w:val="none"/>
          <w:lang w:eastAsia="zh-CN"/>
        </w:rPr>
        <w:t>协审</w:t>
      </w:r>
      <w:r>
        <w:rPr>
          <w:rFonts w:hint="eastAsia" w:ascii="宋体" w:hAnsi="宋体" w:eastAsia="宋体" w:cs="宋体"/>
          <w:color w:val="auto"/>
          <w:sz w:val="21"/>
          <w:szCs w:val="21"/>
          <w:highlight w:val="none"/>
        </w:rPr>
        <w:t>人员，必须坚持客观公正、严谨细致，审计结论符合审计质量控制要求</w:t>
      </w:r>
      <w:r>
        <w:rPr>
          <w:rFonts w:hint="eastAsia" w:ascii="宋体" w:hAnsi="宋体" w:eastAsia="宋体" w:cs="宋体"/>
          <w:color w:val="auto"/>
          <w:sz w:val="21"/>
          <w:szCs w:val="21"/>
          <w:highlight w:val="none"/>
          <w:lang w:eastAsia="zh-CN"/>
        </w:rPr>
        <w:t>。</w:t>
      </w:r>
    </w:p>
    <w:p>
      <w:pPr>
        <w:pStyle w:val="114"/>
        <w:keepNext w:val="0"/>
        <w:keepLines w:val="0"/>
        <w:pageBreakBefore w:val="0"/>
        <w:kinsoku/>
        <w:wordWrap/>
        <w:overflowPunct/>
        <w:topLinePunct w:val="0"/>
        <w:autoSpaceDE/>
        <w:autoSpaceDN/>
        <w:bidi w:val="0"/>
        <w:adjustRightInd w:val="0"/>
        <w:snapToGrid/>
        <w:spacing w:before="0" w:beforeLines="0" w:beforeAutospacing="0" w:after="0" w:afterLines="0" w:afterAutospacing="0" w:line="360" w:lineRule="auto"/>
        <w:ind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(六)审计项目进行中，乙方派出</w:t>
      </w:r>
      <w:r>
        <w:rPr>
          <w:rFonts w:hint="eastAsia" w:ascii="宋体" w:hAnsi="宋体" w:eastAsia="宋体" w:cs="宋体"/>
          <w:color w:val="auto"/>
          <w:sz w:val="21"/>
          <w:szCs w:val="21"/>
          <w:highlight w:val="none"/>
          <w:lang w:eastAsia="zh-CN"/>
        </w:rPr>
        <w:t>协审</w:t>
      </w:r>
      <w:r>
        <w:rPr>
          <w:rFonts w:hint="eastAsia" w:ascii="宋体" w:hAnsi="宋体" w:eastAsia="宋体" w:cs="宋体"/>
          <w:color w:val="auto"/>
          <w:sz w:val="21"/>
          <w:szCs w:val="21"/>
          <w:highlight w:val="none"/>
        </w:rPr>
        <w:t>人员只能从甲方获取</w:t>
      </w:r>
      <w:r>
        <w:rPr>
          <w:rFonts w:hint="eastAsia" w:ascii="宋体" w:hAnsi="宋体" w:eastAsia="宋体" w:cs="宋体"/>
          <w:color w:val="auto"/>
          <w:sz w:val="21"/>
          <w:szCs w:val="21"/>
          <w:highlight w:val="none"/>
          <w:lang w:eastAsia="zh-CN"/>
        </w:rPr>
        <w:t>送审</w:t>
      </w:r>
      <w:r>
        <w:rPr>
          <w:rFonts w:hint="eastAsia" w:ascii="宋体" w:hAnsi="宋体" w:eastAsia="宋体" w:cs="宋体"/>
          <w:color w:val="auto"/>
          <w:sz w:val="21"/>
          <w:szCs w:val="21"/>
          <w:highlight w:val="none"/>
        </w:rPr>
        <w:t>项目的相关资料，确需</w:t>
      </w:r>
      <w:r>
        <w:rPr>
          <w:rFonts w:hint="eastAsia" w:ascii="宋体" w:hAnsi="宋体" w:eastAsia="宋体" w:cs="宋体"/>
          <w:color w:val="auto"/>
          <w:sz w:val="21"/>
          <w:szCs w:val="21"/>
          <w:highlight w:val="none"/>
          <w:lang w:eastAsia="zh-CN"/>
        </w:rPr>
        <w:t>被审</w:t>
      </w:r>
      <w:r>
        <w:rPr>
          <w:rFonts w:hint="eastAsia" w:ascii="宋体" w:hAnsi="宋体" w:eastAsia="宋体" w:cs="宋体"/>
          <w:color w:val="auto"/>
          <w:sz w:val="21"/>
          <w:szCs w:val="21"/>
          <w:highlight w:val="none"/>
        </w:rPr>
        <w:t>单位增补资料的，应书面向甲方提出增补资料清单，由甲方要求</w:t>
      </w:r>
      <w:r>
        <w:rPr>
          <w:rFonts w:hint="eastAsia" w:ascii="宋体" w:hAnsi="宋体" w:eastAsia="宋体" w:cs="宋体"/>
          <w:color w:val="auto"/>
          <w:sz w:val="21"/>
          <w:szCs w:val="21"/>
          <w:highlight w:val="none"/>
          <w:lang w:eastAsia="zh-CN"/>
        </w:rPr>
        <w:t>被审</w:t>
      </w:r>
      <w:r>
        <w:rPr>
          <w:rFonts w:hint="eastAsia" w:ascii="宋体" w:hAnsi="宋体" w:eastAsia="宋体" w:cs="宋体"/>
          <w:color w:val="auto"/>
          <w:sz w:val="21"/>
          <w:szCs w:val="21"/>
          <w:highlight w:val="none"/>
        </w:rPr>
        <w:t>单位增补资料</w:t>
      </w:r>
      <w:r>
        <w:rPr>
          <w:rFonts w:hint="eastAsia" w:ascii="宋体" w:hAnsi="宋体" w:eastAsia="宋体" w:cs="宋体"/>
          <w:color w:val="auto"/>
          <w:sz w:val="21"/>
          <w:szCs w:val="21"/>
          <w:highlight w:val="none"/>
          <w:lang w:eastAsia="zh-CN"/>
        </w:rPr>
        <w:t>。</w:t>
      </w:r>
    </w:p>
    <w:p>
      <w:pPr>
        <w:pStyle w:val="114"/>
        <w:keepNext w:val="0"/>
        <w:keepLines w:val="0"/>
        <w:pageBreakBefore w:val="0"/>
        <w:kinsoku/>
        <w:wordWrap/>
        <w:overflowPunct/>
        <w:topLinePunct w:val="0"/>
        <w:autoSpaceDE/>
        <w:autoSpaceDN/>
        <w:bidi w:val="0"/>
        <w:adjustRightInd w:val="0"/>
        <w:snapToGrid/>
        <w:spacing w:before="0" w:beforeLines="0" w:beforeAutospacing="0" w:after="0" w:afterLines="0" w:afterAutospacing="0" w:line="360" w:lineRule="auto"/>
        <w:ind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(七)乙方及其派出</w:t>
      </w:r>
      <w:r>
        <w:rPr>
          <w:rFonts w:hint="eastAsia" w:ascii="宋体" w:hAnsi="宋体" w:eastAsia="宋体" w:cs="宋体"/>
          <w:color w:val="auto"/>
          <w:sz w:val="21"/>
          <w:szCs w:val="21"/>
          <w:highlight w:val="none"/>
          <w:lang w:eastAsia="zh-CN"/>
        </w:rPr>
        <w:t>协审</w:t>
      </w:r>
      <w:r>
        <w:rPr>
          <w:rFonts w:hint="eastAsia" w:ascii="宋体" w:hAnsi="宋体" w:eastAsia="宋体" w:cs="宋体"/>
          <w:color w:val="auto"/>
          <w:sz w:val="21"/>
          <w:szCs w:val="21"/>
          <w:highlight w:val="none"/>
        </w:rPr>
        <w:t>人员与</w:t>
      </w:r>
      <w:r>
        <w:rPr>
          <w:rFonts w:hint="eastAsia" w:ascii="宋体" w:hAnsi="宋体" w:eastAsia="宋体" w:cs="宋体"/>
          <w:color w:val="auto"/>
          <w:sz w:val="21"/>
          <w:szCs w:val="21"/>
          <w:highlight w:val="none"/>
          <w:lang w:eastAsia="zh-CN"/>
        </w:rPr>
        <w:t>送审</w:t>
      </w:r>
      <w:r>
        <w:rPr>
          <w:rFonts w:hint="eastAsia" w:ascii="宋体" w:hAnsi="宋体" w:eastAsia="宋体" w:cs="宋体"/>
          <w:color w:val="auto"/>
          <w:sz w:val="21"/>
          <w:szCs w:val="21"/>
          <w:highlight w:val="none"/>
        </w:rPr>
        <w:t>项目相关单位人员或者审计事项有利害关系的应当主动明示并提出回避</w:t>
      </w:r>
      <w:r>
        <w:rPr>
          <w:rFonts w:hint="eastAsia" w:ascii="宋体" w:hAnsi="宋体" w:eastAsia="宋体" w:cs="宋体"/>
          <w:color w:val="auto"/>
          <w:sz w:val="21"/>
          <w:szCs w:val="21"/>
          <w:highlight w:val="none"/>
          <w:lang w:eastAsia="zh-CN"/>
        </w:rPr>
        <w:t>。</w:t>
      </w:r>
    </w:p>
    <w:p>
      <w:pPr>
        <w:pStyle w:val="114"/>
        <w:keepNext w:val="0"/>
        <w:keepLines w:val="0"/>
        <w:pageBreakBefore w:val="0"/>
        <w:kinsoku/>
        <w:wordWrap/>
        <w:overflowPunct/>
        <w:topLinePunct w:val="0"/>
        <w:autoSpaceDE/>
        <w:autoSpaceDN/>
        <w:bidi w:val="0"/>
        <w:adjustRightInd w:val="0"/>
        <w:snapToGrid/>
        <w:spacing w:before="0" w:beforeLines="0" w:beforeAutospacing="0" w:after="0" w:afterLines="0" w:afterAutospacing="0" w:line="360" w:lineRule="auto"/>
        <w:ind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(八)对甲方交办或分配给乙方的审计任务，乙方派出</w:t>
      </w:r>
      <w:r>
        <w:rPr>
          <w:rFonts w:hint="eastAsia" w:ascii="宋体" w:hAnsi="宋体" w:eastAsia="宋体" w:cs="宋体"/>
          <w:color w:val="auto"/>
          <w:sz w:val="21"/>
          <w:szCs w:val="21"/>
          <w:highlight w:val="none"/>
          <w:lang w:eastAsia="zh-CN"/>
        </w:rPr>
        <w:t>协审</w:t>
      </w:r>
      <w:r>
        <w:rPr>
          <w:rFonts w:hint="eastAsia" w:ascii="宋体" w:hAnsi="宋体" w:eastAsia="宋体" w:cs="宋体"/>
          <w:color w:val="auto"/>
          <w:sz w:val="21"/>
          <w:szCs w:val="21"/>
          <w:highlight w:val="none"/>
        </w:rPr>
        <w:t>人员必须保质保量完成，对</w:t>
      </w:r>
      <w:r>
        <w:rPr>
          <w:rFonts w:hint="eastAsia" w:ascii="宋体" w:hAnsi="宋体" w:eastAsia="宋体" w:cs="宋体"/>
          <w:color w:val="auto"/>
          <w:sz w:val="21"/>
          <w:szCs w:val="21"/>
          <w:highlight w:val="none"/>
          <w:lang w:eastAsia="zh-CN"/>
        </w:rPr>
        <w:t>其</w:t>
      </w:r>
      <w:r>
        <w:rPr>
          <w:rFonts w:hint="eastAsia" w:ascii="宋体" w:hAnsi="宋体" w:eastAsia="宋体" w:cs="宋体"/>
          <w:color w:val="auto"/>
          <w:sz w:val="21"/>
          <w:szCs w:val="21"/>
          <w:highlight w:val="none"/>
        </w:rPr>
        <w:t>所派出</w:t>
      </w:r>
      <w:r>
        <w:rPr>
          <w:rFonts w:hint="eastAsia" w:ascii="宋体" w:hAnsi="宋体" w:eastAsia="宋体" w:cs="宋体"/>
          <w:color w:val="auto"/>
          <w:sz w:val="21"/>
          <w:szCs w:val="21"/>
          <w:highlight w:val="none"/>
          <w:lang w:eastAsia="zh-CN"/>
        </w:rPr>
        <w:t>协审</w:t>
      </w:r>
      <w:r>
        <w:rPr>
          <w:rFonts w:hint="eastAsia" w:ascii="宋体" w:hAnsi="宋体" w:eastAsia="宋体" w:cs="宋体"/>
          <w:color w:val="auto"/>
          <w:sz w:val="21"/>
          <w:szCs w:val="21"/>
          <w:highlight w:val="none"/>
        </w:rPr>
        <w:t>人员的审计结论乙方</w:t>
      </w:r>
      <w:r>
        <w:rPr>
          <w:rFonts w:hint="eastAsia" w:ascii="宋体" w:hAnsi="宋体" w:eastAsia="宋体" w:cs="宋体"/>
          <w:color w:val="auto"/>
          <w:sz w:val="21"/>
          <w:szCs w:val="21"/>
          <w:highlight w:val="none"/>
          <w:lang w:eastAsia="zh-CN"/>
        </w:rPr>
        <w:t>应当</w:t>
      </w:r>
      <w:r>
        <w:rPr>
          <w:rFonts w:hint="eastAsia" w:ascii="宋体" w:hAnsi="宋体" w:eastAsia="宋体" w:cs="宋体"/>
          <w:color w:val="auto"/>
          <w:sz w:val="21"/>
          <w:szCs w:val="21"/>
          <w:highlight w:val="none"/>
        </w:rPr>
        <w:t>复核，复核结果由乙方法人签字盖章后提交甲方</w:t>
      </w:r>
      <w:r>
        <w:rPr>
          <w:rFonts w:hint="eastAsia" w:ascii="宋体" w:hAnsi="宋体" w:eastAsia="宋体" w:cs="宋体"/>
          <w:color w:val="auto"/>
          <w:sz w:val="21"/>
          <w:szCs w:val="21"/>
          <w:highlight w:val="none"/>
          <w:lang w:eastAsia="zh-CN"/>
        </w:rPr>
        <w:t>。</w:t>
      </w:r>
    </w:p>
    <w:p>
      <w:pPr>
        <w:pStyle w:val="114"/>
        <w:keepNext w:val="0"/>
        <w:keepLines w:val="0"/>
        <w:pageBreakBefore w:val="0"/>
        <w:kinsoku/>
        <w:wordWrap/>
        <w:overflowPunct/>
        <w:topLinePunct w:val="0"/>
        <w:autoSpaceDE/>
        <w:autoSpaceDN/>
        <w:bidi w:val="0"/>
        <w:adjustRightInd w:val="0"/>
        <w:snapToGrid/>
        <w:spacing w:before="0" w:beforeLines="0" w:beforeAutospacing="0" w:after="0" w:afterLines="0" w:afterAutospacing="0" w:line="360" w:lineRule="auto"/>
        <w:ind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(九)乙方派出</w:t>
      </w:r>
      <w:r>
        <w:rPr>
          <w:rFonts w:hint="eastAsia" w:ascii="宋体" w:hAnsi="宋体" w:eastAsia="宋体" w:cs="宋体"/>
          <w:color w:val="auto"/>
          <w:sz w:val="21"/>
          <w:szCs w:val="21"/>
          <w:highlight w:val="none"/>
          <w:lang w:eastAsia="zh-CN"/>
        </w:rPr>
        <w:t>协审</w:t>
      </w:r>
      <w:r>
        <w:rPr>
          <w:rFonts w:hint="eastAsia" w:ascii="宋体" w:hAnsi="宋体" w:eastAsia="宋体" w:cs="宋体"/>
          <w:color w:val="auto"/>
          <w:sz w:val="21"/>
          <w:szCs w:val="21"/>
          <w:highlight w:val="none"/>
        </w:rPr>
        <w:t>人员应在规定的时间内完成</w:t>
      </w:r>
      <w:r>
        <w:rPr>
          <w:rFonts w:hint="eastAsia" w:ascii="宋体" w:hAnsi="宋体" w:eastAsia="宋体" w:cs="宋体"/>
          <w:color w:val="auto"/>
          <w:sz w:val="21"/>
          <w:szCs w:val="21"/>
          <w:highlight w:val="none"/>
          <w:lang w:eastAsia="zh-CN"/>
        </w:rPr>
        <w:t>审计任务并出具</w:t>
      </w:r>
      <w:r>
        <w:rPr>
          <w:rFonts w:hint="eastAsia" w:ascii="宋体" w:hAnsi="宋体" w:eastAsia="宋体" w:cs="宋体"/>
          <w:color w:val="auto"/>
          <w:sz w:val="21"/>
          <w:szCs w:val="21"/>
          <w:highlight w:val="none"/>
        </w:rPr>
        <w:t>审计结论，主要内容包括但不限于：建设项目工程概况、范围、内容、结论、审减的主要事项、定性及处理依据及其他需要说明的问题等</w:t>
      </w:r>
      <w:r>
        <w:rPr>
          <w:rFonts w:hint="eastAsia" w:ascii="宋体" w:hAnsi="宋体" w:eastAsia="宋体" w:cs="宋体"/>
          <w:color w:val="auto"/>
          <w:sz w:val="21"/>
          <w:szCs w:val="21"/>
          <w:highlight w:val="none"/>
          <w:lang w:eastAsia="zh-CN"/>
        </w:rPr>
        <w:t>。</w:t>
      </w:r>
    </w:p>
    <w:p>
      <w:pPr>
        <w:pStyle w:val="114"/>
        <w:keepNext w:val="0"/>
        <w:keepLines w:val="0"/>
        <w:pageBreakBefore w:val="0"/>
        <w:kinsoku/>
        <w:wordWrap/>
        <w:overflowPunct/>
        <w:topLinePunct w:val="0"/>
        <w:autoSpaceDE/>
        <w:autoSpaceDN/>
        <w:bidi w:val="0"/>
        <w:adjustRightInd w:val="0"/>
        <w:snapToGrid/>
        <w:spacing w:before="0" w:beforeLines="0" w:beforeAutospacing="0" w:after="0" w:afterLines="0" w:afterAutospacing="0" w:line="360" w:lineRule="auto"/>
        <w:ind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(十)</w:t>
      </w:r>
      <w:r>
        <w:rPr>
          <w:rFonts w:hint="eastAsia" w:ascii="宋体" w:hAnsi="宋体" w:eastAsia="宋体" w:cs="宋体"/>
          <w:color w:val="auto"/>
          <w:sz w:val="21"/>
          <w:szCs w:val="21"/>
          <w:highlight w:val="none"/>
          <w:lang w:eastAsia="zh-CN"/>
        </w:rPr>
        <w:t>乙方项目负责人及派出协审人员原则上不得更换。</w:t>
      </w:r>
      <w:r>
        <w:rPr>
          <w:rFonts w:hint="eastAsia" w:ascii="宋体" w:hAnsi="宋体" w:eastAsia="宋体" w:cs="宋体"/>
          <w:color w:val="auto"/>
          <w:sz w:val="21"/>
          <w:szCs w:val="21"/>
          <w:highlight w:val="none"/>
        </w:rPr>
        <w:t>乙方</w:t>
      </w:r>
      <w:r>
        <w:rPr>
          <w:rFonts w:hint="eastAsia" w:ascii="宋体" w:hAnsi="宋体" w:eastAsia="宋体" w:cs="宋体"/>
          <w:color w:val="auto"/>
          <w:sz w:val="21"/>
          <w:szCs w:val="21"/>
          <w:highlight w:val="none"/>
          <w:lang w:eastAsia="zh-CN"/>
        </w:rPr>
        <w:t>派出协审人员</w:t>
      </w:r>
      <w:r>
        <w:rPr>
          <w:rFonts w:hint="eastAsia" w:ascii="宋体" w:hAnsi="宋体" w:eastAsia="宋体" w:cs="宋体"/>
          <w:color w:val="auto"/>
          <w:sz w:val="21"/>
          <w:szCs w:val="21"/>
          <w:highlight w:val="none"/>
        </w:rPr>
        <w:t>在参加审计工作期间，不得擅自离开工作岗位，如</w:t>
      </w:r>
      <w:r>
        <w:rPr>
          <w:rFonts w:hint="eastAsia" w:ascii="宋体" w:hAnsi="宋体" w:eastAsia="宋体" w:cs="宋体"/>
          <w:color w:val="auto"/>
          <w:sz w:val="21"/>
          <w:szCs w:val="21"/>
          <w:highlight w:val="none"/>
          <w:lang w:eastAsia="zh-CN"/>
        </w:rPr>
        <w:t>确</w:t>
      </w:r>
      <w:r>
        <w:rPr>
          <w:rFonts w:hint="eastAsia" w:ascii="宋体" w:hAnsi="宋体" w:eastAsia="宋体" w:cs="宋体"/>
          <w:color w:val="auto"/>
          <w:sz w:val="21"/>
          <w:szCs w:val="21"/>
          <w:highlight w:val="none"/>
        </w:rPr>
        <w:t>需离开的，必须执行请销假制度，并经</w:t>
      </w:r>
      <w:r>
        <w:rPr>
          <w:rFonts w:hint="eastAsia" w:ascii="宋体" w:hAnsi="宋体" w:eastAsia="宋体" w:cs="宋体"/>
          <w:color w:val="auto"/>
          <w:sz w:val="21"/>
          <w:szCs w:val="21"/>
          <w:highlight w:val="none"/>
          <w:lang w:eastAsia="zh-CN"/>
        </w:rPr>
        <w:t>审计项目组长或副组长</w:t>
      </w:r>
      <w:r>
        <w:rPr>
          <w:rFonts w:hint="eastAsia" w:ascii="宋体" w:hAnsi="宋体" w:eastAsia="宋体" w:cs="宋体"/>
          <w:color w:val="auto"/>
          <w:sz w:val="21"/>
          <w:szCs w:val="21"/>
          <w:highlight w:val="none"/>
        </w:rPr>
        <w:t>批准，同时，未经</w:t>
      </w:r>
      <w:r>
        <w:rPr>
          <w:rFonts w:hint="eastAsia" w:ascii="宋体" w:hAnsi="宋体" w:eastAsia="宋体" w:cs="宋体"/>
          <w:color w:val="auto"/>
          <w:sz w:val="21"/>
          <w:szCs w:val="21"/>
          <w:highlight w:val="none"/>
          <w:lang w:eastAsia="zh-CN"/>
        </w:rPr>
        <w:t>项目组长或副组长</w:t>
      </w:r>
      <w:r>
        <w:rPr>
          <w:rFonts w:hint="eastAsia" w:ascii="宋体" w:hAnsi="宋体" w:eastAsia="宋体" w:cs="宋体"/>
          <w:color w:val="auto"/>
          <w:sz w:val="21"/>
          <w:szCs w:val="21"/>
          <w:highlight w:val="none"/>
        </w:rPr>
        <w:t>同意不得更换</w:t>
      </w:r>
      <w:r>
        <w:rPr>
          <w:rFonts w:hint="eastAsia" w:ascii="宋体" w:hAnsi="宋体" w:eastAsia="宋体" w:cs="宋体"/>
          <w:color w:val="auto"/>
          <w:sz w:val="21"/>
          <w:szCs w:val="21"/>
          <w:highlight w:val="none"/>
          <w:lang w:eastAsia="zh-CN"/>
        </w:rPr>
        <w:t>乙方项目负责人、</w:t>
      </w:r>
      <w:r>
        <w:rPr>
          <w:rFonts w:hint="eastAsia" w:ascii="宋体" w:hAnsi="宋体" w:eastAsia="宋体" w:cs="宋体"/>
          <w:color w:val="auto"/>
          <w:sz w:val="21"/>
          <w:szCs w:val="21"/>
          <w:highlight w:val="none"/>
        </w:rPr>
        <w:t>派出</w:t>
      </w:r>
      <w:r>
        <w:rPr>
          <w:rFonts w:hint="eastAsia" w:ascii="宋体" w:hAnsi="宋体" w:eastAsia="宋体" w:cs="宋体"/>
          <w:color w:val="auto"/>
          <w:sz w:val="21"/>
          <w:szCs w:val="21"/>
          <w:highlight w:val="none"/>
          <w:lang w:eastAsia="zh-CN"/>
        </w:rPr>
        <w:t>协审</w:t>
      </w:r>
      <w:r>
        <w:rPr>
          <w:rFonts w:hint="eastAsia" w:ascii="宋体" w:hAnsi="宋体" w:eastAsia="宋体" w:cs="宋体"/>
          <w:color w:val="auto"/>
          <w:sz w:val="21"/>
          <w:szCs w:val="21"/>
          <w:highlight w:val="none"/>
        </w:rPr>
        <w:t>人员</w:t>
      </w:r>
      <w:r>
        <w:rPr>
          <w:rFonts w:hint="eastAsia" w:ascii="宋体" w:hAnsi="宋体" w:eastAsia="宋体" w:cs="宋体"/>
          <w:color w:val="auto"/>
          <w:sz w:val="21"/>
          <w:szCs w:val="21"/>
          <w:highlight w:val="none"/>
          <w:lang w:eastAsia="zh-CN"/>
        </w:rPr>
        <w:t>。</w:t>
      </w:r>
    </w:p>
    <w:p>
      <w:pPr>
        <w:pStyle w:val="114"/>
        <w:keepNext w:val="0"/>
        <w:keepLines w:val="0"/>
        <w:pageBreakBefore w:val="0"/>
        <w:kinsoku/>
        <w:wordWrap/>
        <w:overflowPunct/>
        <w:topLinePunct w:val="0"/>
        <w:autoSpaceDE/>
        <w:autoSpaceDN/>
        <w:bidi w:val="0"/>
        <w:adjustRightInd w:val="0"/>
        <w:snapToGrid/>
        <w:spacing w:before="0" w:beforeLines="0" w:beforeAutospacing="0" w:after="0" w:afterLines="0" w:afterAutospacing="0" w:line="360" w:lineRule="auto"/>
        <w:ind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(十一)乙方</w:t>
      </w:r>
      <w:r>
        <w:rPr>
          <w:rFonts w:hint="eastAsia" w:ascii="宋体" w:hAnsi="宋体" w:eastAsia="宋体" w:cs="宋体"/>
          <w:color w:val="auto"/>
          <w:sz w:val="21"/>
          <w:szCs w:val="21"/>
          <w:highlight w:val="none"/>
          <w:lang w:eastAsia="zh-CN"/>
        </w:rPr>
        <w:t>派出协审人员</w:t>
      </w:r>
      <w:r>
        <w:rPr>
          <w:rFonts w:hint="eastAsia" w:ascii="宋体" w:hAnsi="宋体" w:eastAsia="宋体" w:cs="宋体"/>
          <w:color w:val="auto"/>
          <w:sz w:val="21"/>
          <w:szCs w:val="21"/>
          <w:highlight w:val="none"/>
        </w:rPr>
        <w:t>应完整、准确、真实地反映和记录审计情况，并按审计质量控制和规范要求编制</w:t>
      </w:r>
      <w:r>
        <w:rPr>
          <w:rFonts w:hint="eastAsia" w:ascii="宋体" w:hAnsi="宋体" w:eastAsia="宋体" w:cs="宋体"/>
          <w:color w:val="auto"/>
          <w:sz w:val="21"/>
          <w:szCs w:val="21"/>
          <w:highlight w:val="none"/>
          <w:lang w:eastAsia="zh-CN"/>
        </w:rPr>
        <w:t>审计取证单、</w:t>
      </w:r>
      <w:r>
        <w:rPr>
          <w:rFonts w:hint="eastAsia" w:ascii="宋体" w:hAnsi="宋体" w:eastAsia="宋体" w:cs="宋体"/>
          <w:color w:val="auto"/>
          <w:sz w:val="21"/>
          <w:szCs w:val="21"/>
          <w:highlight w:val="none"/>
        </w:rPr>
        <w:t>审计工作底稿，做好各类资料的归集和保管工作。项目完成后，应及时将审计实施过程中所形成的全部纸质资料整理立卷</w:t>
      </w:r>
      <w:r>
        <w:rPr>
          <w:rFonts w:hint="eastAsia" w:ascii="宋体" w:hAnsi="宋体" w:eastAsia="宋体" w:cs="宋体"/>
          <w:color w:val="auto"/>
          <w:sz w:val="21"/>
          <w:szCs w:val="21"/>
          <w:highlight w:val="none"/>
          <w:lang w:eastAsia="zh-CN"/>
        </w:rPr>
        <w:t>归档</w:t>
      </w:r>
      <w:r>
        <w:rPr>
          <w:rFonts w:hint="eastAsia" w:ascii="宋体" w:hAnsi="宋体" w:eastAsia="宋体" w:cs="宋体"/>
          <w:color w:val="auto"/>
          <w:sz w:val="21"/>
          <w:szCs w:val="21"/>
          <w:highlight w:val="none"/>
        </w:rPr>
        <w:t>，连同电子资料及时移交甲方</w:t>
      </w:r>
      <w:r>
        <w:rPr>
          <w:rFonts w:hint="eastAsia" w:ascii="宋体" w:hAnsi="宋体" w:eastAsia="宋体" w:cs="宋体"/>
          <w:color w:val="auto"/>
          <w:sz w:val="21"/>
          <w:szCs w:val="21"/>
          <w:highlight w:val="none"/>
          <w:lang w:eastAsia="zh-CN"/>
        </w:rPr>
        <w:t>审计组。</w:t>
      </w:r>
    </w:p>
    <w:p>
      <w:pPr>
        <w:pStyle w:val="114"/>
        <w:keepNext w:val="0"/>
        <w:keepLines w:val="0"/>
        <w:pageBreakBefore w:val="0"/>
        <w:kinsoku/>
        <w:wordWrap/>
        <w:overflowPunct/>
        <w:topLinePunct w:val="0"/>
        <w:autoSpaceDE/>
        <w:autoSpaceDN/>
        <w:bidi w:val="0"/>
        <w:adjustRightInd w:val="0"/>
        <w:snapToGrid/>
        <w:spacing w:before="0" w:beforeLines="0" w:beforeAutospacing="0" w:after="0" w:afterLines="0" w:afterAutospacing="0" w:line="360" w:lineRule="auto"/>
        <w:ind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(十二)乙方派出</w:t>
      </w:r>
      <w:r>
        <w:rPr>
          <w:rFonts w:hint="eastAsia" w:ascii="宋体" w:hAnsi="宋体" w:eastAsia="宋体" w:cs="宋体"/>
          <w:color w:val="auto"/>
          <w:sz w:val="21"/>
          <w:szCs w:val="21"/>
          <w:highlight w:val="none"/>
          <w:lang w:eastAsia="zh-CN"/>
        </w:rPr>
        <w:t>协审</w:t>
      </w:r>
      <w:r>
        <w:rPr>
          <w:rFonts w:hint="eastAsia" w:ascii="宋体" w:hAnsi="宋体" w:eastAsia="宋体" w:cs="宋体"/>
          <w:color w:val="auto"/>
          <w:sz w:val="21"/>
          <w:szCs w:val="21"/>
          <w:highlight w:val="none"/>
        </w:rPr>
        <w:t>人员</w:t>
      </w:r>
      <w:r>
        <w:rPr>
          <w:rFonts w:hint="eastAsia" w:ascii="宋体" w:hAnsi="宋体" w:eastAsia="宋体" w:cs="宋体"/>
          <w:color w:val="auto"/>
          <w:sz w:val="21"/>
          <w:szCs w:val="21"/>
          <w:highlight w:val="none"/>
          <w:lang w:eastAsia="zh-CN"/>
        </w:rPr>
        <w:t>应当</w:t>
      </w:r>
      <w:r>
        <w:rPr>
          <w:rFonts w:hint="eastAsia" w:ascii="宋体" w:hAnsi="宋体" w:eastAsia="宋体" w:cs="宋体"/>
          <w:color w:val="auto"/>
          <w:sz w:val="21"/>
          <w:szCs w:val="21"/>
          <w:highlight w:val="none"/>
        </w:rPr>
        <w:t>按时完成甲方要求的与</w:t>
      </w:r>
      <w:r>
        <w:rPr>
          <w:rFonts w:hint="eastAsia" w:ascii="宋体" w:hAnsi="宋体" w:eastAsia="宋体" w:cs="宋体"/>
          <w:color w:val="auto"/>
          <w:sz w:val="21"/>
          <w:szCs w:val="21"/>
          <w:highlight w:val="none"/>
          <w:lang w:eastAsia="zh-CN"/>
        </w:rPr>
        <w:t>送审</w:t>
      </w:r>
      <w:r>
        <w:rPr>
          <w:rFonts w:hint="eastAsia" w:ascii="宋体" w:hAnsi="宋体" w:eastAsia="宋体" w:cs="宋体"/>
          <w:color w:val="auto"/>
          <w:sz w:val="21"/>
          <w:szCs w:val="21"/>
          <w:highlight w:val="none"/>
        </w:rPr>
        <w:t>项目审计有关的其他审计事项</w:t>
      </w:r>
      <w:r>
        <w:rPr>
          <w:rFonts w:hint="eastAsia" w:ascii="宋体" w:hAnsi="宋体" w:eastAsia="宋体" w:cs="宋体"/>
          <w:color w:val="auto"/>
          <w:sz w:val="21"/>
          <w:szCs w:val="21"/>
          <w:highlight w:val="none"/>
          <w:lang w:eastAsia="zh-CN"/>
        </w:rPr>
        <w:t>。</w:t>
      </w:r>
    </w:p>
    <w:p>
      <w:pPr>
        <w:pStyle w:val="114"/>
        <w:keepNext w:val="0"/>
        <w:keepLines w:val="0"/>
        <w:pageBreakBefore w:val="0"/>
        <w:kinsoku/>
        <w:wordWrap/>
        <w:overflowPunct/>
        <w:topLinePunct w:val="0"/>
        <w:autoSpaceDE/>
        <w:autoSpaceDN/>
        <w:bidi w:val="0"/>
        <w:adjustRightInd w:val="0"/>
        <w:snapToGrid/>
        <w:spacing w:before="0" w:beforeLines="0" w:beforeAutospacing="0" w:after="0" w:afterLines="0" w:afterAutospacing="0" w:line="360" w:lineRule="auto"/>
        <w:ind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(十三)乙方派出</w:t>
      </w:r>
      <w:r>
        <w:rPr>
          <w:rFonts w:hint="eastAsia" w:ascii="宋体" w:hAnsi="宋体" w:eastAsia="宋体" w:cs="宋体"/>
          <w:color w:val="auto"/>
          <w:sz w:val="21"/>
          <w:szCs w:val="21"/>
          <w:highlight w:val="none"/>
          <w:lang w:eastAsia="zh-CN"/>
        </w:rPr>
        <w:t>协审</w:t>
      </w:r>
      <w:r>
        <w:rPr>
          <w:rFonts w:hint="eastAsia" w:ascii="宋体" w:hAnsi="宋体" w:eastAsia="宋体" w:cs="宋体"/>
          <w:color w:val="auto"/>
          <w:sz w:val="21"/>
          <w:szCs w:val="21"/>
          <w:highlight w:val="none"/>
        </w:rPr>
        <w:t>人员有权依法依规独立开展工作，不受任何单位（包括甲方）和个人的干涉</w:t>
      </w:r>
      <w:r>
        <w:rPr>
          <w:rFonts w:hint="eastAsia" w:ascii="宋体" w:hAnsi="宋体" w:eastAsia="宋体" w:cs="宋体"/>
          <w:color w:val="auto"/>
          <w:sz w:val="21"/>
          <w:szCs w:val="21"/>
          <w:highlight w:val="none"/>
          <w:lang w:eastAsia="zh-CN"/>
        </w:rPr>
        <w:t>。</w:t>
      </w:r>
    </w:p>
    <w:p>
      <w:pPr>
        <w:pStyle w:val="114"/>
        <w:keepNext w:val="0"/>
        <w:keepLines w:val="0"/>
        <w:pageBreakBefore w:val="0"/>
        <w:kinsoku/>
        <w:wordWrap/>
        <w:overflowPunct/>
        <w:topLinePunct w:val="0"/>
        <w:autoSpaceDE/>
        <w:autoSpaceDN/>
        <w:bidi w:val="0"/>
        <w:adjustRightInd w:val="0"/>
        <w:snapToGrid/>
        <w:spacing w:before="0" w:beforeLines="0" w:beforeAutospacing="0" w:after="0" w:afterLines="0" w:afterAutospacing="0" w:line="360" w:lineRule="auto"/>
        <w:ind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(十四)审计现场结束时，乙方必须留一名熟悉</w:t>
      </w:r>
      <w:r>
        <w:rPr>
          <w:rFonts w:hint="eastAsia" w:ascii="宋体" w:hAnsi="宋体" w:eastAsia="宋体" w:cs="宋体"/>
          <w:color w:val="auto"/>
          <w:sz w:val="21"/>
          <w:szCs w:val="21"/>
          <w:highlight w:val="none"/>
          <w:lang w:eastAsia="zh-CN"/>
        </w:rPr>
        <w:t>送审</w:t>
      </w:r>
      <w:r>
        <w:rPr>
          <w:rFonts w:hint="eastAsia" w:ascii="宋体" w:hAnsi="宋体" w:eastAsia="宋体" w:cs="宋体"/>
          <w:color w:val="auto"/>
          <w:sz w:val="21"/>
          <w:szCs w:val="21"/>
          <w:highlight w:val="none"/>
        </w:rPr>
        <w:t>项目</w:t>
      </w:r>
      <w:r>
        <w:rPr>
          <w:rFonts w:hint="eastAsia" w:ascii="宋体" w:hAnsi="宋体" w:eastAsia="宋体" w:cs="宋体"/>
          <w:color w:val="auto"/>
          <w:sz w:val="21"/>
          <w:szCs w:val="21"/>
          <w:highlight w:val="none"/>
          <w:lang w:eastAsia="zh-CN"/>
        </w:rPr>
        <w:t>全部审计业务</w:t>
      </w:r>
      <w:r>
        <w:rPr>
          <w:rFonts w:hint="eastAsia" w:ascii="宋体" w:hAnsi="宋体" w:eastAsia="宋体" w:cs="宋体"/>
          <w:color w:val="auto"/>
          <w:sz w:val="21"/>
          <w:szCs w:val="21"/>
          <w:highlight w:val="none"/>
        </w:rPr>
        <w:t>的</w:t>
      </w:r>
      <w:r>
        <w:rPr>
          <w:rFonts w:hint="eastAsia" w:ascii="宋体" w:hAnsi="宋体" w:eastAsia="宋体" w:cs="宋体"/>
          <w:color w:val="auto"/>
          <w:sz w:val="21"/>
          <w:szCs w:val="21"/>
          <w:highlight w:val="none"/>
          <w:lang w:eastAsia="zh-CN"/>
        </w:rPr>
        <w:t>协审</w:t>
      </w:r>
      <w:r>
        <w:rPr>
          <w:rFonts w:hint="eastAsia" w:ascii="宋体" w:hAnsi="宋体" w:eastAsia="宋体" w:cs="宋体"/>
          <w:color w:val="auto"/>
          <w:sz w:val="21"/>
          <w:szCs w:val="21"/>
          <w:highlight w:val="none"/>
        </w:rPr>
        <w:t>人员配合甲方</w:t>
      </w:r>
      <w:r>
        <w:rPr>
          <w:rFonts w:hint="eastAsia" w:ascii="宋体" w:hAnsi="宋体" w:eastAsia="宋体" w:cs="宋体"/>
          <w:color w:val="auto"/>
          <w:sz w:val="21"/>
          <w:szCs w:val="21"/>
          <w:highlight w:val="none"/>
          <w:lang w:eastAsia="zh-CN"/>
        </w:rPr>
        <w:t>后续工作</w:t>
      </w:r>
      <w:r>
        <w:rPr>
          <w:rFonts w:hint="eastAsia" w:ascii="宋体" w:hAnsi="宋体" w:eastAsia="宋体" w:cs="宋体"/>
          <w:color w:val="auto"/>
          <w:sz w:val="21"/>
          <w:szCs w:val="21"/>
          <w:highlight w:val="none"/>
        </w:rPr>
        <w:t>，直至向被审计单位出具正式审计报告为止</w:t>
      </w:r>
      <w:r>
        <w:rPr>
          <w:rFonts w:hint="eastAsia" w:ascii="宋体" w:hAnsi="宋体" w:eastAsia="宋体" w:cs="宋体"/>
          <w:color w:val="auto"/>
          <w:sz w:val="21"/>
          <w:szCs w:val="21"/>
          <w:highlight w:val="none"/>
          <w:lang w:eastAsia="zh-CN"/>
        </w:rPr>
        <w:t>。</w:t>
      </w:r>
    </w:p>
    <w:p>
      <w:pPr>
        <w:pStyle w:val="114"/>
        <w:keepNext w:val="0"/>
        <w:keepLines w:val="0"/>
        <w:pageBreakBefore w:val="0"/>
        <w:kinsoku/>
        <w:wordWrap/>
        <w:overflowPunct/>
        <w:topLinePunct w:val="0"/>
        <w:autoSpaceDE/>
        <w:autoSpaceDN/>
        <w:bidi w:val="0"/>
        <w:adjustRightInd w:val="0"/>
        <w:snapToGrid/>
        <w:spacing w:before="0" w:beforeLines="0" w:beforeAutospacing="0" w:after="0" w:afterLines="0" w:afterAutospacing="0" w:line="360" w:lineRule="auto"/>
        <w:ind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(十五)对于乙方派出</w:t>
      </w:r>
      <w:r>
        <w:rPr>
          <w:rFonts w:hint="eastAsia" w:ascii="宋体" w:hAnsi="宋体" w:eastAsia="宋体" w:cs="宋体"/>
          <w:color w:val="auto"/>
          <w:sz w:val="21"/>
          <w:szCs w:val="21"/>
          <w:highlight w:val="none"/>
          <w:lang w:eastAsia="zh-CN"/>
        </w:rPr>
        <w:t>协审</w:t>
      </w:r>
      <w:r>
        <w:rPr>
          <w:rFonts w:hint="eastAsia" w:ascii="宋体" w:hAnsi="宋体" w:eastAsia="宋体" w:cs="宋体"/>
          <w:color w:val="auto"/>
          <w:sz w:val="21"/>
          <w:szCs w:val="21"/>
          <w:highlight w:val="none"/>
        </w:rPr>
        <w:t>人员负责审计的部分，乙方应尽最大努力将造价审计结果与被审计单位达成一致，</w:t>
      </w:r>
      <w:r>
        <w:rPr>
          <w:rFonts w:hint="eastAsia" w:ascii="宋体" w:hAnsi="宋体" w:eastAsia="宋体" w:cs="宋体"/>
          <w:color w:val="auto"/>
          <w:sz w:val="21"/>
          <w:szCs w:val="21"/>
          <w:highlight w:val="none"/>
          <w:lang w:eastAsia="zh-CN"/>
        </w:rPr>
        <w:t>对于</w:t>
      </w:r>
      <w:r>
        <w:rPr>
          <w:rFonts w:hint="eastAsia" w:ascii="宋体" w:hAnsi="宋体" w:eastAsia="宋体" w:cs="宋体"/>
          <w:color w:val="auto"/>
          <w:sz w:val="21"/>
          <w:szCs w:val="21"/>
          <w:highlight w:val="none"/>
        </w:rPr>
        <w:t>不能达成一致且坚持审计结果的，需向甲方提交能支持审计结果的充分证据</w:t>
      </w:r>
      <w:r>
        <w:rPr>
          <w:rFonts w:hint="eastAsia" w:ascii="宋体" w:hAnsi="宋体" w:eastAsia="宋体" w:cs="宋体"/>
          <w:color w:val="auto"/>
          <w:sz w:val="21"/>
          <w:szCs w:val="21"/>
          <w:highlight w:val="none"/>
          <w:lang w:eastAsia="zh-CN"/>
        </w:rPr>
        <w:t>，同时乙方对被审计单位因此提出的行政复议、行政诉讼、民事诉讼等的法律后果承担全部责任。</w:t>
      </w:r>
    </w:p>
    <w:p>
      <w:pPr>
        <w:pStyle w:val="114"/>
        <w:keepNext w:val="0"/>
        <w:keepLines w:val="0"/>
        <w:pageBreakBefore w:val="0"/>
        <w:kinsoku/>
        <w:wordWrap/>
        <w:overflowPunct/>
        <w:topLinePunct w:val="0"/>
        <w:autoSpaceDE/>
        <w:autoSpaceDN/>
        <w:bidi w:val="0"/>
        <w:adjustRightInd w:val="0"/>
        <w:snapToGrid/>
        <w:spacing w:before="0" w:beforeLines="0" w:beforeAutospacing="0" w:after="0" w:afterLines="0" w:afterAutospacing="0" w:line="360" w:lineRule="auto"/>
        <w:ind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(十六 )</w:t>
      </w:r>
      <w:r>
        <w:rPr>
          <w:rFonts w:hint="eastAsia" w:ascii="宋体" w:hAnsi="宋体" w:eastAsia="宋体" w:cs="宋体"/>
          <w:color w:val="auto"/>
          <w:sz w:val="21"/>
          <w:szCs w:val="21"/>
          <w:highlight w:val="none"/>
          <w:lang w:eastAsia="zh-CN"/>
        </w:rPr>
        <w:t>乙方承诺并保证为其派出协审人员购买了养老保险、医疗保险、生育保险、失业保险、工伤保险、意外保险等所有保险。同时在其员工履行本协议约定的审计业务期间，发生任何事故的，均由乙方承担一切责任，造成甲方损失的，还应承担赔偿责任。</w:t>
      </w:r>
    </w:p>
    <w:p>
      <w:pPr>
        <w:pStyle w:val="114"/>
        <w:keepNext w:val="0"/>
        <w:keepLines w:val="0"/>
        <w:pageBreakBefore w:val="0"/>
        <w:kinsoku/>
        <w:wordWrap/>
        <w:overflowPunct/>
        <w:topLinePunct w:val="0"/>
        <w:autoSpaceDE/>
        <w:autoSpaceDN/>
        <w:bidi w:val="0"/>
        <w:adjustRightInd w:val="0"/>
        <w:snapToGrid/>
        <w:spacing w:before="0" w:beforeLines="0" w:beforeAutospacing="0" w:after="0" w:afterLines="0" w:afterAutospacing="0" w:line="360" w:lineRule="auto"/>
        <w:ind w:right="0" w:rightChars="0"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(十</w:t>
      </w:r>
      <w:r>
        <w:rPr>
          <w:rFonts w:hint="eastAsia" w:ascii="宋体" w:hAnsi="宋体" w:eastAsia="宋体" w:cs="宋体"/>
          <w:color w:val="auto"/>
          <w:sz w:val="21"/>
          <w:szCs w:val="21"/>
          <w:highlight w:val="none"/>
          <w:lang w:eastAsia="zh-CN"/>
        </w:rPr>
        <w:t>七</w:t>
      </w: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lang w:val="en-US" w:eastAsia="zh-CN"/>
        </w:rPr>
        <w:t xml:space="preserve"> 甲方交给乙方的审计任务</w:t>
      </w:r>
      <w:r>
        <w:rPr>
          <w:rFonts w:hint="eastAsia" w:ascii="宋体" w:hAnsi="宋体" w:eastAsia="宋体" w:cs="宋体"/>
          <w:color w:val="auto"/>
          <w:sz w:val="21"/>
          <w:szCs w:val="21"/>
          <w:highlight w:val="none"/>
        </w:rPr>
        <w:t>应</w:t>
      </w:r>
      <w:r>
        <w:rPr>
          <w:rFonts w:hint="eastAsia" w:ascii="宋体" w:hAnsi="宋体" w:eastAsia="宋体" w:cs="宋体"/>
          <w:color w:val="auto"/>
          <w:sz w:val="21"/>
          <w:szCs w:val="21"/>
          <w:highlight w:val="none"/>
          <w:lang w:eastAsia="zh-CN"/>
        </w:rPr>
        <w:t>全部</w:t>
      </w:r>
      <w:r>
        <w:rPr>
          <w:rFonts w:hint="eastAsia" w:ascii="宋体" w:hAnsi="宋体" w:eastAsia="宋体" w:cs="宋体"/>
          <w:color w:val="auto"/>
          <w:sz w:val="21"/>
          <w:szCs w:val="21"/>
          <w:highlight w:val="none"/>
        </w:rPr>
        <w:t>由</w:t>
      </w:r>
      <w:r>
        <w:rPr>
          <w:rFonts w:hint="eastAsia" w:ascii="宋体" w:hAnsi="宋体" w:eastAsia="宋体" w:cs="宋体"/>
          <w:color w:val="auto"/>
          <w:sz w:val="21"/>
          <w:szCs w:val="21"/>
          <w:highlight w:val="none"/>
          <w:lang w:eastAsia="zh-CN"/>
        </w:rPr>
        <w:t>乙方</w:t>
      </w:r>
      <w:r>
        <w:rPr>
          <w:rFonts w:hint="eastAsia" w:ascii="宋体" w:hAnsi="宋体" w:eastAsia="宋体" w:cs="宋体"/>
          <w:color w:val="auto"/>
          <w:sz w:val="21"/>
          <w:szCs w:val="21"/>
          <w:highlight w:val="none"/>
        </w:rPr>
        <w:t>独立完成，</w:t>
      </w:r>
      <w:r>
        <w:rPr>
          <w:rFonts w:hint="eastAsia" w:ascii="宋体" w:hAnsi="宋体" w:eastAsia="宋体" w:cs="宋体"/>
          <w:color w:val="auto"/>
          <w:sz w:val="21"/>
          <w:szCs w:val="21"/>
          <w:highlight w:val="none"/>
          <w:lang w:eastAsia="zh-CN"/>
        </w:rPr>
        <w:t>乙方</w:t>
      </w:r>
      <w:r>
        <w:rPr>
          <w:rFonts w:hint="eastAsia" w:ascii="宋体" w:hAnsi="宋体" w:eastAsia="宋体" w:cs="宋体"/>
          <w:color w:val="auto"/>
          <w:sz w:val="21"/>
          <w:szCs w:val="21"/>
          <w:highlight w:val="none"/>
        </w:rPr>
        <w:t>不得</w:t>
      </w:r>
      <w:r>
        <w:rPr>
          <w:rFonts w:hint="eastAsia" w:ascii="宋体" w:hAnsi="宋体" w:eastAsia="宋体" w:cs="宋体"/>
          <w:color w:val="auto"/>
          <w:sz w:val="21"/>
          <w:szCs w:val="21"/>
          <w:highlight w:val="none"/>
          <w:lang w:eastAsia="zh-CN"/>
        </w:rPr>
        <w:t>转包或分包给其他中介机构。</w:t>
      </w:r>
      <w:bookmarkStart w:id="323" w:name="No110_D2"/>
      <w:bookmarkEnd w:id="323"/>
      <w:bookmarkStart w:id="324" w:name="No112_D6"/>
      <w:bookmarkEnd w:id="324"/>
      <w:bookmarkStart w:id="325" w:name="No109_D1"/>
      <w:bookmarkEnd w:id="325"/>
      <w:bookmarkStart w:id="326" w:name="No111_D3"/>
      <w:bookmarkEnd w:id="326"/>
    </w:p>
    <w:p>
      <w:pPr>
        <w:pStyle w:val="114"/>
        <w:keepNext w:val="0"/>
        <w:keepLines w:val="0"/>
        <w:pageBreakBefore w:val="0"/>
        <w:kinsoku/>
        <w:wordWrap/>
        <w:overflowPunct/>
        <w:topLinePunct w:val="0"/>
        <w:autoSpaceDE/>
        <w:autoSpaceDN/>
        <w:bidi w:val="0"/>
        <w:adjustRightInd w:val="0"/>
        <w:snapToGrid/>
        <w:spacing w:before="0" w:beforeLines="0" w:beforeAutospacing="0" w:after="0" w:afterLines="0" w:afterAutospacing="0" w:line="360" w:lineRule="auto"/>
        <w:ind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四</w:t>
      </w:r>
      <w:r>
        <w:rPr>
          <w:rFonts w:hint="eastAsia" w:ascii="宋体" w:hAnsi="宋体" w:eastAsia="宋体" w:cs="宋体"/>
          <w:color w:val="auto"/>
          <w:sz w:val="21"/>
          <w:szCs w:val="21"/>
          <w:highlight w:val="none"/>
        </w:rPr>
        <w:t>、违约责任</w:t>
      </w:r>
    </w:p>
    <w:p>
      <w:pPr>
        <w:pStyle w:val="114"/>
        <w:keepNext w:val="0"/>
        <w:keepLines w:val="0"/>
        <w:pageBreakBefore w:val="0"/>
        <w:kinsoku/>
        <w:wordWrap/>
        <w:overflowPunct/>
        <w:topLinePunct w:val="0"/>
        <w:autoSpaceDE/>
        <w:autoSpaceDN/>
        <w:bidi w:val="0"/>
        <w:adjustRightInd w:val="0"/>
        <w:snapToGrid/>
        <w:spacing w:before="0" w:beforeLines="0" w:beforeAutospacing="0" w:after="0" w:afterLines="0" w:afterAutospacing="0" w:line="360" w:lineRule="auto"/>
        <w:ind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乙方及其派出</w:t>
      </w:r>
      <w:r>
        <w:rPr>
          <w:rFonts w:hint="eastAsia" w:ascii="宋体" w:hAnsi="宋体" w:eastAsia="宋体" w:cs="宋体"/>
          <w:color w:val="auto"/>
          <w:sz w:val="21"/>
          <w:szCs w:val="21"/>
          <w:highlight w:val="none"/>
          <w:lang w:eastAsia="zh-CN"/>
        </w:rPr>
        <w:t>协</w:t>
      </w:r>
      <w:r>
        <w:rPr>
          <w:rFonts w:hint="eastAsia" w:ascii="宋体" w:hAnsi="宋体" w:eastAsia="宋体" w:cs="宋体"/>
          <w:color w:val="auto"/>
          <w:sz w:val="21"/>
          <w:szCs w:val="21"/>
          <w:highlight w:val="none"/>
        </w:rPr>
        <w:t>审人员有下列情形之一的，甲方有权解除本</w:t>
      </w:r>
      <w:r>
        <w:rPr>
          <w:rFonts w:hint="eastAsia" w:ascii="宋体" w:hAnsi="宋体" w:eastAsia="宋体" w:cs="宋体"/>
          <w:color w:val="auto"/>
          <w:sz w:val="21"/>
          <w:szCs w:val="21"/>
          <w:highlight w:val="none"/>
          <w:lang w:eastAsia="zh-CN"/>
        </w:rPr>
        <w:t>聘用</w:t>
      </w:r>
      <w:r>
        <w:rPr>
          <w:rFonts w:hint="eastAsia" w:ascii="宋体" w:hAnsi="宋体" w:eastAsia="宋体" w:cs="宋体"/>
          <w:color w:val="auto"/>
          <w:sz w:val="21"/>
          <w:szCs w:val="21"/>
          <w:highlight w:val="none"/>
        </w:rPr>
        <w:t>协议，拒绝支付部分或全部</w:t>
      </w:r>
      <w:r>
        <w:rPr>
          <w:rFonts w:hint="eastAsia" w:ascii="宋体" w:hAnsi="宋体" w:eastAsia="宋体" w:cs="宋体"/>
          <w:color w:val="auto"/>
          <w:sz w:val="21"/>
          <w:szCs w:val="21"/>
          <w:highlight w:val="none"/>
          <w:lang w:eastAsia="zh-CN"/>
        </w:rPr>
        <w:t>聘用</w:t>
      </w:r>
      <w:r>
        <w:rPr>
          <w:rFonts w:hint="eastAsia" w:ascii="宋体" w:hAnsi="宋体" w:eastAsia="宋体" w:cs="宋体"/>
          <w:color w:val="auto"/>
          <w:sz w:val="21"/>
          <w:szCs w:val="21"/>
          <w:highlight w:val="none"/>
        </w:rPr>
        <w:t>费用</w:t>
      </w:r>
      <w:bookmarkStart w:id="327" w:name="No118_D6"/>
      <w:bookmarkEnd w:id="327"/>
      <w:bookmarkStart w:id="328" w:name="No113_D1"/>
      <w:bookmarkEnd w:id="328"/>
      <w:bookmarkStart w:id="329" w:name="No114_D2"/>
      <w:bookmarkEnd w:id="329"/>
      <w:bookmarkStart w:id="330" w:name="No116_D4"/>
      <w:bookmarkEnd w:id="330"/>
      <w:bookmarkStart w:id="331" w:name="No117_D5"/>
      <w:bookmarkEnd w:id="331"/>
      <w:bookmarkStart w:id="332" w:name="No115_D3"/>
      <w:bookmarkEnd w:id="332"/>
      <w:r>
        <w:rPr>
          <w:rFonts w:hint="eastAsia" w:ascii="宋体" w:hAnsi="宋体" w:eastAsia="宋体" w:cs="宋体"/>
          <w:color w:val="auto"/>
          <w:sz w:val="21"/>
          <w:szCs w:val="21"/>
          <w:highlight w:val="none"/>
        </w:rPr>
        <w:t>，情节严重的，依法追究乙方及其派出</w:t>
      </w:r>
      <w:r>
        <w:rPr>
          <w:rFonts w:hint="eastAsia" w:ascii="宋体" w:hAnsi="宋体" w:eastAsia="宋体" w:cs="宋体"/>
          <w:color w:val="auto"/>
          <w:sz w:val="21"/>
          <w:szCs w:val="21"/>
          <w:highlight w:val="none"/>
          <w:lang w:eastAsia="zh-CN"/>
        </w:rPr>
        <w:t>协审</w:t>
      </w:r>
      <w:r>
        <w:rPr>
          <w:rFonts w:hint="eastAsia" w:ascii="宋体" w:hAnsi="宋体" w:eastAsia="宋体" w:cs="宋体"/>
          <w:color w:val="auto"/>
          <w:sz w:val="21"/>
          <w:szCs w:val="21"/>
          <w:highlight w:val="none"/>
        </w:rPr>
        <w:t>人员的法律责任，并移送有关部门进行查处。</w:t>
      </w:r>
    </w:p>
    <w:p>
      <w:pPr>
        <w:pStyle w:val="114"/>
        <w:keepNext w:val="0"/>
        <w:keepLines w:val="0"/>
        <w:pageBreakBefore w:val="0"/>
        <w:kinsoku/>
        <w:wordWrap/>
        <w:overflowPunct/>
        <w:topLinePunct w:val="0"/>
        <w:autoSpaceDE/>
        <w:autoSpaceDN/>
        <w:bidi w:val="0"/>
        <w:adjustRightInd w:val="0"/>
        <w:snapToGrid/>
        <w:spacing w:before="0" w:beforeLines="0" w:beforeAutospacing="0" w:after="0" w:afterLines="0" w:afterAutospacing="0" w:line="360" w:lineRule="auto"/>
        <w:ind w:right="0" w:rightChars="0"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(一) 隐瞒审计发现的问题或者与被审计单位串通舞弊的</w:t>
      </w:r>
      <w:r>
        <w:rPr>
          <w:rFonts w:hint="eastAsia" w:ascii="宋体" w:hAnsi="宋体" w:eastAsia="宋体" w:cs="宋体"/>
          <w:color w:val="auto"/>
          <w:sz w:val="21"/>
          <w:szCs w:val="21"/>
          <w:highlight w:val="none"/>
          <w:lang w:eastAsia="zh-CN"/>
        </w:rPr>
        <w:t>。</w:t>
      </w:r>
    </w:p>
    <w:p>
      <w:pPr>
        <w:pStyle w:val="114"/>
        <w:keepNext w:val="0"/>
        <w:keepLines w:val="0"/>
        <w:pageBreakBefore w:val="0"/>
        <w:kinsoku/>
        <w:wordWrap/>
        <w:overflowPunct/>
        <w:topLinePunct w:val="0"/>
        <w:autoSpaceDE/>
        <w:autoSpaceDN/>
        <w:bidi w:val="0"/>
        <w:adjustRightInd w:val="0"/>
        <w:snapToGrid/>
        <w:spacing w:before="0" w:beforeLines="0" w:beforeAutospacing="0" w:after="0" w:afterLines="0" w:afterAutospacing="0" w:line="360" w:lineRule="auto"/>
        <w:ind w:right="0" w:rightChars="0"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(二) 利用工作便利从被审计单位获取不正当利益的</w:t>
      </w:r>
      <w:r>
        <w:rPr>
          <w:rFonts w:hint="eastAsia" w:ascii="宋体" w:hAnsi="宋体" w:eastAsia="宋体" w:cs="宋体"/>
          <w:color w:val="auto"/>
          <w:sz w:val="21"/>
          <w:szCs w:val="21"/>
          <w:highlight w:val="none"/>
          <w:lang w:eastAsia="zh-CN"/>
        </w:rPr>
        <w:t>。</w:t>
      </w:r>
    </w:p>
    <w:p>
      <w:pPr>
        <w:pStyle w:val="114"/>
        <w:keepNext w:val="0"/>
        <w:keepLines w:val="0"/>
        <w:pageBreakBefore w:val="0"/>
        <w:kinsoku/>
        <w:wordWrap/>
        <w:overflowPunct/>
        <w:topLinePunct w:val="0"/>
        <w:autoSpaceDE/>
        <w:autoSpaceDN/>
        <w:bidi w:val="0"/>
        <w:adjustRightInd w:val="0"/>
        <w:snapToGrid/>
        <w:spacing w:before="0" w:beforeLines="0" w:beforeAutospacing="0" w:after="0" w:afterLines="0" w:afterAutospacing="0" w:line="360" w:lineRule="auto"/>
        <w:ind w:right="0" w:rightChars="0"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(三) 将审计结果用于与审计事项无关的目的</w:t>
      </w:r>
      <w:r>
        <w:rPr>
          <w:rFonts w:hint="eastAsia" w:ascii="宋体" w:hAnsi="宋体" w:eastAsia="宋体" w:cs="宋体"/>
          <w:color w:val="auto"/>
          <w:sz w:val="21"/>
          <w:szCs w:val="21"/>
          <w:highlight w:val="none"/>
          <w:lang w:eastAsia="zh-CN"/>
        </w:rPr>
        <w:t>。</w:t>
      </w:r>
    </w:p>
    <w:p>
      <w:pPr>
        <w:pStyle w:val="114"/>
        <w:keepNext w:val="0"/>
        <w:keepLines w:val="0"/>
        <w:pageBreakBefore w:val="0"/>
        <w:kinsoku/>
        <w:wordWrap/>
        <w:overflowPunct/>
        <w:topLinePunct w:val="0"/>
        <w:autoSpaceDE/>
        <w:autoSpaceDN/>
        <w:bidi w:val="0"/>
        <w:adjustRightInd w:val="0"/>
        <w:snapToGrid/>
        <w:spacing w:before="0" w:beforeLines="0" w:beforeAutospacing="0" w:after="0" w:afterLines="0" w:afterAutospacing="0" w:line="360" w:lineRule="auto"/>
        <w:ind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(四) 违反廉政纪律、保密纪律或回避规定的</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 xml:space="preserve"> </w:t>
      </w:r>
    </w:p>
    <w:p>
      <w:pPr>
        <w:pStyle w:val="114"/>
        <w:keepNext w:val="0"/>
        <w:keepLines w:val="0"/>
        <w:pageBreakBefore w:val="0"/>
        <w:kinsoku/>
        <w:wordWrap/>
        <w:overflowPunct/>
        <w:topLinePunct w:val="0"/>
        <w:autoSpaceDE/>
        <w:autoSpaceDN/>
        <w:bidi w:val="0"/>
        <w:adjustRightInd w:val="0"/>
        <w:snapToGrid/>
        <w:spacing w:before="0" w:beforeLines="0" w:beforeAutospacing="0" w:after="0" w:afterLines="0" w:afterAutospacing="0" w:line="360" w:lineRule="auto"/>
        <w:ind w:right="0" w:rightChars="0"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(五) 未经批准擅自公开审计工作情况及有关细节的</w:t>
      </w:r>
      <w:r>
        <w:rPr>
          <w:rFonts w:hint="eastAsia" w:ascii="宋体" w:hAnsi="宋体" w:eastAsia="宋体" w:cs="宋体"/>
          <w:color w:val="auto"/>
          <w:sz w:val="21"/>
          <w:szCs w:val="21"/>
          <w:highlight w:val="none"/>
          <w:lang w:eastAsia="zh-CN"/>
        </w:rPr>
        <w:t>。</w:t>
      </w:r>
    </w:p>
    <w:p>
      <w:pPr>
        <w:pStyle w:val="114"/>
        <w:keepNext w:val="0"/>
        <w:keepLines w:val="0"/>
        <w:pageBreakBefore w:val="0"/>
        <w:kinsoku/>
        <w:wordWrap/>
        <w:overflowPunct/>
        <w:topLinePunct w:val="0"/>
        <w:autoSpaceDE/>
        <w:autoSpaceDN/>
        <w:bidi w:val="0"/>
        <w:adjustRightInd w:val="0"/>
        <w:snapToGrid/>
        <w:spacing w:before="0" w:beforeLines="0" w:beforeAutospacing="0" w:after="0" w:afterLines="0" w:afterAutospacing="0" w:line="360" w:lineRule="auto"/>
        <w:ind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(六) 审计工作时间内从事与审计项目无关事项的</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 xml:space="preserve"> </w:t>
      </w:r>
    </w:p>
    <w:p>
      <w:pPr>
        <w:pStyle w:val="114"/>
        <w:keepNext w:val="0"/>
        <w:keepLines w:val="0"/>
        <w:pageBreakBefore w:val="0"/>
        <w:kinsoku/>
        <w:wordWrap/>
        <w:overflowPunct/>
        <w:topLinePunct w:val="0"/>
        <w:autoSpaceDE/>
        <w:autoSpaceDN/>
        <w:bidi w:val="0"/>
        <w:adjustRightInd w:val="0"/>
        <w:snapToGrid/>
        <w:spacing w:before="0" w:beforeLines="0" w:beforeAutospacing="0" w:after="0" w:afterLines="0" w:afterAutospacing="0" w:line="360" w:lineRule="auto"/>
        <w:ind w:right="0" w:rightChars="0"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(七) 所提供的审计结果严重失实，影响审计机关审计结论的</w:t>
      </w:r>
      <w:r>
        <w:rPr>
          <w:rFonts w:hint="eastAsia" w:ascii="宋体" w:hAnsi="宋体" w:eastAsia="宋体" w:cs="宋体"/>
          <w:color w:val="auto"/>
          <w:sz w:val="21"/>
          <w:szCs w:val="21"/>
          <w:highlight w:val="none"/>
          <w:lang w:eastAsia="zh-CN"/>
        </w:rPr>
        <w:t>。</w:t>
      </w:r>
    </w:p>
    <w:p>
      <w:pPr>
        <w:pStyle w:val="114"/>
        <w:keepNext w:val="0"/>
        <w:keepLines w:val="0"/>
        <w:pageBreakBefore w:val="0"/>
        <w:kinsoku/>
        <w:wordWrap/>
        <w:overflowPunct/>
        <w:topLinePunct w:val="0"/>
        <w:autoSpaceDE/>
        <w:autoSpaceDN/>
        <w:bidi w:val="0"/>
        <w:adjustRightInd w:val="0"/>
        <w:snapToGrid/>
        <w:spacing w:before="0" w:beforeLines="0" w:beforeAutospacing="0" w:after="0" w:afterLines="0" w:afterAutospacing="0" w:line="360" w:lineRule="auto"/>
        <w:ind w:right="0" w:rightChars="0"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(八) 履职不到位，导致严重审计质量问题的</w:t>
      </w:r>
      <w:r>
        <w:rPr>
          <w:rFonts w:hint="eastAsia" w:ascii="宋体" w:hAnsi="宋体" w:eastAsia="宋体" w:cs="宋体"/>
          <w:color w:val="auto"/>
          <w:sz w:val="21"/>
          <w:szCs w:val="21"/>
          <w:highlight w:val="none"/>
          <w:lang w:eastAsia="zh-CN"/>
        </w:rPr>
        <w:t>。</w:t>
      </w:r>
    </w:p>
    <w:p>
      <w:pPr>
        <w:pStyle w:val="114"/>
        <w:keepNext w:val="0"/>
        <w:keepLines w:val="0"/>
        <w:pageBreakBefore w:val="0"/>
        <w:kinsoku/>
        <w:wordWrap/>
        <w:overflowPunct/>
        <w:topLinePunct w:val="0"/>
        <w:autoSpaceDE/>
        <w:autoSpaceDN/>
        <w:bidi w:val="0"/>
        <w:adjustRightInd w:val="0"/>
        <w:snapToGrid/>
        <w:spacing w:before="0" w:beforeLines="0" w:beforeAutospacing="0" w:after="0" w:afterLines="0" w:afterAutospacing="0" w:line="360" w:lineRule="auto"/>
        <w:ind w:right="0" w:rightChars="0"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(九) 拒绝接受审计机关统一领导和监督的</w:t>
      </w:r>
      <w:r>
        <w:rPr>
          <w:rFonts w:hint="eastAsia" w:ascii="宋体" w:hAnsi="宋体" w:eastAsia="宋体" w:cs="宋体"/>
          <w:color w:val="auto"/>
          <w:sz w:val="21"/>
          <w:szCs w:val="21"/>
          <w:highlight w:val="none"/>
          <w:lang w:eastAsia="zh-CN"/>
        </w:rPr>
        <w:t>。</w:t>
      </w:r>
    </w:p>
    <w:p>
      <w:pPr>
        <w:pStyle w:val="114"/>
        <w:keepNext w:val="0"/>
        <w:keepLines w:val="0"/>
        <w:pageBreakBefore w:val="0"/>
        <w:kinsoku/>
        <w:wordWrap/>
        <w:overflowPunct/>
        <w:topLinePunct w:val="0"/>
        <w:autoSpaceDE/>
        <w:autoSpaceDN/>
        <w:bidi w:val="0"/>
        <w:adjustRightInd w:val="0"/>
        <w:snapToGrid/>
        <w:spacing w:before="0" w:beforeLines="0" w:beforeAutospacing="0" w:after="0" w:afterLines="0" w:afterAutospacing="0" w:line="360" w:lineRule="auto"/>
        <w:ind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(十) 不履行</w:t>
      </w:r>
      <w:r>
        <w:rPr>
          <w:rFonts w:hint="eastAsia" w:ascii="宋体" w:hAnsi="宋体" w:eastAsia="宋体" w:cs="宋体"/>
          <w:color w:val="auto"/>
          <w:sz w:val="21"/>
          <w:szCs w:val="21"/>
          <w:highlight w:val="none"/>
          <w:lang w:eastAsia="zh-CN"/>
        </w:rPr>
        <w:t>聘用</w:t>
      </w:r>
      <w:r>
        <w:rPr>
          <w:rFonts w:hint="eastAsia" w:ascii="宋体" w:hAnsi="宋体" w:eastAsia="宋体" w:cs="宋体"/>
          <w:color w:val="auto"/>
          <w:sz w:val="21"/>
          <w:szCs w:val="21"/>
          <w:highlight w:val="none"/>
        </w:rPr>
        <w:t>协议规定和其他义务的</w:t>
      </w:r>
      <w:r>
        <w:rPr>
          <w:rFonts w:hint="eastAsia" w:ascii="宋体" w:hAnsi="宋体" w:eastAsia="宋体" w:cs="宋体"/>
          <w:color w:val="auto"/>
          <w:sz w:val="21"/>
          <w:szCs w:val="21"/>
          <w:highlight w:val="none"/>
          <w:lang w:eastAsia="zh-CN"/>
        </w:rPr>
        <w:t>。</w:t>
      </w:r>
    </w:p>
    <w:p>
      <w:pPr>
        <w:pStyle w:val="114"/>
        <w:keepNext w:val="0"/>
        <w:keepLines w:val="0"/>
        <w:pageBreakBefore w:val="0"/>
        <w:numPr>
          <w:ilvl w:val="0"/>
          <w:numId w:val="5"/>
        </w:numPr>
        <w:kinsoku/>
        <w:wordWrap/>
        <w:overflowPunct/>
        <w:topLinePunct w:val="0"/>
        <w:autoSpaceDE/>
        <w:autoSpaceDN/>
        <w:bidi w:val="0"/>
        <w:adjustRightInd w:val="0"/>
        <w:snapToGrid/>
        <w:spacing w:before="0" w:beforeLines="0" w:beforeAutospacing="0" w:after="0" w:afterLines="0" w:afterAutospacing="0" w:line="360" w:lineRule="auto"/>
        <w:ind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有违反</w:t>
      </w:r>
      <w:r>
        <w:rPr>
          <w:rFonts w:hint="eastAsia" w:ascii="宋体" w:hAnsi="宋体" w:eastAsia="宋体" w:cs="宋体"/>
          <w:color w:val="auto"/>
          <w:sz w:val="21"/>
          <w:szCs w:val="21"/>
          <w:highlight w:val="none"/>
          <w:lang w:eastAsia="zh-CN"/>
        </w:rPr>
        <w:t>审计“四严禁”工作要求、</w:t>
      </w:r>
      <w:r>
        <w:rPr>
          <w:rFonts w:hint="eastAsia" w:ascii="宋体" w:hAnsi="宋体" w:eastAsia="宋体" w:cs="宋体"/>
          <w:color w:val="auto"/>
          <w:sz w:val="21"/>
          <w:szCs w:val="21"/>
          <w:highlight w:val="none"/>
        </w:rPr>
        <w:t>“八不准”</w:t>
      </w:r>
      <w:r>
        <w:rPr>
          <w:rFonts w:hint="eastAsia" w:ascii="宋体" w:hAnsi="宋体" w:eastAsia="宋体" w:cs="宋体"/>
          <w:color w:val="auto"/>
          <w:sz w:val="21"/>
          <w:szCs w:val="21"/>
          <w:highlight w:val="none"/>
          <w:lang w:eastAsia="zh-CN"/>
        </w:rPr>
        <w:t>工作</w:t>
      </w:r>
      <w:r>
        <w:rPr>
          <w:rFonts w:hint="eastAsia" w:ascii="宋体" w:hAnsi="宋体" w:eastAsia="宋体" w:cs="宋体"/>
          <w:color w:val="auto"/>
          <w:sz w:val="21"/>
          <w:szCs w:val="21"/>
          <w:highlight w:val="none"/>
        </w:rPr>
        <w:t>纪律及其他</w:t>
      </w:r>
      <w:r>
        <w:rPr>
          <w:rFonts w:hint="eastAsia" w:ascii="宋体" w:hAnsi="宋体" w:eastAsia="宋体" w:cs="宋体"/>
          <w:color w:val="auto"/>
          <w:sz w:val="21"/>
          <w:szCs w:val="21"/>
          <w:highlight w:val="none"/>
          <w:lang w:eastAsia="zh-CN"/>
        </w:rPr>
        <w:t>违反廉政纪律</w:t>
      </w:r>
      <w:r>
        <w:rPr>
          <w:rFonts w:hint="eastAsia" w:ascii="宋体" w:hAnsi="宋体" w:eastAsia="宋体" w:cs="宋体"/>
          <w:color w:val="auto"/>
          <w:sz w:val="21"/>
          <w:szCs w:val="21"/>
          <w:highlight w:val="none"/>
        </w:rPr>
        <w:t>行为</w:t>
      </w:r>
      <w:r>
        <w:rPr>
          <w:rFonts w:hint="eastAsia" w:ascii="宋体" w:hAnsi="宋体" w:eastAsia="宋体" w:cs="宋体"/>
          <w:color w:val="auto"/>
          <w:sz w:val="21"/>
          <w:szCs w:val="21"/>
          <w:highlight w:val="none"/>
          <w:lang w:eastAsia="zh-CN"/>
        </w:rPr>
        <w:t>的。</w:t>
      </w:r>
    </w:p>
    <w:p>
      <w:pPr>
        <w:pStyle w:val="114"/>
        <w:keepNext w:val="0"/>
        <w:keepLines w:val="0"/>
        <w:pageBreakBefore w:val="0"/>
        <w:numPr>
          <w:ilvl w:val="0"/>
          <w:numId w:val="5"/>
        </w:numPr>
        <w:kinsoku/>
        <w:wordWrap/>
        <w:overflowPunct/>
        <w:topLinePunct w:val="0"/>
        <w:autoSpaceDE/>
        <w:autoSpaceDN/>
        <w:bidi w:val="0"/>
        <w:adjustRightInd w:val="0"/>
        <w:snapToGrid/>
        <w:spacing w:before="0" w:beforeLines="0" w:beforeAutospacing="0" w:after="0" w:afterLines="0" w:afterAutospacing="0" w:line="360" w:lineRule="auto"/>
        <w:ind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未按要求配合行政复议或行政诉讼事项的</w:t>
      </w:r>
      <w:r>
        <w:rPr>
          <w:rFonts w:hint="eastAsia" w:ascii="宋体" w:hAnsi="宋体" w:eastAsia="宋体" w:cs="宋体"/>
          <w:color w:val="auto"/>
          <w:sz w:val="21"/>
          <w:szCs w:val="21"/>
          <w:highlight w:val="none"/>
          <w:lang w:eastAsia="zh-CN"/>
        </w:rPr>
        <w:t>。</w:t>
      </w:r>
    </w:p>
    <w:p>
      <w:pPr>
        <w:pStyle w:val="114"/>
        <w:keepNext w:val="0"/>
        <w:keepLines w:val="0"/>
        <w:pageBreakBefore w:val="0"/>
        <w:numPr>
          <w:ilvl w:val="0"/>
          <w:numId w:val="5"/>
        </w:numPr>
        <w:kinsoku/>
        <w:wordWrap/>
        <w:overflowPunct/>
        <w:topLinePunct w:val="0"/>
        <w:autoSpaceDE/>
        <w:autoSpaceDN/>
        <w:bidi w:val="0"/>
        <w:adjustRightInd w:val="0"/>
        <w:snapToGrid/>
        <w:spacing w:before="0" w:beforeLines="0" w:beforeAutospacing="0" w:after="0" w:afterLines="0" w:afterAutospacing="0" w:line="360" w:lineRule="auto"/>
        <w:ind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行政和法律救济程序结束后，改变审计造价核减结论的</w:t>
      </w:r>
      <w:r>
        <w:rPr>
          <w:rFonts w:hint="eastAsia" w:ascii="宋体" w:hAnsi="宋体" w:eastAsia="宋体" w:cs="宋体"/>
          <w:color w:val="auto"/>
          <w:sz w:val="21"/>
          <w:szCs w:val="21"/>
          <w:highlight w:val="none"/>
          <w:lang w:eastAsia="zh-CN"/>
        </w:rPr>
        <w:t>。</w:t>
      </w:r>
    </w:p>
    <w:p>
      <w:pPr>
        <w:pStyle w:val="114"/>
        <w:keepNext w:val="0"/>
        <w:keepLines w:val="0"/>
        <w:pageBreakBefore w:val="0"/>
        <w:numPr>
          <w:ilvl w:val="0"/>
          <w:numId w:val="5"/>
        </w:numPr>
        <w:kinsoku/>
        <w:wordWrap/>
        <w:overflowPunct/>
        <w:topLinePunct w:val="0"/>
        <w:autoSpaceDE/>
        <w:autoSpaceDN/>
        <w:bidi w:val="0"/>
        <w:adjustRightInd w:val="0"/>
        <w:snapToGrid/>
        <w:spacing w:before="0" w:beforeLines="0" w:beforeAutospacing="0" w:after="0" w:afterLines="0" w:afterAutospacing="0" w:line="360" w:lineRule="auto"/>
        <w:ind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违反法律法规或严重违反合同约定情形的。</w:t>
      </w:r>
    </w:p>
    <w:p>
      <w:pPr>
        <w:pStyle w:val="114"/>
        <w:keepNext w:val="0"/>
        <w:keepLines w:val="0"/>
        <w:pageBreakBefore w:val="0"/>
        <w:widowControl w:val="0"/>
        <w:kinsoku/>
        <w:wordWrap/>
        <w:overflowPunct/>
        <w:topLinePunct w:val="0"/>
        <w:autoSpaceDE/>
        <w:autoSpaceDN/>
        <w:bidi w:val="0"/>
        <w:adjustRightInd w:val="0"/>
        <w:snapToGrid/>
        <w:spacing w:before="0" w:beforeLines="0" w:beforeAutospacing="0" w:after="0" w:afterLines="0" w:afterAutospacing="0" w:line="360" w:lineRule="auto"/>
        <w:ind w:left="0" w:leftChars="0" w:right="0" w:rightChars="0" w:firstLine="422" w:firstLineChars="200"/>
        <w:jc w:val="both"/>
        <w:textAlignment w:val="auto"/>
        <w:outlineLvl w:val="9"/>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 xml:space="preserve"> </w:t>
      </w:r>
      <w:r>
        <w:rPr>
          <w:rFonts w:hint="eastAsia" w:ascii="宋体" w:hAnsi="宋体" w:eastAsia="宋体" w:cs="宋体"/>
          <w:color w:val="auto"/>
          <w:sz w:val="21"/>
          <w:szCs w:val="21"/>
          <w:highlight w:val="none"/>
          <w:lang w:val="en-US" w:eastAsia="zh-CN"/>
        </w:rPr>
        <w:t>五、聘用费标准及支付</w:t>
      </w:r>
    </w:p>
    <w:p>
      <w:pPr>
        <w:pStyle w:val="114"/>
        <w:keepNext w:val="0"/>
        <w:keepLines w:val="0"/>
        <w:pageBreakBefore w:val="0"/>
        <w:widowControl w:val="0"/>
        <w:kinsoku/>
        <w:wordWrap/>
        <w:overflowPunct/>
        <w:topLinePunct w:val="0"/>
        <w:autoSpaceDE/>
        <w:autoSpaceDN/>
        <w:bidi w:val="0"/>
        <w:adjustRightInd w:val="0"/>
        <w:snapToGrid/>
        <w:spacing w:before="0" w:beforeLines="0" w:beforeAutospacing="0" w:after="0" w:afterLines="0" w:afterAutospacing="0" w:line="360" w:lineRule="auto"/>
        <w:ind w:right="0" w:rightChars="0" w:firstLine="420" w:firstLineChars="200"/>
        <w:jc w:val="both"/>
        <w:textAlignment w:val="auto"/>
        <w:outlineLvl w:val="9"/>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（一）聘用费。送审项目聘用费由基础报酬和绩效报酬组成。</w:t>
      </w:r>
    </w:p>
    <w:p>
      <w:pPr>
        <w:pStyle w:val="114"/>
        <w:keepNext w:val="0"/>
        <w:keepLines w:val="0"/>
        <w:pageBreakBefore w:val="0"/>
        <w:widowControl w:val="0"/>
        <w:kinsoku/>
        <w:wordWrap/>
        <w:overflowPunct/>
        <w:topLinePunct w:val="0"/>
        <w:autoSpaceDE/>
        <w:autoSpaceDN/>
        <w:bidi w:val="0"/>
        <w:adjustRightInd w:val="0"/>
        <w:snapToGrid/>
        <w:spacing w:before="0" w:beforeLines="0" w:beforeAutospacing="0" w:after="0" w:afterLines="0" w:afterAutospacing="0" w:line="360" w:lineRule="auto"/>
        <w:ind w:right="0" w:rightChars="0" w:firstLine="420" w:firstLineChars="200"/>
        <w:jc w:val="both"/>
        <w:textAlignment w:val="auto"/>
        <w:outlineLvl w:val="9"/>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1.基础报酬。</w:t>
      </w:r>
    </w:p>
    <w:p>
      <w:pPr>
        <w:pStyle w:val="114"/>
        <w:keepNext w:val="0"/>
        <w:keepLines w:val="0"/>
        <w:pageBreakBefore w:val="0"/>
        <w:widowControl w:val="0"/>
        <w:kinsoku/>
        <w:wordWrap/>
        <w:overflowPunct/>
        <w:topLinePunct w:val="0"/>
        <w:autoSpaceDE/>
        <w:autoSpaceDN/>
        <w:bidi w:val="0"/>
        <w:adjustRightInd w:val="0"/>
        <w:snapToGrid/>
        <w:spacing w:before="0" w:beforeLines="0" w:beforeAutospacing="0" w:after="0" w:afterLines="0" w:afterAutospacing="0" w:line="360" w:lineRule="auto"/>
        <w:ind w:right="0" w:rightChars="0" w:firstLine="420" w:firstLineChars="200"/>
        <w:jc w:val="both"/>
        <w:textAlignment w:val="auto"/>
        <w:outlineLvl w:val="9"/>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送审项目基础报酬为</w:t>
      </w:r>
      <w:r>
        <w:rPr>
          <w:rFonts w:hint="eastAsia" w:eastAsia="宋体" w:cs="宋体"/>
          <w:color w:val="auto"/>
          <w:kern w:val="0"/>
          <w:sz w:val="21"/>
          <w:szCs w:val="21"/>
          <w:highlight w:val="none"/>
          <w:u w:val="single"/>
          <w:lang w:val="en-US" w:eastAsia="zh-CN" w:bidi="ar-SA"/>
        </w:rPr>
        <w:t xml:space="preserve">      </w:t>
      </w:r>
      <w:r>
        <w:rPr>
          <w:rFonts w:hint="eastAsia" w:ascii="宋体" w:hAnsi="宋体" w:eastAsia="宋体" w:cs="宋体"/>
          <w:color w:val="auto"/>
          <w:kern w:val="0"/>
          <w:sz w:val="21"/>
          <w:szCs w:val="21"/>
          <w:highlight w:val="none"/>
          <w:lang w:val="en-US" w:eastAsia="zh-CN" w:bidi="ar-SA"/>
        </w:rPr>
        <w:t>万元。</w:t>
      </w:r>
    </w:p>
    <w:p>
      <w:pPr>
        <w:pStyle w:val="114"/>
        <w:keepNext w:val="0"/>
        <w:keepLines w:val="0"/>
        <w:pageBreakBefore w:val="0"/>
        <w:widowControl w:val="0"/>
        <w:numPr>
          <w:ilvl w:val="0"/>
          <w:numId w:val="6"/>
        </w:numPr>
        <w:kinsoku/>
        <w:wordWrap/>
        <w:overflowPunct/>
        <w:topLinePunct w:val="0"/>
        <w:autoSpaceDE/>
        <w:autoSpaceDN/>
        <w:bidi w:val="0"/>
        <w:adjustRightInd w:val="0"/>
        <w:snapToGrid/>
        <w:spacing w:before="0" w:beforeLines="0" w:beforeAutospacing="0" w:after="0" w:afterLines="0" w:afterAutospacing="0" w:line="360" w:lineRule="auto"/>
        <w:ind w:right="0" w:rightChars="0" w:firstLine="420" w:firstLineChars="200"/>
        <w:jc w:val="both"/>
        <w:textAlignment w:val="auto"/>
        <w:outlineLvl w:val="9"/>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绩效报酬。</w:t>
      </w:r>
    </w:p>
    <w:p>
      <w:pPr>
        <w:pStyle w:val="114"/>
        <w:keepNext w:val="0"/>
        <w:keepLines w:val="0"/>
        <w:pageBreakBefore w:val="0"/>
        <w:widowControl w:val="0"/>
        <w:numPr>
          <w:ilvl w:val="0"/>
          <w:numId w:val="0"/>
        </w:numPr>
        <w:kinsoku/>
        <w:wordWrap/>
        <w:overflowPunct/>
        <w:topLinePunct w:val="0"/>
        <w:autoSpaceDE/>
        <w:autoSpaceDN/>
        <w:bidi w:val="0"/>
        <w:adjustRightInd w:val="0"/>
        <w:snapToGrid/>
        <w:spacing w:before="0" w:beforeLines="0" w:beforeAutospacing="0" w:after="0" w:afterLines="0" w:afterAutospacing="0" w:line="360" w:lineRule="auto"/>
        <w:ind w:right="0" w:rightChars="0" w:firstLine="420" w:firstLineChars="200"/>
        <w:jc w:val="both"/>
        <w:textAlignment w:val="auto"/>
        <w:outlineLvl w:val="9"/>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核减率为5%（含）以内的，按核减总额的3.5%提成；核减率为5%以上7.5%（含）以内的，按核减总额的4.0%提成；核减率为7.5%以上10%（含）以内的，按核减总额的4.5%提成；核减率为10%以上的，按核减总额的5.0%提成。绩效薪酬上限设置为</w:t>
      </w:r>
      <w:r>
        <w:rPr>
          <w:rFonts w:hint="eastAsia" w:eastAsia="宋体" w:cs="宋体"/>
          <w:color w:val="auto"/>
          <w:kern w:val="0"/>
          <w:sz w:val="21"/>
          <w:szCs w:val="21"/>
          <w:highlight w:val="none"/>
          <w:u w:val="single"/>
          <w:lang w:val="en-US" w:eastAsia="zh-CN" w:bidi="ar-SA"/>
        </w:rPr>
        <w:t xml:space="preserve">      </w:t>
      </w:r>
      <w:r>
        <w:rPr>
          <w:rFonts w:hint="eastAsia" w:ascii="宋体" w:hAnsi="宋体" w:eastAsia="宋体" w:cs="宋体"/>
          <w:color w:val="auto"/>
          <w:kern w:val="0"/>
          <w:sz w:val="21"/>
          <w:szCs w:val="21"/>
          <w:highlight w:val="none"/>
          <w:lang w:val="en-US" w:eastAsia="zh-CN" w:bidi="ar-SA"/>
        </w:rPr>
        <w:t>万元。</w:t>
      </w:r>
    </w:p>
    <w:p>
      <w:pPr>
        <w:pStyle w:val="114"/>
        <w:keepNext w:val="0"/>
        <w:keepLines w:val="0"/>
        <w:pageBreakBefore w:val="0"/>
        <w:widowControl w:val="0"/>
        <w:numPr>
          <w:ilvl w:val="0"/>
          <w:numId w:val="0"/>
        </w:numPr>
        <w:kinsoku/>
        <w:wordWrap/>
        <w:overflowPunct/>
        <w:topLinePunct w:val="0"/>
        <w:autoSpaceDE/>
        <w:autoSpaceDN/>
        <w:bidi w:val="0"/>
        <w:adjustRightInd w:val="0"/>
        <w:snapToGrid/>
        <w:spacing w:before="0" w:beforeLines="0" w:beforeAutospacing="0" w:after="0" w:afterLines="0" w:afterAutospacing="0" w:line="360" w:lineRule="auto"/>
        <w:ind w:right="0" w:rightChars="0" w:firstLine="420" w:firstLineChars="200"/>
        <w:jc w:val="both"/>
        <w:textAlignment w:val="auto"/>
        <w:outlineLvl w:val="9"/>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严禁乙方为了获取绩效报酬或其他目的，采用违法、违规、缺乏事实及合法证据的审计方法，且乙方对核减的事实依据及核减结果的真实性、合法性、合规性、有效性承担全部法律责任（包括纪检监察及刑事责任）。</w:t>
      </w:r>
    </w:p>
    <w:p>
      <w:pPr>
        <w:pStyle w:val="106"/>
        <w:keepNext w:val="0"/>
        <w:keepLines w:val="0"/>
        <w:pageBreakBefore w:val="0"/>
        <w:numPr>
          <w:ilvl w:val="0"/>
          <w:numId w:val="0"/>
        </w:numPr>
        <w:kinsoku/>
        <w:wordWrap/>
        <w:overflowPunct/>
        <w:topLinePunct w:val="0"/>
        <w:autoSpaceDE/>
        <w:autoSpaceDN/>
        <w:bidi w:val="0"/>
        <w:snapToGrid/>
        <w:spacing w:line="360" w:lineRule="auto"/>
        <w:ind w:right="0" w:rightChars="0"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(二) 费用结算时间。</w:t>
      </w:r>
      <w:r>
        <w:rPr>
          <w:rFonts w:hint="eastAsia" w:ascii="宋体" w:hAnsi="宋体" w:eastAsia="宋体" w:cs="宋体"/>
          <w:color w:val="auto"/>
          <w:sz w:val="21"/>
          <w:szCs w:val="21"/>
          <w:highlight w:val="none"/>
          <w:lang w:eastAsia="zh-CN"/>
        </w:rPr>
        <w:t>甲方</w:t>
      </w:r>
      <w:r>
        <w:rPr>
          <w:rFonts w:hint="eastAsia" w:ascii="宋体" w:hAnsi="宋体" w:eastAsia="宋体" w:cs="宋体"/>
          <w:color w:val="auto"/>
          <w:sz w:val="21"/>
          <w:szCs w:val="21"/>
          <w:highlight w:val="none"/>
        </w:rPr>
        <w:t>与</w:t>
      </w:r>
      <w:r>
        <w:rPr>
          <w:rFonts w:hint="eastAsia" w:ascii="宋体" w:hAnsi="宋体" w:eastAsia="宋体" w:cs="宋体"/>
          <w:color w:val="auto"/>
          <w:sz w:val="21"/>
          <w:szCs w:val="21"/>
          <w:highlight w:val="none"/>
          <w:lang w:eastAsia="zh-CN"/>
        </w:rPr>
        <w:t>乙方</w:t>
      </w:r>
      <w:r>
        <w:rPr>
          <w:rFonts w:hint="eastAsia" w:ascii="宋体" w:hAnsi="宋体" w:eastAsia="宋体" w:cs="宋体"/>
          <w:color w:val="auto"/>
          <w:sz w:val="21"/>
          <w:szCs w:val="21"/>
          <w:highlight w:val="none"/>
        </w:rPr>
        <w:t>签订合同</w:t>
      </w:r>
      <w:r>
        <w:rPr>
          <w:rFonts w:hint="eastAsia" w:ascii="宋体" w:hAnsi="宋体" w:eastAsia="宋体" w:cs="宋体"/>
          <w:color w:val="auto"/>
          <w:sz w:val="21"/>
          <w:szCs w:val="21"/>
          <w:highlight w:val="none"/>
          <w:lang w:eastAsia="zh-CN"/>
        </w:rPr>
        <w:t>后的</w:t>
      </w:r>
      <w:r>
        <w:rPr>
          <w:rFonts w:hint="eastAsia" w:ascii="宋体" w:hAnsi="宋体" w:eastAsia="宋体" w:cs="宋体"/>
          <w:color w:val="auto"/>
          <w:sz w:val="21"/>
          <w:szCs w:val="21"/>
          <w:highlight w:val="none"/>
        </w:rPr>
        <w:t>15个工作日内支付基础报酬</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甲方出具正式审计文书5个工作日</w:t>
      </w:r>
      <w:r>
        <w:rPr>
          <w:rFonts w:hint="eastAsia" w:ascii="宋体" w:hAnsi="宋体" w:eastAsia="宋体" w:cs="宋体"/>
          <w:color w:val="auto"/>
          <w:sz w:val="21"/>
          <w:szCs w:val="21"/>
          <w:highlight w:val="none"/>
          <w:lang w:eastAsia="zh-CN"/>
        </w:rPr>
        <w:t>内</w:t>
      </w:r>
      <w:r>
        <w:rPr>
          <w:rFonts w:hint="eastAsia" w:ascii="宋体" w:hAnsi="宋体" w:eastAsia="宋体" w:cs="宋体"/>
          <w:color w:val="auto"/>
          <w:sz w:val="21"/>
          <w:szCs w:val="21"/>
          <w:highlight w:val="none"/>
        </w:rPr>
        <w:t>先支付乙方60%</w:t>
      </w:r>
      <w:r>
        <w:rPr>
          <w:rFonts w:hint="eastAsia" w:ascii="宋体" w:hAnsi="宋体" w:eastAsia="宋体" w:cs="宋体"/>
          <w:color w:val="auto"/>
          <w:sz w:val="21"/>
          <w:szCs w:val="21"/>
          <w:highlight w:val="none"/>
          <w:lang w:eastAsia="zh-CN"/>
        </w:rPr>
        <w:t>的绩效报酬</w:t>
      </w:r>
      <w:r>
        <w:rPr>
          <w:rFonts w:hint="eastAsia" w:ascii="宋体" w:hAnsi="宋体" w:eastAsia="宋体" w:cs="宋体"/>
          <w:color w:val="auto"/>
          <w:sz w:val="21"/>
          <w:szCs w:val="21"/>
          <w:highlight w:val="none"/>
        </w:rPr>
        <w:t>，待行政复议和行政诉讼期满，且期间未发生针对中介机构查出问题的行政复议或行政诉讼后十</w:t>
      </w:r>
      <w:r>
        <w:rPr>
          <w:rFonts w:hint="eastAsia" w:ascii="宋体" w:hAnsi="宋体" w:eastAsia="宋体" w:cs="宋体"/>
          <w:color w:val="auto"/>
          <w:sz w:val="21"/>
          <w:szCs w:val="21"/>
          <w:highlight w:val="none"/>
          <w:lang w:eastAsia="zh-CN"/>
        </w:rPr>
        <w:t>个工作</w:t>
      </w:r>
      <w:r>
        <w:rPr>
          <w:rFonts w:hint="eastAsia" w:ascii="宋体" w:hAnsi="宋体" w:eastAsia="宋体" w:cs="宋体"/>
          <w:color w:val="auto"/>
          <w:sz w:val="21"/>
          <w:szCs w:val="21"/>
          <w:highlight w:val="none"/>
        </w:rPr>
        <w:t>日内支付剩余40%的</w:t>
      </w:r>
      <w:r>
        <w:rPr>
          <w:rFonts w:hint="eastAsia" w:ascii="宋体" w:hAnsi="宋体" w:eastAsia="宋体" w:cs="宋体"/>
          <w:color w:val="auto"/>
          <w:sz w:val="21"/>
          <w:szCs w:val="21"/>
          <w:highlight w:val="none"/>
          <w:lang w:eastAsia="zh-CN"/>
        </w:rPr>
        <w:t>绩效</w:t>
      </w:r>
      <w:r>
        <w:rPr>
          <w:rFonts w:hint="eastAsia" w:ascii="宋体" w:hAnsi="宋体" w:eastAsia="宋体" w:cs="宋体"/>
          <w:color w:val="auto"/>
          <w:sz w:val="21"/>
          <w:szCs w:val="21"/>
          <w:highlight w:val="none"/>
        </w:rPr>
        <w:t>报酬。若期间发生行政复议或行政诉讼，乙方必须安排相应专业人员前来应诉，行政复议或诉讼结果未改变审计造价核减结论的，自判决之日起十</w:t>
      </w:r>
      <w:r>
        <w:rPr>
          <w:rFonts w:hint="eastAsia" w:ascii="宋体" w:hAnsi="宋体" w:eastAsia="宋体" w:cs="宋体"/>
          <w:color w:val="auto"/>
          <w:sz w:val="21"/>
          <w:szCs w:val="21"/>
          <w:highlight w:val="none"/>
          <w:lang w:eastAsia="zh-CN"/>
        </w:rPr>
        <w:t>个工作</w:t>
      </w:r>
      <w:r>
        <w:rPr>
          <w:rFonts w:hint="eastAsia" w:ascii="宋体" w:hAnsi="宋体" w:eastAsia="宋体" w:cs="宋体"/>
          <w:color w:val="auto"/>
          <w:sz w:val="21"/>
          <w:szCs w:val="21"/>
          <w:highlight w:val="none"/>
        </w:rPr>
        <w:t>日内支付剩余40%的</w:t>
      </w:r>
      <w:r>
        <w:rPr>
          <w:rFonts w:hint="eastAsia" w:ascii="宋体" w:hAnsi="宋体" w:eastAsia="宋体" w:cs="宋体"/>
          <w:color w:val="auto"/>
          <w:sz w:val="21"/>
          <w:szCs w:val="21"/>
          <w:highlight w:val="none"/>
          <w:lang w:eastAsia="zh-CN"/>
        </w:rPr>
        <w:t>绩效</w:t>
      </w:r>
      <w:r>
        <w:rPr>
          <w:rFonts w:hint="eastAsia" w:ascii="宋体" w:hAnsi="宋体" w:eastAsia="宋体" w:cs="宋体"/>
          <w:color w:val="auto"/>
          <w:sz w:val="21"/>
          <w:szCs w:val="21"/>
          <w:highlight w:val="none"/>
        </w:rPr>
        <w:t>报酬。</w:t>
      </w:r>
      <w:r>
        <w:rPr>
          <w:rFonts w:hint="eastAsia" w:ascii="宋体" w:hAnsi="宋体" w:eastAsia="宋体" w:cs="宋体"/>
          <w:color w:val="auto"/>
          <w:sz w:val="21"/>
          <w:szCs w:val="21"/>
          <w:highlight w:val="none"/>
          <w:lang w:eastAsia="zh-CN"/>
        </w:rPr>
        <w:t>如行政复议、行政诉讼等司法结论改变、撤销或否定（包括部分改变、撤销、否定）</w:t>
      </w:r>
      <w:r>
        <w:rPr>
          <w:rFonts w:hint="eastAsia" w:ascii="宋体" w:hAnsi="宋体" w:eastAsia="宋体" w:cs="宋体"/>
          <w:color w:val="auto"/>
          <w:sz w:val="21"/>
          <w:szCs w:val="21"/>
          <w:highlight w:val="none"/>
        </w:rPr>
        <w:t>核减结论的，甲方将根据造价核减结论变化从剩余40%</w:t>
      </w:r>
      <w:r>
        <w:rPr>
          <w:rFonts w:hint="eastAsia" w:ascii="宋体" w:hAnsi="宋体" w:eastAsia="宋体" w:cs="宋体"/>
          <w:color w:val="auto"/>
          <w:sz w:val="21"/>
          <w:szCs w:val="21"/>
          <w:highlight w:val="none"/>
          <w:lang w:eastAsia="zh-CN"/>
        </w:rPr>
        <w:t>绩效</w:t>
      </w:r>
      <w:r>
        <w:rPr>
          <w:rFonts w:hint="eastAsia" w:ascii="宋体" w:hAnsi="宋体" w:eastAsia="宋体" w:cs="宋体"/>
          <w:color w:val="auto"/>
          <w:sz w:val="21"/>
          <w:szCs w:val="21"/>
          <w:highlight w:val="none"/>
        </w:rPr>
        <w:t>报酬中相应扣除应付费用，剩余费用不足以抵扣的</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乙方必须退回相应的费用。乙方未安排相应专业人员前来应诉的，剩余40%的</w:t>
      </w:r>
      <w:r>
        <w:rPr>
          <w:rFonts w:hint="eastAsia" w:ascii="宋体" w:hAnsi="宋体" w:eastAsia="宋体" w:cs="宋体"/>
          <w:color w:val="auto"/>
          <w:sz w:val="21"/>
          <w:szCs w:val="21"/>
          <w:highlight w:val="none"/>
          <w:lang w:eastAsia="zh-CN"/>
        </w:rPr>
        <w:t>绩效</w:t>
      </w:r>
      <w:r>
        <w:rPr>
          <w:rFonts w:hint="eastAsia" w:ascii="宋体" w:hAnsi="宋体" w:eastAsia="宋体" w:cs="宋体"/>
          <w:color w:val="auto"/>
          <w:sz w:val="21"/>
          <w:szCs w:val="21"/>
          <w:highlight w:val="none"/>
        </w:rPr>
        <w:t>报酬将不予支付</w:t>
      </w:r>
      <w:r>
        <w:rPr>
          <w:rFonts w:hint="eastAsia" w:ascii="宋体" w:hAnsi="宋体" w:eastAsia="宋体" w:cs="宋体"/>
          <w:color w:val="auto"/>
          <w:sz w:val="21"/>
          <w:szCs w:val="21"/>
          <w:highlight w:val="none"/>
          <w:lang w:eastAsia="zh-CN"/>
        </w:rPr>
        <w:t>。</w:t>
      </w:r>
    </w:p>
    <w:p>
      <w:pPr>
        <w:pStyle w:val="106"/>
        <w:keepNext w:val="0"/>
        <w:keepLines w:val="0"/>
        <w:pageBreakBefore w:val="0"/>
        <w:numPr>
          <w:ilvl w:val="0"/>
          <w:numId w:val="0"/>
        </w:numPr>
        <w:kinsoku/>
        <w:wordWrap/>
        <w:overflowPunct/>
        <w:topLinePunct w:val="0"/>
        <w:autoSpaceDE/>
        <w:autoSpaceDN/>
        <w:bidi w:val="0"/>
        <w:snapToGrid/>
        <w:spacing w:line="360" w:lineRule="auto"/>
        <w:ind w:right="0" w:rightChars="0" w:firstLine="420" w:firstLineChars="200"/>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（三）必要情况下，甲方有权通过</w:t>
      </w:r>
      <w:r>
        <w:rPr>
          <w:rFonts w:hint="eastAsia" w:ascii="宋体" w:hAnsi="宋体" w:eastAsia="宋体" w:cs="宋体"/>
          <w:color w:val="auto"/>
          <w:sz w:val="21"/>
          <w:szCs w:val="21"/>
          <w:highlight w:val="none"/>
          <w:lang w:val="en-US" w:eastAsia="zh-CN"/>
        </w:rPr>
        <w:t>招标的方式</w:t>
      </w:r>
      <w:r>
        <w:rPr>
          <w:rFonts w:hint="eastAsia" w:ascii="宋体" w:hAnsi="宋体" w:eastAsia="宋体" w:cs="宋体"/>
          <w:color w:val="auto"/>
          <w:sz w:val="21"/>
          <w:szCs w:val="21"/>
          <w:highlight w:val="none"/>
          <w:lang w:val="zh-CN"/>
        </w:rPr>
        <w:t>组织选聘中介机构对乙方协审项目造价情况进行复审。</w:t>
      </w:r>
    </w:p>
    <w:p>
      <w:pPr>
        <w:pStyle w:val="114"/>
        <w:keepNext w:val="0"/>
        <w:keepLines w:val="0"/>
        <w:pageBreakBefore w:val="0"/>
        <w:numPr>
          <w:ilvl w:val="0"/>
          <w:numId w:val="0"/>
        </w:numPr>
        <w:kinsoku/>
        <w:wordWrap/>
        <w:overflowPunct/>
        <w:topLinePunct w:val="0"/>
        <w:autoSpaceDE/>
        <w:autoSpaceDN/>
        <w:bidi w:val="0"/>
        <w:adjustRightInd w:val="0"/>
        <w:snapToGrid/>
        <w:spacing w:before="0" w:beforeLines="0" w:beforeAutospacing="0" w:after="0" w:afterLines="0" w:afterAutospacing="0" w:line="360" w:lineRule="auto"/>
        <w:ind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zh-CN" w:eastAsia="zh-CN" w:bidi="ar-SA"/>
        </w:rPr>
        <w:t>复审审减率高于原审减率且高于2%至4%的，扣除乙方该项目应得聘用费的30%，扣除费用的50%可作为对复审机构的奖励，取消乙方参与</w:t>
      </w:r>
      <w:r>
        <w:rPr>
          <w:rFonts w:hint="eastAsia" w:ascii="宋体" w:hAnsi="宋体" w:eastAsia="宋体" w:cs="宋体"/>
          <w:color w:val="auto"/>
          <w:kern w:val="0"/>
          <w:sz w:val="21"/>
          <w:szCs w:val="21"/>
          <w:highlight w:val="none"/>
          <w:lang w:val="en-US" w:eastAsia="zh-CN" w:bidi="ar-SA"/>
        </w:rPr>
        <w:t>我厅政府投资项目投标资格1年；</w:t>
      </w:r>
      <w:r>
        <w:rPr>
          <w:rFonts w:hint="eastAsia" w:ascii="宋体" w:hAnsi="宋体" w:eastAsia="宋体" w:cs="宋体"/>
          <w:color w:val="auto"/>
          <w:kern w:val="0"/>
          <w:sz w:val="21"/>
          <w:szCs w:val="21"/>
          <w:highlight w:val="none"/>
          <w:lang w:val="zh-CN" w:eastAsia="zh-CN" w:bidi="ar-SA"/>
        </w:rPr>
        <w:t>复审审减率高于原审减率且高于4%（含）以上的，扣除其应得聘用费的40%，扣除费用的50%可作为对复审机构的奖励，取消乙方参与</w:t>
      </w:r>
      <w:r>
        <w:rPr>
          <w:rFonts w:hint="eastAsia" w:ascii="宋体" w:hAnsi="宋体" w:eastAsia="宋体" w:cs="宋体"/>
          <w:color w:val="auto"/>
          <w:kern w:val="0"/>
          <w:sz w:val="21"/>
          <w:szCs w:val="21"/>
          <w:highlight w:val="none"/>
          <w:lang w:val="en-US" w:eastAsia="zh-CN" w:bidi="ar-SA"/>
        </w:rPr>
        <w:t>我厅政府投资项目投标审计资格2年。</w:t>
      </w:r>
      <w:r>
        <w:rPr>
          <w:rFonts w:hint="eastAsia" w:ascii="宋体" w:hAnsi="宋体" w:eastAsia="宋体" w:cs="宋体"/>
          <w:color w:val="auto"/>
          <w:kern w:val="0"/>
          <w:sz w:val="21"/>
          <w:szCs w:val="21"/>
          <w:highlight w:val="none"/>
          <w:lang w:val="zh-CN" w:eastAsia="zh-CN" w:bidi="ar-SA"/>
        </w:rPr>
        <w:t xml:space="preserve">   </w:t>
      </w:r>
      <w:r>
        <w:rPr>
          <w:rFonts w:hint="eastAsia" w:ascii="宋体" w:hAnsi="宋体" w:eastAsia="宋体" w:cs="宋体"/>
          <w:color w:val="auto"/>
          <w:sz w:val="21"/>
          <w:szCs w:val="21"/>
          <w:highlight w:val="none"/>
          <w:lang w:val="zh-CN"/>
        </w:rPr>
        <w:t xml:space="preserve">                  </w:t>
      </w:r>
    </w:p>
    <w:p>
      <w:pPr>
        <w:pStyle w:val="114"/>
        <w:keepNext w:val="0"/>
        <w:keepLines w:val="0"/>
        <w:pageBreakBefore w:val="0"/>
        <w:numPr>
          <w:ilvl w:val="0"/>
          <w:numId w:val="7"/>
        </w:numPr>
        <w:kinsoku/>
        <w:wordWrap/>
        <w:overflowPunct/>
        <w:topLinePunct w:val="0"/>
        <w:autoSpaceDE/>
        <w:autoSpaceDN/>
        <w:bidi w:val="0"/>
        <w:adjustRightInd w:val="0"/>
        <w:snapToGrid/>
        <w:spacing w:before="0" w:beforeLines="0" w:beforeAutospacing="0" w:after="0" w:afterLines="0" w:afterAutospacing="0" w:line="360" w:lineRule="auto"/>
        <w:ind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乙方审计期间产生的住宿、交通等所有费用自理。</w:t>
      </w:r>
    </w:p>
    <w:p>
      <w:pPr>
        <w:pStyle w:val="114"/>
        <w:keepNext w:val="0"/>
        <w:keepLines w:val="0"/>
        <w:pageBreakBefore w:val="0"/>
        <w:numPr>
          <w:ilvl w:val="0"/>
          <w:numId w:val="7"/>
        </w:numPr>
        <w:kinsoku/>
        <w:wordWrap/>
        <w:overflowPunct/>
        <w:topLinePunct w:val="0"/>
        <w:autoSpaceDE/>
        <w:autoSpaceDN/>
        <w:bidi w:val="0"/>
        <w:adjustRightInd w:val="0"/>
        <w:snapToGrid/>
        <w:spacing w:before="0" w:beforeLines="0" w:beforeAutospacing="0" w:after="0" w:afterLines="0" w:afterAutospacing="0" w:line="360" w:lineRule="auto"/>
        <w:ind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甲方支付给乙方的所有费用，乙方须向甲方开具增值税</w:t>
      </w:r>
      <w:r>
        <w:rPr>
          <w:rFonts w:hint="eastAsia"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发票。</w:t>
      </w:r>
    </w:p>
    <w:p>
      <w:pPr>
        <w:pStyle w:val="114"/>
        <w:keepNext w:val="0"/>
        <w:keepLines w:val="0"/>
        <w:pageBreakBefore w:val="0"/>
        <w:kinsoku/>
        <w:wordWrap/>
        <w:overflowPunct/>
        <w:topLinePunct w:val="0"/>
        <w:autoSpaceDE/>
        <w:autoSpaceDN/>
        <w:bidi w:val="0"/>
        <w:adjustRightInd w:val="0"/>
        <w:snapToGrid/>
        <w:spacing w:before="0" w:beforeLines="0" w:beforeAutospacing="0" w:after="0" w:afterLines="0" w:afterAutospacing="0" w:line="360" w:lineRule="auto"/>
        <w:ind w:right="0" w:rightChars="0" w:firstLine="420" w:firstLineChars="200"/>
        <w:textAlignment w:val="auto"/>
        <w:rPr>
          <w:rFonts w:hint="eastAsia" w:ascii="宋体" w:hAnsi="宋体" w:eastAsia="宋体" w:cs="宋体"/>
          <w:color w:val="auto"/>
          <w:sz w:val="21"/>
          <w:szCs w:val="21"/>
          <w:highlight w:val="none"/>
        </w:rPr>
      </w:pPr>
      <w:r>
        <w:rPr>
          <w:rFonts w:hint="eastAsia" w:eastAsia="宋体" w:cs="宋体"/>
          <w:color w:val="auto"/>
          <w:sz w:val="21"/>
          <w:szCs w:val="21"/>
          <w:highlight w:val="none"/>
          <w:lang w:val="en-US" w:eastAsia="zh-CN"/>
        </w:rPr>
        <w:t>六、</w:t>
      </w:r>
      <w:r>
        <w:rPr>
          <w:rFonts w:hint="eastAsia" w:ascii="宋体" w:hAnsi="宋体" w:eastAsia="宋体" w:cs="宋体"/>
          <w:color w:val="auto"/>
          <w:sz w:val="21"/>
          <w:szCs w:val="21"/>
          <w:highlight w:val="none"/>
        </w:rPr>
        <w:t>本协议未尽事宜，可经双方</w:t>
      </w:r>
      <w:r>
        <w:rPr>
          <w:rFonts w:hint="eastAsia" w:ascii="宋体" w:hAnsi="宋体" w:eastAsia="宋体" w:cs="宋体"/>
          <w:color w:val="auto"/>
          <w:sz w:val="21"/>
          <w:szCs w:val="21"/>
          <w:highlight w:val="none"/>
          <w:lang w:eastAsia="zh-CN"/>
        </w:rPr>
        <w:t>友好</w:t>
      </w:r>
      <w:r>
        <w:rPr>
          <w:rFonts w:hint="eastAsia" w:ascii="宋体" w:hAnsi="宋体" w:eastAsia="宋体" w:cs="宋体"/>
          <w:color w:val="auto"/>
          <w:sz w:val="21"/>
          <w:szCs w:val="21"/>
          <w:highlight w:val="none"/>
        </w:rPr>
        <w:t>协商后补充约定</w:t>
      </w:r>
      <w:bookmarkStart w:id="333" w:name="No120_D8"/>
      <w:bookmarkEnd w:id="333"/>
      <w:r>
        <w:rPr>
          <w:rFonts w:hint="eastAsia" w:ascii="宋体" w:hAnsi="宋体" w:eastAsia="宋体" w:cs="宋体"/>
          <w:color w:val="auto"/>
          <w:sz w:val="21"/>
          <w:szCs w:val="21"/>
          <w:highlight w:val="none"/>
        </w:rPr>
        <w:t>。</w:t>
      </w:r>
    </w:p>
    <w:p>
      <w:pPr>
        <w:pStyle w:val="114"/>
        <w:keepNext w:val="0"/>
        <w:keepLines w:val="0"/>
        <w:pageBreakBefore w:val="0"/>
        <w:kinsoku/>
        <w:wordWrap/>
        <w:overflowPunct/>
        <w:topLinePunct w:val="0"/>
        <w:autoSpaceDE/>
        <w:autoSpaceDN/>
        <w:bidi w:val="0"/>
        <w:adjustRightInd w:val="0"/>
        <w:snapToGrid/>
        <w:spacing w:before="0" w:beforeLines="0" w:beforeAutospacing="0" w:after="0" w:afterLines="0" w:afterAutospacing="0" w:line="360" w:lineRule="auto"/>
        <w:ind w:right="0" w:rightChars="0" w:firstLine="420" w:firstLineChars="200"/>
        <w:textAlignment w:val="auto"/>
        <w:rPr>
          <w:rFonts w:hint="eastAsia" w:ascii="宋体" w:hAnsi="宋体" w:eastAsia="宋体" w:cs="宋体"/>
          <w:b w:val="0"/>
          <w:bCs w:val="0"/>
          <w:color w:val="auto"/>
          <w:sz w:val="21"/>
          <w:szCs w:val="21"/>
          <w:highlight w:val="none"/>
        </w:rPr>
      </w:pPr>
      <w:r>
        <w:rPr>
          <w:rFonts w:hint="eastAsia" w:eastAsia="宋体" w:cs="宋体"/>
          <w:b w:val="0"/>
          <w:bCs w:val="0"/>
          <w:color w:val="auto"/>
          <w:sz w:val="21"/>
          <w:szCs w:val="21"/>
          <w:highlight w:val="none"/>
          <w:lang w:val="en-US" w:eastAsia="zh-CN"/>
        </w:rPr>
        <w:t>七、</w:t>
      </w:r>
      <w:r>
        <w:rPr>
          <w:rFonts w:hint="eastAsia" w:ascii="宋体" w:hAnsi="宋体" w:eastAsia="宋体" w:cs="宋体"/>
          <w:b w:val="0"/>
          <w:bCs w:val="0"/>
          <w:color w:val="auto"/>
          <w:sz w:val="21"/>
          <w:szCs w:val="21"/>
          <w:highlight w:val="none"/>
        </w:rPr>
        <w:t>本协议一式</w:t>
      </w:r>
      <w:r>
        <w:rPr>
          <w:rFonts w:hint="eastAsia" w:ascii="宋体" w:hAnsi="宋体" w:eastAsia="宋体" w:cs="宋体"/>
          <w:b w:val="0"/>
          <w:bCs w:val="0"/>
          <w:color w:val="auto"/>
          <w:sz w:val="21"/>
          <w:szCs w:val="21"/>
          <w:highlight w:val="none"/>
          <w:lang w:eastAsia="zh-CN"/>
        </w:rPr>
        <w:t>五</w:t>
      </w:r>
      <w:r>
        <w:rPr>
          <w:rFonts w:hint="eastAsia" w:ascii="宋体" w:hAnsi="宋体" w:eastAsia="宋体" w:cs="宋体"/>
          <w:b w:val="0"/>
          <w:bCs w:val="0"/>
          <w:color w:val="auto"/>
          <w:sz w:val="21"/>
          <w:szCs w:val="21"/>
          <w:highlight w:val="none"/>
        </w:rPr>
        <w:t>份，</w:t>
      </w:r>
      <w:r>
        <w:rPr>
          <w:rFonts w:hint="eastAsia" w:ascii="宋体" w:hAnsi="宋体" w:eastAsia="宋体" w:cs="宋体"/>
          <w:b w:val="0"/>
          <w:bCs w:val="0"/>
          <w:color w:val="auto"/>
          <w:sz w:val="21"/>
          <w:szCs w:val="21"/>
          <w:highlight w:val="none"/>
          <w:lang w:eastAsia="zh-CN"/>
        </w:rPr>
        <w:t>乙</w:t>
      </w:r>
      <w:r>
        <w:rPr>
          <w:rFonts w:hint="eastAsia" w:ascii="宋体" w:hAnsi="宋体" w:eastAsia="宋体" w:cs="宋体"/>
          <w:b w:val="0"/>
          <w:bCs w:val="0"/>
          <w:color w:val="auto"/>
          <w:sz w:val="21"/>
          <w:szCs w:val="21"/>
          <w:highlight w:val="none"/>
        </w:rPr>
        <w:t>方执一份，</w:t>
      </w:r>
      <w:r>
        <w:rPr>
          <w:rFonts w:hint="eastAsia" w:ascii="宋体" w:hAnsi="宋体" w:eastAsia="宋体" w:cs="宋体"/>
          <w:b w:val="0"/>
          <w:bCs w:val="0"/>
          <w:color w:val="auto"/>
          <w:sz w:val="21"/>
          <w:szCs w:val="21"/>
          <w:highlight w:val="none"/>
          <w:lang w:eastAsia="zh-CN"/>
        </w:rPr>
        <w:t>其余四份由甲方保存，</w:t>
      </w:r>
      <w:r>
        <w:rPr>
          <w:rFonts w:hint="eastAsia" w:ascii="宋体" w:hAnsi="宋体" w:eastAsia="宋体" w:cs="宋体"/>
          <w:b w:val="0"/>
          <w:bCs w:val="0"/>
          <w:color w:val="auto"/>
          <w:sz w:val="21"/>
          <w:szCs w:val="21"/>
          <w:highlight w:val="none"/>
        </w:rPr>
        <w:t>均</w:t>
      </w:r>
      <w:r>
        <w:rPr>
          <w:rFonts w:hint="eastAsia" w:ascii="宋体" w:hAnsi="宋体" w:eastAsia="宋体" w:cs="宋体"/>
          <w:b w:val="0"/>
          <w:bCs w:val="0"/>
          <w:color w:val="auto"/>
          <w:sz w:val="21"/>
          <w:szCs w:val="21"/>
          <w:highlight w:val="none"/>
          <w:lang w:eastAsia="zh-CN"/>
        </w:rPr>
        <w:t>须</w:t>
      </w:r>
      <w:r>
        <w:rPr>
          <w:rFonts w:hint="eastAsia" w:ascii="宋体" w:hAnsi="宋体" w:eastAsia="宋体" w:cs="宋体"/>
          <w:b w:val="0"/>
          <w:bCs w:val="0"/>
          <w:color w:val="auto"/>
          <w:sz w:val="21"/>
          <w:szCs w:val="21"/>
          <w:highlight w:val="none"/>
        </w:rPr>
        <w:t>经</w:t>
      </w:r>
      <w:r>
        <w:rPr>
          <w:rFonts w:hint="eastAsia" w:ascii="宋体" w:hAnsi="宋体" w:eastAsia="宋体" w:cs="宋体"/>
          <w:b w:val="0"/>
          <w:bCs w:val="0"/>
          <w:color w:val="auto"/>
          <w:sz w:val="21"/>
          <w:szCs w:val="21"/>
          <w:highlight w:val="none"/>
          <w:lang w:eastAsia="zh-CN"/>
        </w:rPr>
        <w:t>甲、乙双</w:t>
      </w:r>
      <w:r>
        <w:rPr>
          <w:rFonts w:hint="eastAsia" w:ascii="宋体" w:hAnsi="宋体" w:eastAsia="宋体" w:cs="宋体"/>
          <w:b w:val="0"/>
          <w:bCs w:val="0"/>
          <w:color w:val="auto"/>
          <w:sz w:val="21"/>
          <w:szCs w:val="21"/>
          <w:highlight w:val="none"/>
        </w:rPr>
        <w:t>方签字并加盖公章后生效。</w:t>
      </w:r>
      <w:bookmarkStart w:id="334" w:name="No121"/>
      <w:bookmarkEnd w:id="334"/>
    </w:p>
    <w:p>
      <w:pPr>
        <w:pStyle w:val="114"/>
        <w:keepNext w:val="0"/>
        <w:keepLines w:val="0"/>
        <w:pageBreakBefore w:val="0"/>
        <w:kinsoku/>
        <w:wordWrap/>
        <w:overflowPunct/>
        <w:topLinePunct w:val="0"/>
        <w:autoSpaceDE/>
        <w:autoSpaceDN/>
        <w:bidi w:val="0"/>
        <w:adjustRightInd w:val="0"/>
        <w:snapToGrid/>
        <w:spacing w:before="0" w:beforeLines="0" w:beforeAutospacing="0" w:after="0" w:afterLines="0" w:afterAutospacing="0" w:line="360" w:lineRule="auto"/>
        <w:ind w:right="0" w:rightChars="0" w:firstLine="420" w:firstLineChars="200"/>
        <w:textAlignment w:val="auto"/>
        <w:rPr>
          <w:rFonts w:hint="eastAsia" w:ascii="宋体" w:hAnsi="宋体" w:eastAsia="宋体" w:cs="宋体"/>
          <w:b w:val="0"/>
          <w:bCs w:val="0"/>
          <w:color w:val="auto"/>
          <w:sz w:val="21"/>
          <w:szCs w:val="21"/>
          <w:highlight w:val="none"/>
          <w:lang w:eastAsia="zh-CN"/>
        </w:rPr>
      </w:pPr>
      <w:r>
        <w:rPr>
          <w:rFonts w:hint="eastAsia" w:eastAsia="宋体" w:cs="宋体"/>
          <w:b w:val="0"/>
          <w:bCs w:val="0"/>
          <w:color w:val="auto"/>
          <w:sz w:val="21"/>
          <w:szCs w:val="21"/>
          <w:highlight w:val="none"/>
          <w:lang w:val="en-US" w:eastAsia="zh-CN"/>
        </w:rPr>
        <w:t>八、</w:t>
      </w:r>
      <w:r>
        <w:rPr>
          <w:rFonts w:hint="eastAsia" w:ascii="宋体" w:hAnsi="宋体" w:eastAsia="宋体" w:cs="宋体"/>
          <w:b w:val="0"/>
          <w:bCs w:val="0"/>
          <w:color w:val="auto"/>
          <w:sz w:val="21"/>
          <w:szCs w:val="21"/>
          <w:highlight w:val="none"/>
          <w:lang w:eastAsia="zh-CN"/>
        </w:rPr>
        <w:t>本协议有效期：自本协议签署之日起到审计项目结束之日止（包括复议、诉讼期限在内）。</w:t>
      </w:r>
    </w:p>
    <w:p>
      <w:pPr>
        <w:pStyle w:val="114"/>
        <w:keepNext w:val="0"/>
        <w:keepLines w:val="0"/>
        <w:pageBreakBefore w:val="0"/>
        <w:kinsoku/>
        <w:wordWrap/>
        <w:overflowPunct/>
        <w:topLinePunct w:val="0"/>
        <w:autoSpaceDE/>
        <w:autoSpaceDN/>
        <w:bidi w:val="0"/>
        <w:adjustRightInd w:val="0"/>
        <w:snapToGrid/>
        <w:spacing w:before="0" w:beforeLines="0" w:beforeAutospacing="0" w:after="0" w:afterLines="0" w:afterAutospacing="0" w:line="360" w:lineRule="auto"/>
        <w:ind w:right="0" w:rightChars="0" w:firstLine="422" w:firstLineChars="200"/>
        <w:textAlignment w:val="auto"/>
        <w:rPr>
          <w:rFonts w:hint="eastAsia" w:ascii="宋体" w:hAnsi="宋体" w:eastAsia="宋体" w:cs="宋体"/>
          <w:b/>
          <w:bCs/>
          <w:color w:val="auto"/>
          <w:sz w:val="21"/>
          <w:szCs w:val="21"/>
          <w:highlight w:val="none"/>
          <w:u w:val="single"/>
          <w:lang w:eastAsia="zh-CN"/>
        </w:rPr>
      </w:pPr>
      <w:r>
        <w:rPr>
          <w:rFonts w:hint="eastAsia" w:ascii="宋体" w:hAnsi="宋体" w:eastAsia="宋体" w:cs="宋体"/>
          <w:b/>
          <w:bCs/>
          <w:color w:val="auto"/>
          <w:sz w:val="21"/>
          <w:szCs w:val="21"/>
          <w:highlight w:val="none"/>
          <w:u w:val="single"/>
          <w:lang w:eastAsia="zh-CN"/>
        </w:rPr>
        <w:t>九、在签订本协议前，甲方已经提醒乙方详细阅读上述全部条款及与审计项目相关的甲方的各项规章制度（附后）。乙方在本合同上的签字盖章表示已知晓、理解、接受上述全部条款内容，并承诺自觉遵守、履行和承担全部法律责任。</w:t>
      </w:r>
    </w:p>
    <w:p>
      <w:pPr>
        <w:pStyle w:val="114"/>
        <w:keepNext w:val="0"/>
        <w:keepLines w:val="0"/>
        <w:pageBreakBefore w:val="0"/>
        <w:kinsoku/>
        <w:wordWrap/>
        <w:overflowPunct/>
        <w:topLinePunct w:val="0"/>
        <w:autoSpaceDE/>
        <w:autoSpaceDN/>
        <w:bidi w:val="0"/>
        <w:adjustRightInd w:val="0"/>
        <w:snapToGrid/>
        <w:spacing w:before="0" w:beforeLines="0" w:beforeAutospacing="0" w:after="0" w:afterLines="0" w:afterAutospacing="0" w:line="360" w:lineRule="auto"/>
        <w:ind w:right="0" w:rightChars="0" w:firstLine="420" w:firstLineChars="200"/>
        <w:textAlignment w:val="auto"/>
        <w:rPr>
          <w:rFonts w:hint="eastAsia" w:ascii="宋体" w:hAnsi="宋体" w:eastAsia="宋体" w:cs="宋体"/>
          <w:color w:val="auto"/>
          <w:sz w:val="21"/>
          <w:szCs w:val="21"/>
          <w:highlight w:val="none"/>
        </w:rPr>
      </w:pPr>
    </w:p>
    <w:p>
      <w:pPr>
        <w:pStyle w:val="114"/>
        <w:keepNext w:val="0"/>
        <w:keepLines w:val="0"/>
        <w:pageBreakBefore w:val="0"/>
        <w:kinsoku/>
        <w:wordWrap/>
        <w:overflowPunct/>
        <w:topLinePunct w:val="0"/>
        <w:autoSpaceDE/>
        <w:autoSpaceDN/>
        <w:bidi w:val="0"/>
        <w:adjustRightInd w:val="0"/>
        <w:snapToGrid/>
        <w:spacing w:before="0" w:beforeLines="0" w:beforeAutospacing="0" w:after="0" w:afterLines="0" w:afterAutospacing="0" w:line="360" w:lineRule="auto"/>
        <w:ind w:right="0" w:rightChars="0" w:firstLine="420" w:firstLineChars="200"/>
        <w:textAlignment w:val="auto"/>
        <w:rPr>
          <w:rFonts w:hint="eastAsia" w:ascii="宋体" w:hAnsi="宋体" w:eastAsia="宋体" w:cs="宋体"/>
          <w:color w:val="auto"/>
          <w:sz w:val="21"/>
          <w:szCs w:val="21"/>
          <w:highlight w:val="none"/>
        </w:rPr>
      </w:pPr>
    </w:p>
    <w:p>
      <w:pPr>
        <w:pStyle w:val="114"/>
        <w:keepNext w:val="0"/>
        <w:keepLines w:val="0"/>
        <w:pageBreakBefore w:val="0"/>
        <w:kinsoku/>
        <w:wordWrap/>
        <w:overflowPunct/>
        <w:topLinePunct w:val="0"/>
        <w:autoSpaceDE/>
        <w:autoSpaceDN/>
        <w:bidi w:val="0"/>
        <w:adjustRightInd w:val="0"/>
        <w:snapToGrid/>
        <w:spacing w:before="0" w:beforeLines="0" w:beforeAutospacing="0" w:after="0" w:afterLines="0" w:afterAutospacing="0" w:line="360" w:lineRule="auto"/>
        <w:ind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甲方：                          </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乙方：</w:t>
      </w:r>
    </w:p>
    <w:p>
      <w:pPr>
        <w:keepNext w:val="0"/>
        <w:keepLines w:val="0"/>
        <w:pageBreakBefore w:val="0"/>
        <w:kinsoku/>
        <w:wordWrap/>
        <w:overflowPunct/>
        <w:topLinePunct w:val="0"/>
        <w:autoSpaceDE/>
        <w:autoSpaceDN/>
        <w:bidi w:val="0"/>
        <w:snapToGrid/>
        <w:spacing w:line="360" w:lineRule="auto"/>
        <w:ind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法定代表人或                           法定代表人或</w:t>
      </w:r>
    </w:p>
    <w:p>
      <w:pPr>
        <w:keepNext w:val="0"/>
        <w:keepLines w:val="0"/>
        <w:pageBreakBefore w:val="0"/>
        <w:kinsoku/>
        <w:wordWrap/>
        <w:overflowPunct/>
        <w:topLinePunct w:val="0"/>
        <w:autoSpaceDE/>
        <w:autoSpaceDN/>
        <w:bidi w:val="0"/>
        <w:snapToGrid/>
        <w:spacing w:line="360" w:lineRule="auto"/>
        <w:ind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授权代理人（签字）：                    授权代理人（签字）：</w:t>
      </w:r>
    </w:p>
    <w:p>
      <w:pPr>
        <w:keepNext w:val="0"/>
        <w:keepLines w:val="0"/>
        <w:pageBreakBefore w:val="0"/>
        <w:kinsoku/>
        <w:wordWrap/>
        <w:overflowPunct/>
        <w:topLinePunct w:val="0"/>
        <w:autoSpaceDE/>
        <w:autoSpaceDN/>
        <w:bidi w:val="0"/>
        <w:snapToGrid/>
        <w:spacing w:line="360" w:lineRule="auto"/>
        <w:ind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地址：                                 地址：</w:t>
      </w:r>
    </w:p>
    <w:p>
      <w:pPr>
        <w:keepNext w:val="0"/>
        <w:keepLines w:val="0"/>
        <w:pageBreakBefore w:val="0"/>
        <w:kinsoku/>
        <w:wordWrap/>
        <w:overflowPunct/>
        <w:topLinePunct w:val="0"/>
        <w:autoSpaceDE/>
        <w:autoSpaceDN/>
        <w:bidi w:val="0"/>
        <w:snapToGrid/>
        <w:spacing w:line="360" w:lineRule="auto"/>
        <w:ind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邮编：                                 邮编：</w:t>
      </w:r>
    </w:p>
    <w:p>
      <w:pPr>
        <w:keepNext w:val="0"/>
        <w:keepLines w:val="0"/>
        <w:pageBreakBefore w:val="0"/>
        <w:kinsoku/>
        <w:wordWrap/>
        <w:overflowPunct/>
        <w:topLinePunct w:val="0"/>
        <w:autoSpaceDE/>
        <w:autoSpaceDN/>
        <w:bidi w:val="0"/>
        <w:snapToGrid/>
        <w:spacing w:line="360" w:lineRule="auto"/>
        <w:ind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电　　话：              　　　　　  　 电　　话：</w:t>
      </w:r>
    </w:p>
    <w:p>
      <w:pPr>
        <w:keepNext w:val="0"/>
        <w:keepLines w:val="0"/>
        <w:pageBreakBefore w:val="0"/>
        <w:kinsoku/>
        <w:wordWrap/>
        <w:overflowPunct/>
        <w:topLinePunct w:val="0"/>
        <w:autoSpaceDE/>
        <w:autoSpaceDN/>
        <w:bidi w:val="0"/>
        <w:snapToGrid/>
        <w:spacing w:line="360" w:lineRule="auto"/>
        <w:ind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传　　真：　　　　　　　　　　　　　　 传　　真： </w:t>
      </w:r>
    </w:p>
    <w:p>
      <w:pPr>
        <w:keepNext w:val="0"/>
        <w:keepLines w:val="0"/>
        <w:pageBreakBefore w:val="0"/>
        <w:kinsoku/>
        <w:wordWrap/>
        <w:overflowPunct/>
        <w:topLinePunct w:val="0"/>
        <w:autoSpaceDE/>
        <w:autoSpaceDN/>
        <w:bidi w:val="0"/>
        <w:snapToGrid/>
        <w:spacing w:line="360" w:lineRule="auto"/>
        <w:ind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电子邮箱：                      　　　 电子邮箱：</w:t>
      </w:r>
    </w:p>
    <w:p>
      <w:pPr>
        <w:keepNext w:val="0"/>
        <w:keepLines w:val="0"/>
        <w:pageBreakBefore w:val="0"/>
        <w:kinsoku/>
        <w:wordWrap/>
        <w:overflowPunct/>
        <w:topLinePunct w:val="0"/>
        <w:autoSpaceDE/>
        <w:autoSpaceDN/>
        <w:bidi w:val="0"/>
        <w:snapToGrid/>
        <w:spacing w:line="360" w:lineRule="auto"/>
        <w:ind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开户银行：　　　　　　　　　           开户银行： </w:t>
      </w:r>
    </w:p>
    <w:p>
      <w:pPr>
        <w:keepNext w:val="0"/>
        <w:keepLines w:val="0"/>
        <w:pageBreakBefore w:val="0"/>
        <w:kinsoku/>
        <w:wordWrap/>
        <w:overflowPunct/>
        <w:topLinePunct w:val="0"/>
        <w:autoSpaceDE/>
        <w:autoSpaceDN/>
        <w:bidi w:val="0"/>
        <w:snapToGrid/>
        <w:spacing w:line="360" w:lineRule="auto"/>
        <w:ind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账号：                                 账号：</w:t>
      </w:r>
    </w:p>
    <w:p>
      <w:pPr>
        <w:keepNext w:val="0"/>
        <w:keepLines w:val="0"/>
        <w:pageBreakBefore w:val="0"/>
        <w:kinsoku/>
        <w:wordWrap/>
        <w:overflowPunct/>
        <w:topLinePunct w:val="0"/>
        <w:autoSpaceDE/>
        <w:autoSpaceDN/>
        <w:bidi w:val="0"/>
        <w:snapToGrid/>
        <w:spacing w:line="360" w:lineRule="auto"/>
        <w:ind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经办人：                              </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经办人</w:t>
      </w:r>
      <w:r>
        <w:rPr>
          <w:rFonts w:hint="eastAsia" w:ascii="宋体" w:hAnsi="宋体" w:eastAsia="宋体" w:cs="宋体"/>
          <w:color w:val="auto"/>
          <w:sz w:val="21"/>
          <w:szCs w:val="21"/>
          <w:highlight w:val="none"/>
          <w:lang w:eastAsia="zh-CN"/>
        </w:rPr>
        <w:t>：</w:t>
      </w:r>
    </w:p>
    <w:p>
      <w:pPr>
        <w:keepNext w:val="0"/>
        <w:keepLines w:val="0"/>
        <w:pageBreakBefore w:val="0"/>
        <w:kinsoku/>
        <w:wordWrap/>
        <w:overflowPunct/>
        <w:topLinePunct w:val="0"/>
        <w:autoSpaceDE/>
        <w:autoSpaceDN/>
        <w:bidi w:val="0"/>
        <w:snapToGrid/>
        <w:spacing w:line="360" w:lineRule="auto"/>
        <w:ind w:right="0" w:rightChars="0"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签订日期：   年   月   日</w:t>
      </w:r>
    </w:p>
    <w:p>
      <w:pPr>
        <w:keepNext w:val="0"/>
        <w:keepLines w:val="0"/>
        <w:pageBreakBefore w:val="0"/>
        <w:widowControl w:val="0"/>
        <w:kinsoku/>
        <w:wordWrap/>
        <w:overflowPunct/>
        <w:topLinePunct w:val="0"/>
        <w:autoSpaceDE w:val="0"/>
        <w:autoSpaceDN w:val="0"/>
        <w:bidi w:val="0"/>
        <w:adjustRightInd w:val="0"/>
        <w:spacing w:line="480" w:lineRule="exact"/>
        <w:textAlignment w:val="auto"/>
        <w:rPr>
          <w:rFonts w:hint="eastAsia" w:ascii="宋体" w:hAnsi="宋体"/>
          <w:kern w:val="0"/>
          <w:sz w:val="28"/>
          <w:szCs w:val="28"/>
          <w:highlight w:val="none"/>
          <w:lang w:val="zh-CN"/>
        </w:rPr>
      </w:pPr>
    </w:p>
    <w:p>
      <w:pPr>
        <w:pStyle w:val="3"/>
        <w:numPr>
          <w:ilvl w:val="0"/>
          <w:numId w:val="0"/>
        </w:numPr>
        <w:spacing w:before="0"/>
        <w:jc w:val="center"/>
        <w:rPr>
          <w:rFonts w:hint="eastAsia" w:ascii="宋体" w:eastAsia="宋体"/>
          <w:sz w:val="36"/>
          <w:highlight w:val="none"/>
        </w:rPr>
      </w:pPr>
      <w:r>
        <w:rPr>
          <w:rFonts w:hint="eastAsia" w:ascii="宋体" w:eastAsia="宋体"/>
          <w:b w:val="0"/>
          <w:sz w:val="36"/>
          <w:highlight w:val="none"/>
        </w:rPr>
        <w:br w:type="page"/>
      </w:r>
      <w:bookmarkStart w:id="335" w:name="_Toc13865"/>
      <w:bookmarkStart w:id="336" w:name="_Toc27635"/>
      <w:bookmarkStart w:id="337" w:name="_Toc32668"/>
      <w:r>
        <w:rPr>
          <w:rFonts w:hint="eastAsia" w:ascii="宋体" w:eastAsia="宋体"/>
          <w:sz w:val="36"/>
          <w:highlight w:val="none"/>
        </w:rPr>
        <w:t>第四章  投标文件格式</w:t>
      </w:r>
      <w:bookmarkEnd w:id="335"/>
      <w:bookmarkEnd w:id="336"/>
      <w:bookmarkEnd w:id="337"/>
    </w:p>
    <w:p>
      <w:pPr>
        <w:spacing w:line="360" w:lineRule="auto"/>
        <w:jc w:val="left"/>
        <w:rPr>
          <w:rFonts w:hint="eastAsia" w:ascii="宋体"/>
          <w:sz w:val="24"/>
          <w:highlight w:val="none"/>
        </w:rPr>
      </w:pPr>
    </w:p>
    <w:p>
      <w:pPr>
        <w:pageBreakBefore w:val="0"/>
        <w:kinsoku/>
        <w:wordWrap/>
        <w:overflowPunct/>
        <w:topLinePunct w:val="0"/>
        <w:autoSpaceDE/>
        <w:autoSpaceDN/>
        <w:bidi w:val="0"/>
        <w:spacing w:line="360" w:lineRule="auto"/>
        <w:jc w:val="center"/>
        <w:outlineLvl w:val="9"/>
        <w:rPr>
          <w:rFonts w:hint="default" w:ascii="宋体" w:eastAsia="宋体"/>
          <w:b/>
          <w:sz w:val="48"/>
          <w:szCs w:val="48"/>
          <w:highlight w:val="none"/>
          <w:u w:val="single"/>
          <w:lang w:val="en-US" w:eastAsia="zh-CN"/>
        </w:rPr>
      </w:pPr>
      <w:r>
        <w:rPr>
          <w:rFonts w:hint="eastAsia" w:ascii="宋体"/>
          <w:b/>
          <w:sz w:val="48"/>
          <w:szCs w:val="48"/>
          <w:highlight w:val="none"/>
          <w:lang w:eastAsia="zh-CN"/>
        </w:rPr>
        <w:t>2023年曲水县“十三五”期间政府项目（2000万-5000万）审计</w:t>
      </w:r>
    </w:p>
    <w:p>
      <w:pPr>
        <w:pageBreakBefore w:val="0"/>
        <w:kinsoku/>
        <w:wordWrap/>
        <w:overflowPunct/>
        <w:topLinePunct w:val="0"/>
        <w:autoSpaceDE/>
        <w:autoSpaceDN/>
        <w:bidi w:val="0"/>
        <w:spacing w:line="360" w:lineRule="auto"/>
        <w:jc w:val="center"/>
        <w:outlineLvl w:val="9"/>
        <w:rPr>
          <w:rFonts w:hint="eastAsia" w:ascii="宋体"/>
          <w:sz w:val="24"/>
          <w:highlight w:val="none"/>
        </w:rPr>
      </w:pPr>
    </w:p>
    <w:p>
      <w:pPr>
        <w:pageBreakBefore w:val="0"/>
        <w:kinsoku/>
        <w:wordWrap/>
        <w:overflowPunct/>
        <w:topLinePunct w:val="0"/>
        <w:autoSpaceDE/>
        <w:autoSpaceDN/>
        <w:bidi w:val="0"/>
        <w:spacing w:line="360" w:lineRule="auto"/>
        <w:jc w:val="center"/>
        <w:outlineLvl w:val="9"/>
        <w:rPr>
          <w:rFonts w:hint="eastAsia" w:ascii="宋体"/>
          <w:sz w:val="24"/>
          <w:highlight w:val="none"/>
        </w:rPr>
      </w:pPr>
      <w:r>
        <w:rPr>
          <w:rFonts w:hint="eastAsia" w:hAnsi="宋体"/>
          <w:b/>
          <w:sz w:val="28"/>
          <w:szCs w:val="28"/>
          <w:highlight w:val="none"/>
        </w:rPr>
        <w:t>招标编号：</w:t>
      </w:r>
    </w:p>
    <w:p>
      <w:pPr>
        <w:pageBreakBefore w:val="0"/>
        <w:kinsoku/>
        <w:wordWrap/>
        <w:overflowPunct/>
        <w:topLinePunct w:val="0"/>
        <w:autoSpaceDE/>
        <w:autoSpaceDN/>
        <w:bidi w:val="0"/>
        <w:spacing w:line="360" w:lineRule="auto"/>
        <w:jc w:val="center"/>
        <w:outlineLvl w:val="9"/>
        <w:rPr>
          <w:rFonts w:hint="eastAsia" w:ascii="宋体"/>
          <w:sz w:val="24"/>
          <w:highlight w:val="none"/>
        </w:rPr>
      </w:pPr>
    </w:p>
    <w:p>
      <w:pPr>
        <w:pStyle w:val="18"/>
        <w:pageBreakBefore w:val="0"/>
        <w:kinsoku/>
        <w:wordWrap/>
        <w:overflowPunct/>
        <w:topLinePunct w:val="0"/>
        <w:autoSpaceDE/>
        <w:autoSpaceDN/>
        <w:bidi w:val="0"/>
        <w:spacing w:line="360" w:lineRule="auto"/>
        <w:jc w:val="center"/>
        <w:outlineLvl w:val="9"/>
        <w:rPr>
          <w:rFonts w:hint="eastAsia"/>
          <w:b/>
          <w:sz w:val="84"/>
          <w:szCs w:val="84"/>
          <w:highlight w:val="none"/>
        </w:rPr>
      </w:pPr>
      <w:r>
        <w:rPr>
          <w:rFonts w:hint="eastAsia"/>
          <w:b/>
          <w:sz w:val="84"/>
          <w:szCs w:val="84"/>
          <w:highlight w:val="none"/>
        </w:rPr>
        <w:t>投 标 文 件</w:t>
      </w:r>
    </w:p>
    <w:p>
      <w:pPr>
        <w:pStyle w:val="18"/>
        <w:pageBreakBefore w:val="0"/>
        <w:kinsoku/>
        <w:wordWrap/>
        <w:overflowPunct/>
        <w:topLinePunct w:val="0"/>
        <w:autoSpaceDE/>
        <w:autoSpaceDN/>
        <w:bidi w:val="0"/>
        <w:spacing w:line="480" w:lineRule="auto"/>
        <w:jc w:val="center"/>
        <w:outlineLvl w:val="9"/>
        <w:rPr>
          <w:rFonts w:hAnsi="宋体"/>
          <w:b/>
          <w:sz w:val="72"/>
          <w:szCs w:val="72"/>
          <w:highlight w:val="none"/>
        </w:rPr>
      </w:pPr>
      <w:r>
        <w:rPr>
          <w:rFonts w:hint="eastAsia" w:hAnsi="宋体"/>
          <w:b/>
          <w:sz w:val="72"/>
          <w:szCs w:val="72"/>
          <w:highlight w:val="none"/>
        </w:rPr>
        <w:t>（第一册）</w:t>
      </w:r>
    </w:p>
    <w:p>
      <w:pPr>
        <w:pStyle w:val="18"/>
        <w:pageBreakBefore w:val="0"/>
        <w:kinsoku/>
        <w:wordWrap/>
        <w:overflowPunct/>
        <w:topLinePunct w:val="0"/>
        <w:autoSpaceDE/>
        <w:autoSpaceDN/>
        <w:bidi w:val="0"/>
        <w:spacing w:line="500" w:lineRule="exact"/>
        <w:ind w:firstLine="3601" w:firstLineChars="1281"/>
        <w:outlineLvl w:val="9"/>
        <w:rPr>
          <w:rFonts w:hint="eastAsia" w:hAnsi="宋体"/>
          <w:b/>
          <w:sz w:val="28"/>
          <w:szCs w:val="28"/>
          <w:highlight w:val="none"/>
        </w:rPr>
      </w:pPr>
    </w:p>
    <w:p>
      <w:pPr>
        <w:pStyle w:val="18"/>
        <w:pageBreakBefore w:val="0"/>
        <w:kinsoku/>
        <w:wordWrap/>
        <w:overflowPunct/>
        <w:topLinePunct w:val="0"/>
        <w:autoSpaceDE/>
        <w:autoSpaceDN/>
        <w:bidi w:val="0"/>
        <w:spacing w:line="500" w:lineRule="exact"/>
        <w:jc w:val="center"/>
        <w:outlineLvl w:val="9"/>
        <w:rPr>
          <w:rFonts w:hAnsi="宋体"/>
          <w:b/>
          <w:sz w:val="72"/>
          <w:szCs w:val="72"/>
          <w:highlight w:val="none"/>
        </w:rPr>
      </w:pPr>
    </w:p>
    <w:p>
      <w:pPr>
        <w:pStyle w:val="18"/>
        <w:pageBreakBefore w:val="0"/>
        <w:kinsoku/>
        <w:wordWrap/>
        <w:overflowPunct/>
        <w:topLinePunct w:val="0"/>
        <w:autoSpaceDE/>
        <w:autoSpaceDN/>
        <w:bidi w:val="0"/>
        <w:spacing w:line="500" w:lineRule="exact"/>
        <w:jc w:val="center"/>
        <w:outlineLvl w:val="9"/>
        <w:rPr>
          <w:rFonts w:hAnsi="宋体"/>
          <w:b/>
          <w:sz w:val="72"/>
          <w:szCs w:val="72"/>
          <w:highlight w:val="none"/>
        </w:rPr>
      </w:pPr>
    </w:p>
    <w:p>
      <w:pPr>
        <w:pStyle w:val="18"/>
        <w:pageBreakBefore w:val="0"/>
        <w:kinsoku/>
        <w:wordWrap/>
        <w:overflowPunct/>
        <w:topLinePunct w:val="0"/>
        <w:autoSpaceDE/>
        <w:autoSpaceDN/>
        <w:bidi w:val="0"/>
        <w:spacing w:line="500" w:lineRule="exact"/>
        <w:jc w:val="center"/>
        <w:outlineLvl w:val="9"/>
        <w:rPr>
          <w:rFonts w:hAnsi="宋体"/>
          <w:b/>
          <w:sz w:val="72"/>
          <w:szCs w:val="72"/>
          <w:highlight w:val="none"/>
        </w:rPr>
      </w:pPr>
    </w:p>
    <w:p>
      <w:pPr>
        <w:pStyle w:val="18"/>
        <w:pageBreakBefore w:val="0"/>
        <w:kinsoku/>
        <w:wordWrap/>
        <w:overflowPunct/>
        <w:topLinePunct w:val="0"/>
        <w:autoSpaceDE/>
        <w:autoSpaceDN/>
        <w:bidi w:val="0"/>
        <w:spacing w:line="500" w:lineRule="exact"/>
        <w:jc w:val="center"/>
        <w:outlineLvl w:val="9"/>
        <w:rPr>
          <w:rFonts w:hAnsi="宋体"/>
          <w:b/>
          <w:sz w:val="72"/>
          <w:szCs w:val="72"/>
          <w:highlight w:val="none"/>
        </w:rPr>
      </w:pPr>
    </w:p>
    <w:p>
      <w:pPr>
        <w:pageBreakBefore w:val="0"/>
        <w:kinsoku/>
        <w:wordWrap/>
        <w:overflowPunct/>
        <w:topLinePunct w:val="0"/>
        <w:autoSpaceDE/>
        <w:autoSpaceDN/>
        <w:bidi w:val="0"/>
        <w:spacing w:line="360" w:lineRule="auto"/>
        <w:jc w:val="center"/>
        <w:outlineLvl w:val="9"/>
        <w:rPr>
          <w:rFonts w:hint="eastAsia" w:ascii="宋体" w:hAnsi="宋体"/>
          <w:sz w:val="24"/>
          <w:highlight w:val="none"/>
        </w:rPr>
      </w:pPr>
    </w:p>
    <w:p>
      <w:pPr>
        <w:keepNext w:val="0"/>
        <w:keepLines w:val="0"/>
        <w:pageBreakBefore w:val="0"/>
        <w:widowControl w:val="0"/>
        <w:kinsoku/>
        <w:wordWrap/>
        <w:overflowPunct/>
        <w:topLinePunct w:val="0"/>
        <w:autoSpaceDE/>
        <w:autoSpaceDN/>
        <w:bidi w:val="0"/>
        <w:adjustRightInd/>
        <w:snapToGrid w:val="0"/>
        <w:spacing w:line="360" w:lineRule="auto"/>
        <w:jc w:val="center"/>
        <w:textAlignment w:val="auto"/>
        <w:outlineLvl w:val="9"/>
        <w:rPr>
          <w:rFonts w:ascii="宋体" w:hAnsi="宋体"/>
          <w:sz w:val="24"/>
          <w:highlight w:val="none"/>
        </w:rPr>
      </w:pPr>
      <w:r>
        <w:rPr>
          <w:rFonts w:hint="eastAsia" w:ascii="宋体" w:hAnsi="宋体"/>
          <w:sz w:val="24"/>
          <w:highlight w:val="none"/>
          <w:lang w:val="en-US" w:eastAsia="zh-CN"/>
        </w:rPr>
        <w:t xml:space="preserve"> </w:t>
      </w:r>
      <w:r>
        <w:rPr>
          <w:rFonts w:hint="eastAsia" w:ascii="宋体" w:hAnsi="宋体"/>
          <w:sz w:val="24"/>
          <w:highlight w:val="none"/>
        </w:rPr>
        <w:t>投标人：</w:t>
      </w:r>
      <w:r>
        <w:rPr>
          <w:rFonts w:hint="eastAsia" w:ascii="宋体" w:hAnsi="宋体"/>
          <w:sz w:val="24"/>
          <w:highlight w:val="none"/>
          <w:u w:val="single"/>
        </w:rPr>
        <w:t xml:space="preserve">                                </w:t>
      </w:r>
      <w:r>
        <w:rPr>
          <w:rFonts w:hint="eastAsia" w:ascii="宋体" w:hAnsi="宋体"/>
          <w:sz w:val="24"/>
          <w:highlight w:val="none"/>
        </w:rPr>
        <w:t>(</w:t>
      </w:r>
      <w:r>
        <w:rPr>
          <w:rFonts w:hint="eastAsia" w:ascii="宋体" w:hAnsi="宋体"/>
          <w:sz w:val="24"/>
          <w:highlight w:val="none"/>
          <w:lang w:val="en-US" w:eastAsia="zh-CN"/>
        </w:rPr>
        <w:t>电子签章</w:t>
      </w:r>
      <w:r>
        <w:rPr>
          <w:rFonts w:hint="eastAsia" w:ascii="宋体" w:hAnsi="宋体"/>
          <w:sz w:val="24"/>
          <w:highlight w:val="none"/>
        </w:rPr>
        <w:t>)</w:t>
      </w:r>
    </w:p>
    <w:p>
      <w:pPr>
        <w:pStyle w:val="18"/>
        <w:keepNext w:val="0"/>
        <w:keepLines w:val="0"/>
        <w:pageBreakBefore w:val="0"/>
        <w:widowControl w:val="0"/>
        <w:kinsoku/>
        <w:wordWrap/>
        <w:overflowPunct/>
        <w:topLinePunct w:val="0"/>
        <w:autoSpaceDE/>
        <w:autoSpaceDN/>
        <w:bidi w:val="0"/>
        <w:adjustRightInd/>
        <w:snapToGrid w:val="0"/>
        <w:spacing w:line="360" w:lineRule="auto"/>
        <w:ind w:firstLine="1440" w:firstLineChars="600"/>
        <w:jc w:val="both"/>
        <w:textAlignment w:val="auto"/>
        <w:outlineLvl w:val="9"/>
        <w:rPr>
          <w:rFonts w:hint="eastAsia" w:hAnsi="宋体"/>
          <w:spacing w:val="0"/>
          <w:sz w:val="24"/>
          <w:highlight w:val="none"/>
          <w:lang w:eastAsia="zh-CN"/>
        </w:rPr>
      </w:pPr>
      <w:r>
        <w:rPr>
          <w:rFonts w:hint="eastAsia" w:hAnsi="宋体"/>
          <w:spacing w:val="0"/>
          <w:sz w:val="24"/>
          <w:highlight w:val="none"/>
        </w:rPr>
        <w:t>法定代表人</w:t>
      </w:r>
      <w:r>
        <w:rPr>
          <w:rFonts w:hint="eastAsia" w:hAnsi="宋体"/>
          <w:spacing w:val="0"/>
          <w:sz w:val="24"/>
          <w:highlight w:val="none"/>
          <w:lang w:eastAsia="zh-CN"/>
        </w:rPr>
        <w:t>（</w:t>
      </w:r>
      <w:r>
        <w:rPr>
          <w:rFonts w:hint="eastAsia" w:hAnsi="宋体"/>
          <w:spacing w:val="0"/>
          <w:sz w:val="24"/>
          <w:highlight w:val="none"/>
          <w:lang w:val="en-US" w:eastAsia="zh-CN"/>
        </w:rPr>
        <w:t>电子签名</w:t>
      </w:r>
      <w:r>
        <w:rPr>
          <w:rFonts w:hint="eastAsia" w:hAnsi="宋体"/>
          <w:spacing w:val="0"/>
          <w:sz w:val="24"/>
          <w:highlight w:val="none"/>
          <w:lang w:eastAsia="zh-CN"/>
        </w:rPr>
        <w:t>）</w:t>
      </w:r>
    </w:p>
    <w:p>
      <w:pPr>
        <w:pStyle w:val="18"/>
        <w:keepNext w:val="0"/>
        <w:keepLines w:val="0"/>
        <w:pageBreakBefore w:val="0"/>
        <w:widowControl w:val="0"/>
        <w:kinsoku/>
        <w:wordWrap/>
        <w:overflowPunct/>
        <w:topLinePunct w:val="0"/>
        <w:autoSpaceDE/>
        <w:autoSpaceDN/>
        <w:bidi w:val="0"/>
        <w:adjustRightInd/>
        <w:snapToGrid w:val="0"/>
        <w:spacing w:line="360" w:lineRule="auto"/>
        <w:ind w:firstLine="1440" w:firstLineChars="600"/>
        <w:jc w:val="both"/>
        <w:textAlignment w:val="auto"/>
        <w:outlineLvl w:val="9"/>
        <w:rPr>
          <w:rFonts w:hAnsi="宋体"/>
          <w:sz w:val="24"/>
          <w:highlight w:val="none"/>
        </w:rPr>
      </w:pPr>
      <w:r>
        <w:rPr>
          <w:rFonts w:hint="eastAsia" w:hAnsi="宋体"/>
          <w:spacing w:val="0"/>
          <w:sz w:val="24"/>
          <w:highlight w:val="none"/>
        </w:rPr>
        <w:t>或委托代理人</w:t>
      </w:r>
      <w:r>
        <w:rPr>
          <w:rFonts w:hint="eastAsia" w:hAnsi="宋体"/>
          <w:spacing w:val="0"/>
          <w:sz w:val="24"/>
          <w:highlight w:val="none"/>
          <w:lang w:eastAsia="zh-CN"/>
        </w:rPr>
        <w:t>（</w:t>
      </w:r>
      <w:r>
        <w:rPr>
          <w:rFonts w:hint="eastAsia" w:hAnsi="宋体"/>
          <w:spacing w:val="0"/>
          <w:sz w:val="24"/>
          <w:highlight w:val="none"/>
          <w:lang w:val="en-US" w:eastAsia="zh-CN"/>
        </w:rPr>
        <w:t>签字</w:t>
      </w:r>
      <w:r>
        <w:rPr>
          <w:rFonts w:hint="eastAsia" w:hAnsi="宋体"/>
          <w:spacing w:val="0"/>
          <w:sz w:val="24"/>
          <w:highlight w:val="none"/>
          <w:lang w:eastAsia="zh-CN"/>
        </w:rPr>
        <w:t>）</w:t>
      </w:r>
      <w:r>
        <w:rPr>
          <w:rFonts w:hint="eastAsia" w:hAnsi="宋体"/>
          <w:spacing w:val="0"/>
          <w:sz w:val="24"/>
          <w:highlight w:val="none"/>
        </w:rPr>
        <w:t>：</w:t>
      </w:r>
      <w:r>
        <w:rPr>
          <w:rFonts w:hint="eastAsia" w:hAnsi="宋体"/>
          <w:spacing w:val="0"/>
          <w:sz w:val="24"/>
          <w:highlight w:val="none"/>
          <w:u w:val="single"/>
        </w:rPr>
        <w:t xml:space="preserve">      </w:t>
      </w:r>
      <w:r>
        <w:rPr>
          <w:rFonts w:hint="eastAsia" w:hAnsi="宋体"/>
          <w:sz w:val="24"/>
          <w:highlight w:val="none"/>
          <w:u w:val="single"/>
        </w:rPr>
        <w:t xml:space="preserve">              </w:t>
      </w:r>
    </w:p>
    <w:p>
      <w:pPr>
        <w:pStyle w:val="18"/>
        <w:keepNext w:val="0"/>
        <w:keepLines w:val="0"/>
        <w:pageBreakBefore w:val="0"/>
        <w:widowControl w:val="0"/>
        <w:kinsoku/>
        <w:wordWrap/>
        <w:overflowPunct/>
        <w:topLinePunct w:val="0"/>
        <w:autoSpaceDE/>
        <w:autoSpaceDN/>
        <w:bidi w:val="0"/>
        <w:adjustRightInd/>
        <w:snapToGrid w:val="0"/>
        <w:spacing w:line="360" w:lineRule="auto"/>
        <w:jc w:val="center"/>
        <w:textAlignment w:val="auto"/>
        <w:outlineLvl w:val="9"/>
        <w:rPr>
          <w:rFonts w:hAnsi="宋体"/>
          <w:sz w:val="24"/>
          <w:highlight w:val="none"/>
        </w:rPr>
      </w:pPr>
      <w:r>
        <w:rPr>
          <w:rFonts w:hint="eastAsia" w:hAnsi="宋体"/>
          <w:sz w:val="24"/>
          <w:highlight w:val="none"/>
          <w:u w:val="single"/>
        </w:rPr>
        <w:t xml:space="preserve">     </w:t>
      </w:r>
      <w:r>
        <w:rPr>
          <w:rFonts w:hint="eastAsia" w:hAnsi="宋体"/>
          <w:sz w:val="24"/>
          <w:highlight w:val="none"/>
        </w:rPr>
        <w:t>年</w:t>
      </w:r>
      <w:r>
        <w:rPr>
          <w:rFonts w:hint="eastAsia" w:hAnsi="宋体"/>
          <w:sz w:val="24"/>
          <w:highlight w:val="none"/>
          <w:u w:val="single"/>
        </w:rPr>
        <w:t xml:space="preserve">     </w:t>
      </w:r>
      <w:r>
        <w:rPr>
          <w:rFonts w:hint="eastAsia" w:hAnsi="宋体"/>
          <w:sz w:val="24"/>
          <w:highlight w:val="none"/>
        </w:rPr>
        <w:t>月</w:t>
      </w:r>
      <w:r>
        <w:rPr>
          <w:rFonts w:hint="eastAsia" w:hAnsi="宋体"/>
          <w:sz w:val="24"/>
          <w:highlight w:val="none"/>
          <w:u w:val="single"/>
        </w:rPr>
        <w:t xml:space="preserve">    </w:t>
      </w:r>
      <w:r>
        <w:rPr>
          <w:rFonts w:hint="eastAsia" w:hAnsi="宋体"/>
          <w:sz w:val="24"/>
          <w:highlight w:val="none"/>
        </w:rPr>
        <w:t>日</w:t>
      </w:r>
    </w:p>
    <w:p>
      <w:pPr>
        <w:pageBreakBefore w:val="0"/>
        <w:numPr>
          <w:ilvl w:val="0"/>
          <w:numId w:val="0"/>
        </w:numPr>
        <w:tabs>
          <w:tab w:val="left" w:pos="1021"/>
        </w:tabs>
        <w:kinsoku/>
        <w:wordWrap/>
        <w:overflowPunct/>
        <w:topLinePunct w:val="0"/>
        <w:autoSpaceDE/>
        <w:autoSpaceDN/>
        <w:bidi w:val="0"/>
        <w:spacing w:before="0"/>
        <w:outlineLvl w:val="9"/>
        <w:rPr>
          <w:rFonts w:hAnsi="宋体"/>
          <w:szCs w:val="28"/>
          <w:highlight w:val="none"/>
        </w:rPr>
      </w:pPr>
      <w:r>
        <w:rPr>
          <w:rFonts w:hAnsi="宋体"/>
          <w:szCs w:val="28"/>
          <w:highlight w:val="none"/>
        </w:rPr>
        <w:br w:type="page"/>
      </w:r>
    </w:p>
    <w:p>
      <w:pPr>
        <w:keepNext w:val="0"/>
        <w:keepLines w:val="0"/>
        <w:pageBreakBefore w:val="0"/>
        <w:widowControl w:val="0"/>
        <w:kinsoku/>
        <w:wordWrap/>
        <w:overflowPunct/>
        <w:topLinePunct w:val="0"/>
        <w:autoSpaceDE/>
        <w:autoSpaceDN/>
        <w:bidi w:val="0"/>
        <w:adjustRightInd/>
        <w:snapToGrid/>
        <w:spacing w:line="600" w:lineRule="exact"/>
        <w:textAlignment w:val="auto"/>
        <w:outlineLvl w:val="9"/>
        <w:rPr>
          <w:rFonts w:ascii="宋体" w:hAnsi="宋体"/>
          <w:b/>
          <w:sz w:val="28"/>
          <w:szCs w:val="28"/>
          <w:highlight w:val="none"/>
        </w:rPr>
      </w:pPr>
      <w:r>
        <w:rPr>
          <w:rFonts w:hint="eastAsia" w:ascii="宋体" w:hAnsi="宋体"/>
          <w:b/>
          <w:sz w:val="28"/>
          <w:szCs w:val="28"/>
          <w:highlight w:val="none"/>
        </w:rPr>
        <w:t>格式1：</w:t>
      </w:r>
    </w:p>
    <w:p>
      <w:pPr>
        <w:keepNext/>
        <w:keepLines/>
        <w:pageBreakBefore w:val="0"/>
        <w:kinsoku/>
        <w:wordWrap/>
        <w:overflowPunct/>
        <w:topLinePunct w:val="0"/>
        <w:autoSpaceDE/>
        <w:autoSpaceDN/>
        <w:bidi w:val="0"/>
        <w:spacing w:before="240" w:line="400" w:lineRule="exact"/>
        <w:ind w:left="425"/>
        <w:jc w:val="center"/>
        <w:outlineLvl w:val="9"/>
        <w:rPr>
          <w:rFonts w:ascii="宋体" w:hAnsi="宋体"/>
          <w:b/>
          <w:spacing w:val="40"/>
          <w:sz w:val="32"/>
          <w:highlight w:val="none"/>
        </w:rPr>
      </w:pPr>
      <w:bookmarkStart w:id="338" w:name="_Toc3273"/>
      <w:bookmarkStart w:id="339" w:name="_Toc518289509"/>
      <w:r>
        <w:rPr>
          <w:rFonts w:hint="eastAsia" w:ascii="宋体" w:hAnsi="宋体"/>
          <w:b/>
          <w:spacing w:val="40"/>
          <w:sz w:val="32"/>
          <w:highlight w:val="none"/>
        </w:rPr>
        <w:t>资格证明文件</w:t>
      </w:r>
      <w:bookmarkEnd w:id="338"/>
      <w:bookmarkEnd w:id="339"/>
    </w:p>
    <w:p>
      <w:pPr>
        <w:pageBreakBefore w:val="0"/>
        <w:kinsoku/>
        <w:wordWrap/>
        <w:overflowPunct/>
        <w:topLinePunct w:val="0"/>
        <w:autoSpaceDE/>
        <w:autoSpaceDN/>
        <w:bidi w:val="0"/>
        <w:outlineLvl w:val="9"/>
        <w:rPr>
          <w:rFonts w:ascii="宋体" w:hAnsi="宋体"/>
          <w:sz w:val="24"/>
          <w:highlight w:val="none"/>
        </w:rPr>
      </w:pPr>
    </w:p>
    <w:p>
      <w:pPr>
        <w:pageBreakBefore w:val="0"/>
        <w:kinsoku/>
        <w:wordWrap/>
        <w:overflowPunct/>
        <w:topLinePunct w:val="0"/>
        <w:autoSpaceDE/>
        <w:autoSpaceDN/>
        <w:bidi w:val="0"/>
        <w:spacing w:line="360" w:lineRule="auto"/>
        <w:ind w:firstLine="422" w:firstLineChars="200"/>
        <w:outlineLvl w:val="9"/>
        <w:rPr>
          <w:rFonts w:eastAsia="仿宋"/>
          <w:b/>
          <w:bCs/>
          <w:szCs w:val="21"/>
          <w:highlight w:val="none"/>
        </w:rPr>
      </w:pPr>
      <w:r>
        <w:rPr>
          <w:rFonts w:eastAsia="仿宋"/>
          <w:b/>
          <w:bCs/>
          <w:szCs w:val="21"/>
          <w:highlight w:val="none"/>
        </w:rPr>
        <w:t>说明：</w:t>
      </w:r>
    </w:p>
    <w:p>
      <w:pPr>
        <w:pageBreakBefore w:val="0"/>
        <w:kinsoku/>
        <w:wordWrap/>
        <w:overflowPunct/>
        <w:topLinePunct w:val="0"/>
        <w:autoSpaceDE/>
        <w:autoSpaceDN/>
        <w:bidi w:val="0"/>
        <w:spacing w:line="360" w:lineRule="auto"/>
        <w:ind w:firstLine="420" w:firstLineChars="200"/>
        <w:outlineLvl w:val="9"/>
        <w:rPr>
          <w:rFonts w:eastAsia="仿宋"/>
          <w:szCs w:val="21"/>
          <w:highlight w:val="none"/>
        </w:rPr>
      </w:pPr>
      <w:r>
        <w:rPr>
          <w:rFonts w:eastAsia="仿宋"/>
          <w:szCs w:val="21"/>
          <w:highlight w:val="none"/>
        </w:rPr>
        <w:t>1. 投标人</w:t>
      </w:r>
      <w:r>
        <w:rPr>
          <w:rFonts w:hint="eastAsia" w:eastAsia="仿宋"/>
          <w:szCs w:val="21"/>
          <w:highlight w:val="none"/>
        </w:rPr>
        <w:t>须</w:t>
      </w:r>
      <w:r>
        <w:rPr>
          <w:rFonts w:eastAsia="仿宋"/>
          <w:szCs w:val="21"/>
          <w:highlight w:val="none"/>
        </w:rPr>
        <w:t>填写和提交下述规定的有关资料。</w:t>
      </w:r>
    </w:p>
    <w:p>
      <w:pPr>
        <w:pageBreakBefore w:val="0"/>
        <w:kinsoku/>
        <w:wordWrap/>
        <w:overflowPunct/>
        <w:topLinePunct w:val="0"/>
        <w:autoSpaceDE/>
        <w:autoSpaceDN/>
        <w:bidi w:val="0"/>
        <w:spacing w:line="360" w:lineRule="auto"/>
        <w:ind w:firstLine="420" w:firstLineChars="200"/>
        <w:outlineLvl w:val="9"/>
        <w:rPr>
          <w:rFonts w:eastAsia="仿宋"/>
          <w:szCs w:val="21"/>
          <w:highlight w:val="none"/>
        </w:rPr>
      </w:pPr>
      <w:r>
        <w:rPr>
          <w:rFonts w:eastAsia="仿宋"/>
          <w:szCs w:val="21"/>
          <w:highlight w:val="none"/>
        </w:rPr>
        <w:t>2. 所附格式要求填写的全部内容（包括格式1-1、格式1-2、格式1-3、格式1-4、格式1-5、格式1-6、格式1-7）都必须填写。</w:t>
      </w:r>
    </w:p>
    <w:p>
      <w:pPr>
        <w:pageBreakBefore w:val="0"/>
        <w:kinsoku/>
        <w:wordWrap/>
        <w:overflowPunct/>
        <w:topLinePunct w:val="0"/>
        <w:autoSpaceDE/>
        <w:autoSpaceDN/>
        <w:bidi w:val="0"/>
        <w:spacing w:line="360" w:lineRule="auto"/>
        <w:ind w:firstLine="420" w:firstLineChars="200"/>
        <w:outlineLvl w:val="9"/>
        <w:rPr>
          <w:rFonts w:eastAsia="仿宋"/>
          <w:szCs w:val="21"/>
          <w:highlight w:val="none"/>
        </w:rPr>
      </w:pPr>
      <w:r>
        <w:rPr>
          <w:rFonts w:eastAsia="仿宋"/>
          <w:szCs w:val="21"/>
          <w:highlight w:val="none"/>
        </w:rPr>
        <w:t>3. 投标人应保证全部声明和填写的内容是真实的和正确的。</w:t>
      </w:r>
    </w:p>
    <w:p>
      <w:pPr>
        <w:pageBreakBefore w:val="0"/>
        <w:kinsoku/>
        <w:wordWrap/>
        <w:overflowPunct/>
        <w:topLinePunct w:val="0"/>
        <w:autoSpaceDE/>
        <w:autoSpaceDN/>
        <w:bidi w:val="0"/>
        <w:spacing w:line="360" w:lineRule="auto"/>
        <w:ind w:firstLine="420" w:firstLineChars="200"/>
        <w:outlineLvl w:val="9"/>
        <w:rPr>
          <w:rFonts w:hint="eastAsia" w:hAnsi="宋体" w:cs="宋体"/>
          <w:szCs w:val="21"/>
          <w:highlight w:val="none"/>
        </w:rPr>
      </w:pPr>
      <w:r>
        <w:rPr>
          <w:rFonts w:eastAsia="仿宋"/>
          <w:szCs w:val="21"/>
          <w:highlight w:val="none"/>
        </w:rPr>
        <w:t>4. 投标人提交的材料将被保密，但不退还。</w:t>
      </w:r>
    </w:p>
    <w:p>
      <w:pPr>
        <w:keepNext/>
        <w:keepLines/>
        <w:pageBreakBefore w:val="0"/>
        <w:kinsoku/>
        <w:wordWrap/>
        <w:overflowPunct/>
        <w:topLinePunct w:val="0"/>
        <w:autoSpaceDE/>
        <w:autoSpaceDN/>
        <w:bidi w:val="0"/>
        <w:spacing w:after="120" w:line="360" w:lineRule="auto"/>
        <w:jc w:val="left"/>
        <w:outlineLvl w:val="9"/>
        <w:rPr>
          <w:rFonts w:hint="eastAsia" w:hAnsi="宋体" w:cs="宋体"/>
          <w:b/>
          <w:sz w:val="28"/>
          <w:szCs w:val="28"/>
          <w:highlight w:val="none"/>
        </w:rPr>
      </w:pPr>
      <w:r>
        <w:rPr>
          <w:rFonts w:ascii="Calibri" w:hAnsi="宋体"/>
          <w:b/>
          <w:sz w:val="28"/>
          <w:szCs w:val="28"/>
          <w:highlight w:val="none"/>
        </w:rPr>
        <w:br w:type="page"/>
      </w:r>
      <w:bookmarkStart w:id="340" w:name="_Toc494043339"/>
      <w:bookmarkStart w:id="341" w:name="_Toc1895"/>
      <w:bookmarkStart w:id="342" w:name="_Toc24156"/>
      <w:bookmarkStart w:id="343" w:name="_Toc491307303"/>
      <w:bookmarkStart w:id="344" w:name="_Toc11283"/>
      <w:bookmarkStart w:id="345" w:name="_Toc5897"/>
      <w:bookmarkStart w:id="346" w:name="_Toc491307365"/>
      <w:bookmarkStart w:id="347" w:name="_Toc491307485"/>
      <w:r>
        <w:rPr>
          <w:rFonts w:hint="eastAsia" w:hAnsi="宋体" w:cs="宋体"/>
          <w:b/>
          <w:sz w:val="28"/>
          <w:szCs w:val="28"/>
          <w:highlight w:val="none"/>
        </w:rPr>
        <w:t>格式1-1</w:t>
      </w:r>
      <w:bookmarkEnd w:id="340"/>
      <w:bookmarkEnd w:id="341"/>
      <w:bookmarkEnd w:id="342"/>
      <w:bookmarkEnd w:id="343"/>
      <w:bookmarkEnd w:id="344"/>
      <w:bookmarkEnd w:id="345"/>
      <w:bookmarkEnd w:id="346"/>
      <w:bookmarkEnd w:id="347"/>
    </w:p>
    <w:p>
      <w:pPr>
        <w:keepNext/>
        <w:keepLines/>
        <w:pageBreakBefore w:val="0"/>
        <w:kinsoku/>
        <w:wordWrap/>
        <w:overflowPunct/>
        <w:topLinePunct w:val="0"/>
        <w:autoSpaceDE/>
        <w:autoSpaceDN/>
        <w:bidi w:val="0"/>
        <w:spacing w:before="120" w:after="120" w:line="360" w:lineRule="auto"/>
        <w:ind w:left="425"/>
        <w:jc w:val="left"/>
        <w:outlineLvl w:val="9"/>
        <w:rPr>
          <w:rFonts w:hint="eastAsia" w:hAnsi="宋体" w:cs="宋体"/>
          <w:b/>
          <w:bCs/>
          <w:sz w:val="24"/>
          <w:highlight w:val="none"/>
        </w:rPr>
      </w:pPr>
      <w:bookmarkStart w:id="348" w:name="_Toc23233"/>
      <w:bookmarkStart w:id="349" w:name="_Toc2597"/>
      <w:bookmarkStart w:id="350" w:name="_Toc31850"/>
      <w:r>
        <w:rPr>
          <w:rFonts w:hint="eastAsia" w:hAnsi="宋体" w:cs="宋体"/>
          <w:b/>
          <w:bCs/>
          <w:sz w:val="24"/>
          <w:highlight w:val="none"/>
        </w:rPr>
        <w:t>投标人须具有独立承担民事责任的能力</w:t>
      </w:r>
      <w:bookmarkEnd w:id="348"/>
      <w:bookmarkEnd w:id="349"/>
      <w:bookmarkEnd w:id="350"/>
    </w:p>
    <w:p>
      <w:pPr>
        <w:keepNext/>
        <w:keepLines/>
        <w:pageBreakBefore w:val="0"/>
        <w:kinsoku/>
        <w:wordWrap/>
        <w:overflowPunct/>
        <w:topLinePunct w:val="0"/>
        <w:autoSpaceDE/>
        <w:autoSpaceDN/>
        <w:bidi w:val="0"/>
        <w:spacing w:before="120" w:after="120" w:line="360" w:lineRule="auto"/>
        <w:ind w:left="425"/>
        <w:jc w:val="left"/>
        <w:outlineLvl w:val="9"/>
        <w:rPr>
          <w:rFonts w:hint="eastAsia" w:hAnsi="宋体" w:cs="宋体"/>
          <w:b/>
          <w:bCs/>
          <w:sz w:val="24"/>
          <w:highlight w:val="none"/>
        </w:rPr>
      </w:pPr>
    </w:p>
    <w:p>
      <w:pPr>
        <w:keepNext/>
        <w:keepLines/>
        <w:pageBreakBefore w:val="0"/>
        <w:kinsoku/>
        <w:wordWrap/>
        <w:overflowPunct/>
        <w:topLinePunct w:val="0"/>
        <w:autoSpaceDE/>
        <w:autoSpaceDN/>
        <w:bidi w:val="0"/>
        <w:spacing w:before="120" w:after="120" w:line="360" w:lineRule="auto"/>
        <w:ind w:left="425"/>
        <w:jc w:val="left"/>
        <w:outlineLvl w:val="9"/>
        <w:rPr>
          <w:rFonts w:hint="eastAsia" w:hAnsi="宋体" w:cs="宋体"/>
          <w:b/>
          <w:bCs/>
          <w:sz w:val="24"/>
          <w:highlight w:val="none"/>
        </w:rPr>
      </w:pPr>
    </w:p>
    <w:p>
      <w:pPr>
        <w:keepNext/>
        <w:keepLines/>
        <w:pageBreakBefore w:val="0"/>
        <w:widowControl w:val="0"/>
        <w:kinsoku/>
        <w:wordWrap/>
        <w:overflowPunct/>
        <w:topLinePunct w:val="0"/>
        <w:autoSpaceDE/>
        <w:autoSpaceDN/>
        <w:bidi w:val="0"/>
        <w:adjustRightInd/>
        <w:snapToGrid/>
        <w:spacing w:before="120" w:after="120" w:line="360" w:lineRule="auto"/>
        <w:ind w:left="425"/>
        <w:jc w:val="left"/>
        <w:textAlignment w:val="auto"/>
        <w:outlineLvl w:val="9"/>
        <w:rPr>
          <w:rFonts w:hint="eastAsia" w:hAnsi="宋体" w:cs="宋体"/>
          <w:b/>
          <w:bCs/>
          <w:sz w:val="24"/>
          <w:highlight w:val="none"/>
        </w:rPr>
      </w:pPr>
    </w:p>
    <w:p>
      <w:pPr>
        <w:keepNext/>
        <w:keepLines/>
        <w:pageBreakBefore w:val="0"/>
        <w:widowControl w:val="0"/>
        <w:kinsoku/>
        <w:wordWrap/>
        <w:overflowPunct/>
        <w:topLinePunct w:val="0"/>
        <w:autoSpaceDE/>
        <w:autoSpaceDN/>
        <w:bidi w:val="0"/>
        <w:adjustRightInd/>
        <w:snapToGrid/>
        <w:spacing w:before="120" w:after="120" w:line="360" w:lineRule="auto"/>
        <w:ind w:left="425"/>
        <w:jc w:val="left"/>
        <w:textAlignment w:val="auto"/>
        <w:outlineLvl w:val="9"/>
        <w:rPr>
          <w:rFonts w:hint="eastAsia" w:hAnsi="宋体" w:cs="宋体"/>
          <w:b/>
          <w:bCs/>
          <w:sz w:val="24"/>
          <w:highlight w:val="none"/>
        </w:rPr>
      </w:pPr>
    </w:p>
    <w:p>
      <w:pPr>
        <w:keepNext/>
        <w:keepLines/>
        <w:pageBreakBefore w:val="0"/>
        <w:widowControl w:val="0"/>
        <w:kinsoku/>
        <w:wordWrap/>
        <w:overflowPunct/>
        <w:topLinePunct w:val="0"/>
        <w:autoSpaceDE/>
        <w:autoSpaceDN/>
        <w:bidi w:val="0"/>
        <w:adjustRightInd/>
        <w:snapToGrid/>
        <w:spacing w:before="120" w:after="120" w:line="360" w:lineRule="auto"/>
        <w:ind w:left="425"/>
        <w:jc w:val="left"/>
        <w:textAlignment w:val="auto"/>
        <w:outlineLvl w:val="9"/>
        <w:rPr>
          <w:rFonts w:hint="eastAsia" w:hAnsi="宋体" w:cs="宋体"/>
          <w:b/>
          <w:bCs/>
          <w:sz w:val="24"/>
          <w:highlight w:val="none"/>
        </w:rPr>
      </w:pPr>
    </w:p>
    <w:p>
      <w:pPr>
        <w:keepNext/>
        <w:keepLines/>
        <w:pageBreakBefore w:val="0"/>
        <w:widowControl w:val="0"/>
        <w:kinsoku/>
        <w:wordWrap/>
        <w:overflowPunct/>
        <w:topLinePunct w:val="0"/>
        <w:autoSpaceDE/>
        <w:autoSpaceDN/>
        <w:bidi w:val="0"/>
        <w:adjustRightInd/>
        <w:snapToGrid/>
        <w:spacing w:before="120" w:after="120" w:line="360" w:lineRule="auto"/>
        <w:ind w:left="425"/>
        <w:jc w:val="left"/>
        <w:textAlignment w:val="auto"/>
        <w:outlineLvl w:val="9"/>
        <w:rPr>
          <w:rFonts w:hint="eastAsia" w:hAnsi="宋体" w:cs="宋体"/>
          <w:b/>
          <w:bCs/>
          <w:sz w:val="24"/>
          <w:highlight w:val="none"/>
        </w:rPr>
      </w:pPr>
    </w:p>
    <w:p>
      <w:pPr>
        <w:keepNext/>
        <w:keepLines/>
        <w:pageBreakBefore w:val="0"/>
        <w:widowControl w:val="0"/>
        <w:kinsoku/>
        <w:wordWrap/>
        <w:overflowPunct/>
        <w:topLinePunct w:val="0"/>
        <w:autoSpaceDE/>
        <w:autoSpaceDN/>
        <w:bidi w:val="0"/>
        <w:adjustRightInd/>
        <w:snapToGrid/>
        <w:spacing w:before="120" w:after="120" w:line="360" w:lineRule="auto"/>
        <w:ind w:left="425"/>
        <w:jc w:val="left"/>
        <w:textAlignment w:val="auto"/>
        <w:outlineLvl w:val="9"/>
        <w:rPr>
          <w:rFonts w:hint="eastAsia" w:hAnsi="宋体" w:cs="宋体"/>
          <w:b/>
          <w:bCs/>
          <w:sz w:val="24"/>
          <w:highlight w:val="none"/>
        </w:rPr>
      </w:pPr>
    </w:p>
    <w:p>
      <w:pPr>
        <w:keepNext/>
        <w:keepLines/>
        <w:pageBreakBefore w:val="0"/>
        <w:widowControl w:val="0"/>
        <w:kinsoku/>
        <w:wordWrap/>
        <w:overflowPunct/>
        <w:topLinePunct w:val="0"/>
        <w:autoSpaceDE/>
        <w:autoSpaceDN/>
        <w:bidi w:val="0"/>
        <w:adjustRightInd/>
        <w:snapToGrid/>
        <w:spacing w:before="120" w:after="120" w:line="360" w:lineRule="auto"/>
        <w:ind w:left="425"/>
        <w:jc w:val="left"/>
        <w:textAlignment w:val="auto"/>
        <w:outlineLvl w:val="9"/>
        <w:rPr>
          <w:rFonts w:hint="eastAsia" w:hAnsi="宋体" w:cs="宋体"/>
          <w:b/>
          <w:bCs/>
          <w:sz w:val="24"/>
          <w:highlight w:val="none"/>
        </w:rPr>
      </w:pPr>
    </w:p>
    <w:p>
      <w:pPr>
        <w:keepNext/>
        <w:keepLines/>
        <w:pageBreakBefore w:val="0"/>
        <w:widowControl w:val="0"/>
        <w:kinsoku/>
        <w:wordWrap/>
        <w:overflowPunct/>
        <w:topLinePunct w:val="0"/>
        <w:autoSpaceDE/>
        <w:autoSpaceDN/>
        <w:bidi w:val="0"/>
        <w:adjustRightInd/>
        <w:snapToGrid/>
        <w:spacing w:before="120" w:after="120" w:line="360" w:lineRule="auto"/>
        <w:ind w:left="425"/>
        <w:jc w:val="left"/>
        <w:textAlignment w:val="auto"/>
        <w:outlineLvl w:val="9"/>
        <w:rPr>
          <w:rFonts w:hint="eastAsia" w:hAnsi="宋体" w:cs="宋体"/>
          <w:b/>
          <w:bCs/>
          <w:sz w:val="24"/>
          <w:highlight w:val="none"/>
        </w:rPr>
      </w:pPr>
    </w:p>
    <w:p>
      <w:pPr>
        <w:keepNext/>
        <w:keepLines/>
        <w:pageBreakBefore w:val="0"/>
        <w:widowControl w:val="0"/>
        <w:kinsoku/>
        <w:wordWrap/>
        <w:overflowPunct/>
        <w:topLinePunct w:val="0"/>
        <w:autoSpaceDE/>
        <w:autoSpaceDN/>
        <w:bidi w:val="0"/>
        <w:adjustRightInd/>
        <w:snapToGrid/>
        <w:spacing w:before="120" w:after="120" w:line="360" w:lineRule="auto"/>
        <w:ind w:left="425"/>
        <w:jc w:val="left"/>
        <w:textAlignment w:val="auto"/>
        <w:outlineLvl w:val="9"/>
        <w:rPr>
          <w:rFonts w:hint="eastAsia" w:hAnsi="宋体" w:cs="宋体"/>
          <w:b/>
          <w:bCs/>
          <w:sz w:val="24"/>
          <w:highlight w:val="none"/>
        </w:rPr>
      </w:pPr>
    </w:p>
    <w:p>
      <w:pPr>
        <w:keepNext/>
        <w:keepLines/>
        <w:pageBreakBefore w:val="0"/>
        <w:widowControl w:val="0"/>
        <w:kinsoku/>
        <w:wordWrap/>
        <w:overflowPunct/>
        <w:topLinePunct w:val="0"/>
        <w:autoSpaceDE/>
        <w:autoSpaceDN/>
        <w:bidi w:val="0"/>
        <w:adjustRightInd/>
        <w:snapToGrid/>
        <w:spacing w:before="120" w:after="120" w:line="360" w:lineRule="auto"/>
        <w:ind w:left="425"/>
        <w:jc w:val="left"/>
        <w:textAlignment w:val="auto"/>
        <w:outlineLvl w:val="9"/>
        <w:rPr>
          <w:rFonts w:hint="eastAsia" w:hAnsi="宋体" w:cs="宋体"/>
          <w:b/>
          <w:bCs/>
          <w:sz w:val="24"/>
          <w:highlight w:val="none"/>
        </w:rPr>
      </w:pPr>
    </w:p>
    <w:p>
      <w:pPr>
        <w:keepNext/>
        <w:keepLines/>
        <w:pageBreakBefore w:val="0"/>
        <w:widowControl w:val="0"/>
        <w:kinsoku/>
        <w:wordWrap/>
        <w:overflowPunct/>
        <w:topLinePunct w:val="0"/>
        <w:autoSpaceDE/>
        <w:autoSpaceDN/>
        <w:bidi w:val="0"/>
        <w:adjustRightInd/>
        <w:snapToGrid/>
        <w:spacing w:before="120" w:after="120" w:line="360" w:lineRule="auto"/>
        <w:ind w:left="425"/>
        <w:jc w:val="left"/>
        <w:textAlignment w:val="auto"/>
        <w:outlineLvl w:val="9"/>
        <w:rPr>
          <w:rFonts w:hint="eastAsia" w:hAnsi="宋体" w:cs="宋体"/>
          <w:b/>
          <w:bCs/>
          <w:sz w:val="24"/>
          <w:highlight w:val="none"/>
        </w:rPr>
      </w:pPr>
    </w:p>
    <w:p>
      <w:pPr>
        <w:keepNext/>
        <w:keepLines/>
        <w:pageBreakBefore w:val="0"/>
        <w:kinsoku/>
        <w:wordWrap/>
        <w:overflowPunct/>
        <w:topLinePunct w:val="0"/>
        <w:autoSpaceDE/>
        <w:autoSpaceDN/>
        <w:bidi w:val="0"/>
        <w:spacing w:before="120" w:after="120" w:line="360" w:lineRule="auto"/>
        <w:ind w:left="425"/>
        <w:jc w:val="left"/>
        <w:outlineLvl w:val="9"/>
        <w:rPr>
          <w:rFonts w:hint="eastAsia" w:hAnsi="宋体" w:cs="宋体"/>
          <w:b/>
          <w:bCs/>
          <w:sz w:val="24"/>
          <w:highlight w:val="none"/>
        </w:rPr>
      </w:pPr>
    </w:p>
    <w:p>
      <w:pPr>
        <w:keepNext/>
        <w:keepLines/>
        <w:pageBreakBefore w:val="0"/>
        <w:kinsoku/>
        <w:wordWrap/>
        <w:overflowPunct/>
        <w:topLinePunct w:val="0"/>
        <w:autoSpaceDE/>
        <w:autoSpaceDN/>
        <w:bidi w:val="0"/>
        <w:spacing w:before="120" w:after="120" w:line="360" w:lineRule="auto"/>
        <w:ind w:left="425"/>
        <w:jc w:val="left"/>
        <w:outlineLvl w:val="9"/>
        <w:rPr>
          <w:rFonts w:hint="eastAsia" w:hAnsi="宋体" w:cs="宋体"/>
          <w:b/>
          <w:bCs/>
          <w:sz w:val="24"/>
          <w:highlight w:val="none"/>
        </w:rPr>
      </w:pPr>
    </w:p>
    <w:p>
      <w:pPr>
        <w:keepNext/>
        <w:keepLines/>
        <w:pageBreakBefore w:val="0"/>
        <w:kinsoku/>
        <w:wordWrap/>
        <w:overflowPunct/>
        <w:topLinePunct w:val="0"/>
        <w:autoSpaceDE/>
        <w:autoSpaceDN/>
        <w:bidi w:val="0"/>
        <w:spacing w:before="120" w:after="120" w:line="360" w:lineRule="auto"/>
        <w:ind w:left="425"/>
        <w:jc w:val="left"/>
        <w:outlineLvl w:val="9"/>
        <w:rPr>
          <w:rFonts w:eastAsia="仿宋"/>
          <w:b/>
          <w:bCs/>
          <w:sz w:val="24"/>
          <w:highlight w:val="none"/>
        </w:rPr>
      </w:pPr>
      <w:bookmarkStart w:id="351" w:name="_Toc10352"/>
    </w:p>
    <w:p>
      <w:pPr>
        <w:keepNext/>
        <w:keepLines/>
        <w:pageBreakBefore w:val="0"/>
        <w:widowControl w:val="0"/>
        <w:kinsoku/>
        <w:wordWrap/>
        <w:overflowPunct/>
        <w:topLinePunct w:val="0"/>
        <w:autoSpaceDE/>
        <w:autoSpaceDN/>
        <w:bidi w:val="0"/>
        <w:adjustRightInd/>
        <w:snapToGrid/>
        <w:spacing w:before="120" w:after="120" w:line="360" w:lineRule="auto"/>
        <w:ind w:left="425"/>
        <w:jc w:val="left"/>
        <w:textAlignment w:val="auto"/>
        <w:outlineLvl w:val="9"/>
        <w:rPr>
          <w:rFonts w:eastAsia="仿宋"/>
          <w:sz w:val="24"/>
          <w:highlight w:val="none"/>
        </w:rPr>
      </w:pPr>
      <w:bookmarkStart w:id="352" w:name="_Toc17885"/>
      <w:bookmarkStart w:id="353" w:name="_Toc3022"/>
      <w:r>
        <w:rPr>
          <w:rFonts w:eastAsia="仿宋"/>
          <w:b/>
          <w:bCs/>
          <w:sz w:val="24"/>
          <w:highlight w:val="none"/>
        </w:rPr>
        <w:t>说明：</w:t>
      </w:r>
      <w:bookmarkEnd w:id="351"/>
      <w:bookmarkEnd w:id="352"/>
      <w:r>
        <w:rPr>
          <w:rFonts w:hint="eastAsia" w:eastAsia="仿宋"/>
          <w:sz w:val="24"/>
          <w:highlight w:val="none"/>
        </w:rPr>
        <w:t>投标人须按第</w:t>
      </w:r>
      <w:r>
        <w:rPr>
          <w:rFonts w:hint="eastAsia" w:eastAsia="仿宋"/>
          <w:sz w:val="24"/>
          <w:highlight w:val="none"/>
          <w:lang w:val="en-US" w:eastAsia="zh-CN"/>
        </w:rPr>
        <w:t>二</w:t>
      </w:r>
      <w:r>
        <w:rPr>
          <w:rFonts w:hint="eastAsia" w:eastAsia="仿宋"/>
          <w:sz w:val="24"/>
          <w:highlight w:val="none"/>
        </w:rPr>
        <w:t>章“</w:t>
      </w:r>
      <w:r>
        <w:rPr>
          <w:rFonts w:hint="eastAsia" w:eastAsia="仿宋"/>
          <w:sz w:val="24"/>
          <w:highlight w:val="none"/>
          <w:lang w:val="en-US" w:eastAsia="zh-CN"/>
        </w:rPr>
        <w:t>投标人须知前附表</w:t>
      </w:r>
      <w:r>
        <w:rPr>
          <w:rFonts w:hint="eastAsia" w:eastAsia="仿宋"/>
          <w:sz w:val="24"/>
          <w:highlight w:val="none"/>
        </w:rPr>
        <w:t>”3.1</w:t>
      </w:r>
      <w:r>
        <w:rPr>
          <w:rFonts w:hint="eastAsia" w:eastAsia="仿宋"/>
          <w:sz w:val="24"/>
          <w:highlight w:val="none"/>
        </w:rPr>
        <w:tab/>
      </w:r>
      <w:r>
        <w:rPr>
          <w:rFonts w:hint="eastAsia" w:eastAsia="仿宋"/>
          <w:sz w:val="24"/>
          <w:highlight w:val="none"/>
        </w:rPr>
        <w:t>规定的资格条件的要求提供资格证明文件（彩色扫描件加盖投标人单位电子签章）</w:t>
      </w:r>
      <w:bookmarkEnd w:id="353"/>
    </w:p>
    <w:p>
      <w:pPr>
        <w:keepNext/>
        <w:keepLines/>
        <w:pageBreakBefore w:val="0"/>
        <w:widowControl w:val="0"/>
        <w:kinsoku/>
        <w:wordWrap/>
        <w:overflowPunct/>
        <w:topLinePunct w:val="0"/>
        <w:autoSpaceDE/>
        <w:autoSpaceDN/>
        <w:bidi w:val="0"/>
        <w:adjustRightInd/>
        <w:snapToGrid/>
        <w:spacing w:after="120" w:line="360" w:lineRule="auto"/>
        <w:jc w:val="left"/>
        <w:textAlignment w:val="auto"/>
        <w:outlineLvl w:val="9"/>
        <w:rPr>
          <w:rFonts w:hint="eastAsia" w:hAnsi="宋体" w:cs="宋体"/>
          <w:b/>
          <w:sz w:val="28"/>
          <w:szCs w:val="28"/>
          <w:highlight w:val="none"/>
        </w:rPr>
      </w:pPr>
      <w:r>
        <w:rPr>
          <w:rFonts w:hint="eastAsia" w:hAnsi="宋体" w:cs="宋体"/>
          <w:b/>
          <w:bCs/>
          <w:sz w:val="28"/>
          <w:szCs w:val="32"/>
          <w:highlight w:val="none"/>
        </w:rPr>
        <w:br w:type="page"/>
      </w:r>
      <w:bookmarkStart w:id="354" w:name="_Toc6702"/>
      <w:bookmarkStart w:id="355" w:name="_Toc491307367"/>
      <w:bookmarkStart w:id="356" w:name="_Toc491307487"/>
      <w:bookmarkStart w:id="357" w:name="_Toc491307305"/>
      <w:bookmarkStart w:id="358" w:name="_Toc24603"/>
      <w:bookmarkStart w:id="359" w:name="_Toc25714"/>
      <w:bookmarkStart w:id="360" w:name="_Toc1060"/>
      <w:bookmarkStart w:id="361" w:name="_Toc494043341"/>
      <w:r>
        <w:rPr>
          <w:rFonts w:hint="eastAsia" w:hAnsi="宋体" w:cs="宋体"/>
          <w:b/>
          <w:sz w:val="28"/>
          <w:szCs w:val="28"/>
          <w:highlight w:val="none"/>
        </w:rPr>
        <w:t>格式1-2</w:t>
      </w:r>
      <w:bookmarkEnd w:id="354"/>
      <w:bookmarkEnd w:id="355"/>
      <w:bookmarkEnd w:id="356"/>
      <w:bookmarkEnd w:id="357"/>
      <w:bookmarkEnd w:id="358"/>
      <w:bookmarkEnd w:id="359"/>
      <w:bookmarkEnd w:id="360"/>
      <w:bookmarkEnd w:id="361"/>
    </w:p>
    <w:p>
      <w:pPr>
        <w:keepNext/>
        <w:keepLines/>
        <w:pageBreakBefore w:val="0"/>
        <w:kinsoku/>
        <w:wordWrap/>
        <w:overflowPunct/>
        <w:topLinePunct w:val="0"/>
        <w:autoSpaceDE/>
        <w:autoSpaceDN/>
        <w:bidi w:val="0"/>
        <w:spacing w:before="120" w:after="120" w:line="360" w:lineRule="auto"/>
        <w:ind w:left="425"/>
        <w:jc w:val="left"/>
        <w:outlineLvl w:val="9"/>
        <w:rPr>
          <w:rFonts w:hint="eastAsia" w:hAnsi="宋体" w:cs="宋体"/>
          <w:b/>
          <w:sz w:val="24"/>
          <w:highlight w:val="none"/>
        </w:rPr>
      </w:pPr>
      <w:bookmarkStart w:id="362" w:name="_Toc12067"/>
      <w:bookmarkStart w:id="363" w:name="_Toc8408"/>
      <w:bookmarkStart w:id="364" w:name="_Toc28766"/>
      <w:bookmarkStart w:id="365" w:name="_Toc494043342"/>
      <w:r>
        <w:rPr>
          <w:rFonts w:hint="eastAsia" w:hAnsi="宋体" w:cs="宋体"/>
          <w:b/>
          <w:sz w:val="24"/>
          <w:highlight w:val="none"/>
        </w:rPr>
        <w:t>投标人须具有良好的商业信誉和健全的财务会计制度</w:t>
      </w:r>
      <w:bookmarkEnd w:id="362"/>
      <w:bookmarkEnd w:id="363"/>
      <w:bookmarkEnd w:id="364"/>
    </w:p>
    <w:p>
      <w:pPr>
        <w:keepNext/>
        <w:keepLines/>
        <w:pageBreakBefore w:val="0"/>
        <w:kinsoku/>
        <w:wordWrap/>
        <w:overflowPunct/>
        <w:topLinePunct w:val="0"/>
        <w:autoSpaceDE/>
        <w:autoSpaceDN/>
        <w:bidi w:val="0"/>
        <w:spacing w:before="120" w:after="120" w:line="360" w:lineRule="auto"/>
        <w:ind w:left="425"/>
        <w:jc w:val="left"/>
        <w:outlineLvl w:val="9"/>
        <w:rPr>
          <w:rFonts w:hint="eastAsia" w:hAnsi="宋体" w:cs="宋体"/>
          <w:b/>
          <w:sz w:val="24"/>
          <w:highlight w:val="none"/>
        </w:rPr>
      </w:pPr>
    </w:p>
    <w:p>
      <w:pPr>
        <w:keepNext/>
        <w:keepLines/>
        <w:pageBreakBefore w:val="0"/>
        <w:kinsoku/>
        <w:wordWrap/>
        <w:overflowPunct/>
        <w:topLinePunct w:val="0"/>
        <w:autoSpaceDE/>
        <w:autoSpaceDN/>
        <w:bidi w:val="0"/>
        <w:spacing w:before="120" w:after="120" w:line="360" w:lineRule="auto"/>
        <w:ind w:left="425"/>
        <w:jc w:val="left"/>
        <w:outlineLvl w:val="9"/>
        <w:rPr>
          <w:rFonts w:hint="eastAsia" w:hAnsi="宋体" w:cs="宋体"/>
          <w:b/>
          <w:sz w:val="24"/>
          <w:highlight w:val="none"/>
        </w:rPr>
      </w:pPr>
    </w:p>
    <w:p>
      <w:pPr>
        <w:keepNext/>
        <w:keepLines/>
        <w:pageBreakBefore w:val="0"/>
        <w:kinsoku/>
        <w:wordWrap/>
        <w:overflowPunct/>
        <w:topLinePunct w:val="0"/>
        <w:autoSpaceDE/>
        <w:autoSpaceDN/>
        <w:bidi w:val="0"/>
        <w:spacing w:before="120" w:after="120" w:line="360" w:lineRule="auto"/>
        <w:ind w:left="425"/>
        <w:jc w:val="left"/>
        <w:outlineLvl w:val="9"/>
        <w:rPr>
          <w:rFonts w:hint="eastAsia" w:hAnsi="宋体" w:cs="宋体"/>
          <w:b/>
          <w:sz w:val="24"/>
          <w:highlight w:val="none"/>
        </w:rPr>
      </w:pPr>
    </w:p>
    <w:p>
      <w:pPr>
        <w:keepNext/>
        <w:keepLines/>
        <w:pageBreakBefore w:val="0"/>
        <w:widowControl w:val="0"/>
        <w:kinsoku/>
        <w:wordWrap/>
        <w:overflowPunct/>
        <w:topLinePunct w:val="0"/>
        <w:autoSpaceDE/>
        <w:autoSpaceDN/>
        <w:bidi w:val="0"/>
        <w:adjustRightInd/>
        <w:snapToGrid/>
        <w:spacing w:before="120" w:after="120" w:line="360" w:lineRule="auto"/>
        <w:ind w:left="425"/>
        <w:jc w:val="left"/>
        <w:textAlignment w:val="auto"/>
        <w:outlineLvl w:val="9"/>
        <w:rPr>
          <w:rFonts w:hint="eastAsia" w:hAnsi="宋体" w:cs="宋体"/>
          <w:b/>
          <w:sz w:val="24"/>
          <w:highlight w:val="none"/>
        </w:rPr>
      </w:pPr>
    </w:p>
    <w:p>
      <w:pPr>
        <w:keepNext/>
        <w:keepLines/>
        <w:pageBreakBefore w:val="0"/>
        <w:widowControl w:val="0"/>
        <w:kinsoku/>
        <w:wordWrap/>
        <w:overflowPunct/>
        <w:topLinePunct w:val="0"/>
        <w:autoSpaceDE/>
        <w:autoSpaceDN/>
        <w:bidi w:val="0"/>
        <w:adjustRightInd/>
        <w:snapToGrid/>
        <w:spacing w:before="120" w:after="120" w:line="360" w:lineRule="auto"/>
        <w:ind w:left="425"/>
        <w:jc w:val="left"/>
        <w:textAlignment w:val="auto"/>
        <w:outlineLvl w:val="9"/>
        <w:rPr>
          <w:rFonts w:hint="eastAsia" w:hAnsi="宋体" w:cs="宋体"/>
          <w:b/>
          <w:sz w:val="24"/>
          <w:highlight w:val="none"/>
        </w:rPr>
      </w:pPr>
    </w:p>
    <w:p>
      <w:pPr>
        <w:keepNext/>
        <w:keepLines/>
        <w:pageBreakBefore w:val="0"/>
        <w:widowControl w:val="0"/>
        <w:kinsoku/>
        <w:wordWrap/>
        <w:overflowPunct/>
        <w:topLinePunct w:val="0"/>
        <w:autoSpaceDE/>
        <w:autoSpaceDN/>
        <w:bidi w:val="0"/>
        <w:adjustRightInd/>
        <w:snapToGrid/>
        <w:spacing w:before="120" w:after="120" w:line="360" w:lineRule="auto"/>
        <w:ind w:left="425"/>
        <w:jc w:val="left"/>
        <w:textAlignment w:val="auto"/>
        <w:outlineLvl w:val="9"/>
        <w:rPr>
          <w:rFonts w:hint="eastAsia" w:hAnsi="宋体" w:cs="宋体"/>
          <w:b/>
          <w:sz w:val="24"/>
          <w:highlight w:val="none"/>
        </w:rPr>
      </w:pPr>
    </w:p>
    <w:p>
      <w:pPr>
        <w:keepNext/>
        <w:keepLines/>
        <w:pageBreakBefore w:val="0"/>
        <w:widowControl w:val="0"/>
        <w:kinsoku/>
        <w:wordWrap/>
        <w:overflowPunct/>
        <w:topLinePunct w:val="0"/>
        <w:autoSpaceDE/>
        <w:autoSpaceDN/>
        <w:bidi w:val="0"/>
        <w:adjustRightInd/>
        <w:snapToGrid/>
        <w:spacing w:before="120" w:after="120" w:line="360" w:lineRule="auto"/>
        <w:ind w:left="425"/>
        <w:jc w:val="left"/>
        <w:textAlignment w:val="auto"/>
        <w:outlineLvl w:val="9"/>
        <w:rPr>
          <w:rFonts w:hint="eastAsia" w:hAnsi="宋体" w:cs="宋体"/>
          <w:b/>
          <w:sz w:val="24"/>
          <w:highlight w:val="none"/>
        </w:rPr>
      </w:pPr>
    </w:p>
    <w:p>
      <w:pPr>
        <w:keepNext/>
        <w:keepLines/>
        <w:pageBreakBefore w:val="0"/>
        <w:widowControl w:val="0"/>
        <w:kinsoku/>
        <w:wordWrap/>
        <w:overflowPunct/>
        <w:topLinePunct w:val="0"/>
        <w:autoSpaceDE/>
        <w:autoSpaceDN/>
        <w:bidi w:val="0"/>
        <w:adjustRightInd/>
        <w:snapToGrid/>
        <w:spacing w:before="120" w:after="120" w:line="360" w:lineRule="auto"/>
        <w:ind w:left="425"/>
        <w:jc w:val="left"/>
        <w:textAlignment w:val="auto"/>
        <w:outlineLvl w:val="9"/>
        <w:rPr>
          <w:rFonts w:hint="eastAsia" w:hAnsi="宋体" w:cs="宋体"/>
          <w:b/>
          <w:sz w:val="24"/>
          <w:highlight w:val="none"/>
        </w:rPr>
      </w:pPr>
    </w:p>
    <w:p>
      <w:pPr>
        <w:keepNext/>
        <w:keepLines/>
        <w:pageBreakBefore w:val="0"/>
        <w:widowControl w:val="0"/>
        <w:kinsoku/>
        <w:wordWrap/>
        <w:overflowPunct/>
        <w:topLinePunct w:val="0"/>
        <w:autoSpaceDE/>
        <w:autoSpaceDN/>
        <w:bidi w:val="0"/>
        <w:adjustRightInd/>
        <w:snapToGrid/>
        <w:spacing w:before="120" w:after="120" w:line="360" w:lineRule="auto"/>
        <w:ind w:left="425"/>
        <w:jc w:val="left"/>
        <w:textAlignment w:val="auto"/>
        <w:outlineLvl w:val="9"/>
        <w:rPr>
          <w:rFonts w:hint="eastAsia" w:hAnsi="宋体" w:cs="宋体"/>
          <w:b/>
          <w:sz w:val="24"/>
          <w:highlight w:val="none"/>
        </w:rPr>
      </w:pPr>
    </w:p>
    <w:p>
      <w:pPr>
        <w:keepNext/>
        <w:keepLines/>
        <w:pageBreakBefore w:val="0"/>
        <w:widowControl w:val="0"/>
        <w:kinsoku/>
        <w:wordWrap/>
        <w:overflowPunct/>
        <w:topLinePunct w:val="0"/>
        <w:autoSpaceDE/>
        <w:autoSpaceDN/>
        <w:bidi w:val="0"/>
        <w:adjustRightInd/>
        <w:snapToGrid/>
        <w:spacing w:before="120" w:after="120" w:line="360" w:lineRule="auto"/>
        <w:ind w:left="425"/>
        <w:jc w:val="left"/>
        <w:textAlignment w:val="auto"/>
        <w:outlineLvl w:val="9"/>
        <w:rPr>
          <w:rFonts w:hint="eastAsia" w:hAnsi="宋体" w:cs="宋体"/>
          <w:b/>
          <w:sz w:val="24"/>
          <w:highlight w:val="none"/>
        </w:rPr>
      </w:pPr>
    </w:p>
    <w:p>
      <w:pPr>
        <w:keepNext/>
        <w:keepLines/>
        <w:pageBreakBefore w:val="0"/>
        <w:widowControl w:val="0"/>
        <w:kinsoku/>
        <w:wordWrap/>
        <w:overflowPunct/>
        <w:topLinePunct w:val="0"/>
        <w:autoSpaceDE/>
        <w:autoSpaceDN/>
        <w:bidi w:val="0"/>
        <w:adjustRightInd/>
        <w:snapToGrid/>
        <w:spacing w:before="120" w:after="120" w:line="360" w:lineRule="auto"/>
        <w:ind w:left="425"/>
        <w:jc w:val="left"/>
        <w:textAlignment w:val="auto"/>
        <w:outlineLvl w:val="9"/>
        <w:rPr>
          <w:rFonts w:hint="eastAsia" w:hAnsi="宋体" w:cs="宋体"/>
          <w:b/>
          <w:sz w:val="24"/>
          <w:highlight w:val="none"/>
        </w:rPr>
      </w:pPr>
    </w:p>
    <w:p>
      <w:pPr>
        <w:keepNext/>
        <w:keepLines/>
        <w:pageBreakBefore w:val="0"/>
        <w:widowControl w:val="0"/>
        <w:kinsoku/>
        <w:wordWrap/>
        <w:overflowPunct/>
        <w:topLinePunct w:val="0"/>
        <w:autoSpaceDE/>
        <w:autoSpaceDN/>
        <w:bidi w:val="0"/>
        <w:adjustRightInd/>
        <w:snapToGrid/>
        <w:spacing w:before="120" w:after="120" w:line="360" w:lineRule="auto"/>
        <w:ind w:left="425"/>
        <w:jc w:val="left"/>
        <w:textAlignment w:val="auto"/>
        <w:outlineLvl w:val="9"/>
        <w:rPr>
          <w:rFonts w:hint="eastAsia" w:hAnsi="宋体" w:cs="宋体"/>
          <w:b/>
          <w:bCs/>
          <w:sz w:val="24"/>
          <w:highlight w:val="none"/>
        </w:rPr>
      </w:pPr>
    </w:p>
    <w:p>
      <w:pPr>
        <w:keepNext/>
        <w:keepLines/>
        <w:pageBreakBefore w:val="0"/>
        <w:widowControl w:val="0"/>
        <w:kinsoku/>
        <w:wordWrap/>
        <w:overflowPunct/>
        <w:topLinePunct w:val="0"/>
        <w:autoSpaceDE/>
        <w:autoSpaceDN/>
        <w:bidi w:val="0"/>
        <w:adjustRightInd/>
        <w:snapToGrid/>
        <w:spacing w:before="120" w:after="120" w:line="360" w:lineRule="auto"/>
        <w:ind w:left="425"/>
        <w:jc w:val="left"/>
        <w:textAlignment w:val="auto"/>
        <w:outlineLvl w:val="9"/>
        <w:rPr>
          <w:rFonts w:hint="eastAsia" w:hAnsi="宋体" w:cs="宋体"/>
          <w:b/>
          <w:bCs/>
          <w:sz w:val="24"/>
          <w:highlight w:val="none"/>
        </w:rPr>
      </w:pPr>
    </w:p>
    <w:p>
      <w:pPr>
        <w:keepNext/>
        <w:keepLines/>
        <w:pageBreakBefore w:val="0"/>
        <w:widowControl w:val="0"/>
        <w:kinsoku/>
        <w:wordWrap/>
        <w:overflowPunct/>
        <w:topLinePunct w:val="0"/>
        <w:autoSpaceDE/>
        <w:autoSpaceDN/>
        <w:bidi w:val="0"/>
        <w:adjustRightInd/>
        <w:snapToGrid/>
        <w:spacing w:before="120" w:after="120" w:line="360" w:lineRule="auto"/>
        <w:ind w:left="425"/>
        <w:jc w:val="left"/>
        <w:textAlignment w:val="auto"/>
        <w:outlineLvl w:val="9"/>
        <w:rPr>
          <w:rFonts w:hint="eastAsia" w:hAnsi="宋体" w:cs="宋体"/>
          <w:b/>
          <w:bCs/>
          <w:sz w:val="24"/>
          <w:highlight w:val="none"/>
        </w:rPr>
      </w:pPr>
    </w:p>
    <w:p>
      <w:pPr>
        <w:keepNext/>
        <w:keepLines/>
        <w:pageBreakBefore w:val="0"/>
        <w:widowControl w:val="0"/>
        <w:kinsoku/>
        <w:wordWrap/>
        <w:overflowPunct/>
        <w:topLinePunct w:val="0"/>
        <w:autoSpaceDE/>
        <w:autoSpaceDN/>
        <w:bidi w:val="0"/>
        <w:adjustRightInd/>
        <w:snapToGrid/>
        <w:spacing w:before="120" w:after="120" w:line="360" w:lineRule="auto"/>
        <w:ind w:left="425"/>
        <w:jc w:val="left"/>
        <w:textAlignment w:val="auto"/>
        <w:outlineLvl w:val="9"/>
        <w:rPr>
          <w:rFonts w:eastAsia="仿宋"/>
          <w:b/>
          <w:bCs/>
          <w:sz w:val="24"/>
          <w:highlight w:val="none"/>
        </w:rPr>
      </w:pPr>
      <w:bookmarkStart w:id="366" w:name="_Toc5989"/>
    </w:p>
    <w:p>
      <w:pPr>
        <w:keepNext/>
        <w:keepLines/>
        <w:pageBreakBefore w:val="0"/>
        <w:widowControl w:val="0"/>
        <w:kinsoku/>
        <w:wordWrap/>
        <w:overflowPunct/>
        <w:topLinePunct w:val="0"/>
        <w:autoSpaceDE/>
        <w:autoSpaceDN/>
        <w:bidi w:val="0"/>
        <w:adjustRightInd/>
        <w:snapToGrid/>
        <w:spacing w:before="120" w:after="120" w:line="360" w:lineRule="auto"/>
        <w:ind w:left="425"/>
        <w:jc w:val="left"/>
        <w:textAlignment w:val="auto"/>
        <w:outlineLvl w:val="9"/>
        <w:rPr>
          <w:rFonts w:hint="eastAsia" w:hAnsi="宋体" w:cs="宋体"/>
          <w:b/>
          <w:szCs w:val="21"/>
          <w:highlight w:val="none"/>
        </w:rPr>
      </w:pPr>
      <w:bookmarkStart w:id="367" w:name="_Toc18528"/>
      <w:bookmarkStart w:id="368" w:name="_Toc1135"/>
      <w:r>
        <w:rPr>
          <w:rFonts w:eastAsia="仿宋"/>
          <w:b/>
          <w:bCs/>
          <w:sz w:val="24"/>
          <w:highlight w:val="none"/>
        </w:rPr>
        <w:t>说明：</w:t>
      </w:r>
      <w:bookmarkEnd w:id="366"/>
      <w:bookmarkEnd w:id="367"/>
      <w:r>
        <w:rPr>
          <w:rFonts w:hint="eastAsia" w:eastAsia="仿宋"/>
          <w:sz w:val="24"/>
          <w:highlight w:val="none"/>
        </w:rPr>
        <w:t>投标人须按第</w:t>
      </w:r>
      <w:r>
        <w:rPr>
          <w:rFonts w:hint="eastAsia" w:eastAsia="仿宋"/>
          <w:sz w:val="24"/>
          <w:highlight w:val="none"/>
          <w:lang w:val="en-US" w:eastAsia="zh-CN"/>
        </w:rPr>
        <w:t>二</w:t>
      </w:r>
      <w:r>
        <w:rPr>
          <w:rFonts w:hint="eastAsia" w:eastAsia="仿宋"/>
          <w:sz w:val="24"/>
          <w:highlight w:val="none"/>
        </w:rPr>
        <w:t>章“</w:t>
      </w:r>
      <w:r>
        <w:rPr>
          <w:rFonts w:hint="eastAsia" w:eastAsia="仿宋"/>
          <w:sz w:val="24"/>
          <w:highlight w:val="none"/>
          <w:lang w:val="en-US" w:eastAsia="zh-CN"/>
        </w:rPr>
        <w:t>投标人须知前附表</w:t>
      </w:r>
      <w:r>
        <w:rPr>
          <w:rFonts w:hint="eastAsia" w:eastAsia="仿宋"/>
          <w:sz w:val="24"/>
          <w:highlight w:val="none"/>
        </w:rPr>
        <w:t>”3.1</w:t>
      </w:r>
      <w:r>
        <w:rPr>
          <w:rFonts w:hint="eastAsia" w:eastAsia="仿宋"/>
          <w:sz w:val="24"/>
          <w:highlight w:val="none"/>
        </w:rPr>
        <w:tab/>
      </w:r>
      <w:r>
        <w:rPr>
          <w:rFonts w:hint="eastAsia" w:eastAsia="仿宋"/>
          <w:sz w:val="24"/>
          <w:highlight w:val="none"/>
        </w:rPr>
        <w:t>规定的资格条件的要求提供资格证明文件（彩色扫描件加盖投标人单位电子签章）</w:t>
      </w:r>
      <w:bookmarkEnd w:id="368"/>
    </w:p>
    <w:p>
      <w:pPr>
        <w:keepNext/>
        <w:keepLines/>
        <w:pageBreakBefore w:val="0"/>
        <w:widowControl w:val="0"/>
        <w:kinsoku/>
        <w:wordWrap/>
        <w:overflowPunct/>
        <w:topLinePunct w:val="0"/>
        <w:autoSpaceDE/>
        <w:autoSpaceDN/>
        <w:bidi w:val="0"/>
        <w:adjustRightInd/>
        <w:snapToGrid/>
        <w:spacing w:after="120" w:line="360" w:lineRule="auto"/>
        <w:jc w:val="left"/>
        <w:textAlignment w:val="auto"/>
        <w:outlineLvl w:val="9"/>
        <w:rPr>
          <w:rFonts w:hint="eastAsia" w:hAnsi="宋体" w:cs="宋体"/>
          <w:b/>
          <w:sz w:val="28"/>
          <w:szCs w:val="28"/>
          <w:highlight w:val="none"/>
        </w:rPr>
      </w:pPr>
      <w:bookmarkStart w:id="369" w:name="_Toc491307369"/>
      <w:bookmarkStart w:id="370" w:name="_Toc491307307"/>
      <w:bookmarkStart w:id="371" w:name="_Toc491307489"/>
      <w:bookmarkStart w:id="372" w:name="_Toc494043343"/>
      <w:r>
        <w:rPr>
          <w:rFonts w:hint="eastAsia" w:hAnsi="宋体" w:cs="宋体"/>
          <w:b/>
          <w:bCs/>
          <w:sz w:val="28"/>
          <w:szCs w:val="32"/>
          <w:highlight w:val="none"/>
        </w:rPr>
        <w:br w:type="page"/>
      </w:r>
      <w:bookmarkStart w:id="373" w:name="_Toc3084"/>
      <w:bookmarkStart w:id="374" w:name="_Toc30784"/>
      <w:bookmarkStart w:id="375" w:name="_Toc29872"/>
      <w:r>
        <w:rPr>
          <w:rFonts w:hint="eastAsia" w:hAnsi="宋体" w:cs="宋体"/>
          <w:b/>
          <w:sz w:val="28"/>
          <w:szCs w:val="28"/>
          <w:highlight w:val="none"/>
        </w:rPr>
        <w:t>格式1-3</w:t>
      </w:r>
      <w:bookmarkEnd w:id="365"/>
      <w:bookmarkEnd w:id="369"/>
      <w:bookmarkEnd w:id="370"/>
      <w:bookmarkEnd w:id="371"/>
      <w:bookmarkEnd w:id="372"/>
      <w:bookmarkEnd w:id="373"/>
      <w:bookmarkEnd w:id="374"/>
      <w:bookmarkEnd w:id="375"/>
    </w:p>
    <w:p>
      <w:pPr>
        <w:keepNext/>
        <w:keepLines/>
        <w:pageBreakBefore w:val="0"/>
        <w:kinsoku/>
        <w:wordWrap/>
        <w:overflowPunct/>
        <w:topLinePunct w:val="0"/>
        <w:autoSpaceDE/>
        <w:autoSpaceDN/>
        <w:bidi w:val="0"/>
        <w:spacing w:before="120" w:after="120" w:line="360" w:lineRule="auto"/>
        <w:ind w:left="425"/>
        <w:jc w:val="left"/>
        <w:outlineLvl w:val="9"/>
        <w:rPr>
          <w:rFonts w:hint="eastAsia" w:hAnsi="宋体" w:cs="宋体"/>
          <w:b/>
          <w:sz w:val="24"/>
          <w:highlight w:val="none"/>
        </w:rPr>
      </w:pPr>
      <w:bookmarkStart w:id="376" w:name="_Toc14971"/>
      <w:bookmarkStart w:id="377" w:name="_Toc24813"/>
      <w:bookmarkStart w:id="378" w:name="_Toc31678"/>
      <w:bookmarkStart w:id="379" w:name="_Toc494043344"/>
      <w:bookmarkStart w:id="380" w:name="_Toc10112"/>
      <w:r>
        <w:rPr>
          <w:rFonts w:hint="eastAsia" w:hAnsi="宋体" w:cs="宋体"/>
          <w:b/>
          <w:sz w:val="24"/>
          <w:highlight w:val="none"/>
        </w:rPr>
        <w:t>投标人须具有履行合同所必需的设备和专业技术能力</w:t>
      </w:r>
      <w:bookmarkEnd w:id="376"/>
      <w:bookmarkEnd w:id="377"/>
      <w:bookmarkEnd w:id="378"/>
    </w:p>
    <w:p>
      <w:pPr>
        <w:keepNext/>
        <w:keepLines/>
        <w:pageBreakBefore w:val="0"/>
        <w:kinsoku/>
        <w:wordWrap/>
        <w:overflowPunct/>
        <w:topLinePunct w:val="0"/>
        <w:autoSpaceDE/>
        <w:autoSpaceDN/>
        <w:bidi w:val="0"/>
        <w:spacing w:before="120" w:after="120" w:line="360" w:lineRule="auto"/>
        <w:ind w:left="425"/>
        <w:jc w:val="left"/>
        <w:outlineLvl w:val="9"/>
        <w:rPr>
          <w:rFonts w:hint="eastAsia" w:hAnsi="宋体" w:cs="宋体"/>
          <w:sz w:val="24"/>
          <w:highlight w:val="none"/>
        </w:rPr>
      </w:pPr>
    </w:p>
    <w:p>
      <w:pPr>
        <w:keepNext/>
        <w:keepLines/>
        <w:pageBreakBefore w:val="0"/>
        <w:kinsoku/>
        <w:wordWrap/>
        <w:overflowPunct/>
        <w:topLinePunct w:val="0"/>
        <w:autoSpaceDE/>
        <w:autoSpaceDN/>
        <w:bidi w:val="0"/>
        <w:spacing w:before="120" w:after="120" w:line="360" w:lineRule="auto"/>
        <w:ind w:left="425"/>
        <w:jc w:val="left"/>
        <w:outlineLvl w:val="9"/>
        <w:rPr>
          <w:rFonts w:hint="eastAsia" w:hAnsi="宋体" w:cs="宋体"/>
          <w:sz w:val="24"/>
          <w:highlight w:val="none"/>
        </w:rPr>
      </w:pPr>
    </w:p>
    <w:p>
      <w:pPr>
        <w:keepNext/>
        <w:keepLines/>
        <w:pageBreakBefore w:val="0"/>
        <w:kinsoku/>
        <w:wordWrap/>
        <w:overflowPunct/>
        <w:topLinePunct w:val="0"/>
        <w:autoSpaceDE/>
        <w:autoSpaceDN/>
        <w:bidi w:val="0"/>
        <w:spacing w:before="120" w:after="120" w:line="360" w:lineRule="auto"/>
        <w:ind w:left="425"/>
        <w:jc w:val="left"/>
        <w:outlineLvl w:val="9"/>
        <w:rPr>
          <w:rFonts w:hint="eastAsia" w:hAnsi="宋体" w:cs="宋体"/>
          <w:sz w:val="24"/>
          <w:highlight w:val="none"/>
        </w:rPr>
      </w:pPr>
    </w:p>
    <w:p>
      <w:pPr>
        <w:keepNext/>
        <w:keepLines/>
        <w:pageBreakBefore w:val="0"/>
        <w:kinsoku/>
        <w:wordWrap/>
        <w:overflowPunct/>
        <w:topLinePunct w:val="0"/>
        <w:autoSpaceDE/>
        <w:autoSpaceDN/>
        <w:bidi w:val="0"/>
        <w:spacing w:before="120" w:after="120" w:line="360" w:lineRule="auto"/>
        <w:ind w:left="425"/>
        <w:jc w:val="left"/>
        <w:outlineLvl w:val="9"/>
        <w:rPr>
          <w:rFonts w:hint="eastAsia" w:hAnsi="宋体" w:cs="宋体"/>
          <w:sz w:val="24"/>
          <w:highlight w:val="none"/>
        </w:rPr>
      </w:pPr>
    </w:p>
    <w:p>
      <w:pPr>
        <w:keepNext/>
        <w:keepLines/>
        <w:pageBreakBefore w:val="0"/>
        <w:kinsoku/>
        <w:wordWrap/>
        <w:overflowPunct/>
        <w:topLinePunct w:val="0"/>
        <w:autoSpaceDE/>
        <w:autoSpaceDN/>
        <w:bidi w:val="0"/>
        <w:spacing w:before="120" w:after="120" w:line="360" w:lineRule="auto"/>
        <w:ind w:left="425"/>
        <w:jc w:val="left"/>
        <w:outlineLvl w:val="9"/>
        <w:rPr>
          <w:rFonts w:hint="eastAsia" w:hAnsi="宋体" w:cs="宋体"/>
          <w:sz w:val="24"/>
          <w:highlight w:val="none"/>
        </w:rPr>
      </w:pPr>
    </w:p>
    <w:p>
      <w:pPr>
        <w:keepNext/>
        <w:keepLines/>
        <w:pageBreakBefore w:val="0"/>
        <w:widowControl w:val="0"/>
        <w:kinsoku/>
        <w:wordWrap/>
        <w:overflowPunct/>
        <w:topLinePunct w:val="0"/>
        <w:autoSpaceDE/>
        <w:autoSpaceDN/>
        <w:bidi w:val="0"/>
        <w:adjustRightInd/>
        <w:snapToGrid/>
        <w:spacing w:before="120" w:after="120" w:line="360" w:lineRule="auto"/>
        <w:ind w:left="425"/>
        <w:jc w:val="left"/>
        <w:textAlignment w:val="auto"/>
        <w:outlineLvl w:val="9"/>
        <w:rPr>
          <w:rFonts w:hint="eastAsia" w:hAnsi="宋体" w:cs="宋体"/>
          <w:sz w:val="24"/>
          <w:highlight w:val="none"/>
        </w:rPr>
      </w:pPr>
    </w:p>
    <w:p>
      <w:pPr>
        <w:keepNext/>
        <w:keepLines/>
        <w:pageBreakBefore w:val="0"/>
        <w:widowControl w:val="0"/>
        <w:kinsoku/>
        <w:wordWrap/>
        <w:overflowPunct/>
        <w:topLinePunct w:val="0"/>
        <w:autoSpaceDE/>
        <w:autoSpaceDN/>
        <w:bidi w:val="0"/>
        <w:adjustRightInd/>
        <w:snapToGrid/>
        <w:spacing w:before="120" w:after="120" w:line="360" w:lineRule="auto"/>
        <w:ind w:left="425"/>
        <w:jc w:val="left"/>
        <w:textAlignment w:val="auto"/>
        <w:outlineLvl w:val="9"/>
        <w:rPr>
          <w:rFonts w:hint="eastAsia" w:hAnsi="宋体" w:cs="宋体"/>
          <w:sz w:val="24"/>
          <w:highlight w:val="none"/>
        </w:rPr>
      </w:pPr>
    </w:p>
    <w:p>
      <w:pPr>
        <w:keepNext/>
        <w:keepLines/>
        <w:pageBreakBefore w:val="0"/>
        <w:widowControl w:val="0"/>
        <w:kinsoku/>
        <w:wordWrap/>
        <w:overflowPunct/>
        <w:topLinePunct w:val="0"/>
        <w:autoSpaceDE/>
        <w:autoSpaceDN/>
        <w:bidi w:val="0"/>
        <w:adjustRightInd/>
        <w:snapToGrid/>
        <w:spacing w:before="120" w:after="120" w:line="360" w:lineRule="auto"/>
        <w:ind w:left="425"/>
        <w:jc w:val="left"/>
        <w:textAlignment w:val="auto"/>
        <w:outlineLvl w:val="9"/>
        <w:rPr>
          <w:rFonts w:hint="eastAsia" w:hAnsi="宋体" w:cs="宋体"/>
          <w:sz w:val="24"/>
          <w:highlight w:val="none"/>
        </w:rPr>
      </w:pPr>
    </w:p>
    <w:p>
      <w:pPr>
        <w:keepNext/>
        <w:keepLines/>
        <w:pageBreakBefore w:val="0"/>
        <w:widowControl w:val="0"/>
        <w:kinsoku/>
        <w:wordWrap/>
        <w:overflowPunct/>
        <w:topLinePunct w:val="0"/>
        <w:autoSpaceDE/>
        <w:autoSpaceDN/>
        <w:bidi w:val="0"/>
        <w:adjustRightInd/>
        <w:snapToGrid/>
        <w:spacing w:before="120" w:after="120" w:line="360" w:lineRule="auto"/>
        <w:ind w:left="425"/>
        <w:jc w:val="left"/>
        <w:textAlignment w:val="auto"/>
        <w:outlineLvl w:val="9"/>
        <w:rPr>
          <w:rFonts w:hint="eastAsia" w:hAnsi="宋体" w:cs="宋体"/>
          <w:sz w:val="24"/>
          <w:highlight w:val="none"/>
        </w:rPr>
      </w:pPr>
    </w:p>
    <w:p>
      <w:pPr>
        <w:keepNext/>
        <w:keepLines/>
        <w:pageBreakBefore w:val="0"/>
        <w:widowControl w:val="0"/>
        <w:kinsoku/>
        <w:wordWrap/>
        <w:overflowPunct/>
        <w:topLinePunct w:val="0"/>
        <w:autoSpaceDE/>
        <w:autoSpaceDN/>
        <w:bidi w:val="0"/>
        <w:adjustRightInd/>
        <w:snapToGrid/>
        <w:spacing w:before="120" w:after="120" w:line="360" w:lineRule="auto"/>
        <w:ind w:left="425"/>
        <w:jc w:val="left"/>
        <w:textAlignment w:val="auto"/>
        <w:outlineLvl w:val="9"/>
        <w:rPr>
          <w:rFonts w:hint="eastAsia" w:hAnsi="宋体" w:cs="宋体"/>
          <w:sz w:val="24"/>
          <w:highlight w:val="none"/>
        </w:rPr>
      </w:pPr>
    </w:p>
    <w:p>
      <w:pPr>
        <w:keepNext/>
        <w:keepLines/>
        <w:pageBreakBefore w:val="0"/>
        <w:widowControl w:val="0"/>
        <w:kinsoku/>
        <w:wordWrap/>
        <w:overflowPunct/>
        <w:topLinePunct w:val="0"/>
        <w:autoSpaceDE/>
        <w:autoSpaceDN/>
        <w:bidi w:val="0"/>
        <w:adjustRightInd/>
        <w:snapToGrid/>
        <w:spacing w:before="120" w:after="120" w:line="360" w:lineRule="auto"/>
        <w:ind w:left="425"/>
        <w:jc w:val="left"/>
        <w:textAlignment w:val="auto"/>
        <w:outlineLvl w:val="9"/>
        <w:rPr>
          <w:rFonts w:hint="eastAsia" w:hAnsi="宋体" w:cs="宋体"/>
          <w:sz w:val="24"/>
          <w:highlight w:val="none"/>
        </w:rPr>
      </w:pPr>
    </w:p>
    <w:p>
      <w:pPr>
        <w:keepNext/>
        <w:keepLines/>
        <w:pageBreakBefore w:val="0"/>
        <w:widowControl w:val="0"/>
        <w:kinsoku/>
        <w:wordWrap/>
        <w:overflowPunct/>
        <w:topLinePunct w:val="0"/>
        <w:autoSpaceDE/>
        <w:autoSpaceDN/>
        <w:bidi w:val="0"/>
        <w:adjustRightInd/>
        <w:snapToGrid/>
        <w:spacing w:before="120" w:after="120" w:line="360" w:lineRule="auto"/>
        <w:ind w:left="425"/>
        <w:jc w:val="left"/>
        <w:textAlignment w:val="auto"/>
        <w:outlineLvl w:val="9"/>
        <w:rPr>
          <w:rFonts w:hint="eastAsia" w:hAnsi="宋体" w:cs="宋体"/>
          <w:sz w:val="24"/>
          <w:highlight w:val="none"/>
        </w:rPr>
      </w:pPr>
    </w:p>
    <w:p>
      <w:pPr>
        <w:keepNext/>
        <w:keepLines/>
        <w:pageBreakBefore w:val="0"/>
        <w:widowControl w:val="0"/>
        <w:kinsoku/>
        <w:wordWrap/>
        <w:overflowPunct/>
        <w:topLinePunct w:val="0"/>
        <w:autoSpaceDE/>
        <w:autoSpaceDN/>
        <w:bidi w:val="0"/>
        <w:adjustRightInd/>
        <w:snapToGrid/>
        <w:spacing w:before="120" w:after="120" w:line="360" w:lineRule="auto"/>
        <w:ind w:left="425"/>
        <w:jc w:val="left"/>
        <w:textAlignment w:val="auto"/>
        <w:outlineLvl w:val="9"/>
        <w:rPr>
          <w:rFonts w:hint="eastAsia" w:hAnsi="宋体" w:cs="宋体"/>
          <w:sz w:val="24"/>
          <w:highlight w:val="none"/>
        </w:rPr>
      </w:pPr>
    </w:p>
    <w:p>
      <w:pPr>
        <w:keepNext/>
        <w:keepLines/>
        <w:pageBreakBefore w:val="0"/>
        <w:widowControl w:val="0"/>
        <w:kinsoku/>
        <w:wordWrap/>
        <w:overflowPunct/>
        <w:topLinePunct w:val="0"/>
        <w:autoSpaceDE/>
        <w:autoSpaceDN/>
        <w:bidi w:val="0"/>
        <w:adjustRightInd/>
        <w:snapToGrid/>
        <w:spacing w:before="120" w:after="120" w:line="360" w:lineRule="auto"/>
        <w:ind w:left="425"/>
        <w:jc w:val="left"/>
        <w:textAlignment w:val="auto"/>
        <w:outlineLvl w:val="9"/>
        <w:rPr>
          <w:rFonts w:hint="eastAsia" w:hAnsi="宋体" w:cs="宋体"/>
          <w:sz w:val="24"/>
          <w:highlight w:val="none"/>
        </w:rPr>
      </w:pPr>
    </w:p>
    <w:p>
      <w:pPr>
        <w:keepNext/>
        <w:keepLines/>
        <w:pageBreakBefore w:val="0"/>
        <w:widowControl w:val="0"/>
        <w:kinsoku/>
        <w:wordWrap/>
        <w:overflowPunct/>
        <w:topLinePunct w:val="0"/>
        <w:autoSpaceDE/>
        <w:autoSpaceDN/>
        <w:bidi w:val="0"/>
        <w:adjustRightInd/>
        <w:snapToGrid/>
        <w:spacing w:before="120" w:after="120" w:line="360" w:lineRule="auto"/>
        <w:ind w:left="425"/>
        <w:jc w:val="left"/>
        <w:textAlignment w:val="auto"/>
        <w:outlineLvl w:val="9"/>
        <w:rPr>
          <w:rFonts w:hint="eastAsia" w:eastAsia="仿宋"/>
          <w:sz w:val="24"/>
          <w:highlight w:val="none"/>
        </w:rPr>
      </w:pPr>
      <w:bookmarkStart w:id="381" w:name="_Toc22158"/>
      <w:bookmarkStart w:id="382" w:name="_Toc4514"/>
      <w:bookmarkStart w:id="383" w:name="_Toc26179"/>
      <w:r>
        <w:rPr>
          <w:rFonts w:eastAsia="仿宋"/>
          <w:b/>
          <w:bCs/>
          <w:sz w:val="24"/>
          <w:highlight w:val="none"/>
        </w:rPr>
        <w:t>说明</w:t>
      </w:r>
      <w:r>
        <w:rPr>
          <w:rFonts w:eastAsia="仿宋"/>
          <w:sz w:val="24"/>
          <w:highlight w:val="none"/>
        </w:rPr>
        <w:t>：</w:t>
      </w:r>
      <w:bookmarkEnd w:id="379"/>
      <w:bookmarkEnd w:id="380"/>
      <w:bookmarkEnd w:id="381"/>
      <w:bookmarkStart w:id="384" w:name="_Toc14932"/>
      <w:bookmarkStart w:id="385" w:name="_Toc491307491"/>
      <w:bookmarkStart w:id="386" w:name="_Toc491307371"/>
      <w:bookmarkStart w:id="387" w:name="_Toc491307309"/>
      <w:bookmarkStart w:id="388" w:name="_Toc494043345"/>
      <w:r>
        <w:rPr>
          <w:rFonts w:hint="eastAsia" w:eastAsia="仿宋"/>
          <w:sz w:val="24"/>
          <w:highlight w:val="none"/>
        </w:rPr>
        <w:t>投标人须按第</w:t>
      </w:r>
      <w:r>
        <w:rPr>
          <w:rFonts w:hint="eastAsia" w:eastAsia="仿宋"/>
          <w:sz w:val="24"/>
          <w:highlight w:val="none"/>
          <w:lang w:val="en-US" w:eastAsia="zh-CN"/>
        </w:rPr>
        <w:t>二</w:t>
      </w:r>
      <w:r>
        <w:rPr>
          <w:rFonts w:hint="eastAsia" w:eastAsia="仿宋"/>
          <w:sz w:val="24"/>
          <w:highlight w:val="none"/>
        </w:rPr>
        <w:t>章“</w:t>
      </w:r>
      <w:r>
        <w:rPr>
          <w:rFonts w:hint="eastAsia" w:eastAsia="仿宋"/>
          <w:sz w:val="24"/>
          <w:highlight w:val="none"/>
          <w:lang w:val="en-US" w:eastAsia="zh-CN"/>
        </w:rPr>
        <w:t>投标人须知前附表</w:t>
      </w:r>
      <w:r>
        <w:rPr>
          <w:rFonts w:hint="eastAsia" w:eastAsia="仿宋"/>
          <w:sz w:val="24"/>
          <w:highlight w:val="none"/>
        </w:rPr>
        <w:t>”3.1</w:t>
      </w:r>
      <w:r>
        <w:rPr>
          <w:rFonts w:hint="eastAsia" w:eastAsia="仿宋"/>
          <w:sz w:val="24"/>
          <w:highlight w:val="none"/>
        </w:rPr>
        <w:tab/>
      </w:r>
      <w:r>
        <w:rPr>
          <w:rFonts w:hint="eastAsia" w:eastAsia="仿宋"/>
          <w:sz w:val="24"/>
          <w:highlight w:val="none"/>
        </w:rPr>
        <w:t>规定的资格条件的要求提供资格证明文件（提供书面声明，</w:t>
      </w:r>
      <w:r>
        <w:rPr>
          <w:rFonts w:hint="eastAsia" w:eastAsia="仿宋"/>
          <w:sz w:val="24"/>
          <w:highlight w:val="none"/>
          <w:lang w:val="en-US" w:eastAsia="zh-CN"/>
        </w:rPr>
        <w:t>彩色</w:t>
      </w:r>
      <w:r>
        <w:rPr>
          <w:rFonts w:hint="eastAsia" w:eastAsia="仿宋"/>
          <w:sz w:val="24"/>
          <w:highlight w:val="none"/>
        </w:rPr>
        <w:t>扫描件加盖电子公章）</w:t>
      </w:r>
      <w:bookmarkEnd w:id="382"/>
    </w:p>
    <w:p>
      <w:pPr>
        <w:keepNext/>
        <w:keepLines/>
        <w:pageBreakBefore w:val="0"/>
        <w:widowControl w:val="0"/>
        <w:kinsoku/>
        <w:wordWrap/>
        <w:overflowPunct/>
        <w:topLinePunct w:val="0"/>
        <w:autoSpaceDE/>
        <w:autoSpaceDN/>
        <w:bidi w:val="0"/>
        <w:adjustRightInd/>
        <w:snapToGrid/>
        <w:spacing w:before="120" w:after="120" w:line="360" w:lineRule="auto"/>
        <w:jc w:val="left"/>
        <w:textAlignment w:val="auto"/>
        <w:outlineLvl w:val="9"/>
        <w:rPr>
          <w:rFonts w:hint="eastAsia" w:hAnsi="宋体" w:cs="宋体"/>
          <w:b/>
          <w:sz w:val="28"/>
          <w:szCs w:val="28"/>
          <w:highlight w:val="none"/>
        </w:rPr>
      </w:pPr>
      <w:r>
        <w:rPr>
          <w:rFonts w:hint="eastAsia" w:hAnsi="宋体" w:cs="宋体"/>
          <w:b/>
          <w:sz w:val="28"/>
          <w:szCs w:val="28"/>
          <w:highlight w:val="none"/>
        </w:rPr>
        <w:br w:type="page"/>
      </w:r>
      <w:bookmarkStart w:id="389" w:name="_Toc23825"/>
      <w:bookmarkStart w:id="390" w:name="_Toc3588"/>
      <w:r>
        <w:rPr>
          <w:rFonts w:hint="eastAsia" w:hAnsi="宋体" w:cs="宋体"/>
          <w:b/>
          <w:sz w:val="28"/>
          <w:szCs w:val="28"/>
          <w:highlight w:val="none"/>
        </w:rPr>
        <w:t>格式1-4</w:t>
      </w:r>
      <w:bookmarkEnd w:id="383"/>
      <w:bookmarkEnd w:id="384"/>
      <w:bookmarkEnd w:id="385"/>
      <w:bookmarkEnd w:id="386"/>
      <w:bookmarkEnd w:id="387"/>
      <w:bookmarkEnd w:id="388"/>
      <w:bookmarkEnd w:id="389"/>
      <w:bookmarkEnd w:id="390"/>
    </w:p>
    <w:p>
      <w:pPr>
        <w:keepNext/>
        <w:keepLines/>
        <w:pageBreakBefore w:val="0"/>
        <w:kinsoku/>
        <w:wordWrap/>
        <w:overflowPunct/>
        <w:topLinePunct w:val="0"/>
        <w:autoSpaceDE/>
        <w:autoSpaceDN/>
        <w:bidi w:val="0"/>
        <w:spacing w:before="120" w:after="120" w:line="360" w:lineRule="auto"/>
        <w:ind w:left="425"/>
        <w:jc w:val="left"/>
        <w:outlineLvl w:val="9"/>
        <w:rPr>
          <w:rFonts w:hint="eastAsia" w:hAnsi="宋体" w:cs="宋体"/>
          <w:b/>
          <w:sz w:val="24"/>
          <w:highlight w:val="none"/>
        </w:rPr>
      </w:pPr>
      <w:bookmarkStart w:id="391" w:name="_Toc1734"/>
      <w:bookmarkStart w:id="392" w:name="_Toc24840"/>
      <w:bookmarkStart w:id="393" w:name="_Toc21028"/>
      <w:r>
        <w:rPr>
          <w:rFonts w:hint="eastAsia" w:hAnsi="宋体" w:cs="宋体"/>
          <w:b/>
          <w:sz w:val="24"/>
          <w:highlight w:val="none"/>
        </w:rPr>
        <w:t>投标人须具有依法缴纳税收和社会保障资金的良好记录</w:t>
      </w:r>
      <w:bookmarkEnd w:id="391"/>
      <w:bookmarkEnd w:id="392"/>
      <w:bookmarkEnd w:id="393"/>
    </w:p>
    <w:p>
      <w:pPr>
        <w:keepNext/>
        <w:keepLines/>
        <w:pageBreakBefore w:val="0"/>
        <w:kinsoku/>
        <w:wordWrap/>
        <w:overflowPunct/>
        <w:topLinePunct w:val="0"/>
        <w:autoSpaceDE/>
        <w:autoSpaceDN/>
        <w:bidi w:val="0"/>
        <w:spacing w:before="120" w:after="120" w:line="360" w:lineRule="auto"/>
        <w:ind w:left="425"/>
        <w:jc w:val="left"/>
        <w:outlineLvl w:val="9"/>
        <w:rPr>
          <w:rFonts w:hint="eastAsia" w:hAnsi="宋体" w:cs="宋体"/>
          <w:sz w:val="24"/>
          <w:highlight w:val="none"/>
        </w:rPr>
      </w:pPr>
    </w:p>
    <w:p>
      <w:pPr>
        <w:keepNext/>
        <w:keepLines/>
        <w:pageBreakBefore w:val="0"/>
        <w:kinsoku/>
        <w:wordWrap/>
        <w:overflowPunct/>
        <w:topLinePunct w:val="0"/>
        <w:autoSpaceDE/>
        <w:autoSpaceDN/>
        <w:bidi w:val="0"/>
        <w:spacing w:before="120" w:after="120" w:line="360" w:lineRule="auto"/>
        <w:ind w:left="425"/>
        <w:jc w:val="left"/>
        <w:outlineLvl w:val="9"/>
        <w:rPr>
          <w:rFonts w:hint="eastAsia" w:hAnsi="宋体" w:cs="宋体"/>
          <w:sz w:val="24"/>
          <w:highlight w:val="none"/>
        </w:rPr>
      </w:pPr>
    </w:p>
    <w:p>
      <w:pPr>
        <w:keepNext/>
        <w:keepLines/>
        <w:pageBreakBefore w:val="0"/>
        <w:kinsoku/>
        <w:wordWrap/>
        <w:overflowPunct/>
        <w:topLinePunct w:val="0"/>
        <w:autoSpaceDE/>
        <w:autoSpaceDN/>
        <w:bidi w:val="0"/>
        <w:spacing w:before="120" w:after="120" w:line="360" w:lineRule="auto"/>
        <w:ind w:left="425"/>
        <w:jc w:val="left"/>
        <w:outlineLvl w:val="9"/>
        <w:rPr>
          <w:rFonts w:hint="eastAsia" w:hAnsi="宋体" w:cs="宋体"/>
          <w:sz w:val="24"/>
          <w:highlight w:val="none"/>
        </w:rPr>
      </w:pPr>
    </w:p>
    <w:p>
      <w:pPr>
        <w:keepNext/>
        <w:keepLines/>
        <w:pageBreakBefore w:val="0"/>
        <w:kinsoku/>
        <w:wordWrap/>
        <w:overflowPunct/>
        <w:topLinePunct w:val="0"/>
        <w:autoSpaceDE/>
        <w:autoSpaceDN/>
        <w:bidi w:val="0"/>
        <w:spacing w:before="120" w:after="120" w:line="360" w:lineRule="auto"/>
        <w:ind w:left="425"/>
        <w:jc w:val="left"/>
        <w:outlineLvl w:val="9"/>
        <w:rPr>
          <w:rFonts w:hint="eastAsia" w:hAnsi="宋体" w:cs="宋体"/>
          <w:sz w:val="24"/>
          <w:highlight w:val="none"/>
        </w:rPr>
      </w:pPr>
    </w:p>
    <w:p>
      <w:pPr>
        <w:keepNext/>
        <w:keepLines/>
        <w:pageBreakBefore w:val="0"/>
        <w:kinsoku/>
        <w:wordWrap/>
        <w:overflowPunct/>
        <w:topLinePunct w:val="0"/>
        <w:autoSpaceDE/>
        <w:autoSpaceDN/>
        <w:bidi w:val="0"/>
        <w:spacing w:before="120" w:after="120" w:line="360" w:lineRule="auto"/>
        <w:ind w:left="425"/>
        <w:jc w:val="left"/>
        <w:outlineLvl w:val="9"/>
        <w:rPr>
          <w:rFonts w:hint="eastAsia" w:hAnsi="宋体" w:cs="宋体"/>
          <w:sz w:val="24"/>
          <w:highlight w:val="none"/>
        </w:rPr>
      </w:pPr>
    </w:p>
    <w:p>
      <w:pPr>
        <w:keepNext/>
        <w:keepLines/>
        <w:pageBreakBefore w:val="0"/>
        <w:widowControl w:val="0"/>
        <w:kinsoku/>
        <w:wordWrap/>
        <w:overflowPunct/>
        <w:topLinePunct w:val="0"/>
        <w:autoSpaceDE/>
        <w:autoSpaceDN/>
        <w:bidi w:val="0"/>
        <w:adjustRightInd/>
        <w:snapToGrid/>
        <w:spacing w:before="120" w:after="120" w:line="360" w:lineRule="auto"/>
        <w:ind w:left="425"/>
        <w:jc w:val="left"/>
        <w:textAlignment w:val="auto"/>
        <w:outlineLvl w:val="9"/>
        <w:rPr>
          <w:rFonts w:hint="eastAsia" w:hAnsi="宋体" w:cs="宋体"/>
          <w:sz w:val="24"/>
          <w:highlight w:val="none"/>
        </w:rPr>
      </w:pPr>
    </w:p>
    <w:p>
      <w:pPr>
        <w:keepNext/>
        <w:keepLines/>
        <w:pageBreakBefore w:val="0"/>
        <w:widowControl w:val="0"/>
        <w:kinsoku/>
        <w:wordWrap/>
        <w:overflowPunct/>
        <w:topLinePunct w:val="0"/>
        <w:autoSpaceDE/>
        <w:autoSpaceDN/>
        <w:bidi w:val="0"/>
        <w:adjustRightInd/>
        <w:snapToGrid/>
        <w:spacing w:before="120" w:after="120" w:line="360" w:lineRule="auto"/>
        <w:ind w:left="425"/>
        <w:jc w:val="left"/>
        <w:textAlignment w:val="auto"/>
        <w:outlineLvl w:val="9"/>
        <w:rPr>
          <w:rFonts w:hint="eastAsia" w:hAnsi="宋体" w:cs="宋体"/>
          <w:sz w:val="24"/>
          <w:highlight w:val="none"/>
        </w:rPr>
      </w:pPr>
    </w:p>
    <w:p>
      <w:pPr>
        <w:keepNext/>
        <w:keepLines/>
        <w:pageBreakBefore w:val="0"/>
        <w:widowControl w:val="0"/>
        <w:kinsoku/>
        <w:wordWrap/>
        <w:overflowPunct/>
        <w:topLinePunct w:val="0"/>
        <w:autoSpaceDE/>
        <w:autoSpaceDN/>
        <w:bidi w:val="0"/>
        <w:adjustRightInd/>
        <w:snapToGrid/>
        <w:spacing w:before="120" w:after="120" w:line="360" w:lineRule="auto"/>
        <w:ind w:left="425"/>
        <w:jc w:val="left"/>
        <w:textAlignment w:val="auto"/>
        <w:outlineLvl w:val="9"/>
        <w:rPr>
          <w:rFonts w:hint="eastAsia" w:hAnsi="宋体" w:cs="宋体"/>
          <w:sz w:val="24"/>
          <w:highlight w:val="none"/>
        </w:rPr>
      </w:pPr>
    </w:p>
    <w:p>
      <w:pPr>
        <w:keepNext/>
        <w:keepLines/>
        <w:pageBreakBefore w:val="0"/>
        <w:widowControl w:val="0"/>
        <w:kinsoku/>
        <w:wordWrap/>
        <w:overflowPunct/>
        <w:topLinePunct w:val="0"/>
        <w:autoSpaceDE/>
        <w:autoSpaceDN/>
        <w:bidi w:val="0"/>
        <w:adjustRightInd/>
        <w:snapToGrid/>
        <w:spacing w:before="120" w:after="120" w:line="360" w:lineRule="auto"/>
        <w:ind w:left="425"/>
        <w:jc w:val="left"/>
        <w:textAlignment w:val="auto"/>
        <w:outlineLvl w:val="9"/>
        <w:rPr>
          <w:rFonts w:hint="eastAsia" w:hAnsi="宋体" w:cs="宋体"/>
          <w:sz w:val="24"/>
          <w:highlight w:val="none"/>
        </w:rPr>
      </w:pPr>
    </w:p>
    <w:p>
      <w:pPr>
        <w:keepNext/>
        <w:keepLines/>
        <w:pageBreakBefore w:val="0"/>
        <w:widowControl w:val="0"/>
        <w:kinsoku/>
        <w:wordWrap/>
        <w:overflowPunct/>
        <w:topLinePunct w:val="0"/>
        <w:autoSpaceDE/>
        <w:autoSpaceDN/>
        <w:bidi w:val="0"/>
        <w:adjustRightInd/>
        <w:snapToGrid/>
        <w:spacing w:before="120" w:after="120" w:line="360" w:lineRule="auto"/>
        <w:ind w:left="425"/>
        <w:jc w:val="left"/>
        <w:textAlignment w:val="auto"/>
        <w:outlineLvl w:val="9"/>
        <w:rPr>
          <w:rFonts w:hint="eastAsia" w:hAnsi="宋体" w:cs="宋体"/>
          <w:sz w:val="24"/>
          <w:highlight w:val="none"/>
        </w:rPr>
      </w:pPr>
    </w:p>
    <w:p>
      <w:pPr>
        <w:keepNext/>
        <w:keepLines/>
        <w:pageBreakBefore w:val="0"/>
        <w:widowControl w:val="0"/>
        <w:kinsoku/>
        <w:wordWrap/>
        <w:overflowPunct/>
        <w:topLinePunct w:val="0"/>
        <w:autoSpaceDE/>
        <w:autoSpaceDN/>
        <w:bidi w:val="0"/>
        <w:adjustRightInd/>
        <w:snapToGrid/>
        <w:spacing w:before="120" w:after="120" w:line="360" w:lineRule="auto"/>
        <w:ind w:left="425"/>
        <w:jc w:val="left"/>
        <w:textAlignment w:val="auto"/>
        <w:outlineLvl w:val="9"/>
        <w:rPr>
          <w:rFonts w:hint="eastAsia" w:hAnsi="宋体" w:cs="宋体"/>
          <w:sz w:val="24"/>
          <w:highlight w:val="none"/>
        </w:rPr>
      </w:pPr>
    </w:p>
    <w:p>
      <w:pPr>
        <w:keepNext/>
        <w:keepLines/>
        <w:pageBreakBefore w:val="0"/>
        <w:widowControl w:val="0"/>
        <w:kinsoku/>
        <w:wordWrap/>
        <w:overflowPunct/>
        <w:topLinePunct w:val="0"/>
        <w:autoSpaceDE/>
        <w:autoSpaceDN/>
        <w:bidi w:val="0"/>
        <w:adjustRightInd/>
        <w:snapToGrid/>
        <w:spacing w:before="120" w:after="120" w:line="360" w:lineRule="auto"/>
        <w:ind w:left="425"/>
        <w:jc w:val="left"/>
        <w:textAlignment w:val="auto"/>
        <w:outlineLvl w:val="9"/>
        <w:rPr>
          <w:rFonts w:eastAsia="仿宋"/>
          <w:b/>
          <w:bCs/>
          <w:szCs w:val="21"/>
          <w:highlight w:val="none"/>
        </w:rPr>
      </w:pPr>
    </w:p>
    <w:p>
      <w:pPr>
        <w:keepNext/>
        <w:keepLines/>
        <w:pageBreakBefore w:val="0"/>
        <w:widowControl w:val="0"/>
        <w:kinsoku/>
        <w:wordWrap/>
        <w:overflowPunct/>
        <w:topLinePunct w:val="0"/>
        <w:autoSpaceDE/>
        <w:autoSpaceDN/>
        <w:bidi w:val="0"/>
        <w:adjustRightInd/>
        <w:snapToGrid/>
        <w:spacing w:before="120" w:after="120" w:line="360" w:lineRule="auto"/>
        <w:ind w:left="425"/>
        <w:jc w:val="left"/>
        <w:textAlignment w:val="auto"/>
        <w:outlineLvl w:val="9"/>
        <w:rPr>
          <w:rFonts w:eastAsia="仿宋"/>
          <w:b/>
          <w:bCs/>
          <w:szCs w:val="21"/>
          <w:highlight w:val="none"/>
        </w:rPr>
      </w:pPr>
    </w:p>
    <w:p>
      <w:pPr>
        <w:keepNext/>
        <w:keepLines/>
        <w:pageBreakBefore w:val="0"/>
        <w:widowControl w:val="0"/>
        <w:kinsoku/>
        <w:wordWrap/>
        <w:overflowPunct/>
        <w:topLinePunct w:val="0"/>
        <w:autoSpaceDE/>
        <w:autoSpaceDN/>
        <w:bidi w:val="0"/>
        <w:adjustRightInd/>
        <w:snapToGrid/>
        <w:spacing w:before="120" w:after="120" w:line="360" w:lineRule="auto"/>
        <w:ind w:left="425"/>
        <w:jc w:val="left"/>
        <w:textAlignment w:val="auto"/>
        <w:outlineLvl w:val="9"/>
        <w:rPr>
          <w:rFonts w:eastAsia="仿宋"/>
          <w:b/>
          <w:bCs/>
          <w:sz w:val="24"/>
          <w:highlight w:val="none"/>
        </w:rPr>
      </w:pPr>
      <w:bookmarkStart w:id="394" w:name="_Toc11490"/>
    </w:p>
    <w:p>
      <w:pPr>
        <w:keepNext/>
        <w:keepLines/>
        <w:pageBreakBefore w:val="0"/>
        <w:widowControl w:val="0"/>
        <w:kinsoku/>
        <w:wordWrap/>
        <w:overflowPunct/>
        <w:topLinePunct w:val="0"/>
        <w:autoSpaceDE/>
        <w:autoSpaceDN/>
        <w:bidi w:val="0"/>
        <w:adjustRightInd/>
        <w:snapToGrid/>
        <w:spacing w:before="120" w:after="120" w:line="360" w:lineRule="auto"/>
        <w:ind w:left="425"/>
        <w:jc w:val="left"/>
        <w:textAlignment w:val="auto"/>
        <w:outlineLvl w:val="9"/>
        <w:rPr>
          <w:rFonts w:hint="eastAsia" w:eastAsia="仿宋"/>
          <w:sz w:val="24"/>
          <w:highlight w:val="none"/>
        </w:rPr>
      </w:pPr>
      <w:bookmarkStart w:id="395" w:name="_Toc14238"/>
      <w:bookmarkStart w:id="396" w:name="_Toc26225"/>
      <w:r>
        <w:rPr>
          <w:rFonts w:eastAsia="仿宋"/>
          <w:b/>
          <w:bCs/>
          <w:sz w:val="24"/>
          <w:highlight w:val="none"/>
        </w:rPr>
        <w:t>说明：</w:t>
      </w:r>
      <w:bookmarkEnd w:id="394"/>
      <w:bookmarkEnd w:id="395"/>
      <w:r>
        <w:rPr>
          <w:rFonts w:hint="eastAsia" w:eastAsia="仿宋"/>
          <w:sz w:val="24"/>
          <w:highlight w:val="none"/>
        </w:rPr>
        <w:t>投标人须按第</w:t>
      </w:r>
      <w:r>
        <w:rPr>
          <w:rFonts w:hint="eastAsia" w:eastAsia="仿宋"/>
          <w:sz w:val="24"/>
          <w:highlight w:val="none"/>
          <w:lang w:val="en-US" w:eastAsia="zh-CN"/>
        </w:rPr>
        <w:t>二</w:t>
      </w:r>
      <w:r>
        <w:rPr>
          <w:rFonts w:hint="eastAsia" w:eastAsia="仿宋"/>
          <w:sz w:val="24"/>
          <w:highlight w:val="none"/>
        </w:rPr>
        <w:t>章“</w:t>
      </w:r>
      <w:r>
        <w:rPr>
          <w:rFonts w:hint="eastAsia" w:eastAsia="仿宋"/>
          <w:sz w:val="24"/>
          <w:highlight w:val="none"/>
          <w:lang w:val="en-US" w:eastAsia="zh-CN"/>
        </w:rPr>
        <w:t>投标人须知前附表</w:t>
      </w:r>
      <w:r>
        <w:rPr>
          <w:rFonts w:hint="eastAsia" w:eastAsia="仿宋"/>
          <w:sz w:val="24"/>
          <w:highlight w:val="none"/>
        </w:rPr>
        <w:t>”3.1</w:t>
      </w:r>
      <w:r>
        <w:rPr>
          <w:rFonts w:hint="eastAsia" w:eastAsia="仿宋"/>
          <w:sz w:val="24"/>
          <w:highlight w:val="none"/>
        </w:rPr>
        <w:tab/>
      </w:r>
      <w:r>
        <w:rPr>
          <w:rFonts w:hint="eastAsia" w:eastAsia="仿宋"/>
          <w:sz w:val="24"/>
          <w:highlight w:val="none"/>
        </w:rPr>
        <w:t>规定的资格条件的要求提供资格证明文件（彩色扫描件加盖投标人单位电子签章）</w:t>
      </w:r>
      <w:bookmarkEnd w:id="396"/>
    </w:p>
    <w:p>
      <w:pPr>
        <w:keepNext/>
        <w:keepLines/>
        <w:pageBreakBefore w:val="0"/>
        <w:kinsoku/>
        <w:wordWrap/>
        <w:overflowPunct/>
        <w:topLinePunct w:val="0"/>
        <w:autoSpaceDE/>
        <w:autoSpaceDN/>
        <w:bidi w:val="0"/>
        <w:spacing w:after="120" w:line="360" w:lineRule="auto"/>
        <w:jc w:val="left"/>
        <w:outlineLvl w:val="9"/>
        <w:rPr>
          <w:rFonts w:hint="eastAsia" w:hAnsi="宋体" w:cs="宋体"/>
          <w:b/>
          <w:sz w:val="28"/>
          <w:szCs w:val="28"/>
          <w:highlight w:val="none"/>
        </w:rPr>
      </w:pPr>
      <w:r>
        <w:rPr>
          <w:rFonts w:hint="eastAsia" w:hAnsi="宋体" w:cs="宋体"/>
          <w:szCs w:val="21"/>
          <w:highlight w:val="none"/>
        </w:rPr>
        <w:br w:type="page"/>
      </w:r>
      <w:bookmarkStart w:id="397" w:name="_Toc10783"/>
      <w:bookmarkStart w:id="398" w:name="_Toc494043347"/>
      <w:bookmarkStart w:id="399" w:name="_Toc491307493"/>
      <w:bookmarkStart w:id="400" w:name="_Toc8059"/>
      <w:bookmarkStart w:id="401" w:name="_Toc491307373"/>
      <w:bookmarkStart w:id="402" w:name="_Toc23574"/>
      <w:bookmarkStart w:id="403" w:name="_Toc5640"/>
      <w:bookmarkStart w:id="404" w:name="_Toc491307311"/>
      <w:r>
        <w:rPr>
          <w:rFonts w:hint="eastAsia" w:hAnsi="宋体" w:cs="宋体"/>
          <w:b/>
          <w:sz w:val="28"/>
          <w:szCs w:val="28"/>
          <w:highlight w:val="none"/>
        </w:rPr>
        <w:t>格式1-5</w:t>
      </w:r>
      <w:bookmarkEnd w:id="397"/>
      <w:bookmarkEnd w:id="398"/>
      <w:bookmarkEnd w:id="399"/>
      <w:bookmarkEnd w:id="400"/>
      <w:bookmarkEnd w:id="401"/>
      <w:bookmarkEnd w:id="402"/>
      <w:bookmarkEnd w:id="403"/>
      <w:bookmarkEnd w:id="404"/>
    </w:p>
    <w:p>
      <w:pPr>
        <w:keepNext/>
        <w:keepLines/>
        <w:pageBreakBefore w:val="0"/>
        <w:kinsoku/>
        <w:wordWrap/>
        <w:overflowPunct/>
        <w:topLinePunct w:val="0"/>
        <w:autoSpaceDE/>
        <w:autoSpaceDN/>
        <w:bidi w:val="0"/>
        <w:spacing w:before="120" w:after="120" w:line="360" w:lineRule="auto"/>
        <w:ind w:left="425"/>
        <w:jc w:val="left"/>
        <w:outlineLvl w:val="9"/>
        <w:rPr>
          <w:rFonts w:hint="eastAsia" w:hAnsi="宋体" w:cs="宋体"/>
          <w:b/>
          <w:sz w:val="24"/>
          <w:highlight w:val="none"/>
        </w:rPr>
      </w:pPr>
      <w:bookmarkStart w:id="405" w:name="_Toc22080"/>
      <w:bookmarkStart w:id="406" w:name="_Toc22188"/>
      <w:bookmarkStart w:id="407" w:name="_Toc25956"/>
      <w:r>
        <w:rPr>
          <w:rFonts w:hint="eastAsia" w:hAnsi="宋体" w:cs="宋体"/>
          <w:b/>
          <w:sz w:val="24"/>
          <w:highlight w:val="none"/>
        </w:rPr>
        <w:t>投标人参加政府采购活动前三年内，在经营活动中没有重大违法记录</w:t>
      </w:r>
      <w:bookmarkEnd w:id="405"/>
      <w:bookmarkEnd w:id="406"/>
      <w:bookmarkEnd w:id="407"/>
    </w:p>
    <w:p>
      <w:pPr>
        <w:pageBreakBefore w:val="0"/>
        <w:kinsoku/>
        <w:wordWrap/>
        <w:overflowPunct/>
        <w:topLinePunct w:val="0"/>
        <w:autoSpaceDE/>
        <w:autoSpaceDN/>
        <w:bidi w:val="0"/>
        <w:ind w:firstLine="735" w:firstLineChars="350"/>
        <w:outlineLvl w:val="9"/>
        <w:rPr>
          <w:rFonts w:hint="eastAsia" w:ascii="仿宋" w:hAnsi="仿宋" w:eastAsia="仿宋" w:cs="仿宋"/>
          <w:szCs w:val="21"/>
          <w:highlight w:val="none"/>
        </w:rPr>
      </w:pPr>
    </w:p>
    <w:p>
      <w:pPr>
        <w:pageBreakBefore w:val="0"/>
        <w:kinsoku/>
        <w:wordWrap/>
        <w:overflowPunct/>
        <w:topLinePunct w:val="0"/>
        <w:autoSpaceDE/>
        <w:autoSpaceDN/>
        <w:bidi w:val="0"/>
        <w:ind w:firstLine="735" w:firstLineChars="350"/>
        <w:outlineLvl w:val="9"/>
        <w:rPr>
          <w:rFonts w:hint="eastAsia" w:ascii="仿宋" w:hAnsi="仿宋" w:eastAsia="仿宋" w:cs="仿宋"/>
          <w:szCs w:val="21"/>
          <w:highlight w:val="none"/>
        </w:rPr>
      </w:pPr>
    </w:p>
    <w:p>
      <w:pPr>
        <w:pageBreakBefore w:val="0"/>
        <w:widowControl w:val="0"/>
        <w:kinsoku/>
        <w:wordWrap/>
        <w:overflowPunct/>
        <w:topLinePunct w:val="0"/>
        <w:autoSpaceDE/>
        <w:autoSpaceDN/>
        <w:bidi w:val="0"/>
        <w:adjustRightInd/>
        <w:snapToGrid/>
        <w:ind w:firstLine="840" w:firstLineChars="350"/>
        <w:textAlignment w:val="auto"/>
        <w:outlineLvl w:val="9"/>
        <w:rPr>
          <w:rFonts w:hint="eastAsia" w:ascii="仿宋" w:hAnsi="仿宋" w:eastAsia="仿宋" w:cs="仿宋"/>
          <w:sz w:val="24"/>
          <w:highlight w:val="none"/>
        </w:rPr>
      </w:pPr>
      <w:r>
        <w:rPr>
          <w:rFonts w:hint="eastAsia" w:ascii="仿宋" w:hAnsi="仿宋" w:eastAsia="仿宋" w:cs="仿宋"/>
          <w:sz w:val="24"/>
          <w:highlight w:val="none"/>
        </w:rPr>
        <w:t>（投标人自行承诺及说明，内容自拟）</w:t>
      </w:r>
    </w:p>
    <w:p>
      <w:pPr>
        <w:pageBreakBefore w:val="0"/>
        <w:widowControl w:val="0"/>
        <w:kinsoku/>
        <w:wordWrap/>
        <w:overflowPunct/>
        <w:topLinePunct w:val="0"/>
        <w:autoSpaceDE/>
        <w:autoSpaceDN/>
        <w:bidi w:val="0"/>
        <w:adjustRightInd/>
        <w:snapToGrid/>
        <w:spacing w:line="360" w:lineRule="auto"/>
        <w:jc w:val="left"/>
        <w:textAlignment w:val="auto"/>
        <w:outlineLvl w:val="9"/>
        <w:rPr>
          <w:rFonts w:hint="eastAsia" w:ascii="仿宋" w:hAnsi="仿宋" w:eastAsia="仿宋" w:cs="仿宋"/>
          <w:szCs w:val="21"/>
          <w:highlight w:val="none"/>
        </w:rPr>
      </w:pPr>
    </w:p>
    <w:p>
      <w:pPr>
        <w:pageBreakBefore w:val="0"/>
        <w:widowControl w:val="0"/>
        <w:kinsoku/>
        <w:wordWrap/>
        <w:overflowPunct/>
        <w:topLinePunct w:val="0"/>
        <w:autoSpaceDE/>
        <w:autoSpaceDN/>
        <w:bidi w:val="0"/>
        <w:adjustRightInd/>
        <w:snapToGrid/>
        <w:spacing w:line="360" w:lineRule="auto"/>
        <w:jc w:val="left"/>
        <w:textAlignment w:val="auto"/>
        <w:outlineLvl w:val="9"/>
        <w:rPr>
          <w:rFonts w:ascii="宋体" w:hAnsi="宋体"/>
          <w:sz w:val="24"/>
          <w:highlight w:val="none"/>
        </w:rPr>
      </w:pPr>
    </w:p>
    <w:p>
      <w:pPr>
        <w:pageBreakBefore w:val="0"/>
        <w:widowControl w:val="0"/>
        <w:kinsoku/>
        <w:wordWrap/>
        <w:overflowPunct/>
        <w:topLinePunct w:val="0"/>
        <w:autoSpaceDE/>
        <w:autoSpaceDN/>
        <w:bidi w:val="0"/>
        <w:adjustRightInd/>
        <w:snapToGrid/>
        <w:spacing w:line="360" w:lineRule="auto"/>
        <w:jc w:val="left"/>
        <w:textAlignment w:val="auto"/>
        <w:outlineLvl w:val="9"/>
        <w:rPr>
          <w:rFonts w:ascii="宋体" w:hAnsi="宋体"/>
          <w:sz w:val="24"/>
          <w:highlight w:val="none"/>
        </w:rPr>
      </w:pPr>
    </w:p>
    <w:p>
      <w:pPr>
        <w:pageBreakBefore w:val="0"/>
        <w:widowControl w:val="0"/>
        <w:kinsoku/>
        <w:wordWrap/>
        <w:overflowPunct/>
        <w:topLinePunct w:val="0"/>
        <w:autoSpaceDE/>
        <w:autoSpaceDN/>
        <w:bidi w:val="0"/>
        <w:adjustRightInd/>
        <w:snapToGrid/>
        <w:spacing w:line="360" w:lineRule="auto"/>
        <w:jc w:val="left"/>
        <w:textAlignment w:val="auto"/>
        <w:outlineLvl w:val="9"/>
        <w:rPr>
          <w:rFonts w:ascii="宋体" w:hAnsi="宋体"/>
          <w:sz w:val="24"/>
          <w:highlight w:val="none"/>
        </w:rPr>
      </w:pPr>
    </w:p>
    <w:p>
      <w:pPr>
        <w:pageBreakBefore w:val="0"/>
        <w:widowControl w:val="0"/>
        <w:kinsoku/>
        <w:wordWrap/>
        <w:overflowPunct/>
        <w:topLinePunct w:val="0"/>
        <w:autoSpaceDE/>
        <w:autoSpaceDN/>
        <w:bidi w:val="0"/>
        <w:adjustRightInd/>
        <w:snapToGrid/>
        <w:spacing w:line="360" w:lineRule="auto"/>
        <w:jc w:val="left"/>
        <w:textAlignment w:val="auto"/>
        <w:outlineLvl w:val="9"/>
        <w:rPr>
          <w:rFonts w:ascii="宋体" w:hAnsi="宋体"/>
          <w:sz w:val="24"/>
          <w:highlight w:val="none"/>
        </w:rPr>
      </w:pPr>
    </w:p>
    <w:p>
      <w:pPr>
        <w:pageBreakBefore w:val="0"/>
        <w:widowControl w:val="0"/>
        <w:kinsoku/>
        <w:wordWrap/>
        <w:overflowPunct/>
        <w:topLinePunct w:val="0"/>
        <w:autoSpaceDE/>
        <w:autoSpaceDN/>
        <w:bidi w:val="0"/>
        <w:adjustRightInd/>
        <w:snapToGrid/>
        <w:spacing w:line="360" w:lineRule="auto"/>
        <w:jc w:val="left"/>
        <w:textAlignment w:val="auto"/>
        <w:outlineLvl w:val="9"/>
        <w:rPr>
          <w:rFonts w:ascii="宋体" w:hAnsi="宋体"/>
          <w:sz w:val="24"/>
          <w:highlight w:val="none"/>
        </w:rPr>
      </w:pPr>
    </w:p>
    <w:p>
      <w:pPr>
        <w:pageBreakBefore w:val="0"/>
        <w:widowControl w:val="0"/>
        <w:kinsoku/>
        <w:wordWrap/>
        <w:overflowPunct/>
        <w:topLinePunct w:val="0"/>
        <w:autoSpaceDE/>
        <w:autoSpaceDN/>
        <w:bidi w:val="0"/>
        <w:adjustRightInd/>
        <w:snapToGrid/>
        <w:spacing w:line="360" w:lineRule="auto"/>
        <w:jc w:val="left"/>
        <w:textAlignment w:val="auto"/>
        <w:outlineLvl w:val="9"/>
        <w:rPr>
          <w:rFonts w:ascii="宋体" w:hAnsi="宋体"/>
          <w:sz w:val="24"/>
          <w:highlight w:val="none"/>
        </w:rPr>
      </w:pPr>
    </w:p>
    <w:p>
      <w:pPr>
        <w:pageBreakBefore w:val="0"/>
        <w:widowControl w:val="0"/>
        <w:kinsoku/>
        <w:wordWrap/>
        <w:overflowPunct/>
        <w:topLinePunct w:val="0"/>
        <w:autoSpaceDE/>
        <w:autoSpaceDN/>
        <w:bidi w:val="0"/>
        <w:adjustRightInd/>
        <w:snapToGrid/>
        <w:ind w:firstLine="1200" w:firstLineChars="500"/>
        <w:textAlignment w:val="auto"/>
        <w:outlineLvl w:val="9"/>
        <w:rPr>
          <w:rFonts w:hint="eastAsia" w:ascii="宋体" w:hAnsi="宋体" w:cs="宋体"/>
          <w:sz w:val="24"/>
          <w:highlight w:val="none"/>
        </w:rPr>
      </w:pPr>
      <w:r>
        <w:rPr>
          <w:rFonts w:hint="eastAsia" w:ascii="宋体" w:hAnsi="宋体" w:cs="宋体"/>
          <w:sz w:val="24"/>
          <w:highlight w:val="none"/>
        </w:rPr>
        <w:t>投标人：</w:t>
      </w:r>
      <w:r>
        <w:rPr>
          <w:rFonts w:hint="eastAsia" w:ascii="宋体" w:hAnsi="宋体" w:cs="宋体"/>
          <w:sz w:val="24"/>
          <w:highlight w:val="none"/>
          <w:u w:val="single"/>
        </w:rPr>
        <w:tab/>
      </w:r>
      <w:r>
        <w:rPr>
          <w:rFonts w:hint="eastAsia" w:ascii="宋体" w:hAnsi="宋体" w:cs="宋体"/>
          <w:sz w:val="24"/>
          <w:highlight w:val="none"/>
          <w:u w:val="single"/>
        </w:rPr>
        <w:t xml:space="preserve">                      </w:t>
      </w:r>
      <w:r>
        <w:rPr>
          <w:rFonts w:hint="eastAsia" w:ascii="宋体" w:hAnsi="宋体" w:cs="宋体"/>
          <w:sz w:val="24"/>
          <w:highlight w:val="none"/>
        </w:rPr>
        <w:t>(电子签章)</w:t>
      </w:r>
    </w:p>
    <w:p>
      <w:pPr>
        <w:pageBreakBefore w:val="0"/>
        <w:widowControl w:val="0"/>
        <w:kinsoku/>
        <w:wordWrap/>
        <w:overflowPunct/>
        <w:topLinePunct w:val="0"/>
        <w:autoSpaceDE/>
        <w:autoSpaceDN/>
        <w:bidi w:val="0"/>
        <w:adjustRightInd/>
        <w:snapToGrid/>
        <w:textAlignment w:val="auto"/>
        <w:outlineLvl w:val="9"/>
        <w:rPr>
          <w:rFonts w:hint="eastAsia" w:ascii="宋体" w:hAnsi="宋体" w:cs="宋体"/>
          <w:sz w:val="24"/>
          <w:highlight w:val="none"/>
        </w:rPr>
      </w:pPr>
      <w:r>
        <w:rPr>
          <w:rFonts w:hint="eastAsia" w:ascii="宋体" w:hAnsi="宋体" w:cs="宋体"/>
          <w:sz w:val="24"/>
          <w:highlight w:val="none"/>
        </w:rPr>
        <w:t xml:space="preserve"> </w:t>
      </w:r>
    </w:p>
    <w:p>
      <w:pPr>
        <w:pageBreakBefore w:val="0"/>
        <w:widowControl w:val="0"/>
        <w:kinsoku/>
        <w:wordWrap/>
        <w:overflowPunct/>
        <w:topLinePunct w:val="0"/>
        <w:autoSpaceDE/>
        <w:autoSpaceDN/>
        <w:bidi w:val="0"/>
        <w:adjustRightInd/>
        <w:snapToGrid/>
        <w:ind w:firstLine="1200" w:firstLineChars="500"/>
        <w:textAlignment w:val="auto"/>
        <w:outlineLvl w:val="9"/>
        <w:rPr>
          <w:rFonts w:hint="eastAsia" w:ascii="宋体" w:hAnsi="宋体" w:cs="宋体"/>
          <w:sz w:val="24"/>
          <w:highlight w:val="none"/>
        </w:rPr>
      </w:pPr>
      <w:r>
        <w:rPr>
          <w:rFonts w:hint="eastAsia" w:ascii="宋体" w:hAnsi="宋体" w:cs="宋体"/>
          <w:sz w:val="24"/>
          <w:highlight w:val="none"/>
        </w:rPr>
        <w:t>法定代表人或其委托代理人：</w:t>
      </w:r>
      <w:r>
        <w:rPr>
          <w:rFonts w:hint="eastAsia" w:ascii="宋体" w:hAnsi="宋体" w:cs="宋体"/>
          <w:sz w:val="24"/>
          <w:highlight w:val="none"/>
          <w:u w:val="single"/>
        </w:rPr>
        <w:t xml:space="preserve">             </w:t>
      </w:r>
      <w:r>
        <w:rPr>
          <w:rFonts w:hint="eastAsia" w:ascii="宋体" w:hAnsi="宋体" w:cs="宋体"/>
          <w:sz w:val="24"/>
          <w:highlight w:val="none"/>
        </w:rPr>
        <w:t>(电子签章)</w:t>
      </w:r>
    </w:p>
    <w:p>
      <w:pPr>
        <w:pageBreakBefore w:val="0"/>
        <w:widowControl w:val="0"/>
        <w:kinsoku/>
        <w:wordWrap/>
        <w:overflowPunct/>
        <w:topLinePunct w:val="0"/>
        <w:autoSpaceDE/>
        <w:autoSpaceDN/>
        <w:bidi w:val="0"/>
        <w:adjustRightInd/>
        <w:snapToGrid/>
        <w:textAlignment w:val="auto"/>
        <w:outlineLvl w:val="9"/>
        <w:rPr>
          <w:rFonts w:hint="eastAsia" w:ascii="宋体" w:hAnsi="宋体" w:cs="宋体"/>
          <w:sz w:val="24"/>
          <w:highlight w:val="none"/>
        </w:rPr>
      </w:pPr>
      <w:r>
        <w:rPr>
          <w:rFonts w:hint="eastAsia" w:ascii="宋体" w:hAnsi="宋体" w:cs="宋体"/>
          <w:sz w:val="24"/>
          <w:highlight w:val="none"/>
        </w:rPr>
        <w:t xml:space="preserve"> </w:t>
      </w:r>
    </w:p>
    <w:p>
      <w:pPr>
        <w:pageBreakBefore w:val="0"/>
        <w:widowControl w:val="0"/>
        <w:kinsoku/>
        <w:wordWrap/>
        <w:overflowPunct/>
        <w:topLinePunct w:val="0"/>
        <w:autoSpaceDE/>
        <w:autoSpaceDN/>
        <w:bidi w:val="0"/>
        <w:adjustRightInd/>
        <w:snapToGrid/>
        <w:ind w:firstLine="1200" w:firstLineChars="500"/>
        <w:textAlignment w:val="auto"/>
        <w:outlineLvl w:val="9"/>
        <w:rPr>
          <w:rFonts w:hint="eastAsia" w:ascii="宋体" w:hAnsi="宋体" w:cs="宋体"/>
          <w:highlight w:val="none"/>
        </w:rPr>
      </w:pPr>
      <w:r>
        <w:rPr>
          <w:rFonts w:hint="eastAsia" w:ascii="宋体" w:hAnsi="宋体" w:cs="宋体"/>
          <w:sz w:val="24"/>
          <w:highlight w:val="none"/>
        </w:rPr>
        <w:t>日期：</w:t>
      </w:r>
      <w:r>
        <w:rPr>
          <w:rFonts w:hint="eastAsia" w:ascii="宋体" w:hAnsi="宋体" w:cs="宋体"/>
          <w:sz w:val="24"/>
          <w:highlight w:val="none"/>
          <w:u w:val="single"/>
        </w:rPr>
        <w:t xml:space="preserve">        </w:t>
      </w:r>
      <w:r>
        <w:rPr>
          <w:rFonts w:hint="eastAsia" w:ascii="宋体" w:hAnsi="宋体" w:cs="宋体"/>
          <w:sz w:val="24"/>
          <w:highlight w:val="none"/>
        </w:rPr>
        <w:t xml:space="preserve">年 </w:t>
      </w:r>
      <w:r>
        <w:rPr>
          <w:rFonts w:hint="eastAsia" w:ascii="宋体" w:hAnsi="宋体" w:cs="宋体"/>
          <w:sz w:val="24"/>
          <w:highlight w:val="none"/>
          <w:u w:val="single"/>
        </w:rPr>
        <w:tab/>
      </w:r>
      <w:r>
        <w:rPr>
          <w:rFonts w:hint="eastAsia" w:ascii="宋体" w:hAnsi="宋体" w:cs="宋体"/>
          <w:sz w:val="24"/>
          <w:highlight w:val="none"/>
          <w:u w:val="single"/>
        </w:rPr>
        <w:t xml:space="preserve"> </w:t>
      </w:r>
      <w:r>
        <w:rPr>
          <w:rFonts w:hint="eastAsia" w:ascii="宋体" w:hAnsi="宋体" w:cs="宋体"/>
          <w:sz w:val="24"/>
          <w:highlight w:val="none"/>
        </w:rPr>
        <w:t xml:space="preserve">月 </w:t>
      </w:r>
      <w:r>
        <w:rPr>
          <w:rFonts w:hint="eastAsia" w:ascii="宋体" w:hAnsi="宋体" w:cs="宋体"/>
          <w:sz w:val="24"/>
          <w:highlight w:val="none"/>
          <w:u w:val="single"/>
        </w:rPr>
        <w:t xml:space="preserve">   </w:t>
      </w:r>
      <w:r>
        <w:rPr>
          <w:rFonts w:hint="eastAsia" w:ascii="宋体" w:hAnsi="宋体" w:cs="宋体"/>
          <w:sz w:val="24"/>
          <w:highlight w:val="none"/>
        </w:rPr>
        <w:t>日</w:t>
      </w:r>
      <w:bookmarkStart w:id="408" w:name="_Toc4022"/>
      <w:bookmarkEnd w:id="408"/>
      <w:bookmarkStart w:id="409" w:name="_Toc30512"/>
    </w:p>
    <w:bookmarkEnd w:id="409"/>
    <w:p>
      <w:pPr>
        <w:pageBreakBefore w:val="0"/>
        <w:widowControl w:val="0"/>
        <w:kinsoku/>
        <w:wordWrap/>
        <w:overflowPunct/>
        <w:topLinePunct w:val="0"/>
        <w:autoSpaceDE/>
        <w:autoSpaceDN/>
        <w:bidi w:val="0"/>
        <w:adjustRightInd/>
        <w:snapToGrid/>
        <w:ind w:firstLine="420"/>
        <w:textAlignment w:val="auto"/>
        <w:outlineLvl w:val="9"/>
        <w:rPr>
          <w:sz w:val="24"/>
          <w:highlight w:val="none"/>
        </w:rPr>
      </w:pPr>
    </w:p>
    <w:p>
      <w:pPr>
        <w:keepNext/>
        <w:keepLines/>
        <w:pageBreakBefore w:val="0"/>
        <w:widowControl w:val="0"/>
        <w:kinsoku/>
        <w:wordWrap/>
        <w:overflowPunct/>
        <w:topLinePunct w:val="0"/>
        <w:autoSpaceDE/>
        <w:autoSpaceDN/>
        <w:bidi w:val="0"/>
        <w:adjustRightInd/>
        <w:snapToGrid/>
        <w:spacing w:before="120" w:after="120" w:line="360" w:lineRule="auto"/>
        <w:ind w:left="425"/>
        <w:jc w:val="left"/>
        <w:textAlignment w:val="auto"/>
        <w:outlineLvl w:val="9"/>
        <w:rPr>
          <w:rFonts w:hint="eastAsia" w:hAnsi="宋体" w:cs="宋体"/>
          <w:sz w:val="24"/>
          <w:highlight w:val="none"/>
        </w:rPr>
      </w:pPr>
    </w:p>
    <w:p>
      <w:pPr>
        <w:keepNext/>
        <w:keepLines/>
        <w:pageBreakBefore w:val="0"/>
        <w:widowControl w:val="0"/>
        <w:kinsoku/>
        <w:wordWrap/>
        <w:overflowPunct/>
        <w:topLinePunct w:val="0"/>
        <w:autoSpaceDE/>
        <w:autoSpaceDN/>
        <w:bidi w:val="0"/>
        <w:adjustRightInd/>
        <w:snapToGrid/>
        <w:spacing w:before="120" w:after="120" w:line="360" w:lineRule="auto"/>
        <w:ind w:left="425"/>
        <w:jc w:val="left"/>
        <w:textAlignment w:val="auto"/>
        <w:outlineLvl w:val="9"/>
        <w:rPr>
          <w:rFonts w:hint="eastAsia" w:hAnsi="宋体" w:cs="宋体"/>
          <w:sz w:val="24"/>
          <w:highlight w:val="none"/>
        </w:rPr>
      </w:pPr>
    </w:p>
    <w:p>
      <w:pPr>
        <w:keepNext/>
        <w:keepLines/>
        <w:pageBreakBefore w:val="0"/>
        <w:widowControl w:val="0"/>
        <w:kinsoku/>
        <w:wordWrap/>
        <w:overflowPunct/>
        <w:topLinePunct w:val="0"/>
        <w:autoSpaceDE/>
        <w:autoSpaceDN/>
        <w:bidi w:val="0"/>
        <w:adjustRightInd/>
        <w:snapToGrid/>
        <w:spacing w:before="120" w:after="120" w:line="360" w:lineRule="auto"/>
        <w:ind w:left="425"/>
        <w:jc w:val="left"/>
        <w:textAlignment w:val="auto"/>
        <w:outlineLvl w:val="9"/>
        <w:rPr>
          <w:rFonts w:eastAsia="仿宋"/>
          <w:b/>
          <w:bCs/>
          <w:szCs w:val="21"/>
          <w:highlight w:val="none"/>
        </w:rPr>
      </w:pPr>
      <w:bookmarkStart w:id="410" w:name="_Toc2044"/>
    </w:p>
    <w:p>
      <w:pPr>
        <w:keepNext/>
        <w:keepLines/>
        <w:pageBreakBefore w:val="0"/>
        <w:widowControl w:val="0"/>
        <w:kinsoku/>
        <w:wordWrap/>
        <w:overflowPunct/>
        <w:topLinePunct w:val="0"/>
        <w:autoSpaceDE/>
        <w:autoSpaceDN/>
        <w:bidi w:val="0"/>
        <w:adjustRightInd/>
        <w:snapToGrid/>
        <w:spacing w:before="120" w:after="120" w:line="360" w:lineRule="auto"/>
        <w:ind w:left="425"/>
        <w:jc w:val="left"/>
        <w:textAlignment w:val="auto"/>
        <w:outlineLvl w:val="9"/>
        <w:rPr>
          <w:rFonts w:eastAsia="仿宋"/>
          <w:b/>
          <w:bCs/>
          <w:szCs w:val="21"/>
          <w:highlight w:val="none"/>
        </w:rPr>
      </w:pPr>
    </w:p>
    <w:p>
      <w:pPr>
        <w:keepNext/>
        <w:keepLines/>
        <w:pageBreakBefore w:val="0"/>
        <w:widowControl w:val="0"/>
        <w:kinsoku/>
        <w:wordWrap/>
        <w:overflowPunct/>
        <w:topLinePunct w:val="0"/>
        <w:autoSpaceDE/>
        <w:autoSpaceDN/>
        <w:bidi w:val="0"/>
        <w:adjustRightInd/>
        <w:snapToGrid/>
        <w:spacing w:before="120" w:after="120" w:line="360" w:lineRule="auto"/>
        <w:ind w:left="425"/>
        <w:jc w:val="left"/>
        <w:textAlignment w:val="auto"/>
        <w:outlineLvl w:val="9"/>
        <w:rPr>
          <w:rFonts w:eastAsia="仿宋"/>
          <w:b/>
          <w:bCs/>
          <w:sz w:val="24"/>
          <w:highlight w:val="none"/>
        </w:rPr>
      </w:pPr>
    </w:p>
    <w:p>
      <w:pPr>
        <w:keepNext/>
        <w:keepLines/>
        <w:pageBreakBefore w:val="0"/>
        <w:widowControl w:val="0"/>
        <w:kinsoku/>
        <w:wordWrap/>
        <w:overflowPunct/>
        <w:topLinePunct w:val="0"/>
        <w:autoSpaceDE/>
        <w:autoSpaceDN/>
        <w:bidi w:val="0"/>
        <w:adjustRightInd/>
        <w:snapToGrid/>
        <w:spacing w:before="120" w:after="120" w:line="360" w:lineRule="auto"/>
        <w:ind w:left="425"/>
        <w:jc w:val="left"/>
        <w:textAlignment w:val="auto"/>
        <w:outlineLvl w:val="9"/>
        <w:rPr>
          <w:rFonts w:eastAsia="仿宋"/>
          <w:sz w:val="24"/>
          <w:highlight w:val="none"/>
        </w:rPr>
      </w:pPr>
      <w:bookmarkStart w:id="411" w:name="_Toc11097"/>
      <w:bookmarkStart w:id="412" w:name="_Toc15694"/>
      <w:r>
        <w:rPr>
          <w:rFonts w:eastAsia="仿宋"/>
          <w:b/>
          <w:bCs/>
          <w:sz w:val="24"/>
          <w:highlight w:val="none"/>
        </w:rPr>
        <w:t>说明</w:t>
      </w:r>
      <w:r>
        <w:rPr>
          <w:rFonts w:eastAsia="仿宋"/>
          <w:sz w:val="24"/>
          <w:highlight w:val="none"/>
        </w:rPr>
        <w:t>：</w:t>
      </w:r>
      <w:bookmarkEnd w:id="410"/>
      <w:bookmarkEnd w:id="411"/>
      <w:r>
        <w:rPr>
          <w:rFonts w:hint="eastAsia" w:eastAsia="仿宋"/>
          <w:sz w:val="24"/>
          <w:highlight w:val="none"/>
        </w:rPr>
        <w:t>投标人须按第</w:t>
      </w:r>
      <w:r>
        <w:rPr>
          <w:rFonts w:hint="eastAsia" w:eastAsia="仿宋"/>
          <w:sz w:val="24"/>
          <w:highlight w:val="none"/>
          <w:lang w:val="en-US" w:eastAsia="zh-CN"/>
        </w:rPr>
        <w:t>二</w:t>
      </w:r>
      <w:r>
        <w:rPr>
          <w:rFonts w:hint="eastAsia" w:eastAsia="仿宋"/>
          <w:sz w:val="24"/>
          <w:highlight w:val="none"/>
        </w:rPr>
        <w:t>章“</w:t>
      </w:r>
      <w:r>
        <w:rPr>
          <w:rFonts w:hint="eastAsia" w:eastAsia="仿宋"/>
          <w:sz w:val="24"/>
          <w:highlight w:val="none"/>
          <w:lang w:val="en-US" w:eastAsia="zh-CN"/>
        </w:rPr>
        <w:t>投标人须知前附表</w:t>
      </w:r>
      <w:r>
        <w:rPr>
          <w:rFonts w:hint="eastAsia" w:eastAsia="仿宋"/>
          <w:sz w:val="24"/>
          <w:highlight w:val="none"/>
        </w:rPr>
        <w:t>”3.1</w:t>
      </w:r>
      <w:r>
        <w:rPr>
          <w:rFonts w:hint="eastAsia" w:eastAsia="仿宋"/>
          <w:sz w:val="24"/>
          <w:highlight w:val="none"/>
        </w:rPr>
        <w:tab/>
      </w:r>
      <w:r>
        <w:rPr>
          <w:rFonts w:hint="eastAsia" w:eastAsia="仿宋"/>
          <w:sz w:val="24"/>
          <w:highlight w:val="none"/>
        </w:rPr>
        <w:t>规定的资格条件要求提供</w:t>
      </w:r>
      <w:r>
        <w:rPr>
          <w:rFonts w:hint="eastAsia" w:eastAsia="仿宋"/>
          <w:sz w:val="24"/>
          <w:highlight w:val="none"/>
          <w:lang w:val="en-US" w:eastAsia="zh-CN"/>
        </w:rPr>
        <w:t>承诺及说明</w:t>
      </w:r>
      <w:r>
        <w:rPr>
          <w:rFonts w:hint="eastAsia" w:eastAsia="仿宋"/>
          <w:sz w:val="24"/>
          <w:highlight w:val="none"/>
        </w:rPr>
        <w:t>（加盖投标人单位电子签章）</w:t>
      </w:r>
      <w:bookmarkEnd w:id="412"/>
    </w:p>
    <w:p>
      <w:pPr>
        <w:keepNext/>
        <w:keepLines/>
        <w:pageBreakBefore w:val="0"/>
        <w:widowControl w:val="0"/>
        <w:kinsoku/>
        <w:wordWrap/>
        <w:overflowPunct/>
        <w:topLinePunct w:val="0"/>
        <w:autoSpaceDE/>
        <w:autoSpaceDN/>
        <w:bidi w:val="0"/>
        <w:adjustRightInd/>
        <w:snapToGrid/>
        <w:spacing w:after="120" w:line="360" w:lineRule="auto"/>
        <w:jc w:val="left"/>
        <w:textAlignment w:val="auto"/>
        <w:outlineLvl w:val="9"/>
        <w:rPr>
          <w:rFonts w:hint="eastAsia" w:hAnsi="宋体" w:cs="宋体"/>
          <w:b/>
          <w:sz w:val="28"/>
          <w:szCs w:val="28"/>
          <w:highlight w:val="none"/>
        </w:rPr>
      </w:pPr>
      <w:r>
        <w:rPr>
          <w:rFonts w:hint="eastAsia" w:hAnsi="宋体" w:cs="宋体"/>
          <w:b/>
          <w:bCs/>
          <w:sz w:val="28"/>
          <w:szCs w:val="32"/>
          <w:highlight w:val="none"/>
        </w:rPr>
        <w:br w:type="page"/>
      </w:r>
      <w:bookmarkStart w:id="413" w:name="_Toc11978"/>
      <w:bookmarkStart w:id="414" w:name="_Toc4846"/>
      <w:bookmarkStart w:id="415" w:name="_Toc491307375"/>
      <w:bookmarkStart w:id="416" w:name="_Toc2918"/>
      <w:bookmarkStart w:id="417" w:name="_Toc6893"/>
      <w:bookmarkStart w:id="418" w:name="_Toc494043349"/>
      <w:bookmarkStart w:id="419" w:name="_Toc491307495"/>
      <w:bookmarkStart w:id="420" w:name="_Toc491307313"/>
      <w:r>
        <w:rPr>
          <w:rFonts w:hint="eastAsia" w:hAnsi="宋体" w:cs="宋体"/>
          <w:b/>
          <w:sz w:val="28"/>
          <w:szCs w:val="28"/>
          <w:highlight w:val="none"/>
        </w:rPr>
        <w:t>格式1-6</w:t>
      </w:r>
      <w:bookmarkEnd w:id="413"/>
      <w:bookmarkEnd w:id="414"/>
      <w:bookmarkEnd w:id="415"/>
      <w:bookmarkEnd w:id="416"/>
      <w:bookmarkEnd w:id="417"/>
      <w:bookmarkEnd w:id="418"/>
      <w:bookmarkEnd w:id="419"/>
      <w:bookmarkEnd w:id="420"/>
    </w:p>
    <w:p>
      <w:pPr>
        <w:keepNext/>
        <w:keepLines/>
        <w:pageBreakBefore w:val="0"/>
        <w:kinsoku/>
        <w:wordWrap/>
        <w:overflowPunct/>
        <w:topLinePunct w:val="0"/>
        <w:autoSpaceDE/>
        <w:autoSpaceDN/>
        <w:bidi w:val="0"/>
        <w:spacing w:before="120" w:after="120" w:line="360" w:lineRule="auto"/>
        <w:ind w:left="425"/>
        <w:jc w:val="left"/>
        <w:outlineLvl w:val="9"/>
        <w:rPr>
          <w:rFonts w:hint="eastAsia" w:hAnsi="宋体" w:cs="宋体"/>
          <w:b/>
          <w:sz w:val="24"/>
          <w:highlight w:val="none"/>
        </w:rPr>
      </w:pPr>
      <w:bookmarkStart w:id="421" w:name="_Toc10973"/>
      <w:bookmarkStart w:id="422" w:name="_Toc31922"/>
      <w:bookmarkStart w:id="423" w:name="_Toc11236"/>
      <w:r>
        <w:rPr>
          <w:rFonts w:hint="eastAsia" w:hAnsi="宋体" w:cs="宋体"/>
          <w:b/>
          <w:sz w:val="24"/>
          <w:highlight w:val="none"/>
        </w:rPr>
        <w:t>采购人根据本项目的特殊要求规定投标人应具备的特定资格条件</w:t>
      </w:r>
      <w:bookmarkEnd w:id="421"/>
      <w:r>
        <w:rPr>
          <w:rFonts w:hint="eastAsia" w:hAnsi="宋体" w:cs="宋体"/>
          <w:b/>
          <w:sz w:val="24"/>
          <w:highlight w:val="none"/>
        </w:rPr>
        <w:t>及要求提供的证明材料或者情况说明</w:t>
      </w:r>
      <w:bookmarkEnd w:id="422"/>
      <w:bookmarkEnd w:id="423"/>
    </w:p>
    <w:p>
      <w:pPr>
        <w:keepNext/>
        <w:keepLines/>
        <w:pageBreakBefore w:val="0"/>
        <w:kinsoku/>
        <w:wordWrap/>
        <w:overflowPunct/>
        <w:topLinePunct w:val="0"/>
        <w:autoSpaceDE/>
        <w:autoSpaceDN/>
        <w:bidi w:val="0"/>
        <w:spacing w:before="120" w:after="120" w:line="360" w:lineRule="auto"/>
        <w:ind w:left="425"/>
        <w:jc w:val="left"/>
        <w:outlineLvl w:val="9"/>
        <w:rPr>
          <w:rFonts w:hint="eastAsia" w:hAnsi="宋体" w:cs="宋体"/>
          <w:sz w:val="24"/>
          <w:highlight w:val="none"/>
        </w:rPr>
      </w:pPr>
    </w:p>
    <w:p>
      <w:pPr>
        <w:keepNext/>
        <w:keepLines/>
        <w:pageBreakBefore w:val="0"/>
        <w:kinsoku/>
        <w:wordWrap/>
        <w:overflowPunct/>
        <w:topLinePunct w:val="0"/>
        <w:autoSpaceDE/>
        <w:autoSpaceDN/>
        <w:bidi w:val="0"/>
        <w:spacing w:before="120" w:after="120" w:line="360" w:lineRule="auto"/>
        <w:ind w:left="425"/>
        <w:jc w:val="left"/>
        <w:outlineLvl w:val="9"/>
        <w:rPr>
          <w:rFonts w:hint="eastAsia" w:hAnsi="宋体" w:cs="宋体"/>
          <w:sz w:val="24"/>
          <w:highlight w:val="none"/>
        </w:rPr>
      </w:pPr>
    </w:p>
    <w:p>
      <w:pPr>
        <w:keepNext/>
        <w:keepLines/>
        <w:pageBreakBefore w:val="0"/>
        <w:kinsoku/>
        <w:wordWrap/>
        <w:overflowPunct/>
        <w:topLinePunct w:val="0"/>
        <w:autoSpaceDE/>
        <w:autoSpaceDN/>
        <w:bidi w:val="0"/>
        <w:spacing w:before="120" w:after="120" w:line="360" w:lineRule="auto"/>
        <w:ind w:left="425"/>
        <w:jc w:val="left"/>
        <w:outlineLvl w:val="9"/>
        <w:rPr>
          <w:rFonts w:hint="eastAsia" w:hAnsi="宋体" w:cs="宋体"/>
          <w:sz w:val="24"/>
          <w:highlight w:val="none"/>
        </w:rPr>
      </w:pPr>
    </w:p>
    <w:p>
      <w:pPr>
        <w:keepNext/>
        <w:keepLines/>
        <w:pageBreakBefore w:val="0"/>
        <w:kinsoku/>
        <w:wordWrap/>
        <w:overflowPunct/>
        <w:topLinePunct w:val="0"/>
        <w:autoSpaceDE/>
        <w:autoSpaceDN/>
        <w:bidi w:val="0"/>
        <w:spacing w:before="120" w:after="120" w:line="360" w:lineRule="auto"/>
        <w:ind w:left="425"/>
        <w:jc w:val="left"/>
        <w:outlineLvl w:val="9"/>
        <w:rPr>
          <w:rFonts w:hint="eastAsia" w:hAnsi="宋体" w:cs="宋体"/>
          <w:sz w:val="24"/>
          <w:highlight w:val="none"/>
        </w:rPr>
      </w:pPr>
    </w:p>
    <w:p>
      <w:pPr>
        <w:keepNext/>
        <w:keepLines/>
        <w:pageBreakBefore w:val="0"/>
        <w:kinsoku/>
        <w:wordWrap/>
        <w:overflowPunct/>
        <w:topLinePunct w:val="0"/>
        <w:autoSpaceDE/>
        <w:autoSpaceDN/>
        <w:bidi w:val="0"/>
        <w:spacing w:before="120" w:after="120" w:line="360" w:lineRule="auto"/>
        <w:ind w:left="425"/>
        <w:jc w:val="left"/>
        <w:outlineLvl w:val="9"/>
        <w:rPr>
          <w:rFonts w:hint="eastAsia" w:hAnsi="宋体" w:cs="宋体"/>
          <w:sz w:val="24"/>
          <w:highlight w:val="none"/>
        </w:rPr>
      </w:pPr>
    </w:p>
    <w:p>
      <w:pPr>
        <w:keepNext/>
        <w:keepLines/>
        <w:pageBreakBefore w:val="0"/>
        <w:kinsoku/>
        <w:wordWrap/>
        <w:overflowPunct/>
        <w:topLinePunct w:val="0"/>
        <w:autoSpaceDE/>
        <w:autoSpaceDN/>
        <w:bidi w:val="0"/>
        <w:spacing w:before="120" w:after="120" w:line="360" w:lineRule="auto"/>
        <w:ind w:left="425"/>
        <w:jc w:val="left"/>
        <w:outlineLvl w:val="9"/>
        <w:rPr>
          <w:rFonts w:hint="eastAsia" w:hAnsi="宋体" w:cs="宋体"/>
          <w:sz w:val="24"/>
          <w:highlight w:val="none"/>
        </w:rPr>
      </w:pPr>
    </w:p>
    <w:p>
      <w:pPr>
        <w:keepNext/>
        <w:keepLines/>
        <w:pageBreakBefore w:val="0"/>
        <w:kinsoku/>
        <w:wordWrap/>
        <w:overflowPunct/>
        <w:topLinePunct w:val="0"/>
        <w:autoSpaceDE/>
        <w:autoSpaceDN/>
        <w:bidi w:val="0"/>
        <w:spacing w:before="120" w:after="120" w:line="360" w:lineRule="auto"/>
        <w:ind w:left="425"/>
        <w:jc w:val="left"/>
        <w:outlineLvl w:val="9"/>
        <w:rPr>
          <w:rFonts w:hint="eastAsia" w:hAnsi="宋体" w:cs="宋体"/>
          <w:sz w:val="24"/>
          <w:highlight w:val="none"/>
        </w:rPr>
      </w:pPr>
    </w:p>
    <w:p>
      <w:pPr>
        <w:keepNext/>
        <w:keepLines/>
        <w:pageBreakBefore w:val="0"/>
        <w:kinsoku/>
        <w:wordWrap/>
        <w:overflowPunct/>
        <w:topLinePunct w:val="0"/>
        <w:autoSpaceDE/>
        <w:autoSpaceDN/>
        <w:bidi w:val="0"/>
        <w:spacing w:before="120" w:after="120" w:line="360" w:lineRule="auto"/>
        <w:ind w:left="425"/>
        <w:jc w:val="left"/>
        <w:outlineLvl w:val="9"/>
        <w:rPr>
          <w:rFonts w:hint="eastAsia" w:hAnsi="宋体" w:cs="宋体"/>
          <w:sz w:val="24"/>
          <w:highlight w:val="none"/>
        </w:rPr>
      </w:pPr>
    </w:p>
    <w:p>
      <w:pPr>
        <w:keepNext/>
        <w:keepLines/>
        <w:pageBreakBefore w:val="0"/>
        <w:kinsoku/>
        <w:wordWrap/>
        <w:overflowPunct/>
        <w:topLinePunct w:val="0"/>
        <w:autoSpaceDE/>
        <w:autoSpaceDN/>
        <w:bidi w:val="0"/>
        <w:spacing w:before="120" w:after="120" w:line="360" w:lineRule="auto"/>
        <w:ind w:left="425"/>
        <w:jc w:val="left"/>
        <w:outlineLvl w:val="9"/>
        <w:rPr>
          <w:rFonts w:hint="eastAsia" w:hAnsi="宋体" w:cs="宋体"/>
          <w:sz w:val="24"/>
          <w:highlight w:val="none"/>
        </w:rPr>
      </w:pPr>
    </w:p>
    <w:p>
      <w:pPr>
        <w:keepNext/>
        <w:keepLines/>
        <w:pageBreakBefore w:val="0"/>
        <w:kinsoku/>
        <w:wordWrap/>
        <w:overflowPunct/>
        <w:topLinePunct w:val="0"/>
        <w:autoSpaceDE/>
        <w:autoSpaceDN/>
        <w:bidi w:val="0"/>
        <w:spacing w:before="120" w:after="120" w:line="360" w:lineRule="auto"/>
        <w:ind w:left="425"/>
        <w:jc w:val="left"/>
        <w:outlineLvl w:val="9"/>
        <w:rPr>
          <w:rFonts w:hint="eastAsia" w:hAnsi="宋体" w:cs="宋体"/>
          <w:sz w:val="24"/>
          <w:highlight w:val="none"/>
        </w:rPr>
      </w:pPr>
    </w:p>
    <w:p>
      <w:pPr>
        <w:pageBreakBefore w:val="0"/>
        <w:kinsoku/>
        <w:wordWrap/>
        <w:overflowPunct/>
        <w:topLinePunct w:val="0"/>
        <w:autoSpaceDE/>
        <w:autoSpaceDN/>
        <w:bidi w:val="0"/>
        <w:ind w:firstLine="420"/>
        <w:outlineLvl w:val="9"/>
        <w:rPr>
          <w:rFonts w:hint="eastAsia" w:hAnsi="宋体" w:cs="宋体"/>
          <w:sz w:val="24"/>
          <w:highlight w:val="none"/>
        </w:rPr>
      </w:pPr>
    </w:p>
    <w:p>
      <w:pPr>
        <w:pageBreakBefore w:val="0"/>
        <w:kinsoku/>
        <w:wordWrap/>
        <w:overflowPunct/>
        <w:topLinePunct w:val="0"/>
        <w:autoSpaceDE/>
        <w:autoSpaceDN/>
        <w:bidi w:val="0"/>
        <w:ind w:firstLine="420"/>
        <w:outlineLvl w:val="9"/>
        <w:rPr>
          <w:rFonts w:hint="eastAsia" w:hAnsi="宋体" w:cs="宋体"/>
          <w:sz w:val="24"/>
          <w:highlight w:val="none"/>
        </w:rPr>
      </w:pPr>
    </w:p>
    <w:p>
      <w:pPr>
        <w:pageBreakBefore w:val="0"/>
        <w:kinsoku/>
        <w:wordWrap/>
        <w:overflowPunct/>
        <w:topLinePunct w:val="0"/>
        <w:autoSpaceDE/>
        <w:autoSpaceDN/>
        <w:bidi w:val="0"/>
        <w:ind w:firstLine="420"/>
        <w:outlineLvl w:val="9"/>
        <w:rPr>
          <w:rFonts w:hint="eastAsia" w:hAnsi="宋体" w:cs="宋体"/>
          <w:sz w:val="24"/>
          <w:highlight w:val="none"/>
        </w:rPr>
      </w:pPr>
    </w:p>
    <w:p>
      <w:pPr>
        <w:pageBreakBefore w:val="0"/>
        <w:widowControl w:val="0"/>
        <w:kinsoku/>
        <w:wordWrap/>
        <w:overflowPunct/>
        <w:topLinePunct w:val="0"/>
        <w:autoSpaceDE/>
        <w:autoSpaceDN/>
        <w:bidi w:val="0"/>
        <w:adjustRightInd/>
        <w:snapToGrid/>
        <w:ind w:firstLine="420"/>
        <w:textAlignment w:val="auto"/>
        <w:outlineLvl w:val="9"/>
        <w:rPr>
          <w:rFonts w:hint="eastAsia" w:hAnsi="宋体" w:cs="宋体"/>
          <w:sz w:val="24"/>
          <w:highlight w:val="none"/>
        </w:rPr>
      </w:pPr>
    </w:p>
    <w:p>
      <w:pPr>
        <w:pageBreakBefore w:val="0"/>
        <w:widowControl w:val="0"/>
        <w:kinsoku/>
        <w:wordWrap/>
        <w:overflowPunct/>
        <w:topLinePunct w:val="0"/>
        <w:autoSpaceDE/>
        <w:autoSpaceDN/>
        <w:bidi w:val="0"/>
        <w:adjustRightInd/>
        <w:snapToGrid/>
        <w:ind w:firstLine="420"/>
        <w:textAlignment w:val="auto"/>
        <w:outlineLvl w:val="9"/>
        <w:rPr>
          <w:rFonts w:hint="eastAsia" w:hAnsi="宋体" w:cs="宋体"/>
          <w:sz w:val="24"/>
          <w:highlight w:val="none"/>
        </w:rPr>
      </w:pPr>
    </w:p>
    <w:p>
      <w:pPr>
        <w:pageBreakBefore w:val="0"/>
        <w:widowControl w:val="0"/>
        <w:kinsoku/>
        <w:wordWrap/>
        <w:overflowPunct/>
        <w:topLinePunct w:val="0"/>
        <w:autoSpaceDE/>
        <w:autoSpaceDN/>
        <w:bidi w:val="0"/>
        <w:adjustRightInd/>
        <w:snapToGrid/>
        <w:ind w:firstLine="420"/>
        <w:textAlignment w:val="auto"/>
        <w:outlineLvl w:val="9"/>
        <w:rPr>
          <w:rFonts w:hint="eastAsia" w:hAnsi="宋体" w:cs="宋体"/>
          <w:sz w:val="24"/>
          <w:highlight w:val="none"/>
        </w:rPr>
      </w:pPr>
    </w:p>
    <w:p>
      <w:pPr>
        <w:keepNext/>
        <w:keepLines/>
        <w:pageBreakBefore w:val="0"/>
        <w:widowControl w:val="0"/>
        <w:kinsoku/>
        <w:wordWrap/>
        <w:overflowPunct/>
        <w:topLinePunct w:val="0"/>
        <w:autoSpaceDE/>
        <w:autoSpaceDN/>
        <w:bidi w:val="0"/>
        <w:adjustRightInd/>
        <w:snapToGrid/>
        <w:spacing w:before="120" w:after="120" w:line="360" w:lineRule="auto"/>
        <w:ind w:left="425"/>
        <w:jc w:val="left"/>
        <w:textAlignment w:val="auto"/>
        <w:outlineLvl w:val="9"/>
        <w:rPr>
          <w:rFonts w:hint="eastAsia" w:hAnsi="宋体" w:cs="宋体"/>
          <w:sz w:val="24"/>
          <w:highlight w:val="none"/>
        </w:rPr>
      </w:pPr>
    </w:p>
    <w:p>
      <w:pPr>
        <w:keepNext/>
        <w:keepLines/>
        <w:pageBreakBefore w:val="0"/>
        <w:widowControl w:val="0"/>
        <w:kinsoku/>
        <w:wordWrap/>
        <w:overflowPunct/>
        <w:topLinePunct w:val="0"/>
        <w:autoSpaceDE/>
        <w:autoSpaceDN/>
        <w:bidi w:val="0"/>
        <w:adjustRightInd/>
        <w:snapToGrid/>
        <w:spacing w:before="120" w:after="120" w:line="360" w:lineRule="auto"/>
        <w:ind w:left="425"/>
        <w:jc w:val="left"/>
        <w:textAlignment w:val="auto"/>
        <w:outlineLvl w:val="9"/>
        <w:rPr>
          <w:rFonts w:hint="default" w:eastAsia="仿宋"/>
          <w:sz w:val="24"/>
          <w:highlight w:val="none"/>
          <w:lang w:val="en-US" w:eastAsia="zh-CN"/>
        </w:rPr>
      </w:pPr>
      <w:bookmarkStart w:id="424" w:name="_Toc13812"/>
      <w:bookmarkStart w:id="425" w:name="_Toc32227"/>
      <w:bookmarkStart w:id="426" w:name="_Toc9457"/>
      <w:r>
        <w:rPr>
          <w:rFonts w:eastAsia="仿宋"/>
          <w:b/>
          <w:bCs/>
          <w:sz w:val="24"/>
          <w:highlight w:val="none"/>
        </w:rPr>
        <w:t>说明</w:t>
      </w:r>
      <w:r>
        <w:rPr>
          <w:rFonts w:eastAsia="仿宋"/>
          <w:sz w:val="24"/>
          <w:highlight w:val="none"/>
        </w:rPr>
        <w:t>：</w:t>
      </w:r>
      <w:bookmarkEnd w:id="424"/>
      <w:bookmarkEnd w:id="425"/>
      <w:r>
        <w:rPr>
          <w:rFonts w:hint="eastAsia" w:eastAsia="仿宋"/>
          <w:sz w:val="24"/>
          <w:highlight w:val="none"/>
        </w:rPr>
        <w:t>第</w:t>
      </w:r>
      <w:r>
        <w:rPr>
          <w:rFonts w:hint="eastAsia" w:eastAsia="仿宋"/>
          <w:sz w:val="24"/>
          <w:highlight w:val="none"/>
          <w:lang w:val="en-US" w:eastAsia="zh-CN"/>
        </w:rPr>
        <w:t>二</w:t>
      </w:r>
      <w:r>
        <w:rPr>
          <w:rFonts w:hint="eastAsia" w:eastAsia="仿宋"/>
          <w:sz w:val="24"/>
          <w:highlight w:val="none"/>
        </w:rPr>
        <w:t>章“</w:t>
      </w:r>
      <w:r>
        <w:rPr>
          <w:rFonts w:hint="eastAsia" w:eastAsia="仿宋"/>
          <w:sz w:val="24"/>
          <w:highlight w:val="none"/>
          <w:lang w:val="en-US" w:eastAsia="zh-CN"/>
        </w:rPr>
        <w:t>投标人须知前附表</w:t>
      </w:r>
      <w:r>
        <w:rPr>
          <w:rFonts w:hint="eastAsia" w:eastAsia="仿宋"/>
          <w:sz w:val="24"/>
          <w:highlight w:val="none"/>
        </w:rPr>
        <w:t>”3.</w:t>
      </w:r>
      <w:r>
        <w:rPr>
          <w:rFonts w:hint="eastAsia" w:eastAsia="仿宋"/>
          <w:sz w:val="24"/>
          <w:highlight w:val="none"/>
          <w:lang w:val="en-US" w:eastAsia="zh-CN"/>
        </w:rPr>
        <w:t>2</w:t>
      </w:r>
      <w:r>
        <w:rPr>
          <w:rFonts w:hint="eastAsia" w:eastAsia="仿宋"/>
          <w:sz w:val="24"/>
          <w:highlight w:val="none"/>
        </w:rPr>
        <w:tab/>
      </w:r>
      <w:r>
        <w:rPr>
          <w:rFonts w:hint="eastAsia" w:eastAsia="仿宋"/>
          <w:sz w:val="24"/>
          <w:highlight w:val="none"/>
        </w:rPr>
        <w:t>特定资格条件</w:t>
      </w:r>
      <w:r>
        <w:rPr>
          <w:rFonts w:hint="eastAsia" w:eastAsia="仿宋"/>
          <w:sz w:val="24"/>
          <w:highlight w:val="none"/>
          <w:lang w:val="en-US" w:eastAsia="zh-CN"/>
        </w:rPr>
        <w:t>要求供应商</w:t>
      </w:r>
      <w:r>
        <w:rPr>
          <w:rFonts w:hint="eastAsia" w:eastAsia="仿宋"/>
          <w:sz w:val="24"/>
          <w:highlight w:val="none"/>
        </w:rPr>
        <w:t>具备特定资格</w:t>
      </w:r>
      <w:r>
        <w:rPr>
          <w:rFonts w:hint="eastAsia" w:eastAsia="仿宋"/>
          <w:sz w:val="24"/>
          <w:highlight w:val="none"/>
          <w:lang w:val="en-US" w:eastAsia="zh-CN"/>
        </w:rPr>
        <w:t>条件的，按资格</w:t>
      </w:r>
      <w:r>
        <w:rPr>
          <w:rFonts w:hint="eastAsia" w:eastAsia="仿宋"/>
          <w:sz w:val="24"/>
          <w:highlight w:val="none"/>
        </w:rPr>
        <w:t>要求提供证明材料</w:t>
      </w:r>
      <w:r>
        <w:rPr>
          <w:rFonts w:hint="eastAsia" w:eastAsia="仿宋"/>
          <w:sz w:val="24"/>
          <w:highlight w:val="none"/>
          <w:lang w:val="en-US" w:eastAsia="zh-CN"/>
        </w:rPr>
        <w:t>彩色扫描件</w:t>
      </w:r>
      <w:r>
        <w:rPr>
          <w:rFonts w:hint="eastAsia" w:eastAsia="仿宋"/>
          <w:sz w:val="24"/>
          <w:highlight w:val="none"/>
        </w:rPr>
        <w:t>（加盖投标人单位电子签章）</w:t>
      </w:r>
      <w:bookmarkEnd w:id="426"/>
      <w:r>
        <w:rPr>
          <w:rFonts w:hint="eastAsia" w:eastAsia="仿宋"/>
          <w:sz w:val="24"/>
          <w:highlight w:val="none"/>
          <w:lang w:eastAsia="zh-CN"/>
        </w:rPr>
        <w:t>，</w:t>
      </w:r>
      <w:r>
        <w:rPr>
          <w:rFonts w:hint="eastAsia" w:eastAsia="仿宋"/>
          <w:sz w:val="24"/>
          <w:highlight w:val="none"/>
          <w:lang w:val="en-US" w:eastAsia="zh-CN"/>
        </w:rPr>
        <w:t>如无要求，则不需提供。</w:t>
      </w:r>
    </w:p>
    <w:p>
      <w:pPr>
        <w:pageBreakBefore w:val="0"/>
        <w:widowControl w:val="0"/>
        <w:kinsoku/>
        <w:wordWrap/>
        <w:overflowPunct/>
        <w:topLinePunct w:val="0"/>
        <w:autoSpaceDE/>
        <w:autoSpaceDN/>
        <w:bidi w:val="0"/>
        <w:adjustRightInd/>
        <w:snapToGrid/>
        <w:spacing w:line="360" w:lineRule="auto"/>
        <w:jc w:val="center"/>
        <w:textAlignment w:val="auto"/>
        <w:outlineLvl w:val="9"/>
        <w:rPr>
          <w:rFonts w:ascii="宋体" w:hAnsi="宋体"/>
          <w:sz w:val="24"/>
          <w:szCs w:val="20"/>
          <w:highlight w:val="none"/>
        </w:rPr>
      </w:pPr>
    </w:p>
    <w:p>
      <w:pPr>
        <w:keepNext/>
        <w:keepLines/>
        <w:pageBreakBefore w:val="0"/>
        <w:widowControl w:val="0"/>
        <w:kinsoku/>
        <w:wordWrap/>
        <w:overflowPunct/>
        <w:topLinePunct w:val="0"/>
        <w:autoSpaceDE/>
        <w:autoSpaceDN/>
        <w:bidi w:val="0"/>
        <w:adjustRightInd/>
        <w:snapToGrid/>
        <w:spacing w:after="120"/>
        <w:jc w:val="left"/>
        <w:textAlignment w:val="auto"/>
        <w:outlineLvl w:val="9"/>
        <w:rPr>
          <w:rFonts w:hint="eastAsia" w:hAnsi="宋体" w:cs="宋体"/>
          <w:b/>
          <w:sz w:val="28"/>
          <w:szCs w:val="28"/>
          <w:highlight w:val="none"/>
        </w:rPr>
      </w:pPr>
      <w:r>
        <w:rPr>
          <w:rFonts w:hint="eastAsia" w:hAnsi="宋体" w:cs="宋体"/>
          <w:b/>
          <w:sz w:val="28"/>
          <w:szCs w:val="28"/>
          <w:highlight w:val="none"/>
        </w:rPr>
        <w:br w:type="page"/>
      </w:r>
      <w:bookmarkStart w:id="427" w:name="_Toc25710"/>
      <w:bookmarkStart w:id="428" w:name="_Toc31148"/>
      <w:bookmarkStart w:id="429" w:name="_Toc7873"/>
      <w:r>
        <w:rPr>
          <w:rFonts w:hint="eastAsia" w:hAnsi="宋体" w:cs="宋体"/>
          <w:b/>
          <w:sz w:val="28"/>
          <w:szCs w:val="28"/>
          <w:highlight w:val="none"/>
        </w:rPr>
        <w:t>格式1-7：</w:t>
      </w:r>
      <w:bookmarkEnd w:id="427"/>
      <w:bookmarkEnd w:id="428"/>
      <w:bookmarkEnd w:id="429"/>
    </w:p>
    <w:p>
      <w:pPr>
        <w:keepNext/>
        <w:keepLines/>
        <w:pageBreakBefore w:val="0"/>
        <w:kinsoku/>
        <w:wordWrap/>
        <w:overflowPunct/>
        <w:topLinePunct w:val="0"/>
        <w:autoSpaceDE/>
        <w:autoSpaceDN/>
        <w:bidi w:val="0"/>
        <w:spacing w:before="240" w:line="400" w:lineRule="exact"/>
        <w:ind w:left="425"/>
        <w:jc w:val="center"/>
        <w:outlineLvl w:val="9"/>
        <w:rPr>
          <w:rFonts w:ascii="宋体" w:hAnsi="宋体"/>
          <w:b/>
          <w:spacing w:val="40"/>
          <w:sz w:val="32"/>
          <w:szCs w:val="32"/>
          <w:highlight w:val="none"/>
        </w:rPr>
      </w:pPr>
      <w:bookmarkStart w:id="430" w:name="_Toc9159"/>
      <w:bookmarkStart w:id="431" w:name="_Toc22724"/>
      <w:bookmarkStart w:id="432" w:name="_Toc29195"/>
      <w:r>
        <w:rPr>
          <w:rFonts w:hint="eastAsia" w:hAnsi="宋体" w:cs="宋体"/>
          <w:b/>
          <w:sz w:val="30"/>
          <w:szCs w:val="30"/>
          <w:highlight w:val="none"/>
        </w:rPr>
        <w:t>投标人具备参加政府采购活动条件承诺书</w:t>
      </w:r>
      <w:bookmarkEnd w:id="430"/>
      <w:bookmarkEnd w:id="431"/>
      <w:bookmarkEnd w:id="432"/>
    </w:p>
    <w:p>
      <w:pPr>
        <w:pageBreakBefore w:val="0"/>
        <w:widowControl w:val="0"/>
        <w:kinsoku/>
        <w:wordWrap/>
        <w:overflowPunct/>
        <w:topLinePunct w:val="0"/>
        <w:autoSpaceDE/>
        <w:autoSpaceDN/>
        <w:bidi w:val="0"/>
        <w:adjustRightInd/>
        <w:snapToGrid/>
        <w:spacing w:before="240" w:beforeLines="100" w:line="440" w:lineRule="exact"/>
        <w:textAlignment w:val="auto"/>
        <w:outlineLvl w:val="9"/>
        <w:rPr>
          <w:rFonts w:ascii="宋体" w:hAnsi="宋体"/>
          <w:sz w:val="24"/>
          <w:highlight w:val="none"/>
        </w:rPr>
      </w:pPr>
      <w:r>
        <w:rPr>
          <w:rFonts w:hint="eastAsia" w:ascii="宋体" w:hAnsi="宋体"/>
          <w:sz w:val="24"/>
          <w:highlight w:val="none"/>
        </w:rPr>
        <w:t>致：（采购人名称）</w:t>
      </w:r>
    </w:p>
    <w:p>
      <w:pPr>
        <w:pageBreakBefore w:val="0"/>
        <w:widowControl w:val="0"/>
        <w:kinsoku/>
        <w:wordWrap/>
        <w:overflowPunct/>
        <w:topLinePunct w:val="0"/>
        <w:autoSpaceDE/>
        <w:autoSpaceDN/>
        <w:bidi w:val="0"/>
        <w:adjustRightInd/>
        <w:snapToGrid/>
        <w:ind w:firstLine="5040" w:firstLineChars="2100"/>
        <w:textAlignment w:val="auto"/>
        <w:outlineLvl w:val="9"/>
        <w:rPr>
          <w:rFonts w:ascii="宋体" w:hAnsi="宋体"/>
          <w:sz w:val="24"/>
          <w:highlight w:val="none"/>
        </w:rPr>
      </w:pPr>
    </w:p>
    <w:p>
      <w:pPr>
        <w:pageBreakBefore w:val="0"/>
        <w:widowControl w:val="0"/>
        <w:kinsoku/>
        <w:wordWrap/>
        <w:overflowPunct/>
        <w:topLinePunct w:val="0"/>
        <w:autoSpaceDE/>
        <w:autoSpaceDN/>
        <w:bidi w:val="0"/>
        <w:adjustRightInd/>
        <w:snapToGrid/>
        <w:ind w:firstLine="5040" w:firstLineChars="2100"/>
        <w:textAlignment w:val="auto"/>
        <w:outlineLvl w:val="9"/>
        <w:rPr>
          <w:rFonts w:ascii="宋体" w:hAnsi="宋体"/>
          <w:sz w:val="24"/>
          <w:highlight w:val="none"/>
        </w:rPr>
      </w:pPr>
    </w:p>
    <w:p>
      <w:pPr>
        <w:pageBreakBefore w:val="0"/>
        <w:widowControl w:val="0"/>
        <w:kinsoku/>
        <w:wordWrap/>
        <w:overflowPunct/>
        <w:topLinePunct w:val="0"/>
        <w:autoSpaceDE/>
        <w:autoSpaceDN/>
        <w:bidi w:val="0"/>
        <w:adjustRightInd/>
        <w:snapToGrid/>
        <w:ind w:firstLine="840" w:firstLineChars="350"/>
        <w:textAlignment w:val="auto"/>
        <w:outlineLvl w:val="9"/>
        <w:rPr>
          <w:rFonts w:hint="eastAsia" w:ascii="仿宋" w:hAnsi="仿宋" w:eastAsia="仿宋" w:cs="仿宋"/>
          <w:sz w:val="24"/>
          <w:highlight w:val="none"/>
        </w:rPr>
      </w:pPr>
      <w:r>
        <w:rPr>
          <w:rFonts w:hint="eastAsia" w:ascii="仿宋" w:hAnsi="仿宋" w:eastAsia="仿宋" w:cs="仿宋"/>
          <w:sz w:val="24"/>
          <w:highlight w:val="none"/>
        </w:rPr>
        <w:t>（投标人自行承诺及说明，内容自拟）</w:t>
      </w:r>
    </w:p>
    <w:p>
      <w:pPr>
        <w:pageBreakBefore w:val="0"/>
        <w:widowControl w:val="0"/>
        <w:kinsoku/>
        <w:wordWrap/>
        <w:overflowPunct/>
        <w:topLinePunct w:val="0"/>
        <w:autoSpaceDE/>
        <w:autoSpaceDN/>
        <w:bidi w:val="0"/>
        <w:adjustRightInd/>
        <w:snapToGrid/>
        <w:spacing w:line="360" w:lineRule="auto"/>
        <w:jc w:val="left"/>
        <w:textAlignment w:val="auto"/>
        <w:outlineLvl w:val="9"/>
        <w:rPr>
          <w:rFonts w:hint="eastAsia" w:ascii="仿宋" w:hAnsi="仿宋" w:eastAsia="仿宋" w:cs="仿宋"/>
          <w:szCs w:val="21"/>
          <w:highlight w:val="none"/>
        </w:rPr>
      </w:pPr>
    </w:p>
    <w:p>
      <w:pPr>
        <w:pageBreakBefore w:val="0"/>
        <w:widowControl w:val="0"/>
        <w:kinsoku/>
        <w:wordWrap/>
        <w:overflowPunct/>
        <w:topLinePunct w:val="0"/>
        <w:autoSpaceDE/>
        <w:autoSpaceDN/>
        <w:bidi w:val="0"/>
        <w:adjustRightInd/>
        <w:snapToGrid/>
        <w:spacing w:line="360" w:lineRule="auto"/>
        <w:jc w:val="left"/>
        <w:textAlignment w:val="auto"/>
        <w:outlineLvl w:val="9"/>
        <w:rPr>
          <w:rFonts w:ascii="宋体" w:hAnsi="宋体"/>
          <w:sz w:val="24"/>
          <w:highlight w:val="none"/>
        </w:rPr>
      </w:pPr>
    </w:p>
    <w:p>
      <w:pPr>
        <w:pageBreakBefore w:val="0"/>
        <w:widowControl w:val="0"/>
        <w:kinsoku/>
        <w:wordWrap/>
        <w:overflowPunct/>
        <w:topLinePunct w:val="0"/>
        <w:autoSpaceDE/>
        <w:autoSpaceDN/>
        <w:bidi w:val="0"/>
        <w:adjustRightInd/>
        <w:snapToGrid/>
        <w:spacing w:line="360" w:lineRule="auto"/>
        <w:jc w:val="left"/>
        <w:textAlignment w:val="auto"/>
        <w:outlineLvl w:val="9"/>
        <w:rPr>
          <w:rFonts w:ascii="宋体" w:hAnsi="宋体"/>
          <w:sz w:val="24"/>
          <w:highlight w:val="none"/>
        </w:rPr>
      </w:pPr>
    </w:p>
    <w:p>
      <w:pPr>
        <w:pageBreakBefore w:val="0"/>
        <w:widowControl w:val="0"/>
        <w:kinsoku/>
        <w:wordWrap/>
        <w:overflowPunct/>
        <w:topLinePunct w:val="0"/>
        <w:autoSpaceDE/>
        <w:autoSpaceDN/>
        <w:bidi w:val="0"/>
        <w:adjustRightInd/>
        <w:snapToGrid/>
        <w:spacing w:line="360" w:lineRule="auto"/>
        <w:jc w:val="left"/>
        <w:textAlignment w:val="auto"/>
        <w:outlineLvl w:val="9"/>
        <w:rPr>
          <w:rFonts w:ascii="宋体" w:hAnsi="宋体"/>
          <w:sz w:val="24"/>
          <w:highlight w:val="none"/>
        </w:rPr>
      </w:pPr>
    </w:p>
    <w:p>
      <w:pPr>
        <w:pageBreakBefore w:val="0"/>
        <w:widowControl w:val="0"/>
        <w:kinsoku/>
        <w:wordWrap/>
        <w:overflowPunct/>
        <w:topLinePunct w:val="0"/>
        <w:autoSpaceDE/>
        <w:autoSpaceDN/>
        <w:bidi w:val="0"/>
        <w:adjustRightInd/>
        <w:snapToGrid/>
        <w:spacing w:line="360" w:lineRule="auto"/>
        <w:jc w:val="left"/>
        <w:textAlignment w:val="auto"/>
        <w:outlineLvl w:val="9"/>
        <w:rPr>
          <w:rFonts w:ascii="宋体" w:hAnsi="宋体"/>
          <w:sz w:val="24"/>
          <w:highlight w:val="none"/>
        </w:rPr>
      </w:pPr>
    </w:p>
    <w:p>
      <w:pPr>
        <w:pageBreakBefore w:val="0"/>
        <w:widowControl w:val="0"/>
        <w:kinsoku/>
        <w:wordWrap/>
        <w:overflowPunct/>
        <w:topLinePunct w:val="0"/>
        <w:autoSpaceDE/>
        <w:autoSpaceDN/>
        <w:bidi w:val="0"/>
        <w:adjustRightInd/>
        <w:snapToGrid/>
        <w:spacing w:line="360" w:lineRule="auto"/>
        <w:jc w:val="left"/>
        <w:textAlignment w:val="auto"/>
        <w:outlineLvl w:val="9"/>
        <w:rPr>
          <w:rFonts w:ascii="宋体" w:hAnsi="宋体"/>
          <w:sz w:val="24"/>
          <w:highlight w:val="none"/>
        </w:rPr>
      </w:pPr>
    </w:p>
    <w:p>
      <w:pPr>
        <w:pageBreakBefore w:val="0"/>
        <w:widowControl w:val="0"/>
        <w:kinsoku/>
        <w:wordWrap/>
        <w:overflowPunct/>
        <w:topLinePunct w:val="0"/>
        <w:autoSpaceDE/>
        <w:autoSpaceDN/>
        <w:bidi w:val="0"/>
        <w:adjustRightInd/>
        <w:snapToGrid/>
        <w:spacing w:line="360" w:lineRule="auto"/>
        <w:jc w:val="left"/>
        <w:textAlignment w:val="auto"/>
        <w:outlineLvl w:val="9"/>
        <w:rPr>
          <w:rFonts w:ascii="宋体" w:hAnsi="宋体"/>
          <w:sz w:val="24"/>
          <w:highlight w:val="none"/>
        </w:rPr>
      </w:pPr>
    </w:p>
    <w:p>
      <w:pPr>
        <w:pageBreakBefore w:val="0"/>
        <w:widowControl w:val="0"/>
        <w:kinsoku/>
        <w:wordWrap/>
        <w:overflowPunct/>
        <w:topLinePunct w:val="0"/>
        <w:autoSpaceDE/>
        <w:autoSpaceDN/>
        <w:bidi w:val="0"/>
        <w:adjustRightInd/>
        <w:snapToGrid/>
        <w:ind w:firstLine="1200" w:firstLineChars="500"/>
        <w:textAlignment w:val="auto"/>
        <w:outlineLvl w:val="9"/>
        <w:rPr>
          <w:rFonts w:hint="eastAsia" w:ascii="宋体" w:hAnsi="宋体" w:cs="宋体"/>
          <w:sz w:val="24"/>
          <w:highlight w:val="none"/>
        </w:rPr>
      </w:pPr>
      <w:r>
        <w:rPr>
          <w:rFonts w:hint="eastAsia" w:ascii="宋体" w:hAnsi="宋体" w:cs="宋体"/>
          <w:sz w:val="24"/>
          <w:highlight w:val="none"/>
        </w:rPr>
        <w:t>投标人：</w:t>
      </w:r>
      <w:r>
        <w:rPr>
          <w:rFonts w:hint="eastAsia" w:ascii="宋体" w:hAnsi="宋体" w:cs="宋体"/>
          <w:sz w:val="24"/>
          <w:highlight w:val="none"/>
          <w:u w:val="single"/>
        </w:rPr>
        <w:tab/>
      </w:r>
      <w:r>
        <w:rPr>
          <w:rFonts w:hint="eastAsia" w:ascii="宋体" w:hAnsi="宋体" w:cs="宋体"/>
          <w:sz w:val="24"/>
          <w:highlight w:val="none"/>
          <w:u w:val="single"/>
        </w:rPr>
        <w:t xml:space="preserve">                      </w:t>
      </w:r>
      <w:r>
        <w:rPr>
          <w:rFonts w:hint="eastAsia" w:ascii="宋体" w:hAnsi="宋体" w:cs="宋体"/>
          <w:sz w:val="24"/>
          <w:highlight w:val="none"/>
        </w:rPr>
        <w:t>(电子签章)</w:t>
      </w:r>
    </w:p>
    <w:p>
      <w:pPr>
        <w:pageBreakBefore w:val="0"/>
        <w:widowControl w:val="0"/>
        <w:kinsoku/>
        <w:wordWrap/>
        <w:overflowPunct/>
        <w:topLinePunct w:val="0"/>
        <w:autoSpaceDE/>
        <w:autoSpaceDN/>
        <w:bidi w:val="0"/>
        <w:adjustRightInd/>
        <w:snapToGrid/>
        <w:textAlignment w:val="auto"/>
        <w:outlineLvl w:val="9"/>
        <w:rPr>
          <w:rFonts w:hint="eastAsia" w:ascii="宋体" w:hAnsi="宋体" w:cs="宋体"/>
          <w:sz w:val="24"/>
          <w:highlight w:val="none"/>
        </w:rPr>
      </w:pPr>
      <w:r>
        <w:rPr>
          <w:rFonts w:hint="eastAsia" w:ascii="宋体" w:hAnsi="宋体" w:cs="宋体"/>
          <w:sz w:val="24"/>
          <w:highlight w:val="none"/>
        </w:rPr>
        <w:t xml:space="preserve"> </w:t>
      </w:r>
    </w:p>
    <w:p>
      <w:pPr>
        <w:pageBreakBefore w:val="0"/>
        <w:widowControl w:val="0"/>
        <w:kinsoku/>
        <w:wordWrap/>
        <w:overflowPunct/>
        <w:topLinePunct w:val="0"/>
        <w:autoSpaceDE/>
        <w:autoSpaceDN/>
        <w:bidi w:val="0"/>
        <w:adjustRightInd/>
        <w:snapToGrid/>
        <w:ind w:firstLine="1200" w:firstLineChars="500"/>
        <w:textAlignment w:val="auto"/>
        <w:outlineLvl w:val="9"/>
        <w:rPr>
          <w:rFonts w:hint="eastAsia" w:ascii="宋体" w:hAnsi="宋体" w:cs="宋体"/>
          <w:sz w:val="24"/>
          <w:highlight w:val="none"/>
          <w:lang w:eastAsia="zh-CN"/>
        </w:rPr>
      </w:pPr>
      <w:r>
        <w:rPr>
          <w:rFonts w:hint="eastAsia" w:ascii="宋体" w:hAnsi="宋体" w:cs="宋体"/>
          <w:sz w:val="24"/>
          <w:highlight w:val="none"/>
        </w:rPr>
        <w:t>法定代表人</w:t>
      </w:r>
      <w:r>
        <w:rPr>
          <w:rFonts w:hint="eastAsia" w:ascii="宋体" w:hAnsi="宋体" w:cs="宋体"/>
          <w:sz w:val="24"/>
          <w:highlight w:val="none"/>
          <w:lang w:eastAsia="zh-CN"/>
        </w:rPr>
        <w:t>（</w:t>
      </w:r>
      <w:r>
        <w:rPr>
          <w:rFonts w:hint="eastAsia" w:ascii="宋体" w:hAnsi="宋体" w:cs="宋体"/>
          <w:sz w:val="24"/>
          <w:highlight w:val="none"/>
          <w:lang w:val="en-US" w:eastAsia="zh-CN"/>
        </w:rPr>
        <w:t>电子签名</w:t>
      </w:r>
      <w:r>
        <w:rPr>
          <w:rFonts w:hint="eastAsia" w:ascii="宋体" w:hAnsi="宋体" w:cs="宋体"/>
          <w:sz w:val="24"/>
          <w:highlight w:val="none"/>
          <w:lang w:eastAsia="zh-CN"/>
        </w:rPr>
        <w:t>）</w:t>
      </w:r>
    </w:p>
    <w:p>
      <w:pPr>
        <w:pageBreakBefore w:val="0"/>
        <w:widowControl w:val="0"/>
        <w:kinsoku/>
        <w:wordWrap/>
        <w:overflowPunct/>
        <w:topLinePunct w:val="0"/>
        <w:autoSpaceDE/>
        <w:autoSpaceDN/>
        <w:bidi w:val="0"/>
        <w:adjustRightInd/>
        <w:snapToGrid/>
        <w:ind w:firstLine="1200" w:firstLineChars="500"/>
        <w:textAlignment w:val="auto"/>
        <w:outlineLvl w:val="9"/>
        <w:rPr>
          <w:rFonts w:hint="eastAsia" w:ascii="宋体" w:hAnsi="宋体" w:cs="宋体"/>
          <w:sz w:val="24"/>
          <w:highlight w:val="none"/>
        </w:rPr>
      </w:pPr>
      <w:r>
        <w:rPr>
          <w:rFonts w:hint="eastAsia" w:ascii="宋体" w:hAnsi="宋体" w:cs="宋体"/>
          <w:sz w:val="24"/>
          <w:highlight w:val="none"/>
        </w:rPr>
        <w:t>或其委托代理人</w:t>
      </w:r>
      <w:r>
        <w:rPr>
          <w:rFonts w:hint="eastAsia" w:ascii="宋体" w:hAnsi="宋体" w:cs="宋体"/>
          <w:sz w:val="24"/>
          <w:highlight w:val="none"/>
          <w:lang w:eastAsia="zh-CN"/>
        </w:rPr>
        <w:t>（</w:t>
      </w:r>
      <w:r>
        <w:rPr>
          <w:rFonts w:hint="eastAsia" w:ascii="宋体" w:hAnsi="宋体" w:cs="宋体"/>
          <w:sz w:val="24"/>
          <w:highlight w:val="none"/>
          <w:lang w:val="en-US" w:eastAsia="zh-CN"/>
        </w:rPr>
        <w:t>签字</w:t>
      </w:r>
      <w:r>
        <w:rPr>
          <w:rFonts w:hint="eastAsia" w:ascii="宋体" w:hAnsi="宋体" w:cs="宋体"/>
          <w:sz w:val="24"/>
          <w:highlight w:val="none"/>
          <w:lang w:eastAsia="zh-CN"/>
        </w:rPr>
        <w:t>）</w:t>
      </w:r>
      <w:r>
        <w:rPr>
          <w:rFonts w:hint="eastAsia" w:ascii="宋体" w:hAnsi="宋体" w:cs="宋体"/>
          <w:sz w:val="24"/>
          <w:highlight w:val="none"/>
        </w:rPr>
        <w:t>：</w:t>
      </w:r>
      <w:r>
        <w:rPr>
          <w:rFonts w:hint="eastAsia" w:ascii="宋体" w:hAnsi="宋体" w:cs="宋体"/>
          <w:sz w:val="24"/>
          <w:highlight w:val="none"/>
          <w:u w:val="single"/>
        </w:rPr>
        <w:t xml:space="preserve">             </w:t>
      </w:r>
    </w:p>
    <w:p>
      <w:pPr>
        <w:pageBreakBefore w:val="0"/>
        <w:widowControl w:val="0"/>
        <w:kinsoku/>
        <w:wordWrap/>
        <w:overflowPunct/>
        <w:topLinePunct w:val="0"/>
        <w:autoSpaceDE/>
        <w:autoSpaceDN/>
        <w:bidi w:val="0"/>
        <w:adjustRightInd/>
        <w:snapToGrid/>
        <w:textAlignment w:val="auto"/>
        <w:outlineLvl w:val="9"/>
        <w:rPr>
          <w:rFonts w:hint="eastAsia" w:ascii="宋体" w:hAnsi="宋体" w:cs="宋体"/>
          <w:sz w:val="24"/>
          <w:highlight w:val="none"/>
        </w:rPr>
      </w:pPr>
      <w:r>
        <w:rPr>
          <w:rFonts w:hint="eastAsia" w:ascii="宋体" w:hAnsi="宋体" w:cs="宋体"/>
          <w:sz w:val="24"/>
          <w:highlight w:val="none"/>
        </w:rPr>
        <w:t xml:space="preserve"> </w:t>
      </w:r>
    </w:p>
    <w:p>
      <w:pPr>
        <w:pageBreakBefore w:val="0"/>
        <w:widowControl w:val="0"/>
        <w:kinsoku/>
        <w:wordWrap/>
        <w:overflowPunct/>
        <w:topLinePunct w:val="0"/>
        <w:autoSpaceDE/>
        <w:autoSpaceDN/>
        <w:bidi w:val="0"/>
        <w:adjustRightInd/>
        <w:snapToGrid/>
        <w:ind w:firstLine="1200" w:firstLineChars="500"/>
        <w:textAlignment w:val="auto"/>
        <w:outlineLvl w:val="9"/>
        <w:rPr>
          <w:rFonts w:hint="eastAsia" w:ascii="宋体" w:hAnsi="宋体" w:cs="宋体"/>
          <w:highlight w:val="none"/>
        </w:rPr>
      </w:pPr>
      <w:r>
        <w:rPr>
          <w:rFonts w:hint="eastAsia" w:ascii="宋体" w:hAnsi="宋体" w:cs="宋体"/>
          <w:sz w:val="24"/>
          <w:highlight w:val="none"/>
        </w:rPr>
        <w:t>日期：</w:t>
      </w:r>
      <w:r>
        <w:rPr>
          <w:rFonts w:hint="eastAsia" w:ascii="宋体" w:hAnsi="宋体" w:cs="宋体"/>
          <w:sz w:val="24"/>
          <w:highlight w:val="none"/>
          <w:u w:val="single"/>
        </w:rPr>
        <w:t xml:space="preserve">        </w:t>
      </w:r>
      <w:r>
        <w:rPr>
          <w:rFonts w:hint="eastAsia" w:ascii="宋体" w:hAnsi="宋体" w:cs="宋体"/>
          <w:sz w:val="24"/>
          <w:highlight w:val="none"/>
        </w:rPr>
        <w:t xml:space="preserve">年 </w:t>
      </w:r>
      <w:r>
        <w:rPr>
          <w:rFonts w:hint="eastAsia" w:ascii="宋体" w:hAnsi="宋体" w:cs="宋体"/>
          <w:sz w:val="24"/>
          <w:highlight w:val="none"/>
          <w:u w:val="single"/>
        </w:rPr>
        <w:tab/>
      </w:r>
      <w:r>
        <w:rPr>
          <w:rFonts w:hint="eastAsia" w:ascii="宋体" w:hAnsi="宋体" w:cs="宋体"/>
          <w:sz w:val="24"/>
          <w:highlight w:val="none"/>
          <w:u w:val="single"/>
        </w:rPr>
        <w:t xml:space="preserve"> </w:t>
      </w:r>
      <w:r>
        <w:rPr>
          <w:rFonts w:hint="eastAsia" w:ascii="宋体" w:hAnsi="宋体" w:cs="宋体"/>
          <w:sz w:val="24"/>
          <w:highlight w:val="none"/>
        </w:rPr>
        <w:t xml:space="preserve">月 </w:t>
      </w:r>
      <w:r>
        <w:rPr>
          <w:rFonts w:hint="eastAsia" w:ascii="宋体" w:hAnsi="宋体" w:cs="宋体"/>
          <w:sz w:val="24"/>
          <w:highlight w:val="none"/>
          <w:u w:val="single"/>
        </w:rPr>
        <w:t xml:space="preserve">   </w:t>
      </w:r>
      <w:r>
        <w:rPr>
          <w:rFonts w:hint="eastAsia" w:ascii="宋体" w:hAnsi="宋体" w:cs="宋体"/>
          <w:sz w:val="24"/>
          <w:highlight w:val="none"/>
        </w:rPr>
        <w:t>日</w:t>
      </w:r>
    </w:p>
    <w:p>
      <w:pPr>
        <w:pageBreakBefore w:val="0"/>
        <w:widowControl w:val="0"/>
        <w:kinsoku/>
        <w:wordWrap/>
        <w:overflowPunct/>
        <w:topLinePunct w:val="0"/>
        <w:autoSpaceDE/>
        <w:autoSpaceDN/>
        <w:bidi w:val="0"/>
        <w:adjustRightInd/>
        <w:snapToGrid/>
        <w:spacing w:line="360" w:lineRule="auto"/>
        <w:jc w:val="right"/>
        <w:textAlignment w:val="auto"/>
        <w:outlineLvl w:val="9"/>
        <w:rPr>
          <w:rFonts w:ascii="宋体" w:hAnsi="宋体"/>
          <w:szCs w:val="21"/>
          <w:highlight w:val="none"/>
        </w:rPr>
      </w:pPr>
    </w:p>
    <w:p>
      <w:pPr>
        <w:pageBreakBefore w:val="0"/>
        <w:widowControl w:val="0"/>
        <w:kinsoku/>
        <w:wordWrap/>
        <w:overflowPunct/>
        <w:topLinePunct w:val="0"/>
        <w:autoSpaceDE/>
        <w:autoSpaceDN/>
        <w:bidi w:val="0"/>
        <w:adjustRightInd/>
        <w:snapToGrid/>
        <w:spacing w:line="360" w:lineRule="auto"/>
        <w:jc w:val="left"/>
        <w:textAlignment w:val="auto"/>
        <w:outlineLvl w:val="9"/>
        <w:rPr>
          <w:rFonts w:hint="eastAsia" w:ascii="宋体" w:hAnsi="宋体"/>
          <w:b/>
          <w:bCs/>
          <w:szCs w:val="21"/>
          <w:highlight w:val="none"/>
        </w:rPr>
      </w:pPr>
    </w:p>
    <w:p>
      <w:pPr>
        <w:pageBreakBefore w:val="0"/>
        <w:widowControl w:val="0"/>
        <w:kinsoku/>
        <w:wordWrap/>
        <w:overflowPunct/>
        <w:topLinePunct w:val="0"/>
        <w:autoSpaceDE/>
        <w:autoSpaceDN/>
        <w:bidi w:val="0"/>
        <w:adjustRightInd/>
        <w:snapToGrid/>
        <w:spacing w:line="360" w:lineRule="auto"/>
        <w:jc w:val="left"/>
        <w:textAlignment w:val="auto"/>
        <w:outlineLvl w:val="9"/>
        <w:rPr>
          <w:rFonts w:eastAsia="仿宋"/>
          <w:b/>
          <w:bCs/>
          <w:sz w:val="24"/>
          <w:highlight w:val="none"/>
        </w:rPr>
      </w:pPr>
    </w:p>
    <w:p>
      <w:pPr>
        <w:pageBreakBefore w:val="0"/>
        <w:widowControl w:val="0"/>
        <w:kinsoku/>
        <w:wordWrap/>
        <w:overflowPunct/>
        <w:topLinePunct w:val="0"/>
        <w:autoSpaceDE/>
        <w:autoSpaceDN/>
        <w:bidi w:val="0"/>
        <w:adjustRightInd/>
        <w:snapToGrid/>
        <w:spacing w:line="360" w:lineRule="auto"/>
        <w:jc w:val="left"/>
        <w:textAlignment w:val="auto"/>
        <w:outlineLvl w:val="9"/>
        <w:rPr>
          <w:rFonts w:eastAsia="仿宋"/>
          <w:b/>
          <w:bCs/>
          <w:sz w:val="24"/>
          <w:highlight w:val="none"/>
        </w:rPr>
      </w:pPr>
    </w:p>
    <w:p>
      <w:pPr>
        <w:pageBreakBefore w:val="0"/>
        <w:widowControl w:val="0"/>
        <w:kinsoku/>
        <w:wordWrap/>
        <w:overflowPunct/>
        <w:topLinePunct w:val="0"/>
        <w:autoSpaceDE/>
        <w:autoSpaceDN/>
        <w:bidi w:val="0"/>
        <w:adjustRightInd/>
        <w:snapToGrid/>
        <w:spacing w:line="360" w:lineRule="auto"/>
        <w:jc w:val="left"/>
        <w:textAlignment w:val="auto"/>
        <w:outlineLvl w:val="9"/>
        <w:rPr>
          <w:rFonts w:eastAsia="仿宋"/>
          <w:b/>
          <w:bCs/>
          <w:sz w:val="24"/>
          <w:highlight w:val="none"/>
        </w:rPr>
      </w:pPr>
      <w:r>
        <w:rPr>
          <w:rFonts w:eastAsia="仿宋"/>
          <w:b/>
          <w:bCs/>
          <w:sz w:val="24"/>
          <w:highlight w:val="none"/>
        </w:rPr>
        <w:t>说明：</w:t>
      </w:r>
    </w:p>
    <w:p>
      <w:pPr>
        <w:keepNext/>
        <w:keepLines/>
        <w:pageBreakBefore w:val="0"/>
        <w:widowControl w:val="0"/>
        <w:kinsoku/>
        <w:wordWrap/>
        <w:overflowPunct/>
        <w:topLinePunct w:val="0"/>
        <w:autoSpaceDE/>
        <w:autoSpaceDN/>
        <w:bidi w:val="0"/>
        <w:adjustRightInd/>
        <w:snapToGrid/>
        <w:ind w:firstLine="480" w:firstLineChars="200"/>
        <w:textAlignment w:val="auto"/>
        <w:outlineLvl w:val="9"/>
        <w:rPr>
          <w:rFonts w:eastAsia="仿宋"/>
          <w:bCs/>
          <w:sz w:val="24"/>
          <w:highlight w:val="none"/>
        </w:rPr>
      </w:pPr>
      <w:r>
        <w:rPr>
          <w:rFonts w:eastAsia="仿宋"/>
          <w:bCs/>
          <w:sz w:val="24"/>
          <w:highlight w:val="none"/>
        </w:rPr>
        <w:t>1、投标人应对是否满足本招标文件第二章</w:t>
      </w:r>
      <w:r>
        <w:rPr>
          <w:rFonts w:hint="eastAsia" w:eastAsia="仿宋"/>
          <w:bCs/>
          <w:sz w:val="24"/>
          <w:highlight w:val="none"/>
        </w:rPr>
        <w:t>“</w:t>
      </w:r>
      <w:r>
        <w:rPr>
          <w:rFonts w:eastAsia="仿宋"/>
          <w:bCs/>
          <w:sz w:val="24"/>
          <w:highlight w:val="none"/>
        </w:rPr>
        <w:t>投标人须知</w:t>
      </w:r>
      <w:r>
        <w:rPr>
          <w:rFonts w:hint="eastAsia" w:eastAsia="仿宋"/>
          <w:bCs/>
          <w:sz w:val="24"/>
          <w:highlight w:val="none"/>
        </w:rPr>
        <w:t>”“</w:t>
      </w:r>
      <w:r>
        <w:rPr>
          <w:rFonts w:eastAsia="仿宋"/>
          <w:b/>
          <w:color w:val="000000"/>
          <w:sz w:val="24"/>
          <w:highlight w:val="none"/>
        </w:rPr>
        <w:t>★</w:t>
      </w:r>
      <w:r>
        <w:rPr>
          <w:rFonts w:eastAsia="仿宋"/>
          <w:bCs/>
          <w:sz w:val="24"/>
          <w:highlight w:val="none"/>
        </w:rPr>
        <w:t>3. 投标人资格要求</w:t>
      </w:r>
      <w:r>
        <w:rPr>
          <w:rFonts w:hint="eastAsia" w:eastAsia="仿宋"/>
          <w:bCs/>
          <w:sz w:val="24"/>
          <w:highlight w:val="none"/>
        </w:rPr>
        <w:t>”</w:t>
      </w:r>
      <w:r>
        <w:rPr>
          <w:rFonts w:eastAsia="仿宋"/>
          <w:bCs/>
          <w:sz w:val="24"/>
          <w:highlight w:val="none"/>
        </w:rPr>
        <w:t>逐项进行说明和承诺，包括但不限于：具有独立承担民事责任的能力；良好的商业信誉和健全的财务会计制度；法律、行政法规规定的其他条件等；</w:t>
      </w:r>
    </w:p>
    <w:p>
      <w:pPr>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eastAsia="仿宋"/>
          <w:b/>
          <w:bCs/>
          <w:sz w:val="24"/>
          <w:highlight w:val="none"/>
        </w:rPr>
      </w:pPr>
      <w:r>
        <w:rPr>
          <w:rFonts w:eastAsia="仿宋"/>
          <w:sz w:val="24"/>
          <w:highlight w:val="none"/>
        </w:rPr>
        <w:t>2、</w:t>
      </w:r>
      <w:r>
        <w:rPr>
          <w:rFonts w:eastAsia="仿宋"/>
          <w:b/>
          <w:bCs/>
          <w:sz w:val="24"/>
          <w:highlight w:val="none"/>
        </w:rPr>
        <w:t>若招标文件中明确要求提供证明资料的，以证明资料为准。</w:t>
      </w:r>
    </w:p>
    <w:p>
      <w:pPr>
        <w:pageBreakBefore w:val="0"/>
        <w:widowControl w:val="0"/>
        <w:tabs>
          <w:tab w:val="left" w:pos="1021"/>
        </w:tabs>
        <w:kinsoku/>
        <w:wordWrap/>
        <w:overflowPunct/>
        <w:topLinePunct w:val="0"/>
        <w:autoSpaceDE/>
        <w:autoSpaceDN/>
        <w:bidi w:val="0"/>
        <w:adjustRightInd/>
        <w:snapToGrid/>
        <w:spacing w:line="360" w:lineRule="auto"/>
        <w:textAlignment w:val="auto"/>
        <w:outlineLvl w:val="9"/>
        <w:rPr>
          <w:rFonts w:hint="eastAsia" w:ascii="宋体" w:hAnsi="宋体" w:cs="宋体"/>
          <w:bCs/>
          <w:kern w:val="0"/>
          <w:szCs w:val="21"/>
          <w:highlight w:val="none"/>
        </w:rPr>
      </w:pPr>
    </w:p>
    <w:p>
      <w:pPr>
        <w:pageBreakBefore w:val="0"/>
        <w:widowControl w:val="0"/>
        <w:kinsoku/>
        <w:wordWrap/>
        <w:overflowPunct/>
        <w:topLinePunct w:val="0"/>
        <w:autoSpaceDE/>
        <w:autoSpaceDN/>
        <w:bidi w:val="0"/>
        <w:adjustRightInd/>
        <w:snapToGrid/>
        <w:spacing w:line="360" w:lineRule="auto"/>
        <w:jc w:val="center"/>
        <w:textAlignment w:val="auto"/>
        <w:outlineLvl w:val="9"/>
        <w:rPr>
          <w:rFonts w:hint="eastAsia" w:ascii="宋体" w:hAnsi="宋体" w:cs="宋体"/>
          <w:bCs/>
          <w:kern w:val="0"/>
          <w:szCs w:val="21"/>
          <w:highlight w:val="none"/>
        </w:rPr>
      </w:pPr>
      <w:r>
        <w:rPr>
          <w:rFonts w:hint="eastAsia" w:ascii="宋体" w:hAnsi="宋体" w:cs="宋体"/>
          <w:bCs/>
          <w:kern w:val="0"/>
          <w:szCs w:val="21"/>
          <w:highlight w:val="none"/>
        </w:rPr>
        <w:br w:type="page"/>
      </w:r>
    </w:p>
    <w:p>
      <w:pPr>
        <w:pageBreakBefore w:val="0"/>
        <w:kinsoku/>
        <w:wordWrap/>
        <w:overflowPunct/>
        <w:topLinePunct w:val="0"/>
        <w:autoSpaceDE/>
        <w:autoSpaceDN/>
        <w:bidi w:val="0"/>
        <w:spacing w:line="360" w:lineRule="auto"/>
        <w:jc w:val="center"/>
        <w:outlineLvl w:val="9"/>
        <w:rPr>
          <w:rFonts w:hint="eastAsia" w:ascii="宋体" w:eastAsia="宋体"/>
          <w:b/>
          <w:sz w:val="48"/>
          <w:szCs w:val="48"/>
          <w:highlight w:val="none"/>
          <w:lang w:eastAsia="zh-CN"/>
        </w:rPr>
      </w:pPr>
      <w:r>
        <w:rPr>
          <w:rFonts w:hint="eastAsia" w:ascii="宋体"/>
          <w:b/>
          <w:sz w:val="48"/>
          <w:szCs w:val="48"/>
          <w:highlight w:val="none"/>
          <w:lang w:eastAsia="zh-CN"/>
        </w:rPr>
        <w:t>2023年曲水县“十三五”期间政府项目（2000万-5000万）审计</w:t>
      </w:r>
    </w:p>
    <w:p>
      <w:pPr>
        <w:pStyle w:val="18"/>
        <w:pageBreakBefore w:val="0"/>
        <w:kinsoku/>
        <w:wordWrap/>
        <w:overflowPunct/>
        <w:topLinePunct w:val="0"/>
        <w:autoSpaceDE/>
        <w:autoSpaceDN/>
        <w:bidi w:val="0"/>
        <w:spacing w:line="500" w:lineRule="exact"/>
        <w:jc w:val="center"/>
        <w:outlineLvl w:val="9"/>
        <w:rPr>
          <w:rFonts w:hAnsi="宋体"/>
          <w:b/>
          <w:sz w:val="28"/>
          <w:szCs w:val="28"/>
          <w:highlight w:val="none"/>
          <w:u w:val="single"/>
        </w:rPr>
      </w:pPr>
      <w:r>
        <w:rPr>
          <w:rFonts w:hint="eastAsia" w:hAnsi="宋体"/>
          <w:b/>
          <w:sz w:val="28"/>
          <w:szCs w:val="28"/>
          <w:highlight w:val="none"/>
        </w:rPr>
        <w:t>招标编号：</w:t>
      </w:r>
    </w:p>
    <w:p>
      <w:pPr>
        <w:pageBreakBefore w:val="0"/>
        <w:kinsoku/>
        <w:wordWrap/>
        <w:overflowPunct/>
        <w:topLinePunct w:val="0"/>
        <w:autoSpaceDE/>
        <w:autoSpaceDN/>
        <w:bidi w:val="0"/>
        <w:spacing w:line="360" w:lineRule="auto"/>
        <w:jc w:val="center"/>
        <w:outlineLvl w:val="9"/>
        <w:rPr>
          <w:rFonts w:hint="eastAsia" w:ascii="宋体"/>
          <w:sz w:val="24"/>
          <w:highlight w:val="none"/>
        </w:rPr>
      </w:pPr>
    </w:p>
    <w:p>
      <w:pPr>
        <w:pageBreakBefore w:val="0"/>
        <w:kinsoku/>
        <w:wordWrap/>
        <w:overflowPunct/>
        <w:topLinePunct w:val="0"/>
        <w:autoSpaceDE/>
        <w:autoSpaceDN/>
        <w:bidi w:val="0"/>
        <w:spacing w:line="360" w:lineRule="auto"/>
        <w:jc w:val="center"/>
        <w:outlineLvl w:val="9"/>
        <w:rPr>
          <w:rFonts w:hint="eastAsia" w:ascii="宋体"/>
          <w:sz w:val="24"/>
          <w:highlight w:val="none"/>
        </w:rPr>
      </w:pPr>
    </w:p>
    <w:p>
      <w:pPr>
        <w:pageBreakBefore w:val="0"/>
        <w:kinsoku/>
        <w:wordWrap/>
        <w:overflowPunct/>
        <w:topLinePunct w:val="0"/>
        <w:autoSpaceDE/>
        <w:autoSpaceDN/>
        <w:bidi w:val="0"/>
        <w:spacing w:line="360" w:lineRule="auto"/>
        <w:jc w:val="center"/>
        <w:outlineLvl w:val="9"/>
        <w:rPr>
          <w:rFonts w:hint="eastAsia" w:ascii="宋体"/>
          <w:sz w:val="24"/>
          <w:highlight w:val="none"/>
        </w:rPr>
      </w:pPr>
    </w:p>
    <w:p>
      <w:pPr>
        <w:pageBreakBefore w:val="0"/>
        <w:kinsoku/>
        <w:wordWrap/>
        <w:overflowPunct/>
        <w:topLinePunct w:val="0"/>
        <w:autoSpaceDE/>
        <w:autoSpaceDN/>
        <w:bidi w:val="0"/>
        <w:spacing w:line="360" w:lineRule="auto"/>
        <w:jc w:val="center"/>
        <w:outlineLvl w:val="9"/>
        <w:rPr>
          <w:rFonts w:hint="eastAsia" w:ascii="宋体"/>
          <w:sz w:val="24"/>
          <w:highlight w:val="none"/>
        </w:rPr>
      </w:pPr>
    </w:p>
    <w:p>
      <w:pPr>
        <w:pStyle w:val="18"/>
        <w:pageBreakBefore w:val="0"/>
        <w:kinsoku/>
        <w:wordWrap/>
        <w:overflowPunct/>
        <w:topLinePunct w:val="0"/>
        <w:autoSpaceDE/>
        <w:autoSpaceDN/>
        <w:bidi w:val="0"/>
        <w:spacing w:line="360" w:lineRule="auto"/>
        <w:jc w:val="center"/>
        <w:outlineLvl w:val="9"/>
        <w:rPr>
          <w:rFonts w:hint="eastAsia"/>
          <w:b/>
          <w:sz w:val="84"/>
          <w:szCs w:val="84"/>
          <w:highlight w:val="none"/>
        </w:rPr>
      </w:pPr>
      <w:r>
        <w:rPr>
          <w:rFonts w:hint="eastAsia"/>
          <w:b/>
          <w:sz w:val="84"/>
          <w:szCs w:val="84"/>
          <w:highlight w:val="none"/>
        </w:rPr>
        <w:t>投 标 文 件</w:t>
      </w:r>
    </w:p>
    <w:p>
      <w:pPr>
        <w:pageBreakBefore w:val="0"/>
        <w:kinsoku/>
        <w:wordWrap/>
        <w:overflowPunct/>
        <w:topLinePunct w:val="0"/>
        <w:autoSpaceDE/>
        <w:autoSpaceDN/>
        <w:bidi w:val="0"/>
        <w:spacing w:line="360" w:lineRule="auto"/>
        <w:jc w:val="center"/>
        <w:outlineLvl w:val="9"/>
        <w:rPr>
          <w:rFonts w:hint="eastAsia" w:ascii="宋体"/>
          <w:sz w:val="24"/>
          <w:highlight w:val="none"/>
        </w:rPr>
      </w:pPr>
    </w:p>
    <w:p>
      <w:pPr>
        <w:pStyle w:val="18"/>
        <w:pageBreakBefore w:val="0"/>
        <w:kinsoku/>
        <w:wordWrap/>
        <w:overflowPunct/>
        <w:topLinePunct w:val="0"/>
        <w:autoSpaceDE/>
        <w:autoSpaceDN/>
        <w:bidi w:val="0"/>
        <w:spacing w:line="480" w:lineRule="auto"/>
        <w:jc w:val="center"/>
        <w:outlineLvl w:val="9"/>
        <w:rPr>
          <w:rFonts w:hAnsi="宋体"/>
          <w:b/>
          <w:sz w:val="72"/>
          <w:szCs w:val="72"/>
          <w:highlight w:val="none"/>
        </w:rPr>
      </w:pPr>
      <w:r>
        <w:rPr>
          <w:rFonts w:hint="eastAsia" w:hAnsi="宋体"/>
          <w:b/>
          <w:sz w:val="72"/>
          <w:szCs w:val="72"/>
          <w:highlight w:val="none"/>
        </w:rPr>
        <w:t>（第二册）</w:t>
      </w:r>
    </w:p>
    <w:p>
      <w:pPr>
        <w:pStyle w:val="18"/>
        <w:pageBreakBefore w:val="0"/>
        <w:kinsoku/>
        <w:wordWrap/>
        <w:overflowPunct/>
        <w:topLinePunct w:val="0"/>
        <w:autoSpaceDE/>
        <w:autoSpaceDN/>
        <w:bidi w:val="0"/>
        <w:spacing w:line="500" w:lineRule="exact"/>
        <w:ind w:firstLine="3601" w:firstLineChars="1281"/>
        <w:outlineLvl w:val="9"/>
        <w:rPr>
          <w:rFonts w:hint="eastAsia" w:hAnsi="宋体"/>
          <w:b/>
          <w:sz w:val="28"/>
          <w:szCs w:val="28"/>
          <w:highlight w:val="none"/>
        </w:rPr>
      </w:pPr>
    </w:p>
    <w:p>
      <w:pPr>
        <w:pStyle w:val="18"/>
        <w:pageBreakBefore w:val="0"/>
        <w:kinsoku/>
        <w:wordWrap/>
        <w:overflowPunct/>
        <w:topLinePunct w:val="0"/>
        <w:autoSpaceDE/>
        <w:autoSpaceDN/>
        <w:bidi w:val="0"/>
        <w:spacing w:line="500" w:lineRule="exact"/>
        <w:jc w:val="center"/>
        <w:outlineLvl w:val="9"/>
        <w:rPr>
          <w:rFonts w:hAnsi="宋体"/>
          <w:b/>
          <w:sz w:val="72"/>
          <w:szCs w:val="72"/>
          <w:highlight w:val="none"/>
        </w:rPr>
      </w:pPr>
    </w:p>
    <w:p>
      <w:pPr>
        <w:pStyle w:val="18"/>
        <w:pageBreakBefore w:val="0"/>
        <w:kinsoku/>
        <w:wordWrap/>
        <w:overflowPunct/>
        <w:topLinePunct w:val="0"/>
        <w:autoSpaceDE/>
        <w:autoSpaceDN/>
        <w:bidi w:val="0"/>
        <w:spacing w:line="500" w:lineRule="exact"/>
        <w:jc w:val="center"/>
        <w:outlineLvl w:val="9"/>
        <w:rPr>
          <w:rFonts w:hAnsi="宋体"/>
          <w:b/>
          <w:sz w:val="72"/>
          <w:szCs w:val="72"/>
          <w:highlight w:val="none"/>
        </w:rPr>
      </w:pPr>
    </w:p>
    <w:p>
      <w:pPr>
        <w:pStyle w:val="18"/>
        <w:pageBreakBefore w:val="0"/>
        <w:kinsoku/>
        <w:wordWrap/>
        <w:overflowPunct/>
        <w:topLinePunct w:val="0"/>
        <w:autoSpaceDE/>
        <w:autoSpaceDN/>
        <w:bidi w:val="0"/>
        <w:spacing w:line="500" w:lineRule="exact"/>
        <w:jc w:val="center"/>
        <w:outlineLvl w:val="9"/>
        <w:rPr>
          <w:rFonts w:hAnsi="宋体"/>
          <w:b/>
          <w:sz w:val="72"/>
          <w:szCs w:val="72"/>
          <w:highlight w:val="none"/>
        </w:rPr>
      </w:pPr>
    </w:p>
    <w:p>
      <w:pPr>
        <w:pStyle w:val="18"/>
        <w:pageBreakBefore w:val="0"/>
        <w:kinsoku/>
        <w:wordWrap/>
        <w:overflowPunct/>
        <w:topLinePunct w:val="0"/>
        <w:autoSpaceDE/>
        <w:autoSpaceDN/>
        <w:bidi w:val="0"/>
        <w:spacing w:line="500" w:lineRule="exact"/>
        <w:jc w:val="center"/>
        <w:outlineLvl w:val="9"/>
        <w:rPr>
          <w:rFonts w:hAnsi="宋体"/>
          <w:b/>
          <w:sz w:val="72"/>
          <w:szCs w:val="72"/>
          <w:highlight w:val="none"/>
        </w:rPr>
      </w:pPr>
    </w:p>
    <w:p>
      <w:pPr>
        <w:keepNext w:val="0"/>
        <w:keepLines w:val="0"/>
        <w:pageBreakBefore w:val="0"/>
        <w:widowControl w:val="0"/>
        <w:kinsoku/>
        <w:wordWrap/>
        <w:overflowPunct/>
        <w:topLinePunct w:val="0"/>
        <w:autoSpaceDE/>
        <w:autoSpaceDN/>
        <w:bidi w:val="0"/>
        <w:adjustRightInd/>
        <w:snapToGrid w:val="0"/>
        <w:spacing w:line="360" w:lineRule="auto"/>
        <w:jc w:val="center"/>
        <w:textAlignment w:val="auto"/>
        <w:outlineLvl w:val="9"/>
        <w:rPr>
          <w:rFonts w:ascii="宋体" w:hAnsi="宋体"/>
          <w:sz w:val="24"/>
          <w:highlight w:val="none"/>
        </w:rPr>
      </w:pPr>
      <w:r>
        <w:rPr>
          <w:rFonts w:hint="eastAsia" w:ascii="宋体" w:hAnsi="宋体"/>
          <w:sz w:val="24"/>
          <w:highlight w:val="none"/>
          <w:lang w:val="en-US" w:eastAsia="zh-CN"/>
        </w:rPr>
        <w:t xml:space="preserve"> </w:t>
      </w:r>
      <w:r>
        <w:rPr>
          <w:rFonts w:hint="eastAsia" w:ascii="宋体" w:hAnsi="宋体"/>
          <w:sz w:val="24"/>
          <w:highlight w:val="none"/>
        </w:rPr>
        <w:t>投标人：</w:t>
      </w:r>
      <w:r>
        <w:rPr>
          <w:rFonts w:hint="eastAsia" w:ascii="宋体" w:hAnsi="宋体"/>
          <w:sz w:val="24"/>
          <w:highlight w:val="none"/>
          <w:u w:val="single"/>
        </w:rPr>
        <w:t xml:space="preserve">                                </w:t>
      </w:r>
      <w:r>
        <w:rPr>
          <w:rFonts w:hint="eastAsia" w:ascii="宋体" w:hAnsi="宋体"/>
          <w:sz w:val="24"/>
          <w:highlight w:val="none"/>
        </w:rPr>
        <w:t>(</w:t>
      </w:r>
      <w:r>
        <w:rPr>
          <w:rFonts w:hint="eastAsia" w:ascii="宋体" w:hAnsi="宋体"/>
          <w:sz w:val="24"/>
          <w:highlight w:val="none"/>
          <w:lang w:val="en-US" w:eastAsia="zh-CN"/>
        </w:rPr>
        <w:t>电子签章</w:t>
      </w:r>
      <w:r>
        <w:rPr>
          <w:rFonts w:hint="eastAsia" w:ascii="宋体" w:hAnsi="宋体"/>
          <w:sz w:val="24"/>
          <w:highlight w:val="none"/>
        </w:rPr>
        <w:t>)</w:t>
      </w:r>
    </w:p>
    <w:p>
      <w:pPr>
        <w:pStyle w:val="18"/>
        <w:keepNext w:val="0"/>
        <w:keepLines w:val="0"/>
        <w:pageBreakBefore w:val="0"/>
        <w:widowControl w:val="0"/>
        <w:kinsoku/>
        <w:wordWrap/>
        <w:overflowPunct/>
        <w:topLinePunct w:val="0"/>
        <w:autoSpaceDE/>
        <w:autoSpaceDN/>
        <w:bidi w:val="0"/>
        <w:adjustRightInd/>
        <w:snapToGrid w:val="0"/>
        <w:spacing w:line="360" w:lineRule="auto"/>
        <w:ind w:firstLine="1440" w:firstLineChars="600"/>
        <w:jc w:val="both"/>
        <w:textAlignment w:val="auto"/>
        <w:outlineLvl w:val="9"/>
        <w:rPr>
          <w:rFonts w:hint="eastAsia" w:hAnsi="宋体"/>
          <w:spacing w:val="0"/>
          <w:sz w:val="24"/>
          <w:highlight w:val="none"/>
          <w:lang w:eastAsia="zh-CN"/>
        </w:rPr>
      </w:pPr>
      <w:r>
        <w:rPr>
          <w:rFonts w:hint="eastAsia" w:hAnsi="宋体"/>
          <w:spacing w:val="0"/>
          <w:sz w:val="24"/>
          <w:highlight w:val="none"/>
        </w:rPr>
        <w:t>法定代表人</w:t>
      </w:r>
      <w:r>
        <w:rPr>
          <w:rFonts w:hint="eastAsia" w:hAnsi="宋体"/>
          <w:spacing w:val="0"/>
          <w:sz w:val="24"/>
          <w:highlight w:val="none"/>
          <w:lang w:eastAsia="zh-CN"/>
        </w:rPr>
        <w:t>（</w:t>
      </w:r>
      <w:r>
        <w:rPr>
          <w:rFonts w:hint="eastAsia" w:hAnsi="宋体"/>
          <w:spacing w:val="0"/>
          <w:sz w:val="24"/>
          <w:highlight w:val="none"/>
          <w:lang w:val="en-US" w:eastAsia="zh-CN"/>
        </w:rPr>
        <w:t>电子签名</w:t>
      </w:r>
      <w:r>
        <w:rPr>
          <w:rFonts w:hint="eastAsia" w:hAnsi="宋体"/>
          <w:spacing w:val="0"/>
          <w:sz w:val="24"/>
          <w:highlight w:val="none"/>
          <w:lang w:eastAsia="zh-CN"/>
        </w:rPr>
        <w:t>）</w:t>
      </w:r>
    </w:p>
    <w:p>
      <w:pPr>
        <w:pStyle w:val="18"/>
        <w:keepNext w:val="0"/>
        <w:keepLines w:val="0"/>
        <w:pageBreakBefore w:val="0"/>
        <w:widowControl w:val="0"/>
        <w:kinsoku/>
        <w:wordWrap/>
        <w:overflowPunct/>
        <w:topLinePunct w:val="0"/>
        <w:autoSpaceDE/>
        <w:autoSpaceDN/>
        <w:bidi w:val="0"/>
        <w:adjustRightInd/>
        <w:snapToGrid w:val="0"/>
        <w:spacing w:line="360" w:lineRule="auto"/>
        <w:ind w:firstLine="1440" w:firstLineChars="600"/>
        <w:jc w:val="both"/>
        <w:textAlignment w:val="auto"/>
        <w:outlineLvl w:val="9"/>
        <w:rPr>
          <w:rFonts w:hAnsi="宋体"/>
          <w:sz w:val="24"/>
          <w:highlight w:val="none"/>
        </w:rPr>
      </w:pPr>
      <w:r>
        <w:rPr>
          <w:rFonts w:hint="eastAsia" w:hAnsi="宋体"/>
          <w:spacing w:val="0"/>
          <w:sz w:val="24"/>
          <w:highlight w:val="none"/>
        </w:rPr>
        <w:t>或委托代理人</w:t>
      </w:r>
      <w:r>
        <w:rPr>
          <w:rFonts w:hint="eastAsia" w:hAnsi="宋体"/>
          <w:spacing w:val="0"/>
          <w:sz w:val="24"/>
          <w:highlight w:val="none"/>
          <w:lang w:eastAsia="zh-CN"/>
        </w:rPr>
        <w:t>（</w:t>
      </w:r>
      <w:r>
        <w:rPr>
          <w:rFonts w:hint="eastAsia" w:hAnsi="宋体"/>
          <w:spacing w:val="0"/>
          <w:sz w:val="24"/>
          <w:highlight w:val="none"/>
          <w:lang w:val="en-US" w:eastAsia="zh-CN"/>
        </w:rPr>
        <w:t>签字</w:t>
      </w:r>
      <w:r>
        <w:rPr>
          <w:rFonts w:hint="eastAsia" w:hAnsi="宋体"/>
          <w:spacing w:val="0"/>
          <w:sz w:val="24"/>
          <w:highlight w:val="none"/>
          <w:lang w:eastAsia="zh-CN"/>
        </w:rPr>
        <w:t>）</w:t>
      </w:r>
      <w:r>
        <w:rPr>
          <w:rFonts w:hint="eastAsia" w:hAnsi="宋体"/>
          <w:spacing w:val="0"/>
          <w:sz w:val="24"/>
          <w:highlight w:val="none"/>
        </w:rPr>
        <w:t>：</w:t>
      </w:r>
      <w:r>
        <w:rPr>
          <w:rFonts w:hint="eastAsia" w:hAnsi="宋体"/>
          <w:spacing w:val="0"/>
          <w:sz w:val="24"/>
          <w:highlight w:val="none"/>
          <w:u w:val="single"/>
        </w:rPr>
        <w:t xml:space="preserve">      </w:t>
      </w:r>
      <w:r>
        <w:rPr>
          <w:rFonts w:hint="eastAsia" w:hAnsi="宋体"/>
          <w:sz w:val="24"/>
          <w:highlight w:val="none"/>
          <w:u w:val="single"/>
        </w:rPr>
        <w:t xml:space="preserve">              </w:t>
      </w:r>
    </w:p>
    <w:p>
      <w:pPr>
        <w:pStyle w:val="18"/>
        <w:pageBreakBefore w:val="0"/>
        <w:kinsoku/>
        <w:wordWrap/>
        <w:overflowPunct/>
        <w:topLinePunct w:val="0"/>
        <w:autoSpaceDE/>
        <w:autoSpaceDN/>
        <w:bidi w:val="0"/>
        <w:spacing w:line="500" w:lineRule="exact"/>
        <w:jc w:val="center"/>
        <w:outlineLvl w:val="9"/>
        <w:rPr>
          <w:rFonts w:hAnsi="宋体"/>
          <w:sz w:val="24"/>
          <w:highlight w:val="none"/>
        </w:rPr>
      </w:pPr>
      <w:r>
        <w:rPr>
          <w:rFonts w:hint="eastAsia" w:hAnsi="宋体"/>
          <w:sz w:val="24"/>
          <w:highlight w:val="none"/>
          <w:u w:val="single"/>
        </w:rPr>
        <w:t xml:space="preserve">     </w:t>
      </w:r>
      <w:r>
        <w:rPr>
          <w:rFonts w:hint="eastAsia" w:hAnsi="宋体"/>
          <w:sz w:val="24"/>
          <w:highlight w:val="none"/>
        </w:rPr>
        <w:t>年</w:t>
      </w:r>
      <w:r>
        <w:rPr>
          <w:rFonts w:hint="eastAsia" w:hAnsi="宋体"/>
          <w:sz w:val="24"/>
          <w:highlight w:val="none"/>
          <w:u w:val="single"/>
        </w:rPr>
        <w:t xml:space="preserve">     </w:t>
      </w:r>
      <w:r>
        <w:rPr>
          <w:rFonts w:hint="eastAsia" w:hAnsi="宋体"/>
          <w:sz w:val="24"/>
          <w:highlight w:val="none"/>
        </w:rPr>
        <w:t>月</w:t>
      </w:r>
      <w:r>
        <w:rPr>
          <w:rFonts w:hint="eastAsia" w:hAnsi="宋体"/>
          <w:sz w:val="24"/>
          <w:highlight w:val="none"/>
          <w:u w:val="single"/>
        </w:rPr>
        <w:t xml:space="preserve">    </w:t>
      </w:r>
      <w:r>
        <w:rPr>
          <w:rFonts w:hint="eastAsia" w:hAnsi="宋体"/>
          <w:sz w:val="24"/>
          <w:highlight w:val="none"/>
        </w:rPr>
        <w:t>日</w:t>
      </w:r>
    </w:p>
    <w:p>
      <w:pPr>
        <w:pageBreakBefore w:val="0"/>
        <w:widowControl/>
        <w:kinsoku/>
        <w:wordWrap/>
        <w:overflowPunct/>
        <w:topLinePunct w:val="0"/>
        <w:autoSpaceDE/>
        <w:autoSpaceDN/>
        <w:bidi w:val="0"/>
        <w:jc w:val="left"/>
        <w:outlineLvl w:val="9"/>
        <w:rPr>
          <w:rFonts w:ascii="Calibri" w:hAnsi="宋体"/>
          <w:b/>
          <w:sz w:val="28"/>
          <w:szCs w:val="28"/>
          <w:highlight w:val="none"/>
        </w:rPr>
      </w:pPr>
      <w:r>
        <w:rPr>
          <w:rFonts w:hAnsi="宋体"/>
          <w:b/>
          <w:sz w:val="28"/>
          <w:szCs w:val="28"/>
          <w:highlight w:val="none"/>
        </w:rPr>
        <w:br w:type="page"/>
      </w:r>
      <w:r>
        <w:rPr>
          <w:rFonts w:hint="eastAsia" w:ascii="Calibri" w:hAnsi="宋体"/>
          <w:b/>
          <w:sz w:val="28"/>
          <w:szCs w:val="28"/>
          <w:highlight w:val="none"/>
        </w:rPr>
        <w:t>格式1：</w:t>
      </w:r>
    </w:p>
    <w:p>
      <w:pPr>
        <w:keepNext/>
        <w:keepLines/>
        <w:pageBreakBefore w:val="0"/>
        <w:kinsoku/>
        <w:wordWrap/>
        <w:overflowPunct/>
        <w:topLinePunct w:val="0"/>
        <w:autoSpaceDE/>
        <w:autoSpaceDN/>
        <w:bidi w:val="0"/>
        <w:spacing w:before="240" w:line="400" w:lineRule="exact"/>
        <w:ind w:left="425"/>
        <w:jc w:val="center"/>
        <w:outlineLvl w:val="9"/>
        <w:rPr>
          <w:rFonts w:ascii="宋体" w:hAnsi="宋体"/>
          <w:b/>
          <w:spacing w:val="40"/>
          <w:sz w:val="32"/>
          <w:szCs w:val="32"/>
          <w:highlight w:val="none"/>
        </w:rPr>
      </w:pPr>
      <w:bookmarkStart w:id="433" w:name="_Toc518289510"/>
      <w:bookmarkStart w:id="434" w:name="_Toc3282"/>
      <w:r>
        <w:rPr>
          <w:rFonts w:hint="eastAsia" w:ascii="宋体" w:hAnsi="宋体"/>
          <w:b/>
          <w:spacing w:val="40"/>
          <w:sz w:val="32"/>
          <w:szCs w:val="32"/>
          <w:highlight w:val="none"/>
        </w:rPr>
        <w:t>报价一览表</w:t>
      </w:r>
      <w:bookmarkEnd w:id="433"/>
      <w:bookmarkEnd w:id="434"/>
    </w:p>
    <w:p>
      <w:pPr>
        <w:pageBreakBefore w:val="0"/>
        <w:kinsoku/>
        <w:wordWrap/>
        <w:overflowPunct/>
        <w:topLinePunct w:val="0"/>
        <w:autoSpaceDE/>
        <w:autoSpaceDN/>
        <w:bidi w:val="0"/>
        <w:outlineLvl w:val="9"/>
        <w:rPr>
          <w:rFonts w:ascii="宋体" w:hAnsi="宋体"/>
          <w:szCs w:val="20"/>
          <w:highlight w:val="none"/>
        </w:rPr>
      </w:pPr>
    </w:p>
    <w:p>
      <w:pPr>
        <w:pageBreakBefore w:val="0"/>
        <w:kinsoku/>
        <w:wordWrap/>
        <w:overflowPunct/>
        <w:topLinePunct w:val="0"/>
        <w:autoSpaceDE/>
        <w:autoSpaceDN/>
        <w:bidi w:val="0"/>
        <w:outlineLvl w:val="9"/>
        <w:rPr>
          <w:rFonts w:hint="eastAsia" w:ascii="宋体" w:hAnsi="宋体"/>
          <w:b/>
          <w:szCs w:val="21"/>
          <w:highlight w:val="none"/>
          <w:u w:val="single"/>
        </w:rPr>
      </w:pPr>
      <w:r>
        <w:rPr>
          <w:rFonts w:hint="eastAsia" w:ascii="宋体" w:hAnsi="宋体"/>
          <w:b/>
          <w:szCs w:val="21"/>
          <w:highlight w:val="none"/>
        </w:rPr>
        <w:t>项目名称：</w:t>
      </w:r>
    </w:p>
    <w:p>
      <w:pPr>
        <w:pageBreakBefore w:val="0"/>
        <w:kinsoku/>
        <w:wordWrap/>
        <w:overflowPunct/>
        <w:topLinePunct w:val="0"/>
        <w:autoSpaceDE/>
        <w:autoSpaceDN/>
        <w:bidi w:val="0"/>
        <w:outlineLvl w:val="9"/>
        <w:rPr>
          <w:rFonts w:hint="eastAsia" w:ascii="宋体" w:hAnsi="宋体"/>
          <w:szCs w:val="21"/>
          <w:highlight w:val="none"/>
        </w:rPr>
      </w:pPr>
      <w:r>
        <w:rPr>
          <w:rFonts w:hint="eastAsia" w:ascii="宋体" w:hAnsi="宋体"/>
          <w:b/>
          <w:szCs w:val="21"/>
          <w:highlight w:val="none"/>
        </w:rPr>
        <w:t>项目编号：</w:t>
      </w:r>
      <w:r>
        <w:rPr>
          <w:rFonts w:hint="eastAsia" w:ascii="宋体" w:hAnsi="宋体"/>
          <w:szCs w:val="21"/>
          <w:highlight w:val="none"/>
        </w:rPr>
        <w:t xml:space="preserve">    </w:t>
      </w:r>
    </w:p>
    <w:tbl>
      <w:tblPr>
        <w:tblStyle w:val="34"/>
        <w:tblW w:w="9209" w:type="dxa"/>
        <w:tblInd w:w="0" w:type="dxa"/>
        <w:tblBorders>
          <w:top w:val="thinThickSmallGap" w:color="auto" w:sz="24" w:space="0"/>
          <w:left w:val="thinThickSmallGap" w:color="auto" w:sz="24" w:space="0"/>
          <w:bottom w:val="thickThinSmallGap" w:color="auto" w:sz="24" w:space="0"/>
          <w:right w:val="thickThinSmallGap" w:color="auto" w:sz="24" w:space="0"/>
          <w:insideH w:val="single" w:color="auto" w:sz="4" w:space="0"/>
          <w:insideV w:val="single" w:color="auto" w:sz="4" w:space="0"/>
        </w:tblBorders>
        <w:tblLayout w:type="fixed"/>
        <w:tblCellMar>
          <w:top w:w="0" w:type="dxa"/>
          <w:left w:w="108" w:type="dxa"/>
          <w:bottom w:w="0" w:type="dxa"/>
          <w:right w:w="108" w:type="dxa"/>
        </w:tblCellMar>
      </w:tblPr>
      <w:tblGrid>
        <w:gridCol w:w="2266"/>
        <w:gridCol w:w="6943"/>
      </w:tblGrid>
      <w:tr>
        <w:tblPrEx>
          <w:tblBorders>
            <w:top w:val="thinThickSmallGap" w:color="auto" w:sz="24" w:space="0"/>
            <w:left w:val="thinThickSmallGap" w:color="auto" w:sz="24" w:space="0"/>
            <w:bottom w:val="thickThinSmallGap" w:color="auto" w:sz="24" w:space="0"/>
            <w:right w:val="thickThinSmallGap" w:color="auto" w:sz="24" w:space="0"/>
            <w:insideH w:val="single" w:color="auto" w:sz="4" w:space="0"/>
            <w:insideV w:val="single" w:color="auto" w:sz="4" w:space="0"/>
          </w:tblBorders>
          <w:tblCellMar>
            <w:top w:w="0" w:type="dxa"/>
            <w:left w:w="108" w:type="dxa"/>
            <w:bottom w:w="0" w:type="dxa"/>
            <w:right w:w="108" w:type="dxa"/>
          </w:tblCellMar>
        </w:tblPrEx>
        <w:trPr>
          <w:trHeight w:val="901" w:hRule="atLeast"/>
        </w:trPr>
        <w:tc>
          <w:tcPr>
            <w:tcW w:w="2266" w:type="dxa"/>
            <w:vAlign w:val="center"/>
          </w:tcPr>
          <w:p>
            <w:pPr>
              <w:pageBreakBefore w:val="0"/>
              <w:kinsoku/>
              <w:wordWrap/>
              <w:overflowPunct/>
              <w:topLinePunct w:val="0"/>
              <w:autoSpaceDE/>
              <w:autoSpaceDN/>
              <w:bidi w:val="0"/>
              <w:spacing w:before="120" w:after="120" w:line="240" w:lineRule="atLeast"/>
              <w:jc w:val="center"/>
              <w:outlineLvl w:val="9"/>
              <w:rPr>
                <w:rFonts w:hint="eastAsia" w:ascii="宋体" w:hAnsi="宋体" w:eastAsia="宋体" w:cs="宋体"/>
                <w:sz w:val="24"/>
                <w:szCs w:val="20"/>
                <w:highlight w:val="none"/>
              </w:rPr>
            </w:pPr>
            <w:r>
              <w:rPr>
                <w:rFonts w:hint="eastAsia" w:ascii="宋体" w:hAnsi="宋体" w:eastAsia="宋体" w:cs="宋体"/>
                <w:sz w:val="24"/>
                <w:szCs w:val="20"/>
                <w:highlight w:val="none"/>
              </w:rPr>
              <w:t>投标报价</w:t>
            </w:r>
          </w:p>
        </w:tc>
        <w:tc>
          <w:tcPr>
            <w:tcW w:w="6943" w:type="dxa"/>
            <w:vAlign w:val="center"/>
          </w:tcPr>
          <w:p>
            <w:pPr>
              <w:pageBreakBefore w:val="0"/>
              <w:kinsoku/>
              <w:wordWrap/>
              <w:overflowPunct/>
              <w:topLinePunct w:val="0"/>
              <w:autoSpaceDE/>
              <w:autoSpaceDN/>
              <w:bidi w:val="0"/>
              <w:spacing w:before="120" w:after="120" w:line="240" w:lineRule="atLeast"/>
              <w:outlineLvl w:val="9"/>
              <w:rPr>
                <w:rFonts w:hint="eastAsia" w:ascii="宋体" w:hAnsi="宋体" w:eastAsia="宋体" w:cs="宋体"/>
                <w:sz w:val="24"/>
                <w:szCs w:val="20"/>
                <w:highlight w:val="none"/>
              </w:rPr>
            </w:pPr>
            <w:r>
              <w:rPr>
                <w:rFonts w:hint="eastAsia" w:ascii="宋体" w:hAnsi="宋体" w:eastAsia="宋体" w:cs="宋体"/>
                <w:sz w:val="24"/>
                <w:szCs w:val="20"/>
                <w:highlight w:val="none"/>
              </w:rPr>
              <w:sym w:font="Wingdings" w:char="00A8"/>
            </w:r>
            <w:r>
              <w:rPr>
                <w:rFonts w:hint="eastAsia" w:ascii="宋体" w:hAnsi="宋体" w:eastAsia="宋体" w:cs="宋体"/>
                <w:sz w:val="24"/>
                <w:szCs w:val="20"/>
                <w:highlight w:val="none"/>
              </w:rPr>
              <w:t>是</w:t>
            </w:r>
            <w:r>
              <w:rPr>
                <w:rFonts w:hint="eastAsia" w:ascii="宋体" w:hAnsi="宋体" w:eastAsia="宋体" w:cs="宋体"/>
                <w:sz w:val="24"/>
                <w:szCs w:val="20"/>
                <w:highlight w:val="none"/>
              </w:rPr>
              <w:sym w:font="Wingdings" w:char="00A8"/>
            </w:r>
            <w:r>
              <w:rPr>
                <w:rFonts w:hint="eastAsia" w:ascii="宋体" w:hAnsi="宋体" w:eastAsia="宋体" w:cs="宋体"/>
                <w:sz w:val="24"/>
                <w:szCs w:val="20"/>
                <w:highlight w:val="none"/>
              </w:rPr>
              <w:t>否</w:t>
            </w:r>
          </w:p>
          <w:p>
            <w:pPr>
              <w:pageBreakBefore w:val="0"/>
              <w:kinsoku/>
              <w:wordWrap/>
              <w:overflowPunct/>
              <w:topLinePunct w:val="0"/>
              <w:autoSpaceDE/>
              <w:autoSpaceDN/>
              <w:bidi w:val="0"/>
              <w:spacing w:before="120" w:after="120" w:line="240" w:lineRule="atLeast"/>
              <w:outlineLvl w:val="9"/>
              <w:rPr>
                <w:rFonts w:hint="eastAsia" w:ascii="宋体" w:hAnsi="宋体" w:eastAsia="宋体" w:cs="宋体"/>
                <w:sz w:val="24"/>
                <w:szCs w:val="20"/>
                <w:highlight w:val="none"/>
              </w:rPr>
            </w:pPr>
            <w:r>
              <w:rPr>
                <w:rFonts w:hint="eastAsia" w:ascii="宋体" w:hAnsi="宋体" w:eastAsia="宋体" w:cs="宋体"/>
                <w:sz w:val="24"/>
                <w:szCs w:val="20"/>
                <w:highlight w:val="none"/>
              </w:rPr>
              <w:t>响应</w:t>
            </w:r>
            <w:r>
              <w:rPr>
                <w:rFonts w:hint="eastAsia" w:ascii="宋体" w:hAnsi="宋体" w:eastAsia="宋体" w:cs="宋体"/>
                <w:sz w:val="24"/>
                <w:szCs w:val="20"/>
                <w:highlight w:val="none"/>
                <w:u w:val="single"/>
                <w:lang w:eastAsia="zh-CN"/>
              </w:rPr>
              <w:t>2023年曲水县“十三五”期间政府项目（2000万-5000万）审计</w:t>
            </w:r>
            <w:r>
              <w:rPr>
                <w:rFonts w:hint="eastAsia" w:ascii="宋体" w:hAnsi="宋体" w:eastAsia="宋体" w:cs="宋体"/>
                <w:sz w:val="24"/>
                <w:szCs w:val="20"/>
                <w:highlight w:val="none"/>
              </w:rPr>
              <w:t>付费标准（请打“√”）</w:t>
            </w:r>
          </w:p>
        </w:tc>
      </w:tr>
      <w:tr>
        <w:tblPrEx>
          <w:tblBorders>
            <w:top w:val="thinThickSmallGap" w:color="auto" w:sz="24" w:space="0"/>
            <w:left w:val="thinThickSmallGap" w:color="auto" w:sz="24" w:space="0"/>
            <w:bottom w:val="thickThinSmallGap" w:color="auto" w:sz="24" w:space="0"/>
            <w:right w:val="thickThinSmallGap" w:color="auto" w:sz="24" w:space="0"/>
            <w:insideH w:val="single" w:color="auto" w:sz="4" w:space="0"/>
            <w:insideV w:val="single" w:color="auto" w:sz="4" w:space="0"/>
          </w:tblBorders>
        </w:tblPrEx>
        <w:trPr>
          <w:trHeight w:val="901" w:hRule="atLeast"/>
        </w:trPr>
        <w:tc>
          <w:tcPr>
            <w:tcW w:w="2266" w:type="dxa"/>
            <w:vAlign w:val="center"/>
          </w:tcPr>
          <w:p>
            <w:pPr>
              <w:pageBreakBefore w:val="0"/>
              <w:kinsoku/>
              <w:wordWrap/>
              <w:overflowPunct/>
              <w:topLinePunct w:val="0"/>
              <w:autoSpaceDE/>
              <w:autoSpaceDN/>
              <w:bidi w:val="0"/>
              <w:spacing w:before="120" w:after="120" w:line="240" w:lineRule="atLeast"/>
              <w:jc w:val="center"/>
              <w:outlineLvl w:val="9"/>
              <w:rPr>
                <w:rFonts w:hint="eastAsia" w:ascii="Calibri" w:hAnsi="Calibri" w:eastAsia="宋体"/>
                <w:sz w:val="24"/>
                <w:szCs w:val="20"/>
                <w:highlight w:val="none"/>
                <w:lang w:eastAsia="zh-CN"/>
              </w:rPr>
            </w:pPr>
            <w:r>
              <w:rPr>
                <w:rFonts w:hint="eastAsia" w:ascii="Calibri" w:hAnsi="Calibri"/>
                <w:sz w:val="24"/>
                <w:szCs w:val="20"/>
                <w:highlight w:val="none"/>
                <w:lang w:eastAsia="zh-CN"/>
              </w:rPr>
              <w:t>服务期</w:t>
            </w:r>
          </w:p>
        </w:tc>
        <w:tc>
          <w:tcPr>
            <w:tcW w:w="6943" w:type="dxa"/>
            <w:vAlign w:val="center"/>
          </w:tcPr>
          <w:p>
            <w:pPr>
              <w:pageBreakBefore w:val="0"/>
              <w:kinsoku/>
              <w:wordWrap/>
              <w:overflowPunct/>
              <w:topLinePunct w:val="0"/>
              <w:autoSpaceDE/>
              <w:autoSpaceDN/>
              <w:bidi w:val="0"/>
              <w:spacing w:before="120" w:after="120" w:line="240" w:lineRule="atLeast"/>
              <w:outlineLvl w:val="9"/>
              <w:rPr>
                <w:rFonts w:ascii="Calibri" w:hAnsi="Calibri" w:eastAsia="仿宋_GB2312"/>
                <w:sz w:val="24"/>
                <w:szCs w:val="20"/>
                <w:highlight w:val="none"/>
              </w:rPr>
            </w:pPr>
          </w:p>
        </w:tc>
      </w:tr>
      <w:tr>
        <w:tblPrEx>
          <w:tblBorders>
            <w:top w:val="thinThickSmallGap" w:color="auto" w:sz="24" w:space="0"/>
            <w:left w:val="thinThickSmallGap" w:color="auto" w:sz="24" w:space="0"/>
            <w:bottom w:val="thickThinSmallGap" w:color="auto" w:sz="24" w:space="0"/>
            <w:right w:val="thickThinSmallGap" w:color="auto" w:sz="24" w:space="0"/>
            <w:insideH w:val="single" w:color="auto" w:sz="4" w:space="0"/>
            <w:insideV w:val="single" w:color="auto" w:sz="4" w:space="0"/>
          </w:tblBorders>
          <w:tblCellMar>
            <w:top w:w="0" w:type="dxa"/>
            <w:left w:w="108" w:type="dxa"/>
            <w:bottom w:w="0" w:type="dxa"/>
            <w:right w:w="108" w:type="dxa"/>
          </w:tblCellMar>
        </w:tblPrEx>
        <w:trPr>
          <w:trHeight w:val="901" w:hRule="atLeast"/>
        </w:trPr>
        <w:tc>
          <w:tcPr>
            <w:tcW w:w="2266" w:type="dxa"/>
            <w:vAlign w:val="center"/>
          </w:tcPr>
          <w:p>
            <w:pPr>
              <w:pageBreakBefore w:val="0"/>
              <w:kinsoku/>
              <w:wordWrap/>
              <w:overflowPunct/>
              <w:topLinePunct w:val="0"/>
              <w:autoSpaceDE/>
              <w:autoSpaceDN/>
              <w:bidi w:val="0"/>
              <w:spacing w:before="120" w:after="120" w:line="240" w:lineRule="atLeast"/>
              <w:jc w:val="center"/>
              <w:outlineLvl w:val="9"/>
              <w:rPr>
                <w:rFonts w:hint="eastAsia" w:ascii="Calibri" w:hAnsi="Calibri" w:eastAsia="宋体"/>
                <w:sz w:val="24"/>
                <w:szCs w:val="20"/>
                <w:highlight w:val="none"/>
                <w:lang w:eastAsia="zh-CN"/>
              </w:rPr>
            </w:pPr>
            <w:r>
              <w:rPr>
                <w:rFonts w:hint="eastAsia" w:ascii="Calibri" w:hAnsi="Calibri"/>
                <w:sz w:val="24"/>
                <w:szCs w:val="20"/>
                <w:highlight w:val="none"/>
                <w:lang w:eastAsia="zh-CN"/>
              </w:rPr>
              <w:t>服务地点</w:t>
            </w:r>
          </w:p>
        </w:tc>
        <w:tc>
          <w:tcPr>
            <w:tcW w:w="6943" w:type="dxa"/>
            <w:vAlign w:val="center"/>
          </w:tcPr>
          <w:p>
            <w:pPr>
              <w:pageBreakBefore w:val="0"/>
              <w:kinsoku/>
              <w:wordWrap/>
              <w:overflowPunct/>
              <w:topLinePunct w:val="0"/>
              <w:autoSpaceDE/>
              <w:autoSpaceDN/>
              <w:bidi w:val="0"/>
              <w:spacing w:before="120" w:after="120" w:line="240" w:lineRule="atLeast"/>
              <w:outlineLvl w:val="9"/>
              <w:rPr>
                <w:rFonts w:ascii="Calibri" w:hAnsi="Calibri" w:eastAsia="仿宋_GB2312"/>
                <w:sz w:val="24"/>
                <w:szCs w:val="20"/>
                <w:highlight w:val="none"/>
              </w:rPr>
            </w:pPr>
          </w:p>
        </w:tc>
      </w:tr>
      <w:tr>
        <w:tblPrEx>
          <w:tblBorders>
            <w:top w:val="thinThickSmallGap" w:color="auto" w:sz="24" w:space="0"/>
            <w:left w:val="thinThickSmallGap" w:color="auto" w:sz="24" w:space="0"/>
            <w:bottom w:val="thickThinSmallGap" w:color="auto" w:sz="24" w:space="0"/>
            <w:right w:val="thickThinSmallGap" w:color="auto" w:sz="24" w:space="0"/>
            <w:insideH w:val="single" w:color="auto" w:sz="4" w:space="0"/>
            <w:insideV w:val="single" w:color="auto" w:sz="4" w:space="0"/>
          </w:tblBorders>
          <w:tblCellMar>
            <w:top w:w="0" w:type="dxa"/>
            <w:left w:w="108" w:type="dxa"/>
            <w:bottom w:w="0" w:type="dxa"/>
            <w:right w:w="108" w:type="dxa"/>
          </w:tblCellMar>
        </w:tblPrEx>
        <w:trPr>
          <w:trHeight w:val="1210" w:hRule="atLeast"/>
        </w:trPr>
        <w:tc>
          <w:tcPr>
            <w:tcW w:w="2266" w:type="dxa"/>
            <w:vAlign w:val="center"/>
          </w:tcPr>
          <w:p>
            <w:pPr>
              <w:pageBreakBefore w:val="0"/>
              <w:kinsoku/>
              <w:wordWrap/>
              <w:overflowPunct/>
              <w:topLinePunct w:val="0"/>
              <w:autoSpaceDE/>
              <w:autoSpaceDN/>
              <w:bidi w:val="0"/>
              <w:spacing w:before="120" w:after="120" w:line="240" w:lineRule="atLeast"/>
              <w:jc w:val="center"/>
              <w:outlineLvl w:val="9"/>
              <w:rPr>
                <w:rFonts w:ascii="Calibri" w:hAnsi="Calibri" w:eastAsia="仿宋_GB2312"/>
                <w:sz w:val="24"/>
                <w:szCs w:val="20"/>
                <w:highlight w:val="none"/>
              </w:rPr>
            </w:pPr>
            <w:r>
              <w:rPr>
                <w:rFonts w:ascii="Calibri" w:hAnsi="Calibri"/>
                <w:sz w:val="24"/>
                <w:szCs w:val="20"/>
                <w:highlight w:val="none"/>
              </w:rPr>
              <w:t>投标保证金</w:t>
            </w:r>
          </w:p>
        </w:tc>
        <w:tc>
          <w:tcPr>
            <w:tcW w:w="6943" w:type="dxa"/>
            <w:vAlign w:val="center"/>
          </w:tcPr>
          <w:p>
            <w:pPr>
              <w:pageBreakBefore w:val="0"/>
              <w:widowControl/>
              <w:kinsoku/>
              <w:wordWrap/>
              <w:overflowPunct/>
              <w:topLinePunct w:val="0"/>
              <w:autoSpaceDE/>
              <w:autoSpaceDN/>
              <w:bidi w:val="0"/>
              <w:jc w:val="left"/>
              <w:outlineLvl w:val="9"/>
              <w:rPr>
                <w:rFonts w:ascii="Calibri" w:hAnsi="Calibri" w:eastAsia="仿宋_GB2312"/>
                <w:sz w:val="24"/>
                <w:szCs w:val="20"/>
                <w:highlight w:val="none"/>
                <w:u w:val="single"/>
              </w:rPr>
            </w:pPr>
            <w:r>
              <w:rPr>
                <w:rFonts w:ascii="Calibri" w:hAnsi="Calibri"/>
                <w:sz w:val="24"/>
                <w:szCs w:val="20"/>
                <w:highlight w:val="none"/>
              </w:rPr>
              <w:t>金额：</w:t>
            </w:r>
            <w:r>
              <w:rPr>
                <w:rFonts w:ascii="Calibri" w:hAnsi="Calibri"/>
                <w:sz w:val="24"/>
                <w:szCs w:val="20"/>
                <w:highlight w:val="none"/>
                <w:u w:val="single"/>
              </w:rPr>
              <w:t xml:space="preserve">                       </w:t>
            </w:r>
            <w:r>
              <w:rPr>
                <w:rFonts w:ascii="Calibri" w:hAnsi="Calibri"/>
                <w:sz w:val="24"/>
                <w:szCs w:val="20"/>
                <w:highlight w:val="none"/>
              </w:rPr>
              <w:t>（元）</w:t>
            </w:r>
          </w:p>
        </w:tc>
      </w:tr>
      <w:tr>
        <w:tblPrEx>
          <w:tblBorders>
            <w:top w:val="thinThickSmallGap" w:color="auto" w:sz="24" w:space="0"/>
            <w:left w:val="thinThickSmallGap" w:color="auto" w:sz="24" w:space="0"/>
            <w:bottom w:val="thickThinSmallGap" w:color="auto" w:sz="24" w:space="0"/>
            <w:right w:val="thickThinSmallGap" w:color="auto" w:sz="24" w:space="0"/>
            <w:insideH w:val="single" w:color="auto" w:sz="4" w:space="0"/>
            <w:insideV w:val="single" w:color="auto" w:sz="4" w:space="0"/>
          </w:tblBorders>
          <w:tblCellMar>
            <w:top w:w="0" w:type="dxa"/>
            <w:left w:w="108" w:type="dxa"/>
            <w:bottom w:w="0" w:type="dxa"/>
            <w:right w:w="108" w:type="dxa"/>
          </w:tblCellMar>
        </w:tblPrEx>
        <w:trPr>
          <w:trHeight w:val="1139" w:hRule="atLeast"/>
        </w:trPr>
        <w:tc>
          <w:tcPr>
            <w:tcW w:w="9209" w:type="dxa"/>
            <w:gridSpan w:val="2"/>
            <w:vAlign w:val="center"/>
          </w:tcPr>
          <w:p>
            <w:pPr>
              <w:pageBreakBefore w:val="0"/>
              <w:kinsoku/>
              <w:wordWrap/>
              <w:overflowPunct/>
              <w:topLinePunct w:val="0"/>
              <w:autoSpaceDE/>
              <w:autoSpaceDN/>
              <w:bidi w:val="0"/>
              <w:spacing w:before="120" w:after="120" w:line="240" w:lineRule="atLeast"/>
              <w:outlineLvl w:val="9"/>
              <w:rPr>
                <w:rFonts w:hint="default" w:ascii="Calibri" w:hAnsi="Calibri" w:eastAsia="宋体"/>
                <w:sz w:val="24"/>
                <w:szCs w:val="20"/>
                <w:highlight w:val="none"/>
                <w:u w:val="single"/>
                <w:lang w:val="en-US" w:eastAsia="zh-CN"/>
              </w:rPr>
            </w:pPr>
            <w:r>
              <w:rPr>
                <w:rFonts w:ascii="Calibri" w:hAnsi="Calibri"/>
                <w:sz w:val="24"/>
                <w:szCs w:val="20"/>
                <w:highlight w:val="none"/>
              </w:rPr>
              <w:t>投标人（</w:t>
            </w:r>
            <w:r>
              <w:rPr>
                <w:rFonts w:hint="eastAsia" w:ascii="Calibri" w:hAnsi="Calibri"/>
                <w:sz w:val="24"/>
                <w:szCs w:val="20"/>
                <w:highlight w:val="none"/>
              </w:rPr>
              <w:t>电子签章</w:t>
            </w:r>
            <w:r>
              <w:rPr>
                <w:rFonts w:ascii="Calibri" w:hAnsi="Calibri"/>
                <w:sz w:val="24"/>
                <w:szCs w:val="20"/>
                <w:highlight w:val="none"/>
              </w:rPr>
              <w:t>）：</w:t>
            </w:r>
            <w:r>
              <w:rPr>
                <w:rFonts w:hint="eastAsia" w:ascii="Calibri" w:hAnsi="Calibri"/>
                <w:sz w:val="24"/>
                <w:szCs w:val="20"/>
                <w:highlight w:val="none"/>
                <w:u w:val="single"/>
                <w:lang w:val="en-US" w:eastAsia="zh-CN"/>
              </w:rPr>
              <w:t xml:space="preserve">               </w:t>
            </w:r>
          </w:p>
        </w:tc>
      </w:tr>
      <w:tr>
        <w:tblPrEx>
          <w:tblBorders>
            <w:top w:val="thinThickSmallGap" w:color="auto" w:sz="24" w:space="0"/>
            <w:left w:val="thinThickSmallGap" w:color="auto" w:sz="24" w:space="0"/>
            <w:bottom w:val="thickThinSmallGap" w:color="auto" w:sz="24" w:space="0"/>
            <w:right w:val="thickThinSmallGap" w:color="auto" w:sz="24" w:space="0"/>
            <w:insideH w:val="single" w:color="auto" w:sz="4" w:space="0"/>
            <w:insideV w:val="single" w:color="auto" w:sz="4" w:space="0"/>
          </w:tblBorders>
          <w:tblCellMar>
            <w:top w:w="0" w:type="dxa"/>
            <w:left w:w="108" w:type="dxa"/>
            <w:bottom w:w="0" w:type="dxa"/>
            <w:right w:w="108" w:type="dxa"/>
          </w:tblCellMar>
        </w:tblPrEx>
        <w:trPr>
          <w:trHeight w:val="1410" w:hRule="atLeast"/>
        </w:trPr>
        <w:tc>
          <w:tcPr>
            <w:tcW w:w="9209" w:type="dxa"/>
            <w:gridSpan w:val="2"/>
            <w:vAlign w:val="bottom"/>
          </w:tcPr>
          <w:p>
            <w:pPr>
              <w:pageBreakBefore w:val="0"/>
              <w:kinsoku/>
              <w:wordWrap/>
              <w:overflowPunct/>
              <w:topLinePunct w:val="0"/>
              <w:autoSpaceDE/>
              <w:autoSpaceDN/>
              <w:bidi w:val="0"/>
              <w:spacing w:before="120" w:after="120" w:line="240" w:lineRule="atLeast"/>
              <w:ind w:right="480"/>
              <w:outlineLvl w:val="9"/>
              <w:rPr>
                <w:rFonts w:hint="eastAsia" w:ascii="Calibri" w:hAnsi="Calibri"/>
                <w:sz w:val="24"/>
                <w:szCs w:val="20"/>
                <w:highlight w:val="none"/>
                <w:lang w:eastAsia="zh-CN"/>
              </w:rPr>
            </w:pPr>
            <w:r>
              <w:rPr>
                <w:rFonts w:ascii="Calibri" w:hAnsi="Calibri"/>
                <w:sz w:val="24"/>
                <w:szCs w:val="20"/>
                <w:highlight w:val="none"/>
              </w:rPr>
              <w:t>法定代表人</w:t>
            </w:r>
            <w:r>
              <w:rPr>
                <w:rFonts w:hint="eastAsia" w:ascii="Calibri" w:hAnsi="Calibri"/>
                <w:sz w:val="24"/>
                <w:szCs w:val="20"/>
                <w:highlight w:val="none"/>
                <w:lang w:eastAsia="zh-CN"/>
              </w:rPr>
              <w:t>（</w:t>
            </w:r>
            <w:r>
              <w:rPr>
                <w:rFonts w:hint="eastAsia" w:ascii="Calibri" w:hAnsi="Calibri"/>
                <w:sz w:val="24"/>
                <w:szCs w:val="20"/>
                <w:highlight w:val="none"/>
                <w:lang w:val="en-US" w:eastAsia="zh-CN"/>
              </w:rPr>
              <w:t>电子签名</w:t>
            </w:r>
            <w:r>
              <w:rPr>
                <w:rFonts w:hint="eastAsia" w:ascii="Calibri" w:hAnsi="Calibri"/>
                <w:sz w:val="24"/>
                <w:szCs w:val="20"/>
                <w:highlight w:val="none"/>
                <w:lang w:eastAsia="zh-CN"/>
              </w:rPr>
              <w:t>）</w:t>
            </w:r>
          </w:p>
          <w:p>
            <w:pPr>
              <w:pageBreakBefore w:val="0"/>
              <w:kinsoku/>
              <w:wordWrap/>
              <w:overflowPunct/>
              <w:topLinePunct w:val="0"/>
              <w:autoSpaceDE/>
              <w:autoSpaceDN/>
              <w:bidi w:val="0"/>
              <w:spacing w:before="120" w:after="120" w:line="240" w:lineRule="atLeast"/>
              <w:ind w:right="480"/>
              <w:outlineLvl w:val="9"/>
              <w:rPr>
                <w:rFonts w:hint="default" w:ascii="Calibri" w:hAnsi="Calibri" w:eastAsia="宋体"/>
                <w:sz w:val="24"/>
                <w:szCs w:val="20"/>
                <w:highlight w:val="none"/>
                <w:u w:val="single"/>
                <w:lang w:val="en-US" w:eastAsia="zh-CN"/>
              </w:rPr>
            </w:pPr>
            <w:r>
              <w:rPr>
                <w:rFonts w:ascii="Calibri" w:hAnsi="Calibri"/>
                <w:sz w:val="24"/>
                <w:szCs w:val="20"/>
                <w:highlight w:val="none"/>
              </w:rPr>
              <w:t>或委托代理人（</w:t>
            </w:r>
            <w:r>
              <w:rPr>
                <w:rFonts w:hint="eastAsia" w:ascii="Calibri" w:hAnsi="Calibri"/>
                <w:sz w:val="24"/>
                <w:szCs w:val="20"/>
                <w:highlight w:val="none"/>
                <w:lang w:val="en-US" w:eastAsia="zh-CN"/>
              </w:rPr>
              <w:t>签字</w:t>
            </w:r>
            <w:r>
              <w:rPr>
                <w:rFonts w:ascii="Calibri" w:hAnsi="Calibri"/>
                <w:sz w:val="24"/>
                <w:szCs w:val="20"/>
                <w:highlight w:val="none"/>
              </w:rPr>
              <w:t>）：</w:t>
            </w:r>
            <w:r>
              <w:rPr>
                <w:rFonts w:hint="eastAsia" w:ascii="Calibri" w:hAnsi="Calibri"/>
                <w:sz w:val="24"/>
                <w:szCs w:val="20"/>
                <w:highlight w:val="none"/>
                <w:u w:val="single"/>
                <w:lang w:val="en-US" w:eastAsia="zh-CN"/>
              </w:rPr>
              <w:t xml:space="preserve">                </w:t>
            </w:r>
          </w:p>
          <w:p>
            <w:pPr>
              <w:pageBreakBefore w:val="0"/>
              <w:kinsoku/>
              <w:wordWrap/>
              <w:overflowPunct/>
              <w:topLinePunct w:val="0"/>
              <w:autoSpaceDE/>
              <w:autoSpaceDN/>
              <w:bidi w:val="0"/>
              <w:spacing w:before="120" w:after="120" w:line="240" w:lineRule="atLeast"/>
              <w:jc w:val="right"/>
              <w:outlineLvl w:val="9"/>
              <w:rPr>
                <w:rFonts w:ascii="Calibri" w:hAnsi="Calibri" w:eastAsia="仿宋_GB2312"/>
                <w:sz w:val="24"/>
                <w:szCs w:val="20"/>
                <w:highlight w:val="none"/>
              </w:rPr>
            </w:pPr>
            <w:r>
              <w:rPr>
                <w:rFonts w:ascii="Calibri" w:hAnsi="Calibri"/>
                <w:sz w:val="24"/>
                <w:szCs w:val="20"/>
                <w:highlight w:val="none"/>
              </w:rPr>
              <w:t>日期：    年    月    日</w:t>
            </w:r>
          </w:p>
        </w:tc>
      </w:tr>
    </w:tbl>
    <w:p>
      <w:pPr>
        <w:pageBreakBefore w:val="0"/>
        <w:kinsoku/>
        <w:wordWrap/>
        <w:overflowPunct/>
        <w:topLinePunct w:val="0"/>
        <w:autoSpaceDE/>
        <w:autoSpaceDN/>
        <w:bidi w:val="0"/>
        <w:outlineLvl w:val="9"/>
        <w:rPr>
          <w:rFonts w:hint="eastAsia" w:ascii="宋体" w:hAnsi="宋体"/>
          <w:szCs w:val="21"/>
          <w:highlight w:val="none"/>
        </w:rPr>
      </w:pPr>
    </w:p>
    <w:p>
      <w:pPr>
        <w:pageBreakBefore w:val="0"/>
        <w:kinsoku/>
        <w:wordWrap/>
        <w:overflowPunct/>
        <w:topLinePunct w:val="0"/>
        <w:autoSpaceDE/>
        <w:autoSpaceDN/>
        <w:bidi w:val="0"/>
        <w:outlineLvl w:val="9"/>
        <w:rPr>
          <w:rFonts w:hint="eastAsia" w:ascii="宋体" w:hAnsi="宋体"/>
          <w:szCs w:val="21"/>
          <w:highlight w:val="none"/>
        </w:rPr>
      </w:pPr>
    </w:p>
    <w:p>
      <w:pPr>
        <w:pageBreakBefore w:val="0"/>
        <w:kinsoku/>
        <w:wordWrap/>
        <w:overflowPunct/>
        <w:topLinePunct w:val="0"/>
        <w:autoSpaceDE/>
        <w:autoSpaceDN/>
        <w:bidi w:val="0"/>
        <w:spacing w:line="360" w:lineRule="auto"/>
        <w:ind w:left="359"/>
        <w:outlineLvl w:val="9"/>
        <w:rPr>
          <w:rFonts w:ascii="宋体" w:hAnsi="宋体"/>
          <w:sz w:val="24"/>
          <w:highlight w:val="none"/>
        </w:rPr>
      </w:pPr>
      <w:r>
        <w:rPr>
          <w:rFonts w:hint="eastAsia" w:ascii="宋体" w:hAnsi="宋体"/>
          <w:szCs w:val="21"/>
          <w:highlight w:val="none"/>
        </w:rPr>
        <w:t xml:space="preserve">               </w:t>
      </w:r>
    </w:p>
    <w:p>
      <w:pPr>
        <w:pageBreakBefore w:val="0"/>
        <w:widowControl/>
        <w:kinsoku/>
        <w:wordWrap/>
        <w:overflowPunct/>
        <w:topLinePunct w:val="0"/>
        <w:autoSpaceDE/>
        <w:autoSpaceDN/>
        <w:bidi w:val="0"/>
        <w:jc w:val="left"/>
        <w:outlineLvl w:val="9"/>
        <w:rPr>
          <w:rFonts w:ascii="宋体" w:hAnsi="宋体"/>
          <w:b/>
          <w:sz w:val="28"/>
          <w:szCs w:val="28"/>
          <w:highlight w:val="none"/>
        </w:rPr>
      </w:pPr>
      <w:r>
        <w:rPr>
          <w:rFonts w:ascii="Calibri" w:hAnsi="宋体"/>
          <w:b/>
          <w:sz w:val="28"/>
          <w:szCs w:val="28"/>
          <w:highlight w:val="none"/>
        </w:rPr>
        <w:br w:type="page"/>
      </w:r>
      <w:r>
        <w:rPr>
          <w:rFonts w:hint="eastAsia" w:ascii="宋体" w:hAnsi="宋体"/>
          <w:b/>
          <w:sz w:val="28"/>
          <w:szCs w:val="28"/>
          <w:highlight w:val="none"/>
        </w:rPr>
        <w:t>格式2：</w:t>
      </w:r>
    </w:p>
    <w:p>
      <w:pPr>
        <w:keepNext/>
        <w:keepLines/>
        <w:pageBreakBefore w:val="0"/>
        <w:kinsoku/>
        <w:wordWrap/>
        <w:overflowPunct/>
        <w:topLinePunct w:val="0"/>
        <w:autoSpaceDE/>
        <w:autoSpaceDN/>
        <w:bidi w:val="0"/>
        <w:spacing w:before="240" w:line="400" w:lineRule="exact"/>
        <w:ind w:left="425"/>
        <w:jc w:val="center"/>
        <w:outlineLvl w:val="9"/>
        <w:rPr>
          <w:rFonts w:ascii="宋体" w:hAnsi="宋体"/>
          <w:b/>
          <w:spacing w:val="40"/>
          <w:sz w:val="32"/>
          <w:szCs w:val="32"/>
          <w:highlight w:val="none"/>
        </w:rPr>
      </w:pPr>
      <w:bookmarkStart w:id="435" w:name="_Toc518289511"/>
      <w:bookmarkStart w:id="436" w:name="_Toc278"/>
      <w:r>
        <w:rPr>
          <w:rFonts w:hint="eastAsia" w:ascii="宋体" w:hAnsi="宋体"/>
          <w:b/>
          <w:spacing w:val="40"/>
          <w:sz w:val="32"/>
          <w:szCs w:val="32"/>
          <w:highlight w:val="none"/>
        </w:rPr>
        <w:t>投标函</w:t>
      </w:r>
      <w:bookmarkEnd w:id="435"/>
      <w:bookmarkEnd w:id="436"/>
    </w:p>
    <w:p>
      <w:pPr>
        <w:pageBreakBefore w:val="0"/>
        <w:kinsoku/>
        <w:wordWrap/>
        <w:overflowPunct/>
        <w:topLinePunct w:val="0"/>
        <w:autoSpaceDE/>
        <w:autoSpaceDN/>
        <w:bidi w:val="0"/>
        <w:spacing w:line="276" w:lineRule="auto"/>
        <w:outlineLvl w:val="9"/>
        <w:rPr>
          <w:rFonts w:ascii="宋体" w:hAnsi="Calibri"/>
          <w:szCs w:val="21"/>
          <w:highlight w:val="none"/>
        </w:rPr>
      </w:pPr>
      <w:r>
        <w:rPr>
          <w:rFonts w:hint="eastAsia" w:ascii="宋体" w:hAnsi="Calibri"/>
          <w:szCs w:val="21"/>
          <w:highlight w:val="none"/>
        </w:rPr>
        <w:t>致：</w:t>
      </w:r>
      <w:r>
        <w:rPr>
          <w:rFonts w:hint="eastAsia" w:ascii="宋体" w:hAnsi="Calibri"/>
          <w:szCs w:val="21"/>
          <w:highlight w:val="none"/>
          <w:u w:val="single"/>
        </w:rPr>
        <w:t>（采购人名称）</w:t>
      </w:r>
    </w:p>
    <w:p>
      <w:pPr>
        <w:pageBreakBefore w:val="0"/>
        <w:kinsoku/>
        <w:wordWrap/>
        <w:overflowPunct/>
        <w:topLinePunct w:val="0"/>
        <w:autoSpaceDE/>
        <w:autoSpaceDN/>
        <w:bidi w:val="0"/>
        <w:spacing w:line="276" w:lineRule="auto"/>
        <w:ind w:firstLine="482"/>
        <w:outlineLvl w:val="9"/>
        <w:rPr>
          <w:rFonts w:ascii="宋体" w:hAnsi="Calibri"/>
          <w:szCs w:val="21"/>
          <w:highlight w:val="none"/>
        </w:rPr>
      </w:pPr>
      <w:r>
        <w:rPr>
          <w:rFonts w:hint="eastAsia" w:ascii="宋体" w:hAnsi="Calibri"/>
          <w:szCs w:val="21"/>
          <w:highlight w:val="none"/>
        </w:rPr>
        <w:t>我方仔细研究了</w:t>
      </w:r>
      <w:r>
        <w:rPr>
          <w:rFonts w:hint="eastAsia" w:ascii="宋体" w:hAnsi="Calibri"/>
          <w:szCs w:val="21"/>
          <w:highlight w:val="none"/>
          <w:u w:val="single"/>
        </w:rPr>
        <w:t xml:space="preserve">（采购项目名称）   </w:t>
      </w:r>
      <w:r>
        <w:rPr>
          <w:rFonts w:hint="eastAsia" w:ascii="宋体" w:hAnsi="Calibri"/>
          <w:szCs w:val="21"/>
          <w:highlight w:val="none"/>
        </w:rPr>
        <w:t>（项目编号：</w:t>
      </w:r>
      <w:r>
        <w:rPr>
          <w:rFonts w:hint="eastAsia" w:ascii="宋体" w:hAnsi="Calibri"/>
          <w:szCs w:val="21"/>
          <w:highlight w:val="none"/>
          <w:u w:val="single"/>
        </w:rPr>
        <w:t xml:space="preserve">        </w:t>
      </w:r>
      <w:r>
        <w:rPr>
          <w:rFonts w:hint="eastAsia" w:ascii="宋体" w:hAnsi="Calibri"/>
          <w:szCs w:val="21"/>
          <w:highlight w:val="none"/>
        </w:rPr>
        <w:t>）</w:t>
      </w:r>
      <w:r>
        <w:rPr>
          <w:rFonts w:ascii="宋体" w:hAnsi="Calibri"/>
          <w:szCs w:val="21"/>
          <w:highlight w:val="none"/>
        </w:rPr>
        <w:t>项目招标</w:t>
      </w:r>
      <w:r>
        <w:rPr>
          <w:rFonts w:hint="eastAsia" w:ascii="宋体" w:hAnsi="Calibri"/>
          <w:szCs w:val="21"/>
          <w:highlight w:val="none"/>
        </w:rPr>
        <w:t>文件的全部内容，正式授权下述签字人</w:t>
      </w:r>
      <w:r>
        <w:rPr>
          <w:rFonts w:hint="eastAsia" w:ascii="宋体" w:hAnsi="Calibri"/>
          <w:szCs w:val="21"/>
          <w:highlight w:val="none"/>
          <w:u w:val="single"/>
        </w:rPr>
        <w:t xml:space="preserve">   （姓名和职务）     </w:t>
      </w:r>
      <w:r>
        <w:rPr>
          <w:rFonts w:hint="eastAsia" w:ascii="宋体" w:hAnsi="Calibri"/>
          <w:szCs w:val="21"/>
          <w:highlight w:val="none"/>
        </w:rPr>
        <w:t>全权代表投标人</w:t>
      </w:r>
      <w:r>
        <w:rPr>
          <w:rFonts w:hint="eastAsia" w:ascii="宋体" w:hAnsi="Calibri"/>
          <w:szCs w:val="21"/>
          <w:highlight w:val="none"/>
          <w:u w:val="single"/>
        </w:rPr>
        <w:t xml:space="preserve">  （投标人全称）   </w:t>
      </w:r>
      <w:r>
        <w:rPr>
          <w:rFonts w:ascii="宋体" w:hAnsi="Calibri"/>
          <w:szCs w:val="21"/>
          <w:highlight w:val="none"/>
        </w:rPr>
        <w:t>参加投标</w:t>
      </w:r>
      <w:r>
        <w:rPr>
          <w:rFonts w:hint="eastAsia" w:ascii="宋体" w:hAnsi="Calibri"/>
          <w:color w:val="auto"/>
          <w:szCs w:val="21"/>
          <w:highlight w:val="none"/>
        </w:rPr>
        <w:t>。</w:t>
      </w:r>
    </w:p>
    <w:p>
      <w:pPr>
        <w:pageBreakBefore w:val="0"/>
        <w:kinsoku/>
        <w:wordWrap/>
        <w:overflowPunct/>
        <w:topLinePunct w:val="0"/>
        <w:autoSpaceDE/>
        <w:autoSpaceDN/>
        <w:bidi w:val="0"/>
        <w:spacing w:line="276" w:lineRule="auto"/>
        <w:ind w:firstLine="420"/>
        <w:outlineLvl w:val="9"/>
        <w:rPr>
          <w:rFonts w:ascii="宋体" w:hAnsi="Calibri"/>
          <w:szCs w:val="21"/>
          <w:highlight w:val="none"/>
        </w:rPr>
      </w:pPr>
      <w:r>
        <w:rPr>
          <w:rFonts w:hint="eastAsia" w:ascii="宋体" w:hAnsi="Calibri"/>
          <w:szCs w:val="21"/>
          <w:highlight w:val="none"/>
        </w:rPr>
        <w:t>据此函，签字人兹宣布同意如下：</w:t>
      </w:r>
    </w:p>
    <w:p>
      <w:pPr>
        <w:pageBreakBefore w:val="0"/>
        <w:numPr>
          <w:ilvl w:val="0"/>
          <w:numId w:val="8"/>
        </w:numPr>
        <w:kinsoku/>
        <w:wordWrap/>
        <w:overflowPunct/>
        <w:topLinePunct w:val="0"/>
        <w:autoSpaceDE/>
        <w:autoSpaceDN/>
        <w:bidi w:val="0"/>
        <w:spacing w:line="276" w:lineRule="auto"/>
        <w:ind w:firstLine="420" w:firstLineChars="200"/>
        <w:outlineLvl w:val="9"/>
        <w:rPr>
          <w:rFonts w:ascii="宋体" w:hAnsi="Calibri"/>
          <w:szCs w:val="21"/>
          <w:highlight w:val="none"/>
        </w:rPr>
      </w:pPr>
      <w:r>
        <w:rPr>
          <w:rFonts w:hint="eastAsia" w:ascii="宋体" w:hAnsi="Calibri"/>
          <w:szCs w:val="21"/>
          <w:highlight w:val="none"/>
        </w:rPr>
        <w:t>愿意以</w:t>
      </w:r>
      <w:r>
        <w:rPr>
          <w:rFonts w:hint="eastAsia" w:ascii="宋体" w:hAnsi="Calibri"/>
          <w:szCs w:val="21"/>
          <w:highlight w:val="none"/>
          <w:u w:val="single"/>
          <w:lang w:eastAsia="zh-CN"/>
        </w:rPr>
        <w:t>2023年曲水县“十三五”期间政府项目（2000万-5000万）审计</w:t>
      </w:r>
      <w:r>
        <w:rPr>
          <w:rFonts w:hint="eastAsia" w:ascii="宋体" w:hAnsi="Calibri"/>
          <w:szCs w:val="21"/>
          <w:highlight w:val="none"/>
        </w:rPr>
        <w:t>付费标准</w:t>
      </w:r>
      <w:r>
        <w:rPr>
          <w:rFonts w:hint="eastAsia" w:ascii="宋体" w:hAnsi="Calibri"/>
          <w:szCs w:val="21"/>
          <w:highlight w:val="none"/>
          <w:lang w:eastAsia="zh-CN"/>
        </w:rPr>
        <w:t>，</w:t>
      </w:r>
      <w:r>
        <w:rPr>
          <w:rFonts w:hint="eastAsia" w:ascii="宋体" w:hAnsi="Calibri"/>
          <w:szCs w:val="21"/>
          <w:highlight w:val="none"/>
        </w:rPr>
        <w:t>提供</w:t>
      </w:r>
      <w:r>
        <w:rPr>
          <w:rFonts w:hint="eastAsia" w:ascii="宋体" w:hAnsi="Calibri"/>
          <w:szCs w:val="21"/>
          <w:highlight w:val="none"/>
          <w:u w:val="single"/>
        </w:rPr>
        <w:t xml:space="preserve">     （项目名称、技术服务）</w:t>
      </w:r>
      <w:r>
        <w:rPr>
          <w:rFonts w:hint="eastAsia" w:ascii="宋体" w:hAnsi="Calibri"/>
          <w:szCs w:val="21"/>
          <w:highlight w:val="none"/>
        </w:rPr>
        <w:t>，并按合同约定履行义务。</w:t>
      </w:r>
    </w:p>
    <w:p>
      <w:pPr>
        <w:pageBreakBefore w:val="0"/>
        <w:numPr>
          <w:ilvl w:val="0"/>
          <w:numId w:val="8"/>
        </w:numPr>
        <w:kinsoku/>
        <w:wordWrap/>
        <w:overflowPunct/>
        <w:topLinePunct w:val="0"/>
        <w:autoSpaceDE/>
        <w:autoSpaceDN/>
        <w:bidi w:val="0"/>
        <w:spacing w:line="276" w:lineRule="auto"/>
        <w:ind w:left="0" w:leftChars="0" w:firstLine="420" w:firstLineChars="200"/>
        <w:outlineLvl w:val="9"/>
        <w:rPr>
          <w:rFonts w:ascii="宋体" w:hAnsi="Calibri"/>
          <w:spacing w:val="0"/>
          <w:sz w:val="21"/>
          <w:szCs w:val="21"/>
          <w:highlight w:val="none"/>
        </w:rPr>
      </w:pPr>
      <w:r>
        <w:rPr>
          <w:rFonts w:hint="eastAsia" w:ascii="宋体" w:hAnsi="Calibri"/>
          <w:spacing w:val="0"/>
          <w:sz w:val="21"/>
          <w:szCs w:val="21"/>
          <w:highlight w:val="none"/>
        </w:rPr>
        <w:t>我方已</w:t>
      </w:r>
      <w:r>
        <w:rPr>
          <w:rFonts w:ascii="宋体" w:hAnsi="Calibri"/>
          <w:spacing w:val="0"/>
          <w:sz w:val="21"/>
          <w:szCs w:val="21"/>
          <w:highlight w:val="none"/>
        </w:rPr>
        <w:t>详细审查全部招标文件，包括</w:t>
      </w:r>
      <w:r>
        <w:rPr>
          <w:rFonts w:hint="eastAsia" w:ascii="宋体" w:hAnsi="Calibri"/>
          <w:spacing w:val="0"/>
          <w:sz w:val="21"/>
          <w:szCs w:val="21"/>
          <w:highlight w:val="none"/>
          <w:u w:val="single"/>
        </w:rPr>
        <w:t>（澄清</w:t>
      </w:r>
      <w:r>
        <w:rPr>
          <w:rFonts w:ascii="宋体" w:hAnsi="Calibri"/>
          <w:spacing w:val="0"/>
          <w:sz w:val="21"/>
          <w:szCs w:val="21"/>
          <w:highlight w:val="none"/>
          <w:u w:val="single"/>
        </w:rPr>
        <w:t>文件</w:t>
      </w:r>
      <w:r>
        <w:rPr>
          <w:rFonts w:hint="eastAsia" w:ascii="宋体" w:hAnsi="Calibri"/>
          <w:spacing w:val="0"/>
          <w:sz w:val="21"/>
          <w:szCs w:val="21"/>
          <w:highlight w:val="none"/>
          <w:u w:val="single"/>
        </w:rPr>
        <w:t>）</w:t>
      </w:r>
      <w:r>
        <w:rPr>
          <w:rFonts w:ascii="宋体" w:hAnsi="Calibri"/>
          <w:spacing w:val="0"/>
          <w:sz w:val="21"/>
          <w:szCs w:val="21"/>
          <w:highlight w:val="none"/>
          <w:u w:val="single"/>
        </w:rPr>
        <w:t>(如果有的话)</w:t>
      </w:r>
      <w:r>
        <w:rPr>
          <w:rFonts w:ascii="宋体" w:hAnsi="Calibri"/>
          <w:spacing w:val="0"/>
          <w:sz w:val="21"/>
          <w:szCs w:val="21"/>
          <w:highlight w:val="none"/>
        </w:rPr>
        <w:t>。我</w:t>
      </w:r>
      <w:r>
        <w:rPr>
          <w:rFonts w:hint="eastAsia" w:ascii="宋体" w:hAnsi="Calibri"/>
          <w:spacing w:val="0"/>
          <w:sz w:val="21"/>
          <w:szCs w:val="21"/>
          <w:highlight w:val="none"/>
        </w:rPr>
        <w:t>方</w:t>
      </w:r>
      <w:r>
        <w:rPr>
          <w:rFonts w:ascii="宋体" w:hAnsi="Calibri"/>
          <w:spacing w:val="0"/>
          <w:sz w:val="21"/>
          <w:szCs w:val="21"/>
          <w:highlight w:val="none"/>
        </w:rPr>
        <w:t>完全理解</w:t>
      </w:r>
      <w:r>
        <w:rPr>
          <w:rFonts w:hint="eastAsia" w:ascii="宋体" w:hAnsi="Calibri"/>
          <w:spacing w:val="0"/>
          <w:sz w:val="21"/>
          <w:szCs w:val="21"/>
          <w:highlight w:val="none"/>
        </w:rPr>
        <w:t>相关文件要求，</w:t>
      </w:r>
      <w:r>
        <w:rPr>
          <w:rFonts w:ascii="宋体" w:hAnsi="Calibri"/>
          <w:spacing w:val="0"/>
          <w:sz w:val="21"/>
          <w:szCs w:val="21"/>
          <w:highlight w:val="none"/>
        </w:rPr>
        <w:t>并</w:t>
      </w:r>
      <w:r>
        <w:rPr>
          <w:rFonts w:hint="eastAsia" w:ascii="宋体" w:hAnsi="Calibri"/>
          <w:spacing w:val="0"/>
          <w:sz w:val="21"/>
          <w:szCs w:val="21"/>
          <w:highlight w:val="none"/>
        </w:rPr>
        <w:t>承担</w:t>
      </w:r>
      <w:r>
        <w:rPr>
          <w:rFonts w:ascii="宋体" w:hAnsi="Calibri"/>
          <w:spacing w:val="0"/>
          <w:sz w:val="21"/>
          <w:szCs w:val="21"/>
          <w:highlight w:val="none"/>
        </w:rPr>
        <w:t>对这方面有不明及误解的</w:t>
      </w:r>
      <w:r>
        <w:rPr>
          <w:rFonts w:hint="eastAsia" w:ascii="宋体" w:hAnsi="Calibri"/>
          <w:spacing w:val="0"/>
          <w:sz w:val="21"/>
          <w:szCs w:val="21"/>
          <w:highlight w:val="none"/>
        </w:rPr>
        <w:t>后果</w:t>
      </w:r>
      <w:r>
        <w:rPr>
          <w:rFonts w:ascii="宋体" w:hAnsi="Calibri"/>
          <w:spacing w:val="0"/>
          <w:sz w:val="21"/>
          <w:szCs w:val="21"/>
          <w:highlight w:val="none"/>
        </w:rPr>
        <w:t>。</w:t>
      </w:r>
    </w:p>
    <w:p>
      <w:pPr>
        <w:pageBreakBefore w:val="0"/>
        <w:numPr>
          <w:ilvl w:val="0"/>
          <w:numId w:val="8"/>
        </w:numPr>
        <w:kinsoku/>
        <w:wordWrap/>
        <w:overflowPunct/>
        <w:topLinePunct w:val="0"/>
        <w:autoSpaceDE/>
        <w:autoSpaceDN/>
        <w:bidi w:val="0"/>
        <w:spacing w:line="276" w:lineRule="auto"/>
        <w:ind w:left="0" w:leftChars="0" w:firstLine="420" w:firstLineChars="200"/>
        <w:outlineLvl w:val="9"/>
        <w:rPr>
          <w:rFonts w:ascii="宋体" w:hAnsi="Calibri"/>
          <w:szCs w:val="21"/>
          <w:highlight w:val="none"/>
        </w:rPr>
      </w:pPr>
      <w:r>
        <w:rPr>
          <w:rFonts w:hint="eastAsia" w:ascii="宋体" w:hAnsi="Calibri"/>
          <w:szCs w:val="21"/>
          <w:highlight w:val="none"/>
        </w:rPr>
        <w:t>在投标人须知规定的开标日期起遵循本投标文件，并在投标人须知第1</w:t>
      </w:r>
      <w:r>
        <w:rPr>
          <w:rFonts w:hint="eastAsia" w:ascii="宋体" w:hAnsi="Calibri"/>
          <w:szCs w:val="21"/>
          <w:highlight w:val="none"/>
          <w:lang w:val="en-US" w:eastAsia="zh-CN"/>
        </w:rPr>
        <w:t>8</w:t>
      </w:r>
      <w:r>
        <w:rPr>
          <w:rFonts w:hint="eastAsia" w:ascii="宋体" w:hAnsi="Calibri"/>
          <w:szCs w:val="21"/>
          <w:highlight w:val="none"/>
        </w:rPr>
        <w:t>.1条规定的投标文件有效期满之前均具有约束力。</w:t>
      </w:r>
    </w:p>
    <w:p>
      <w:pPr>
        <w:pageBreakBefore w:val="0"/>
        <w:numPr>
          <w:ilvl w:val="0"/>
          <w:numId w:val="8"/>
        </w:numPr>
        <w:kinsoku/>
        <w:wordWrap/>
        <w:overflowPunct/>
        <w:topLinePunct w:val="0"/>
        <w:autoSpaceDE/>
        <w:autoSpaceDN/>
        <w:bidi w:val="0"/>
        <w:spacing w:line="276" w:lineRule="auto"/>
        <w:ind w:left="0" w:leftChars="0" w:firstLine="420" w:firstLineChars="200"/>
        <w:outlineLvl w:val="9"/>
        <w:rPr>
          <w:rFonts w:ascii="宋体" w:hAnsi="Calibri"/>
          <w:szCs w:val="21"/>
          <w:highlight w:val="none"/>
        </w:rPr>
      </w:pPr>
      <w:r>
        <w:rPr>
          <w:rFonts w:ascii="宋体" w:hAnsi="Calibri"/>
          <w:szCs w:val="21"/>
          <w:highlight w:val="none"/>
        </w:rPr>
        <w:t>同意</w:t>
      </w:r>
      <w:r>
        <w:rPr>
          <w:rFonts w:hint="eastAsia" w:ascii="宋体" w:hAnsi="Calibri"/>
          <w:szCs w:val="21"/>
          <w:highlight w:val="none"/>
        </w:rPr>
        <w:t>招标文件</w:t>
      </w:r>
      <w:r>
        <w:rPr>
          <w:rFonts w:ascii="宋体" w:hAnsi="Calibri"/>
          <w:szCs w:val="21"/>
          <w:highlight w:val="none"/>
        </w:rPr>
        <w:t>中关于没收投标保证金的规定。</w:t>
      </w:r>
    </w:p>
    <w:p>
      <w:pPr>
        <w:pageBreakBefore w:val="0"/>
        <w:numPr>
          <w:ilvl w:val="0"/>
          <w:numId w:val="8"/>
        </w:numPr>
        <w:kinsoku/>
        <w:wordWrap/>
        <w:overflowPunct/>
        <w:topLinePunct w:val="0"/>
        <w:autoSpaceDE/>
        <w:autoSpaceDN/>
        <w:bidi w:val="0"/>
        <w:spacing w:line="276" w:lineRule="auto"/>
        <w:ind w:left="0" w:leftChars="0" w:firstLine="420" w:firstLineChars="200"/>
        <w:outlineLvl w:val="9"/>
        <w:rPr>
          <w:rFonts w:ascii="宋体" w:hAnsi="Calibri"/>
          <w:szCs w:val="21"/>
          <w:highlight w:val="none"/>
        </w:rPr>
      </w:pPr>
      <w:r>
        <w:rPr>
          <w:rFonts w:hint="eastAsia" w:ascii="宋体" w:hAnsi="Calibri"/>
          <w:szCs w:val="21"/>
          <w:highlight w:val="none"/>
        </w:rPr>
        <w:t>同意应贵方要求提供与本投标有关的任何数据或资料</w:t>
      </w:r>
      <w:r>
        <w:rPr>
          <w:rFonts w:ascii="宋体" w:hAnsi="Calibri"/>
          <w:szCs w:val="21"/>
          <w:highlight w:val="none"/>
        </w:rPr>
        <w:t>，并保证数据和资料的完整性和真实性。</w:t>
      </w:r>
    </w:p>
    <w:p>
      <w:pPr>
        <w:pageBreakBefore w:val="0"/>
        <w:kinsoku/>
        <w:wordWrap/>
        <w:overflowPunct/>
        <w:topLinePunct w:val="0"/>
        <w:autoSpaceDE/>
        <w:autoSpaceDN/>
        <w:bidi w:val="0"/>
        <w:spacing w:line="276" w:lineRule="auto"/>
        <w:ind w:firstLine="420"/>
        <w:outlineLvl w:val="9"/>
        <w:rPr>
          <w:rFonts w:ascii="宋体" w:hAnsi="Calibri"/>
          <w:szCs w:val="21"/>
          <w:highlight w:val="none"/>
        </w:rPr>
      </w:pPr>
      <w:r>
        <w:rPr>
          <w:rFonts w:hint="eastAsia" w:ascii="宋体" w:hAnsi="Calibri"/>
          <w:szCs w:val="21"/>
          <w:highlight w:val="none"/>
        </w:rPr>
        <w:t>6</w:t>
      </w:r>
      <w:r>
        <w:rPr>
          <w:rFonts w:hint="eastAsia" w:ascii="宋体" w:hAnsi="Calibri"/>
          <w:szCs w:val="21"/>
          <w:highlight w:val="none"/>
          <w:lang w:val="en-US" w:eastAsia="zh-CN"/>
        </w:rPr>
        <w:t xml:space="preserve">. </w:t>
      </w:r>
      <w:r>
        <w:rPr>
          <w:rFonts w:hint="eastAsia" w:ascii="宋体" w:hAnsi="Calibri"/>
          <w:szCs w:val="21"/>
          <w:highlight w:val="none"/>
        </w:rPr>
        <w:t>完全理解贵方不一定要接受最低报价的投标人为中标人的行为。</w:t>
      </w:r>
    </w:p>
    <w:p>
      <w:pPr>
        <w:pageBreakBefore w:val="0"/>
        <w:kinsoku/>
        <w:wordWrap/>
        <w:overflowPunct/>
        <w:topLinePunct w:val="0"/>
        <w:autoSpaceDE/>
        <w:autoSpaceDN/>
        <w:bidi w:val="0"/>
        <w:spacing w:line="276" w:lineRule="auto"/>
        <w:ind w:firstLine="420"/>
        <w:outlineLvl w:val="9"/>
        <w:rPr>
          <w:rFonts w:ascii="宋体" w:hAnsi="Calibri"/>
          <w:szCs w:val="21"/>
          <w:highlight w:val="none"/>
        </w:rPr>
      </w:pPr>
      <w:r>
        <w:rPr>
          <w:rFonts w:hint="eastAsia" w:ascii="宋体" w:hAnsi="Calibri"/>
          <w:szCs w:val="21"/>
          <w:highlight w:val="none"/>
        </w:rPr>
        <w:t>7</w:t>
      </w:r>
      <w:r>
        <w:rPr>
          <w:rFonts w:ascii="宋体" w:hAnsi="Calibri"/>
          <w:szCs w:val="21"/>
          <w:highlight w:val="none"/>
        </w:rPr>
        <w:t>．如我方中标：</w:t>
      </w:r>
    </w:p>
    <w:p>
      <w:pPr>
        <w:pageBreakBefore w:val="0"/>
        <w:kinsoku/>
        <w:wordWrap/>
        <w:overflowPunct/>
        <w:topLinePunct w:val="0"/>
        <w:autoSpaceDE/>
        <w:autoSpaceDN/>
        <w:bidi w:val="0"/>
        <w:spacing w:line="276" w:lineRule="auto"/>
        <w:ind w:firstLine="420"/>
        <w:outlineLvl w:val="9"/>
        <w:rPr>
          <w:rFonts w:ascii="宋体" w:hAnsi="Calibri"/>
          <w:szCs w:val="21"/>
          <w:highlight w:val="none"/>
        </w:rPr>
      </w:pPr>
      <w:r>
        <w:rPr>
          <w:rFonts w:ascii="宋体" w:hAnsi="Calibri"/>
          <w:szCs w:val="21"/>
          <w:highlight w:val="none"/>
        </w:rPr>
        <w:t>（1）我方承诺在收到中标通知书后，在中标通知书规定的期限内与你方签订合同</w:t>
      </w:r>
      <w:r>
        <w:rPr>
          <w:rFonts w:hint="eastAsia" w:ascii="宋体" w:hAnsi="Calibri"/>
          <w:szCs w:val="21"/>
          <w:highlight w:val="none"/>
        </w:rPr>
        <w:t>，并</w:t>
      </w:r>
      <w:r>
        <w:rPr>
          <w:rFonts w:ascii="宋体" w:hAnsi="Calibri"/>
          <w:szCs w:val="21"/>
          <w:highlight w:val="none"/>
        </w:rPr>
        <w:t>履行</w:t>
      </w:r>
      <w:r>
        <w:rPr>
          <w:rFonts w:hint="eastAsia" w:ascii="宋体" w:hAnsi="Calibri"/>
          <w:szCs w:val="21"/>
          <w:highlight w:val="none"/>
        </w:rPr>
        <w:t>相应的</w:t>
      </w:r>
      <w:r>
        <w:rPr>
          <w:rFonts w:ascii="宋体" w:hAnsi="Calibri"/>
          <w:szCs w:val="21"/>
          <w:highlight w:val="none"/>
        </w:rPr>
        <w:t>合同责任和义务。</w:t>
      </w:r>
    </w:p>
    <w:p>
      <w:pPr>
        <w:pageBreakBefore w:val="0"/>
        <w:kinsoku/>
        <w:wordWrap/>
        <w:overflowPunct/>
        <w:topLinePunct w:val="0"/>
        <w:autoSpaceDE/>
        <w:autoSpaceDN/>
        <w:bidi w:val="0"/>
        <w:spacing w:line="276" w:lineRule="auto"/>
        <w:ind w:firstLine="420"/>
        <w:outlineLvl w:val="9"/>
        <w:rPr>
          <w:rFonts w:ascii="宋体" w:hAnsi="Calibri"/>
          <w:szCs w:val="21"/>
          <w:highlight w:val="none"/>
        </w:rPr>
      </w:pPr>
      <w:r>
        <w:rPr>
          <w:rFonts w:ascii="宋体" w:hAnsi="Calibri"/>
          <w:szCs w:val="21"/>
          <w:highlight w:val="none"/>
        </w:rPr>
        <w:t>（2）我方承诺按照招标文件规定向你方递交履约</w:t>
      </w:r>
      <w:r>
        <w:rPr>
          <w:rFonts w:hint="eastAsia" w:ascii="宋体" w:hAnsi="Calibri"/>
          <w:szCs w:val="21"/>
          <w:highlight w:val="none"/>
        </w:rPr>
        <w:t>保证金</w:t>
      </w:r>
      <w:r>
        <w:rPr>
          <w:rFonts w:ascii="宋体" w:hAnsi="Calibri"/>
          <w:szCs w:val="21"/>
          <w:highlight w:val="none"/>
        </w:rPr>
        <w:t>。</w:t>
      </w:r>
    </w:p>
    <w:p>
      <w:pPr>
        <w:pageBreakBefore w:val="0"/>
        <w:kinsoku/>
        <w:wordWrap/>
        <w:overflowPunct/>
        <w:topLinePunct w:val="0"/>
        <w:autoSpaceDE/>
        <w:autoSpaceDN/>
        <w:bidi w:val="0"/>
        <w:spacing w:line="276" w:lineRule="auto"/>
        <w:ind w:firstLine="420"/>
        <w:outlineLvl w:val="9"/>
        <w:rPr>
          <w:rFonts w:ascii="宋体" w:hAnsi="Calibri"/>
          <w:szCs w:val="21"/>
          <w:highlight w:val="none"/>
        </w:rPr>
      </w:pPr>
      <w:r>
        <w:rPr>
          <w:rFonts w:hint="eastAsia" w:ascii="宋体" w:hAnsi="Calibri"/>
          <w:szCs w:val="21"/>
          <w:highlight w:val="none"/>
        </w:rPr>
        <w:t>（3）</w:t>
      </w:r>
      <w:r>
        <w:rPr>
          <w:rFonts w:ascii="宋体" w:hAnsi="Calibri"/>
          <w:szCs w:val="21"/>
          <w:highlight w:val="none"/>
        </w:rPr>
        <w:t>我方承诺</w:t>
      </w:r>
      <w:r>
        <w:rPr>
          <w:rFonts w:hint="eastAsia" w:ascii="宋体" w:hAnsi="Calibri"/>
          <w:szCs w:val="21"/>
          <w:highlight w:val="none"/>
        </w:rPr>
        <w:t>将承担售后服务。</w:t>
      </w:r>
    </w:p>
    <w:p>
      <w:pPr>
        <w:pageBreakBefore w:val="0"/>
        <w:kinsoku/>
        <w:wordWrap/>
        <w:overflowPunct/>
        <w:topLinePunct w:val="0"/>
        <w:autoSpaceDE/>
        <w:autoSpaceDN/>
        <w:bidi w:val="0"/>
        <w:spacing w:line="276" w:lineRule="auto"/>
        <w:ind w:firstLine="420"/>
        <w:outlineLvl w:val="9"/>
        <w:rPr>
          <w:rFonts w:ascii="宋体" w:hAnsi="Calibri"/>
          <w:szCs w:val="21"/>
          <w:highlight w:val="none"/>
        </w:rPr>
      </w:pPr>
      <w:r>
        <w:rPr>
          <w:rFonts w:hint="eastAsia" w:ascii="宋体" w:hAnsi="Calibri"/>
          <w:szCs w:val="21"/>
          <w:highlight w:val="none"/>
        </w:rPr>
        <w:t>8</w:t>
      </w:r>
      <w:r>
        <w:rPr>
          <w:rFonts w:ascii="宋体" w:hAnsi="Calibri"/>
          <w:szCs w:val="21"/>
          <w:highlight w:val="none"/>
        </w:rPr>
        <w:t>．</w:t>
      </w:r>
      <w:r>
        <w:rPr>
          <w:rFonts w:hint="eastAsia" w:ascii="宋体" w:hAnsi="Calibri"/>
          <w:szCs w:val="21"/>
          <w:highlight w:val="none"/>
        </w:rPr>
        <w:t>我方在此声明，所递交的投标文件及有关资料内容完整、真实和准确。</w:t>
      </w:r>
    </w:p>
    <w:p>
      <w:pPr>
        <w:pageBreakBefore w:val="0"/>
        <w:kinsoku/>
        <w:wordWrap/>
        <w:overflowPunct/>
        <w:topLinePunct w:val="0"/>
        <w:autoSpaceDE/>
        <w:autoSpaceDN/>
        <w:bidi w:val="0"/>
        <w:spacing w:line="276" w:lineRule="auto"/>
        <w:ind w:firstLine="420"/>
        <w:outlineLvl w:val="9"/>
        <w:rPr>
          <w:rFonts w:ascii="宋体" w:hAnsi="Calibri"/>
          <w:szCs w:val="21"/>
          <w:highlight w:val="none"/>
        </w:rPr>
      </w:pPr>
      <w:r>
        <w:rPr>
          <w:rFonts w:hint="eastAsia" w:ascii="宋体" w:hAnsi="Calibri"/>
          <w:szCs w:val="21"/>
          <w:highlight w:val="none"/>
        </w:rPr>
        <w:t>9．</w:t>
      </w:r>
      <w:r>
        <w:rPr>
          <w:rFonts w:ascii="宋体" w:hAnsi="Calibri"/>
          <w:szCs w:val="21"/>
          <w:highlight w:val="none"/>
          <w:u w:val="single"/>
        </w:rPr>
        <w:t xml:space="preserve">                                       </w:t>
      </w:r>
      <w:r>
        <w:rPr>
          <w:rFonts w:ascii="宋体" w:hAnsi="Calibri"/>
          <w:szCs w:val="21"/>
          <w:highlight w:val="none"/>
        </w:rPr>
        <w:t>（</w:t>
      </w:r>
      <w:r>
        <w:rPr>
          <w:rFonts w:hint="eastAsia" w:ascii="宋体" w:hAnsi="Calibri"/>
          <w:szCs w:val="21"/>
          <w:highlight w:val="none"/>
        </w:rPr>
        <w:t>其他</w:t>
      </w:r>
      <w:r>
        <w:rPr>
          <w:rFonts w:ascii="宋体" w:hAnsi="Calibri"/>
          <w:szCs w:val="21"/>
          <w:highlight w:val="none"/>
        </w:rPr>
        <w:t>补充说明）。</w:t>
      </w:r>
    </w:p>
    <w:p>
      <w:pPr>
        <w:pageBreakBefore w:val="0"/>
        <w:kinsoku/>
        <w:wordWrap/>
        <w:overflowPunct/>
        <w:topLinePunct w:val="0"/>
        <w:autoSpaceDE/>
        <w:autoSpaceDN/>
        <w:bidi w:val="0"/>
        <w:spacing w:line="276" w:lineRule="auto"/>
        <w:ind w:firstLine="420"/>
        <w:outlineLvl w:val="9"/>
        <w:rPr>
          <w:rFonts w:ascii="宋体" w:hAnsi="Calibri"/>
          <w:szCs w:val="21"/>
          <w:highlight w:val="none"/>
        </w:rPr>
      </w:pPr>
      <w:r>
        <w:rPr>
          <w:rFonts w:hint="eastAsia" w:ascii="宋体" w:hAnsi="Calibri"/>
          <w:szCs w:val="21"/>
          <w:highlight w:val="none"/>
        </w:rPr>
        <w:t>与本投标有关的正式通讯地址为：</w:t>
      </w:r>
    </w:p>
    <w:p>
      <w:pPr>
        <w:pageBreakBefore w:val="0"/>
        <w:kinsoku/>
        <w:wordWrap/>
        <w:overflowPunct/>
        <w:topLinePunct w:val="0"/>
        <w:autoSpaceDE/>
        <w:autoSpaceDN/>
        <w:bidi w:val="0"/>
        <w:spacing w:line="276" w:lineRule="auto"/>
        <w:ind w:firstLine="420"/>
        <w:outlineLvl w:val="9"/>
        <w:rPr>
          <w:rFonts w:ascii="宋体" w:hAnsi="Calibri"/>
          <w:szCs w:val="21"/>
          <w:highlight w:val="none"/>
          <w:u w:val="single"/>
        </w:rPr>
      </w:pPr>
      <w:r>
        <w:rPr>
          <w:rFonts w:hint="eastAsia" w:ascii="宋体" w:hAnsi="Calibri"/>
          <w:szCs w:val="21"/>
          <w:highlight w:val="none"/>
        </w:rPr>
        <w:t>投标人地址：</w:t>
      </w:r>
    </w:p>
    <w:p>
      <w:pPr>
        <w:pageBreakBefore w:val="0"/>
        <w:kinsoku/>
        <w:wordWrap/>
        <w:overflowPunct/>
        <w:topLinePunct w:val="0"/>
        <w:autoSpaceDE/>
        <w:autoSpaceDN/>
        <w:bidi w:val="0"/>
        <w:spacing w:line="276" w:lineRule="auto"/>
        <w:ind w:firstLine="420"/>
        <w:outlineLvl w:val="9"/>
        <w:rPr>
          <w:rFonts w:ascii="宋体" w:hAnsi="Calibri"/>
          <w:szCs w:val="21"/>
          <w:highlight w:val="none"/>
          <w:u w:val="single"/>
        </w:rPr>
      </w:pPr>
      <w:r>
        <w:rPr>
          <w:rFonts w:hint="eastAsia" w:ascii="宋体" w:hAnsi="Calibri"/>
          <w:szCs w:val="21"/>
          <w:highlight w:val="none"/>
        </w:rPr>
        <w:t>邮政编码：</w:t>
      </w:r>
    </w:p>
    <w:p>
      <w:pPr>
        <w:pageBreakBefore w:val="0"/>
        <w:kinsoku/>
        <w:wordWrap/>
        <w:overflowPunct/>
        <w:topLinePunct w:val="0"/>
        <w:autoSpaceDE/>
        <w:autoSpaceDN/>
        <w:bidi w:val="0"/>
        <w:spacing w:line="276" w:lineRule="auto"/>
        <w:ind w:firstLine="420"/>
        <w:outlineLvl w:val="9"/>
        <w:rPr>
          <w:rFonts w:ascii="宋体" w:hAnsi="Calibri"/>
          <w:szCs w:val="21"/>
          <w:highlight w:val="none"/>
          <w:u w:val="single"/>
        </w:rPr>
      </w:pPr>
      <w:r>
        <w:rPr>
          <w:rFonts w:hint="eastAsia" w:ascii="宋体" w:hAnsi="Calibri"/>
          <w:szCs w:val="21"/>
          <w:highlight w:val="none"/>
        </w:rPr>
        <w:t>电话：</w:t>
      </w:r>
    </w:p>
    <w:p>
      <w:pPr>
        <w:pageBreakBefore w:val="0"/>
        <w:kinsoku/>
        <w:wordWrap/>
        <w:overflowPunct/>
        <w:topLinePunct w:val="0"/>
        <w:autoSpaceDE/>
        <w:autoSpaceDN/>
        <w:bidi w:val="0"/>
        <w:spacing w:line="276" w:lineRule="auto"/>
        <w:ind w:firstLine="420"/>
        <w:outlineLvl w:val="9"/>
        <w:rPr>
          <w:rFonts w:ascii="宋体" w:hAnsi="Calibri"/>
          <w:szCs w:val="21"/>
          <w:highlight w:val="none"/>
          <w:u w:val="single"/>
        </w:rPr>
      </w:pPr>
      <w:r>
        <w:rPr>
          <w:rFonts w:hint="eastAsia" w:ascii="宋体" w:hAnsi="Calibri"/>
          <w:szCs w:val="21"/>
          <w:highlight w:val="none"/>
        </w:rPr>
        <w:t>传真：</w:t>
      </w:r>
    </w:p>
    <w:p>
      <w:pPr>
        <w:pageBreakBefore w:val="0"/>
        <w:kinsoku/>
        <w:wordWrap/>
        <w:overflowPunct/>
        <w:topLinePunct w:val="0"/>
        <w:autoSpaceDE/>
        <w:autoSpaceDN/>
        <w:bidi w:val="0"/>
        <w:spacing w:line="276" w:lineRule="auto"/>
        <w:ind w:firstLine="420"/>
        <w:outlineLvl w:val="9"/>
        <w:rPr>
          <w:rFonts w:ascii="宋体" w:hAnsi="Calibri"/>
          <w:szCs w:val="21"/>
          <w:highlight w:val="none"/>
          <w:u w:val="single"/>
        </w:rPr>
      </w:pPr>
      <w:r>
        <w:rPr>
          <w:rFonts w:hint="eastAsia" w:ascii="宋体" w:hAnsi="Calibri"/>
          <w:szCs w:val="21"/>
          <w:highlight w:val="none"/>
        </w:rPr>
        <w:t>开户名称：</w:t>
      </w:r>
    </w:p>
    <w:p>
      <w:pPr>
        <w:pageBreakBefore w:val="0"/>
        <w:kinsoku/>
        <w:wordWrap/>
        <w:overflowPunct/>
        <w:topLinePunct w:val="0"/>
        <w:autoSpaceDE/>
        <w:autoSpaceDN/>
        <w:bidi w:val="0"/>
        <w:spacing w:line="276" w:lineRule="auto"/>
        <w:ind w:firstLine="420"/>
        <w:outlineLvl w:val="9"/>
        <w:rPr>
          <w:rFonts w:ascii="宋体" w:hAnsi="Calibri"/>
          <w:szCs w:val="21"/>
          <w:highlight w:val="none"/>
          <w:u w:val="single"/>
        </w:rPr>
      </w:pPr>
      <w:r>
        <w:rPr>
          <w:rFonts w:hint="eastAsia" w:ascii="宋体" w:hAnsi="Calibri"/>
          <w:szCs w:val="21"/>
          <w:highlight w:val="none"/>
        </w:rPr>
        <w:t>开户银行：</w:t>
      </w:r>
    </w:p>
    <w:p>
      <w:pPr>
        <w:pageBreakBefore w:val="0"/>
        <w:kinsoku/>
        <w:wordWrap/>
        <w:overflowPunct/>
        <w:topLinePunct w:val="0"/>
        <w:autoSpaceDE/>
        <w:autoSpaceDN/>
        <w:bidi w:val="0"/>
        <w:spacing w:line="276" w:lineRule="auto"/>
        <w:ind w:firstLine="420"/>
        <w:outlineLvl w:val="9"/>
        <w:rPr>
          <w:rFonts w:hint="eastAsia" w:ascii="宋体" w:hAnsi="Calibri"/>
          <w:szCs w:val="21"/>
          <w:highlight w:val="none"/>
        </w:rPr>
      </w:pPr>
      <w:r>
        <w:rPr>
          <w:rFonts w:hint="eastAsia" w:ascii="宋体" w:hAnsi="Calibri"/>
          <w:szCs w:val="21"/>
          <w:highlight w:val="none"/>
        </w:rPr>
        <w:t>帐    号：</w:t>
      </w:r>
    </w:p>
    <w:p>
      <w:pPr>
        <w:pageBreakBefore w:val="0"/>
        <w:kinsoku/>
        <w:wordWrap/>
        <w:overflowPunct/>
        <w:topLinePunct w:val="0"/>
        <w:autoSpaceDE/>
        <w:autoSpaceDN/>
        <w:bidi w:val="0"/>
        <w:spacing w:line="276" w:lineRule="auto"/>
        <w:ind w:firstLine="420"/>
        <w:outlineLvl w:val="9"/>
        <w:rPr>
          <w:rFonts w:ascii="宋体" w:hAnsi="Calibri"/>
          <w:szCs w:val="21"/>
          <w:highlight w:val="none"/>
          <w:u w:val="single"/>
        </w:rPr>
      </w:pPr>
    </w:p>
    <w:p>
      <w:pPr>
        <w:pageBreakBefore w:val="0"/>
        <w:tabs>
          <w:tab w:val="left" w:pos="9214"/>
        </w:tabs>
        <w:kinsoku/>
        <w:wordWrap/>
        <w:overflowPunct/>
        <w:topLinePunct w:val="0"/>
        <w:autoSpaceDE/>
        <w:autoSpaceDN/>
        <w:bidi w:val="0"/>
        <w:spacing w:line="360" w:lineRule="auto"/>
        <w:outlineLvl w:val="9"/>
        <w:rPr>
          <w:rFonts w:ascii="Calibri" w:hAnsi="Calibri"/>
          <w:szCs w:val="21"/>
          <w:highlight w:val="none"/>
          <w:u w:val="single"/>
        </w:rPr>
      </w:pPr>
      <w:r>
        <w:rPr>
          <w:rFonts w:hint="eastAsia" w:ascii="Calibri" w:hAnsi="Calibri" w:cs="宋体"/>
          <w:szCs w:val="21"/>
          <w:highlight w:val="none"/>
        </w:rPr>
        <w:t>投标人：</w:t>
      </w:r>
      <w:r>
        <w:rPr>
          <w:rFonts w:ascii="Calibri" w:hAnsi="Calibri"/>
          <w:szCs w:val="21"/>
          <w:highlight w:val="none"/>
          <w:u w:val="single"/>
        </w:rPr>
        <w:t xml:space="preserve">                              </w:t>
      </w:r>
      <w:r>
        <w:rPr>
          <w:rFonts w:hint="eastAsia" w:ascii="Calibri" w:hAnsi="Calibri" w:cs="宋体"/>
          <w:szCs w:val="21"/>
          <w:highlight w:val="none"/>
          <w:u w:val="single"/>
        </w:rPr>
        <w:t>（电子签章）</w:t>
      </w:r>
    </w:p>
    <w:p>
      <w:pPr>
        <w:pageBreakBefore w:val="0"/>
        <w:widowControl w:val="0"/>
        <w:kinsoku/>
        <w:wordWrap/>
        <w:overflowPunct/>
        <w:topLinePunct w:val="0"/>
        <w:autoSpaceDE/>
        <w:autoSpaceDN/>
        <w:bidi w:val="0"/>
        <w:adjustRightInd/>
        <w:snapToGrid/>
        <w:textAlignment w:val="auto"/>
        <w:outlineLvl w:val="9"/>
        <w:rPr>
          <w:rFonts w:hint="eastAsia" w:ascii="宋体" w:hAnsi="宋体" w:cs="宋体"/>
          <w:sz w:val="21"/>
          <w:szCs w:val="21"/>
          <w:highlight w:val="none"/>
          <w:lang w:eastAsia="zh-CN"/>
        </w:rPr>
      </w:pPr>
      <w:r>
        <w:rPr>
          <w:rFonts w:hint="eastAsia" w:ascii="宋体" w:hAnsi="宋体" w:cs="宋体"/>
          <w:sz w:val="21"/>
          <w:szCs w:val="21"/>
          <w:highlight w:val="none"/>
        </w:rPr>
        <w:t>法定代表人</w:t>
      </w:r>
      <w:r>
        <w:rPr>
          <w:rFonts w:hint="eastAsia" w:ascii="宋体" w:hAnsi="宋体" w:cs="宋体"/>
          <w:sz w:val="21"/>
          <w:szCs w:val="21"/>
          <w:highlight w:val="none"/>
          <w:lang w:eastAsia="zh-CN"/>
        </w:rPr>
        <w:t>（</w:t>
      </w:r>
      <w:r>
        <w:rPr>
          <w:rFonts w:hint="eastAsia" w:ascii="宋体" w:hAnsi="宋体" w:cs="宋体"/>
          <w:sz w:val="21"/>
          <w:szCs w:val="21"/>
          <w:highlight w:val="none"/>
          <w:lang w:val="en-US" w:eastAsia="zh-CN"/>
        </w:rPr>
        <w:t>电子签名</w:t>
      </w:r>
      <w:r>
        <w:rPr>
          <w:rFonts w:hint="eastAsia" w:ascii="宋体" w:hAnsi="宋体" w:cs="宋体"/>
          <w:sz w:val="21"/>
          <w:szCs w:val="21"/>
          <w:highlight w:val="none"/>
          <w:lang w:eastAsia="zh-CN"/>
        </w:rPr>
        <w:t>）</w:t>
      </w:r>
    </w:p>
    <w:p>
      <w:pPr>
        <w:pageBreakBefore w:val="0"/>
        <w:widowControl w:val="0"/>
        <w:kinsoku/>
        <w:wordWrap/>
        <w:overflowPunct/>
        <w:topLinePunct w:val="0"/>
        <w:autoSpaceDE/>
        <w:autoSpaceDN/>
        <w:bidi w:val="0"/>
        <w:adjustRightInd/>
        <w:snapToGrid/>
        <w:textAlignment w:val="auto"/>
        <w:outlineLvl w:val="9"/>
        <w:rPr>
          <w:rFonts w:hint="eastAsia" w:ascii="宋体" w:hAnsi="宋体" w:cs="宋体"/>
          <w:sz w:val="21"/>
          <w:szCs w:val="21"/>
          <w:highlight w:val="none"/>
        </w:rPr>
      </w:pPr>
      <w:r>
        <w:rPr>
          <w:rFonts w:hint="eastAsia" w:ascii="宋体" w:hAnsi="宋体" w:cs="宋体"/>
          <w:sz w:val="21"/>
          <w:szCs w:val="21"/>
          <w:highlight w:val="none"/>
        </w:rPr>
        <w:t>或其委托代理人</w:t>
      </w:r>
      <w:r>
        <w:rPr>
          <w:rFonts w:hint="eastAsia" w:ascii="宋体" w:hAnsi="宋体" w:cs="宋体"/>
          <w:sz w:val="21"/>
          <w:szCs w:val="21"/>
          <w:highlight w:val="none"/>
          <w:lang w:eastAsia="zh-CN"/>
        </w:rPr>
        <w:t>（</w:t>
      </w:r>
      <w:r>
        <w:rPr>
          <w:rFonts w:hint="eastAsia" w:ascii="宋体" w:hAnsi="宋体" w:cs="宋体"/>
          <w:sz w:val="21"/>
          <w:szCs w:val="21"/>
          <w:highlight w:val="none"/>
          <w:lang w:val="en-US" w:eastAsia="zh-CN"/>
        </w:rPr>
        <w:t>签字</w:t>
      </w:r>
      <w:r>
        <w:rPr>
          <w:rFonts w:hint="eastAsia" w:ascii="宋体" w:hAnsi="宋体" w:cs="宋体"/>
          <w:sz w:val="21"/>
          <w:szCs w:val="21"/>
          <w:highlight w:val="none"/>
          <w:lang w:eastAsia="zh-CN"/>
        </w:rPr>
        <w:t>）</w:t>
      </w:r>
      <w:r>
        <w:rPr>
          <w:rFonts w:hint="eastAsia" w:ascii="宋体" w:hAnsi="宋体" w:cs="宋体"/>
          <w:sz w:val="21"/>
          <w:szCs w:val="21"/>
          <w:highlight w:val="none"/>
        </w:rPr>
        <w:t>：</w:t>
      </w:r>
      <w:r>
        <w:rPr>
          <w:rFonts w:hint="eastAsia" w:ascii="宋体" w:hAnsi="宋体" w:cs="宋体"/>
          <w:sz w:val="21"/>
          <w:szCs w:val="21"/>
          <w:highlight w:val="none"/>
          <w:u w:val="single"/>
        </w:rPr>
        <w:t xml:space="preserve">             </w:t>
      </w:r>
    </w:p>
    <w:p>
      <w:pPr>
        <w:pageBreakBefore w:val="0"/>
        <w:widowControl w:val="0"/>
        <w:kinsoku/>
        <w:wordWrap/>
        <w:overflowPunct/>
        <w:topLinePunct w:val="0"/>
        <w:autoSpaceDE/>
        <w:autoSpaceDN/>
        <w:bidi w:val="0"/>
        <w:adjustRightInd/>
        <w:snapToGrid/>
        <w:textAlignment w:val="auto"/>
        <w:outlineLvl w:val="9"/>
        <w:rPr>
          <w:rFonts w:hint="eastAsia" w:ascii="宋体" w:hAnsi="宋体" w:cs="宋体"/>
          <w:sz w:val="21"/>
          <w:szCs w:val="21"/>
          <w:highlight w:val="none"/>
        </w:rPr>
      </w:pPr>
      <w:r>
        <w:rPr>
          <w:rFonts w:hint="eastAsia" w:ascii="宋体" w:hAnsi="宋体" w:cs="宋体"/>
          <w:sz w:val="21"/>
          <w:szCs w:val="21"/>
          <w:highlight w:val="none"/>
        </w:rPr>
        <w:t xml:space="preserve"> </w:t>
      </w:r>
    </w:p>
    <w:p>
      <w:pPr>
        <w:pageBreakBefore w:val="0"/>
        <w:tabs>
          <w:tab w:val="left" w:pos="9214"/>
        </w:tabs>
        <w:kinsoku/>
        <w:wordWrap/>
        <w:overflowPunct/>
        <w:topLinePunct w:val="0"/>
        <w:autoSpaceDE/>
        <w:autoSpaceDN/>
        <w:bidi w:val="0"/>
        <w:spacing w:line="360" w:lineRule="auto"/>
        <w:outlineLvl w:val="9"/>
        <w:rPr>
          <w:rFonts w:hint="eastAsia" w:ascii="Calibri" w:hAnsi="Calibri" w:cs="宋体"/>
          <w:szCs w:val="21"/>
          <w:highlight w:val="none"/>
          <w:u w:val="single"/>
        </w:rPr>
        <w:sectPr>
          <w:headerReference r:id="rId7" w:type="default"/>
          <w:footerReference r:id="rId8" w:type="default"/>
          <w:pgSz w:w="11850" w:h="16783"/>
          <w:pgMar w:top="1440" w:right="1570" w:bottom="1440" w:left="1570" w:header="720" w:footer="510" w:gutter="0"/>
          <w:cols w:space="708" w:num="1"/>
        </w:sectPr>
      </w:pPr>
      <w:r>
        <w:rPr>
          <w:rFonts w:hint="eastAsia" w:ascii="Calibri" w:hAnsi="Calibri" w:cs="宋体"/>
          <w:szCs w:val="21"/>
          <w:highlight w:val="none"/>
        </w:rPr>
        <w:t>日</w:t>
      </w:r>
      <w:r>
        <w:rPr>
          <w:rFonts w:ascii="Calibri" w:hAnsi="Calibri"/>
          <w:szCs w:val="21"/>
          <w:highlight w:val="none"/>
        </w:rPr>
        <w:t xml:space="preserve">    </w:t>
      </w:r>
      <w:r>
        <w:rPr>
          <w:rFonts w:hint="eastAsia" w:ascii="Calibri" w:hAnsi="Calibri" w:cs="宋体"/>
          <w:szCs w:val="21"/>
          <w:highlight w:val="none"/>
        </w:rPr>
        <w:t>期：</w:t>
      </w:r>
      <w:r>
        <w:rPr>
          <w:rFonts w:ascii="Calibri" w:hAnsi="Calibri"/>
          <w:szCs w:val="21"/>
          <w:highlight w:val="none"/>
          <w:u w:val="single"/>
        </w:rPr>
        <w:t xml:space="preserve">        </w:t>
      </w:r>
      <w:r>
        <w:rPr>
          <w:rFonts w:hint="eastAsia" w:ascii="Calibri" w:hAnsi="Calibri" w:cs="宋体"/>
          <w:szCs w:val="21"/>
          <w:highlight w:val="none"/>
          <w:u w:val="none"/>
        </w:rPr>
        <w:t>年</w:t>
      </w:r>
      <w:r>
        <w:rPr>
          <w:rFonts w:ascii="Calibri" w:hAnsi="Calibri"/>
          <w:szCs w:val="21"/>
          <w:highlight w:val="none"/>
          <w:u w:val="single"/>
        </w:rPr>
        <w:t xml:space="preserve">    </w:t>
      </w:r>
      <w:r>
        <w:rPr>
          <w:rFonts w:hint="eastAsia" w:ascii="Calibri" w:hAnsi="Calibri" w:cs="宋体"/>
          <w:szCs w:val="21"/>
          <w:highlight w:val="none"/>
          <w:u w:val="none"/>
        </w:rPr>
        <w:t>月</w:t>
      </w:r>
      <w:r>
        <w:rPr>
          <w:rFonts w:ascii="Calibri" w:hAnsi="Calibri"/>
          <w:szCs w:val="21"/>
          <w:highlight w:val="none"/>
          <w:u w:val="single"/>
        </w:rPr>
        <w:t xml:space="preserve">   </w:t>
      </w:r>
      <w:r>
        <w:rPr>
          <w:rFonts w:hint="eastAsia" w:ascii="Calibri" w:hAnsi="Calibri" w:cs="宋体"/>
          <w:szCs w:val="21"/>
          <w:highlight w:val="none"/>
          <w:u w:val="none"/>
        </w:rPr>
        <w:t>日</w:t>
      </w:r>
    </w:p>
    <w:p>
      <w:pPr>
        <w:pageBreakBefore w:val="0"/>
        <w:widowControl/>
        <w:kinsoku/>
        <w:wordWrap/>
        <w:overflowPunct/>
        <w:topLinePunct w:val="0"/>
        <w:autoSpaceDE/>
        <w:autoSpaceDN/>
        <w:bidi w:val="0"/>
        <w:jc w:val="left"/>
        <w:outlineLvl w:val="9"/>
        <w:rPr>
          <w:rFonts w:ascii="Calibri" w:hAnsi="宋体"/>
          <w:b/>
          <w:sz w:val="28"/>
          <w:szCs w:val="28"/>
          <w:highlight w:val="none"/>
        </w:rPr>
      </w:pPr>
      <w:r>
        <w:rPr>
          <w:rFonts w:hint="eastAsia" w:ascii="Calibri" w:hAnsi="宋体"/>
          <w:b/>
          <w:sz w:val="28"/>
          <w:szCs w:val="28"/>
          <w:highlight w:val="none"/>
        </w:rPr>
        <w:t>格式</w:t>
      </w:r>
      <w:r>
        <w:rPr>
          <w:rFonts w:hint="eastAsia" w:ascii="Calibri" w:hAnsi="宋体"/>
          <w:b/>
          <w:sz w:val="28"/>
          <w:szCs w:val="28"/>
          <w:highlight w:val="none"/>
          <w:lang w:val="en-US" w:eastAsia="zh-CN"/>
        </w:rPr>
        <w:t>3</w:t>
      </w:r>
      <w:r>
        <w:rPr>
          <w:rFonts w:hint="eastAsia" w:ascii="Calibri" w:hAnsi="宋体"/>
          <w:b/>
          <w:sz w:val="28"/>
          <w:szCs w:val="28"/>
          <w:highlight w:val="none"/>
        </w:rPr>
        <w:t>：</w:t>
      </w:r>
    </w:p>
    <w:p>
      <w:pPr>
        <w:keepNext/>
        <w:keepLines/>
        <w:pageBreakBefore w:val="0"/>
        <w:kinsoku/>
        <w:wordWrap/>
        <w:overflowPunct/>
        <w:topLinePunct w:val="0"/>
        <w:autoSpaceDE/>
        <w:autoSpaceDN/>
        <w:bidi w:val="0"/>
        <w:spacing w:before="240" w:after="120" w:line="400" w:lineRule="exact"/>
        <w:ind w:left="425"/>
        <w:jc w:val="center"/>
        <w:outlineLvl w:val="9"/>
        <w:rPr>
          <w:rFonts w:ascii="宋体" w:hAnsi="宋体"/>
          <w:b/>
          <w:spacing w:val="40"/>
          <w:sz w:val="32"/>
          <w:highlight w:val="none"/>
        </w:rPr>
      </w:pPr>
      <w:bookmarkStart w:id="437" w:name="_Toc19123"/>
      <w:bookmarkStart w:id="438" w:name="_Toc518289516"/>
      <w:r>
        <w:rPr>
          <w:rFonts w:hint="eastAsia" w:ascii="宋体" w:hAnsi="宋体"/>
          <w:b/>
          <w:spacing w:val="40"/>
          <w:sz w:val="32"/>
          <w:highlight w:val="none"/>
        </w:rPr>
        <w:t>法定代表人身份证明书</w:t>
      </w:r>
      <w:bookmarkEnd w:id="437"/>
      <w:bookmarkEnd w:id="438"/>
    </w:p>
    <w:p>
      <w:pPr>
        <w:pageBreakBefore w:val="0"/>
        <w:kinsoku/>
        <w:wordWrap/>
        <w:overflowPunct/>
        <w:topLinePunct w:val="0"/>
        <w:autoSpaceDE/>
        <w:autoSpaceDN/>
        <w:bidi w:val="0"/>
        <w:spacing w:line="440" w:lineRule="exact"/>
        <w:jc w:val="center"/>
        <w:outlineLvl w:val="9"/>
        <w:rPr>
          <w:rFonts w:ascii="宋体" w:hAnsi="宋体"/>
          <w:b/>
          <w:sz w:val="30"/>
          <w:szCs w:val="30"/>
          <w:highlight w:val="none"/>
        </w:rPr>
      </w:pPr>
    </w:p>
    <w:p>
      <w:pPr>
        <w:pageBreakBefore w:val="0"/>
        <w:tabs>
          <w:tab w:val="left" w:pos="9000"/>
        </w:tabs>
        <w:kinsoku/>
        <w:wordWrap/>
        <w:overflowPunct/>
        <w:topLinePunct w:val="0"/>
        <w:autoSpaceDE/>
        <w:autoSpaceDN/>
        <w:bidi w:val="0"/>
        <w:spacing w:line="360" w:lineRule="auto"/>
        <w:ind w:firstLine="424" w:firstLineChars="202"/>
        <w:outlineLvl w:val="9"/>
        <w:rPr>
          <w:rFonts w:ascii="Calibri" w:hAnsi="Calibri"/>
          <w:highlight w:val="none"/>
        </w:rPr>
      </w:pPr>
      <w:r>
        <w:rPr>
          <w:rFonts w:hint="eastAsia" w:ascii="Calibri" w:hAnsi="Calibri" w:cs="宋体"/>
          <w:highlight w:val="none"/>
        </w:rPr>
        <w:t>单位名称：</w:t>
      </w:r>
      <w:r>
        <w:rPr>
          <w:rFonts w:ascii="Calibri" w:hAnsi="Calibri"/>
          <w:highlight w:val="none"/>
          <w:u w:val="single"/>
        </w:rPr>
        <w:t xml:space="preserve">                                        </w:t>
      </w:r>
    </w:p>
    <w:p>
      <w:pPr>
        <w:pageBreakBefore w:val="0"/>
        <w:tabs>
          <w:tab w:val="left" w:pos="9214"/>
        </w:tabs>
        <w:kinsoku/>
        <w:wordWrap/>
        <w:overflowPunct/>
        <w:topLinePunct w:val="0"/>
        <w:autoSpaceDE/>
        <w:autoSpaceDN/>
        <w:bidi w:val="0"/>
        <w:spacing w:line="360" w:lineRule="auto"/>
        <w:ind w:firstLine="424" w:firstLineChars="202"/>
        <w:outlineLvl w:val="9"/>
        <w:rPr>
          <w:rFonts w:ascii="Calibri" w:hAnsi="Calibri"/>
          <w:highlight w:val="none"/>
          <w:u w:val="single"/>
        </w:rPr>
      </w:pPr>
      <w:r>
        <w:rPr>
          <w:rFonts w:hint="eastAsia" w:ascii="Calibri" w:hAnsi="Calibri" w:cs="宋体"/>
          <w:highlight w:val="none"/>
        </w:rPr>
        <w:t>地</w:t>
      </w:r>
      <w:r>
        <w:rPr>
          <w:rFonts w:ascii="Calibri" w:hAnsi="Calibri"/>
          <w:highlight w:val="none"/>
        </w:rPr>
        <w:t xml:space="preserve">    </w:t>
      </w:r>
      <w:r>
        <w:rPr>
          <w:rFonts w:hint="eastAsia" w:ascii="Calibri" w:hAnsi="Calibri" w:cs="宋体"/>
          <w:highlight w:val="none"/>
        </w:rPr>
        <w:t>址：</w:t>
      </w:r>
      <w:r>
        <w:rPr>
          <w:rFonts w:ascii="Calibri" w:hAnsi="Calibri"/>
          <w:highlight w:val="none"/>
          <w:u w:val="single"/>
        </w:rPr>
        <w:t xml:space="preserve">                                        </w:t>
      </w:r>
    </w:p>
    <w:p>
      <w:pPr>
        <w:pageBreakBefore w:val="0"/>
        <w:tabs>
          <w:tab w:val="left" w:pos="9214"/>
        </w:tabs>
        <w:kinsoku/>
        <w:wordWrap/>
        <w:overflowPunct/>
        <w:topLinePunct w:val="0"/>
        <w:autoSpaceDE/>
        <w:autoSpaceDN/>
        <w:bidi w:val="0"/>
        <w:spacing w:line="360" w:lineRule="auto"/>
        <w:ind w:firstLine="424" w:firstLineChars="202"/>
        <w:outlineLvl w:val="9"/>
        <w:rPr>
          <w:rFonts w:ascii="Calibri" w:hAnsi="Calibri"/>
          <w:highlight w:val="none"/>
        </w:rPr>
      </w:pPr>
      <w:r>
        <w:rPr>
          <w:rFonts w:hint="eastAsia" w:ascii="Calibri" w:hAnsi="Calibri" w:cs="宋体"/>
          <w:highlight w:val="none"/>
        </w:rPr>
        <w:t>成立时间：</w:t>
      </w:r>
      <w:r>
        <w:rPr>
          <w:rFonts w:ascii="Calibri" w:hAnsi="Calibri"/>
          <w:highlight w:val="none"/>
          <w:u w:val="single"/>
        </w:rPr>
        <w:t xml:space="preserve">       </w:t>
      </w:r>
      <w:r>
        <w:rPr>
          <w:rFonts w:hint="eastAsia" w:ascii="Calibri" w:hAnsi="Calibri" w:cs="宋体"/>
          <w:highlight w:val="none"/>
        </w:rPr>
        <w:t>年</w:t>
      </w:r>
      <w:r>
        <w:rPr>
          <w:rFonts w:ascii="Calibri" w:hAnsi="Calibri"/>
          <w:highlight w:val="none"/>
          <w:u w:val="single"/>
        </w:rPr>
        <w:t xml:space="preserve">     </w:t>
      </w:r>
      <w:r>
        <w:rPr>
          <w:rFonts w:hint="eastAsia" w:ascii="Calibri" w:hAnsi="Calibri" w:cs="宋体"/>
          <w:highlight w:val="none"/>
        </w:rPr>
        <w:t>月</w:t>
      </w:r>
      <w:r>
        <w:rPr>
          <w:rFonts w:ascii="Calibri" w:hAnsi="Calibri"/>
          <w:highlight w:val="none"/>
          <w:u w:val="single"/>
        </w:rPr>
        <w:t xml:space="preserve">      </w:t>
      </w:r>
      <w:r>
        <w:rPr>
          <w:rFonts w:hint="eastAsia" w:ascii="Calibri" w:hAnsi="Calibri" w:cs="宋体"/>
          <w:highlight w:val="none"/>
        </w:rPr>
        <w:t>日</w:t>
      </w:r>
    </w:p>
    <w:p>
      <w:pPr>
        <w:pageBreakBefore w:val="0"/>
        <w:tabs>
          <w:tab w:val="left" w:pos="9214"/>
        </w:tabs>
        <w:kinsoku/>
        <w:wordWrap/>
        <w:overflowPunct/>
        <w:topLinePunct w:val="0"/>
        <w:autoSpaceDE/>
        <w:autoSpaceDN/>
        <w:bidi w:val="0"/>
        <w:spacing w:line="360" w:lineRule="auto"/>
        <w:ind w:firstLine="424" w:firstLineChars="202"/>
        <w:outlineLvl w:val="9"/>
        <w:rPr>
          <w:rFonts w:ascii="Calibri" w:hAnsi="Calibri"/>
          <w:highlight w:val="none"/>
          <w:u w:val="single"/>
        </w:rPr>
      </w:pPr>
      <w:r>
        <w:rPr>
          <w:rFonts w:hint="eastAsia" w:ascii="Calibri" w:hAnsi="Calibri" w:cs="宋体"/>
          <w:highlight w:val="none"/>
        </w:rPr>
        <w:t>经营期限：</w:t>
      </w:r>
      <w:r>
        <w:rPr>
          <w:rFonts w:ascii="Calibri" w:hAnsi="Calibri"/>
          <w:highlight w:val="none"/>
          <w:u w:val="single"/>
        </w:rPr>
        <w:t xml:space="preserve">                          </w:t>
      </w:r>
    </w:p>
    <w:p>
      <w:pPr>
        <w:pageBreakBefore w:val="0"/>
        <w:tabs>
          <w:tab w:val="left" w:pos="9214"/>
        </w:tabs>
        <w:kinsoku/>
        <w:wordWrap/>
        <w:overflowPunct/>
        <w:topLinePunct w:val="0"/>
        <w:autoSpaceDE/>
        <w:autoSpaceDN/>
        <w:bidi w:val="0"/>
        <w:spacing w:line="360" w:lineRule="auto"/>
        <w:ind w:firstLine="424" w:firstLineChars="202"/>
        <w:outlineLvl w:val="9"/>
        <w:rPr>
          <w:rFonts w:ascii="Calibri" w:hAnsi="Calibri"/>
          <w:highlight w:val="none"/>
          <w:u w:val="single"/>
        </w:rPr>
      </w:pPr>
      <w:r>
        <w:rPr>
          <w:rFonts w:hint="eastAsia" w:ascii="Calibri" w:hAnsi="Calibri" w:cs="宋体"/>
          <w:highlight w:val="none"/>
        </w:rPr>
        <w:t>姓</w:t>
      </w:r>
      <w:r>
        <w:rPr>
          <w:rFonts w:ascii="Calibri" w:hAnsi="Calibri"/>
          <w:highlight w:val="none"/>
        </w:rPr>
        <w:t xml:space="preserve">    </w:t>
      </w:r>
      <w:r>
        <w:rPr>
          <w:rFonts w:hint="eastAsia" w:ascii="Calibri" w:hAnsi="Calibri" w:cs="宋体"/>
          <w:highlight w:val="none"/>
        </w:rPr>
        <w:t>名：</w:t>
      </w:r>
      <w:r>
        <w:rPr>
          <w:rFonts w:ascii="Calibri" w:hAnsi="Calibri"/>
          <w:highlight w:val="none"/>
          <w:u w:val="single"/>
        </w:rPr>
        <w:t xml:space="preserve">          </w:t>
      </w:r>
      <w:r>
        <w:rPr>
          <w:rFonts w:hint="eastAsia" w:ascii="Calibri" w:hAnsi="Calibri" w:cs="宋体"/>
          <w:highlight w:val="none"/>
          <w:u w:val="single"/>
        </w:rPr>
        <w:t xml:space="preserve">  </w:t>
      </w:r>
      <w:r>
        <w:rPr>
          <w:rFonts w:ascii="Calibri" w:hAnsi="Calibri"/>
          <w:highlight w:val="none"/>
        </w:rPr>
        <w:t xml:space="preserve"> </w:t>
      </w:r>
      <w:r>
        <w:rPr>
          <w:rFonts w:hint="eastAsia" w:ascii="Calibri" w:hAnsi="Calibri" w:cs="宋体"/>
          <w:highlight w:val="none"/>
        </w:rPr>
        <w:t>性别：</w:t>
      </w:r>
      <w:r>
        <w:rPr>
          <w:rFonts w:ascii="Calibri" w:hAnsi="Calibri"/>
          <w:highlight w:val="none"/>
          <w:u w:val="single"/>
        </w:rPr>
        <w:t xml:space="preserve">    </w:t>
      </w:r>
      <w:r>
        <w:rPr>
          <w:rFonts w:hint="eastAsia" w:ascii="Calibri" w:hAnsi="Calibri" w:cs="宋体"/>
          <w:highlight w:val="none"/>
        </w:rPr>
        <w:t>年龄：</w:t>
      </w:r>
      <w:r>
        <w:rPr>
          <w:rFonts w:ascii="Calibri" w:hAnsi="Calibri"/>
          <w:highlight w:val="none"/>
          <w:u w:val="single"/>
        </w:rPr>
        <w:t xml:space="preserve">      </w:t>
      </w:r>
      <w:r>
        <w:rPr>
          <w:rFonts w:hint="eastAsia" w:ascii="Calibri" w:hAnsi="Calibri" w:cs="宋体"/>
          <w:highlight w:val="none"/>
        </w:rPr>
        <w:t>职务：</w:t>
      </w:r>
      <w:r>
        <w:rPr>
          <w:rFonts w:ascii="Calibri" w:hAnsi="Calibri"/>
          <w:highlight w:val="none"/>
          <w:u w:val="single"/>
        </w:rPr>
        <w:tab/>
      </w:r>
      <w:r>
        <w:rPr>
          <w:rFonts w:ascii="Calibri" w:hAnsi="Calibri"/>
          <w:highlight w:val="none"/>
          <w:u w:val="single"/>
        </w:rPr>
        <w:tab/>
      </w:r>
      <w:r>
        <w:rPr>
          <w:rFonts w:ascii="Calibri" w:hAnsi="Calibri"/>
          <w:highlight w:val="none"/>
          <w:u w:val="single"/>
        </w:rPr>
        <w:t xml:space="preserve">   </w:t>
      </w:r>
    </w:p>
    <w:p>
      <w:pPr>
        <w:pageBreakBefore w:val="0"/>
        <w:tabs>
          <w:tab w:val="left" w:pos="9214"/>
        </w:tabs>
        <w:kinsoku/>
        <w:wordWrap/>
        <w:overflowPunct/>
        <w:topLinePunct w:val="0"/>
        <w:autoSpaceDE/>
        <w:autoSpaceDN/>
        <w:bidi w:val="0"/>
        <w:spacing w:line="360" w:lineRule="auto"/>
        <w:ind w:firstLine="424" w:firstLineChars="202"/>
        <w:outlineLvl w:val="9"/>
        <w:rPr>
          <w:rFonts w:ascii="Calibri" w:hAnsi="Calibri"/>
          <w:highlight w:val="none"/>
        </w:rPr>
      </w:pPr>
      <w:r>
        <w:rPr>
          <w:rFonts w:hint="eastAsia" w:ascii="Calibri" w:hAnsi="Calibri" w:cs="宋体"/>
          <w:highlight w:val="none"/>
        </w:rPr>
        <w:t>系</w:t>
      </w:r>
      <w:r>
        <w:rPr>
          <w:rFonts w:ascii="Calibri" w:hAnsi="Calibri"/>
          <w:highlight w:val="none"/>
          <w:u w:val="single"/>
        </w:rPr>
        <w:t xml:space="preserve">          </w:t>
      </w:r>
      <w:r>
        <w:rPr>
          <w:rFonts w:hint="eastAsia" w:ascii="Calibri" w:hAnsi="Calibri" w:cs="宋体"/>
          <w:highlight w:val="none"/>
          <w:u w:val="single"/>
        </w:rPr>
        <w:t>（单位名称）</w:t>
      </w:r>
      <w:r>
        <w:rPr>
          <w:rFonts w:ascii="Calibri" w:hAnsi="Calibri"/>
          <w:highlight w:val="none"/>
          <w:u w:val="single"/>
        </w:rPr>
        <w:t xml:space="preserve">         </w:t>
      </w:r>
      <w:r>
        <w:rPr>
          <w:rFonts w:hint="eastAsia" w:ascii="Calibri" w:hAnsi="Calibri" w:cs="宋体"/>
          <w:highlight w:val="none"/>
        </w:rPr>
        <w:t>的法定代表人。</w:t>
      </w:r>
    </w:p>
    <w:p>
      <w:pPr>
        <w:pageBreakBefore w:val="0"/>
        <w:tabs>
          <w:tab w:val="left" w:pos="9214"/>
        </w:tabs>
        <w:kinsoku/>
        <w:wordWrap/>
        <w:overflowPunct/>
        <w:topLinePunct w:val="0"/>
        <w:autoSpaceDE/>
        <w:autoSpaceDN/>
        <w:bidi w:val="0"/>
        <w:spacing w:line="360" w:lineRule="auto"/>
        <w:ind w:firstLine="424" w:firstLineChars="202"/>
        <w:outlineLvl w:val="9"/>
        <w:rPr>
          <w:rFonts w:ascii="Calibri" w:hAnsi="Calibri"/>
          <w:highlight w:val="none"/>
        </w:rPr>
      </w:pPr>
      <w:r>
        <w:rPr>
          <w:rFonts w:hint="eastAsia" w:ascii="Calibri" w:hAnsi="Calibri" w:cs="宋体"/>
          <w:highlight w:val="none"/>
        </w:rPr>
        <w:t>特此证明。</w:t>
      </w:r>
    </w:p>
    <w:p>
      <w:pPr>
        <w:pageBreakBefore w:val="0"/>
        <w:tabs>
          <w:tab w:val="left" w:pos="720"/>
          <w:tab w:val="left" w:pos="900"/>
          <w:tab w:val="left" w:pos="9214"/>
        </w:tabs>
        <w:kinsoku/>
        <w:wordWrap/>
        <w:overflowPunct/>
        <w:topLinePunct w:val="0"/>
        <w:autoSpaceDE/>
        <w:autoSpaceDN/>
        <w:bidi w:val="0"/>
        <w:spacing w:line="360" w:lineRule="auto"/>
        <w:ind w:firstLine="424" w:firstLineChars="202"/>
        <w:outlineLvl w:val="9"/>
        <w:rPr>
          <w:rFonts w:ascii="Calibri" w:hAnsi="Calibri"/>
          <w:highlight w:val="none"/>
        </w:rPr>
      </w:pPr>
    </w:p>
    <w:p>
      <w:pPr>
        <w:pageBreakBefore w:val="0"/>
        <w:tabs>
          <w:tab w:val="left" w:pos="9214"/>
        </w:tabs>
        <w:kinsoku/>
        <w:wordWrap/>
        <w:overflowPunct/>
        <w:topLinePunct w:val="0"/>
        <w:autoSpaceDE/>
        <w:autoSpaceDN/>
        <w:bidi w:val="0"/>
        <w:spacing w:line="360" w:lineRule="auto"/>
        <w:outlineLvl w:val="9"/>
        <w:rPr>
          <w:rFonts w:ascii="Calibri" w:hAnsi="Calibri"/>
          <w:szCs w:val="21"/>
          <w:highlight w:val="none"/>
          <w:u w:val="single"/>
        </w:rPr>
      </w:pPr>
      <w:r>
        <w:rPr>
          <w:rFonts w:hint="eastAsia" w:ascii="Calibri" w:hAnsi="Calibri" w:cs="宋体"/>
          <w:szCs w:val="21"/>
          <w:highlight w:val="none"/>
        </w:rPr>
        <w:t>投标人：</w:t>
      </w:r>
      <w:r>
        <w:rPr>
          <w:rFonts w:ascii="Calibri" w:hAnsi="Calibri"/>
          <w:szCs w:val="21"/>
          <w:highlight w:val="none"/>
          <w:u w:val="single"/>
        </w:rPr>
        <w:t xml:space="preserve">                              </w:t>
      </w:r>
      <w:r>
        <w:rPr>
          <w:rFonts w:hint="eastAsia" w:ascii="Calibri" w:hAnsi="Calibri" w:cs="宋体"/>
          <w:szCs w:val="21"/>
          <w:highlight w:val="none"/>
          <w:u w:val="single"/>
        </w:rPr>
        <w:t>（</w:t>
      </w:r>
      <w:r>
        <w:rPr>
          <w:rFonts w:hint="eastAsia" w:ascii="Calibri" w:hAnsi="Calibri" w:cs="宋体"/>
          <w:szCs w:val="21"/>
          <w:highlight w:val="none"/>
          <w:u w:val="single"/>
          <w:lang w:val="en-US" w:eastAsia="zh-CN"/>
        </w:rPr>
        <w:t>加盖单位公章</w:t>
      </w:r>
      <w:r>
        <w:rPr>
          <w:rFonts w:hint="eastAsia" w:ascii="Calibri" w:hAnsi="Calibri" w:cs="宋体"/>
          <w:szCs w:val="21"/>
          <w:highlight w:val="none"/>
          <w:u w:val="single"/>
        </w:rPr>
        <w:t>）</w:t>
      </w:r>
    </w:p>
    <w:p>
      <w:pPr>
        <w:pageBreakBefore w:val="0"/>
        <w:tabs>
          <w:tab w:val="left" w:pos="9214"/>
        </w:tabs>
        <w:kinsoku/>
        <w:wordWrap/>
        <w:overflowPunct/>
        <w:topLinePunct w:val="0"/>
        <w:autoSpaceDE/>
        <w:autoSpaceDN/>
        <w:bidi w:val="0"/>
        <w:spacing w:line="360" w:lineRule="auto"/>
        <w:outlineLvl w:val="9"/>
        <w:rPr>
          <w:rFonts w:ascii="Calibri" w:hAnsi="Calibri"/>
          <w:szCs w:val="21"/>
          <w:highlight w:val="none"/>
          <w:u w:val="single"/>
        </w:rPr>
      </w:pPr>
      <w:r>
        <w:rPr>
          <w:rFonts w:hint="eastAsia" w:ascii="Calibri" w:hAnsi="Calibri" w:cs="宋体"/>
          <w:szCs w:val="21"/>
          <w:highlight w:val="none"/>
        </w:rPr>
        <w:t>日</w:t>
      </w:r>
      <w:r>
        <w:rPr>
          <w:rFonts w:ascii="Calibri" w:hAnsi="Calibri"/>
          <w:szCs w:val="21"/>
          <w:highlight w:val="none"/>
        </w:rPr>
        <w:t xml:space="preserve">    </w:t>
      </w:r>
      <w:r>
        <w:rPr>
          <w:rFonts w:hint="eastAsia" w:ascii="Calibri" w:hAnsi="Calibri" w:cs="宋体"/>
          <w:szCs w:val="21"/>
          <w:highlight w:val="none"/>
        </w:rPr>
        <w:t>期：</w:t>
      </w:r>
      <w:r>
        <w:rPr>
          <w:rFonts w:ascii="Calibri" w:hAnsi="Calibri"/>
          <w:szCs w:val="21"/>
          <w:highlight w:val="none"/>
          <w:u w:val="single"/>
        </w:rPr>
        <w:t xml:space="preserve">        </w:t>
      </w:r>
      <w:r>
        <w:rPr>
          <w:rFonts w:hint="eastAsia" w:ascii="Calibri" w:hAnsi="Calibri" w:cs="宋体"/>
          <w:szCs w:val="21"/>
          <w:highlight w:val="none"/>
          <w:u w:val="single"/>
        </w:rPr>
        <w:t>年</w:t>
      </w:r>
      <w:r>
        <w:rPr>
          <w:rFonts w:ascii="Calibri" w:hAnsi="Calibri"/>
          <w:szCs w:val="21"/>
          <w:highlight w:val="none"/>
          <w:u w:val="single"/>
        </w:rPr>
        <w:t xml:space="preserve">       </w:t>
      </w:r>
      <w:r>
        <w:rPr>
          <w:rFonts w:hint="eastAsia" w:ascii="Calibri" w:hAnsi="Calibri" w:cs="宋体"/>
          <w:szCs w:val="21"/>
          <w:highlight w:val="none"/>
          <w:u w:val="single"/>
        </w:rPr>
        <w:t>月</w:t>
      </w:r>
      <w:r>
        <w:rPr>
          <w:rFonts w:ascii="Calibri" w:hAnsi="Calibri"/>
          <w:szCs w:val="21"/>
          <w:highlight w:val="none"/>
          <w:u w:val="single"/>
        </w:rPr>
        <w:t xml:space="preserve">       </w:t>
      </w:r>
      <w:r>
        <w:rPr>
          <w:rFonts w:hint="eastAsia" w:ascii="Calibri" w:hAnsi="Calibri" w:cs="宋体"/>
          <w:szCs w:val="21"/>
          <w:highlight w:val="none"/>
          <w:u w:val="single"/>
        </w:rPr>
        <w:t>日</w:t>
      </w:r>
    </w:p>
    <w:p>
      <w:pPr>
        <w:pageBreakBefore w:val="0"/>
        <w:tabs>
          <w:tab w:val="left" w:pos="9214"/>
        </w:tabs>
        <w:kinsoku/>
        <w:wordWrap/>
        <w:overflowPunct/>
        <w:topLinePunct w:val="0"/>
        <w:autoSpaceDE/>
        <w:autoSpaceDN/>
        <w:bidi w:val="0"/>
        <w:spacing w:line="360" w:lineRule="auto"/>
        <w:ind w:firstLine="424" w:firstLineChars="202"/>
        <w:jc w:val="center"/>
        <w:outlineLvl w:val="9"/>
        <w:rPr>
          <w:rFonts w:ascii="Calibri" w:hAnsi="Calibri"/>
          <w:highlight w:val="none"/>
        </w:rPr>
      </w:pPr>
    </w:p>
    <w:p>
      <w:pPr>
        <w:pageBreakBefore w:val="0"/>
        <w:tabs>
          <w:tab w:val="left" w:pos="9214"/>
        </w:tabs>
        <w:kinsoku/>
        <w:wordWrap/>
        <w:overflowPunct/>
        <w:topLinePunct w:val="0"/>
        <w:autoSpaceDE/>
        <w:autoSpaceDN/>
        <w:bidi w:val="0"/>
        <w:spacing w:line="360" w:lineRule="auto"/>
        <w:ind w:firstLine="426" w:firstLineChars="202"/>
        <w:jc w:val="left"/>
        <w:outlineLvl w:val="9"/>
        <w:rPr>
          <w:rFonts w:ascii="Calibri" w:hAnsi="Calibri"/>
          <w:highlight w:val="none"/>
        </w:rPr>
      </w:pPr>
      <w:r>
        <w:rPr>
          <w:rFonts w:hint="eastAsia" w:ascii="Calibri" w:hAnsi="Calibri" w:cs="宋体"/>
          <w:b/>
          <w:bCs/>
          <w:highlight w:val="none"/>
        </w:rPr>
        <w:t>附：法定代表人身份证</w:t>
      </w:r>
      <w:r>
        <w:rPr>
          <w:rFonts w:hint="eastAsia" w:ascii="Calibri" w:hAnsi="Calibri" w:cs="宋体"/>
          <w:b/>
          <w:bCs/>
          <w:highlight w:val="none"/>
          <w:lang w:val="en-US" w:eastAsia="zh-CN"/>
        </w:rPr>
        <w:t>彩色扫描</w:t>
      </w:r>
      <w:r>
        <w:rPr>
          <w:rFonts w:hint="eastAsia" w:ascii="Calibri" w:hAnsi="Calibri" w:cs="宋体"/>
          <w:b/>
          <w:bCs/>
          <w:highlight w:val="none"/>
        </w:rPr>
        <w:t>件</w:t>
      </w:r>
    </w:p>
    <w:p>
      <w:pPr>
        <w:pageBreakBefore w:val="0"/>
        <w:tabs>
          <w:tab w:val="left" w:pos="9214"/>
        </w:tabs>
        <w:kinsoku/>
        <w:wordWrap/>
        <w:overflowPunct/>
        <w:topLinePunct w:val="0"/>
        <w:autoSpaceDE/>
        <w:autoSpaceDN/>
        <w:bidi w:val="0"/>
        <w:spacing w:line="360" w:lineRule="auto"/>
        <w:ind w:firstLine="424" w:firstLineChars="202"/>
        <w:outlineLvl w:val="9"/>
        <w:rPr>
          <w:rFonts w:ascii="Calibri" w:hAnsi="Calibri"/>
          <w:highlight w:val="none"/>
        </w:rPr>
      </w:pPr>
      <w:r>
        <w:rPr>
          <w:rFonts w:ascii="Calibri" w:hAnsi="Calibri"/>
          <w:highlight w:val="none"/>
        </w:rPr>
        <mc:AlternateContent>
          <mc:Choice Requires="wps">
            <w:drawing>
              <wp:anchor distT="0" distB="0" distL="114300" distR="114300" simplePos="0" relativeHeight="251660288" behindDoc="1" locked="0" layoutInCell="1" allowOverlap="1">
                <wp:simplePos x="0" y="0"/>
                <wp:positionH relativeFrom="column">
                  <wp:posOffset>3086100</wp:posOffset>
                </wp:positionH>
                <wp:positionV relativeFrom="paragraph">
                  <wp:posOffset>297180</wp:posOffset>
                </wp:positionV>
                <wp:extent cx="2934335" cy="1748155"/>
                <wp:effectExtent l="4445" t="4445" r="13970" b="19050"/>
                <wp:wrapNone/>
                <wp:docPr id="2" name="自选图形 6"/>
                <wp:cNvGraphicFramePr/>
                <a:graphic xmlns:a="http://schemas.openxmlformats.org/drawingml/2006/main">
                  <a:graphicData uri="http://schemas.microsoft.com/office/word/2010/wordprocessingShape">
                    <wps:wsp>
                      <wps:cNvSpPr/>
                      <wps:spPr>
                        <a:xfrm>
                          <a:off x="0" y="0"/>
                          <a:ext cx="2934335" cy="1748155"/>
                        </a:xfrm>
                        <a:prstGeom prst="roundRect">
                          <a:avLst>
                            <a:gd name="adj" fmla="val 16667"/>
                          </a:avLst>
                        </a:prstGeom>
                        <a:solidFill>
                          <a:srgbClr val="FFFFFF"/>
                        </a:solidFill>
                        <a:ln w="9525" cap="flat" cmpd="sng">
                          <a:solidFill>
                            <a:srgbClr val="000000"/>
                          </a:solidFill>
                          <a:prstDash val="solid"/>
                          <a:headEnd type="none" w="med" len="med"/>
                          <a:tailEnd type="none" w="med" len="med"/>
                        </a:ln>
                      </wps:spPr>
                      <wps:txbx>
                        <w:txbxContent>
                          <w:p/>
                        </w:txbxContent>
                      </wps:txbx>
                      <wps:bodyPr upright="1"/>
                    </wps:wsp>
                  </a:graphicData>
                </a:graphic>
              </wp:anchor>
            </w:drawing>
          </mc:Choice>
          <mc:Fallback>
            <w:pict>
              <v:roundrect id="自选图形 6" o:spid="_x0000_s1026" o:spt="2" style="position:absolute;left:0pt;margin-left:243pt;margin-top:23.4pt;height:137.65pt;width:231.05pt;z-index:-251656192;mso-width-relative:page;mso-height-relative:page;" fillcolor="#FFFFFF" filled="t" stroked="t" coordsize="21600,21600" arcsize="0.166666666666667" o:gfxdata="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UoK5&#10;y9cAAAAKAQAADwAAAAAAAAABACAAAAAiAAAAZHJzL2Rvd25yZXYueG1sUEsBAhQAFAAAAAgAh07i&#10;QBCp4B0jAgAAVwQAAA4AAAAAAAAAAQAgAAAAJgEAAGRycy9lMm9Eb2MueG1sUEsFBgAAAAAGAAYA&#10;WQEAALsFAAAAAA==&#10;">
                <v:fill on="t" focussize="0,0"/>
                <v:stroke color="#000000" joinstyle="round"/>
                <v:imagedata o:title=""/>
                <o:lock v:ext="edit" aspectratio="f"/>
                <v:textbox>
                  <w:txbxContent>
                    <w:p/>
                  </w:txbxContent>
                </v:textbox>
              </v:roundrect>
            </w:pict>
          </mc:Fallback>
        </mc:AlternateContent>
      </w:r>
      <w:r>
        <w:rPr>
          <w:rFonts w:ascii="Calibri" w:hAnsi="Calibri"/>
          <w:highlight w:val="none"/>
        </w:rPr>
        <mc:AlternateContent>
          <mc:Choice Requires="wps">
            <w:drawing>
              <wp:anchor distT="0" distB="0" distL="114300" distR="114300" simplePos="0" relativeHeight="251659264" behindDoc="1" locked="0" layoutInCell="1" allowOverlap="1">
                <wp:simplePos x="0" y="0"/>
                <wp:positionH relativeFrom="column">
                  <wp:posOffset>-149225</wp:posOffset>
                </wp:positionH>
                <wp:positionV relativeFrom="paragraph">
                  <wp:posOffset>297180</wp:posOffset>
                </wp:positionV>
                <wp:extent cx="2934335" cy="1748155"/>
                <wp:effectExtent l="4445" t="4445" r="13970" b="19050"/>
                <wp:wrapNone/>
                <wp:docPr id="1" name="AutoShape 2"/>
                <wp:cNvGraphicFramePr/>
                <a:graphic xmlns:a="http://schemas.openxmlformats.org/drawingml/2006/main">
                  <a:graphicData uri="http://schemas.microsoft.com/office/word/2010/wordprocessingShape">
                    <wps:wsp>
                      <wps:cNvSpPr/>
                      <wps:spPr>
                        <a:xfrm>
                          <a:off x="0" y="0"/>
                          <a:ext cx="2934335" cy="1748155"/>
                        </a:xfrm>
                        <a:prstGeom prst="roundRect">
                          <a:avLst>
                            <a:gd name="adj" fmla="val 16667"/>
                          </a:avLst>
                        </a:prstGeom>
                        <a:solidFill>
                          <a:srgbClr val="FFFFFF"/>
                        </a:solidFill>
                        <a:ln w="9525" cap="flat" cmpd="sng">
                          <a:solidFill>
                            <a:srgbClr val="000000"/>
                          </a:solidFill>
                          <a:prstDash val="solid"/>
                          <a:headEnd type="none" w="med" len="med"/>
                          <a:tailEnd type="none" w="med" len="med"/>
                        </a:ln>
                      </wps:spPr>
                      <wps:txbx>
                        <w:txbxContent>
                          <w:p/>
                        </w:txbxContent>
                      </wps:txbx>
                      <wps:bodyPr upright="1"/>
                    </wps:wsp>
                  </a:graphicData>
                </a:graphic>
              </wp:anchor>
            </w:drawing>
          </mc:Choice>
          <mc:Fallback>
            <w:pict>
              <v:roundrect id="AutoShape 2" o:spid="_x0000_s1026" o:spt="2" style="position:absolute;left:0pt;margin-left:-11.75pt;margin-top:23.4pt;height:137.65pt;width:231.05pt;z-index:-251657216;mso-width-relative:page;mso-height-relative:page;" fillcolor="#FFFFFF" filled="t" stroked="t" coordsize="21600,21600" arcsize="0.166666666666667" o:gfxdata="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BaqX1q1wAAAAoBAAAPAAAAAAAAAAEAIAAA&#10;ACIAAABkcnMvZG93bnJldi54bWxQSwECFAAUAAAACACHTuJAn2a5qw0CAABUBAAADgAAAAAAAAAB&#10;ACAAAAAmAQAAZHJzL2Uyb0RvYy54bWxQSwUGAAAAAAYABgBZAQAApQUAAAAA&#10;">
                <v:fill on="t" focussize="0,0"/>
                <v:stroke color="#000000" joinstyle="round"/>
                <v:imagedata o:title=""/>
                <o:lock v:ext="edit" aspectratio="f"/>
                <v:textbox>
                  <w:txbxContent>
                    <w:p/>
                  </w:txbxContent>
                </v:textbox>
              </v:roundrect>
            </w:pict>
          </mc:Fallback>
        </mc:AlternateContent>
      </w:r>
    </w:p>
    <w:p>
      <w:pPr>
        <w:pageBreakBefore w:val="0"/>
        <w:tabs>
          <w:tab w:val="left" w:pos="9214"/>
        </w:tabs>
        <w:kinsoku/>
        <w:wordWrap/>
        <w:overflowPunct/>
        <w:topLinePunct w:val="0"/>
        <w:autoSpaceDE/>
        <w:autoSpaceDN/>
        <w:bidi w:val="0"/>
        <w:outlineLvl w:val="9"/>
        <w:rPr>
          <w:rFonts w:ascii="Calibri" w:hAnsi="Calibri"/>
          <w:highlight w:val="none"/>
        </w:rPr>
      </w:pPr>
    </w:p>
    <w:p>
      <w:pPr>
        <w:pageBreakBefore w:val="0"/>
        <w:tabs>
          <w:tab w:val="left" w:pos="9214"/>
        </w:tabs>
        <w:kinsoku/>
        <w:wordWrap/>
        <w:overflowPunct/>
        <w:topLinePunct w:val="0"/>
        <w:autoSpaceDE/>
        <w:autoSpaceDN/>
        <w:bidi w:val="0"/>
        <w:outlineLvl w:val="9"/>
        <w:rPr>
          <w:rFonts w:ascii="Calibri" w:hAnsi="Calibri"/>
          <w:highlight w:val="none"/>
        </w:rPr>
      </w:pPr>
    </w:p>
    <w:p>
      <w:pPr>
        <w:pageBreakBefore w:val="0"/>
        <w:tabs>
          <w:tab w:val="left" w:pos="9214"/>
        </w:tabs>
        <w:kinsoku/>
        <w:wordWrap/>
        <w:overflowPunct/>
        <w:topLinePunct w:val="0"/>
        <w:autoSpaceDE/>
        <w:autoSpaceDN/>
        <w:bidi w:val="0"/>
        <w:outlineLvl w:val="9"/>
        <w:rPr>
          <w:rFonts w:ascii="Calibri" w:hAnsi="Calibri"/>
          <w:highlight w:val="none"/>
        </w:rPr>
      </w:pPr>
    </w:p>
    <w:p>
      <w:pPr>
        <w:pageBreakBefore w:val="0"/>
        <w:tabs>
          <w:tab w:val="left" w:pos="9214"/>
        </w:tabs>
        <w:kinsoku/>
        <w:wordWrap/>
        <w:overflowPunct/>
        <w:topLinePunct w:val="0"/>
        <w:autoSpaceDE/>
        <w:autoSpaceDN/>
        <w:bidi w:val="0"/>
        <w:outlineLvl w:val="9"/>
        <w:rPr>
          <w:rFonts w:ascii="Calibri" w:hAnsi="Calibri"/>
          <w:highlight w:val="none"/>
        </w:rPr>
      </w:pPr>
    </w:p>
    <w:p>
      <w:pPr>
        <w:pageBreakBefore w:val="0"/>
        <w:tabs>
          <w:tab w:val="left" w:pos="9214"/>
        </w:tabs>
        <w:kinsoku/>
        <w:wordWrap/>
        <w:overflowPunct/>
        <w:topLinePunct w:val="0"/>
        <w:autoSpaceDE/>
        <w:autoSpaceDN/>
        <w:bidi w:val="0"/>
        <w:outlineLvl w:val="9"/>
        <w:rPr>
          <w:rFonts w:ascii="Calibri" w:hAnsi="Calibri"/>
          <w:highlight w:val="none"/>
        </w:rPr>
      </w:pPr>
    </w:p>
    <w:p>
      <w:pPr>
        <w:pageBreakBefore w:val="0"/>
        <w:tabs>
          <w:tab w:val="left" w:pos="9214"/>
        </w:tabs>
        <w:kinsoku/>
        <w:wordWrap/>
        <w:overflowPunct/>
        <w:topLinePunct w:val="0"/>
        <w:autoSpaceDE/>
        <w:autoSpaceDN/>
        <w:bidi w:val="0"/>
        <w:outlineLvl w:val="9"/>
        <w:rPr>
          <w:rFonts w:ascii="Calibri" w:hAnsi="Calibri"/>
          <w:highlight w:val="none"/>
        </w:rPr>
      </w:pPr>
    </w:p>
    <w:p>
      <w:pPr>
        <w:pageBreakBefore w:val="0"/>
        <w:tabs>
          <w:tab w:val="left" w:pos="9214"/>
        </w:tabs>
        <w:kinsoku/>
        <w:wordWrap/>
        <w:overflowPunct/>
        <w:topLinePunct w:val="0"/>
        <w:autoSpaceDE/>
        <w:autoSpaceDN/>
        <w:bidi w:val="0"/>
        <w:outlineLvl w:val="9"/>
        <w:rPr>
          <w:rFonts w:ascii="Calibri" w:hAnsi="Calibri"/>
          <w:highlight w:val="none"/>
        </w:rPr>
      </w:pPr>
    </w:p>
    <w:p>
      <w:pPr>
        <w:pageBreakBefore w:val="0"/>
        <w:kinsoku/>
        <w:wordWrap/>
        <w:overflowPunct/>
        <w:topLinePunct w:val="0"/>
        <w:autoSpaceDE/>
        <w:autoSpaceDN/>
        <w:bidi w:val="0"/>
        <w:spacing w:line="360" w:lineRule="auto"/>
        <w:outlineLvl w:val="9"/>
        <w:rPr>
          <w:rFonts w:ascii="宋体" w:hAnsi="宋体"/>
          <w:szCs w:val="21"/>
          <w:highlight w:val="none"/>
        </w:rPr>
      </w:pPr>
    </w:p>
    <w:p>
      <w:pPr>
        <w:pageBreakBefore w:val="0"/>
        <w:kinsoku/>
        <w:wordWrap/>
        <w:overflowPunct/>
        <w:topLinePunct w:val="0"/>
        <w:autoSpaceDE/>
        <w:autoSpaceDN/>
        <w:bidi w:val="0"/>
        <w:spacing w:line="500" w:lineRule="exact"/>
        <w:ind w:firstLine="420"/>
        <w:outlineLvl w:val="9"/>
        <w:rPr>
          <w:rFonts w:hint="eastAsia" w:ascii="宋体" w:hAnsi="宋体"/>
          <w:b/>
          <w:bCs/>
          <w:szCs w:val="21"/>
          <w:highlight w:val="none"/>
        </w:rPr>
      </w:pPr>
    </w:p>
    <w:p>
      <w:pPr>
        <w:pageBreakBefore w:val="0"/>
        <w:kinsoku/>
        <w:wordWrap/>
        <w:overflowPunct/>
        <w:topLinePunct w:val="0"/>
        <w:autoSpaceDE/>
        <w:autoSpaceDN/>
        <w:bidi w:val="0"/>
        <w:spacing w:line="500" w:lineRule="exact"/>
        <w:ind w:firstLine="420"/>
        <w:outlineLvl w:val="9"/>
        <w:rPr>
          <w:rFonts w:hint="eastAsia" w:ascii="宋体" w:hAnsi="宋体"/>
          <w:b/>
          <w:bCs/>
          <w:szCs w:val="21"/>
          <w:highlight w:val="none"/>
        </w:rPr>
      </w:pPr>
    </w:p>
    <w:p>
      <w:pPr>
        <w:pageBreakBefore w:val="0"/>
        <w:kinsoku/>
        <w:wordWrap/>
        <w:overflowPunct/>
        <w:topLinePunct w:val="0"/>
        <w:autoSpaceDE/>
        <w:autoSpaceDN/>
        <w:bidi w:val="0"/>
        <w:spacing w:line="500" w:lineRule="exact"/>
        <w:ind w:firstLine="420"/>
        <w:outlineLvl w:val="9"/>
        <w:rPr>
          <w:rFonts w:ascii="宋体" w:hAnsi="宋体"/>
          <w:b/>
          <w:bCs/>
          <w:szCs w:val="21"/>
          <w:highlight w:val="none"/>
        </w:rPr>
      </w:pPr>
      <w:r>
        <w:rPr>
          <w:rFonts w:hint="eastAsia" w:ascii="宋体" w:hAnsi="宋体"/>
          <w:b/>
          <w:bCs/>
          <w:szCs w:val="21"/>
          <w:highlight w:val="none"/>
        </w:rPr>
        <w:t>注:</w:t>
      </w:r>
    </w:p>
    <w:p>
      <w:pPr>
        <w:pageBreakBefore w:val="0"/>
        <w:kinsoku/>
        <w:wordWrap/>
        <w:overflowPunct/>
        <w:topLinePunct w:val="0"/>
        <w:autoSpaceDE/>
        <w:autoSpaceDN/>
        <w:bidi w:val="0"/>
        <w:spacing w:line="500" w:lineRule="exact"/>
        <w:ind w:firstLine="420"/>
        <w:outlineLvl w:val="9"/>
        <w:rPr>
          <w:rFonts w:ascii="宋体" w:hAnsi="宋体"/>
          <w:b/>
          <w:bCs/>
          <w:szCs w:val="21"/>
          <w:highlight w:val="none"/>
        </w:rPr>
      </w:pPr>
      <w:r>
        <w:rPr>
          <w:rFonts w:hint="eastAsia" w:ascii="宋体" w:hAnsi="宋体"/>
          <w:b/>
          <w:bCs/>
          <w:szCs w:val="21"/>
          <w:highlight w:val="none"/>
        </w:rPr>
        <w:t>1. 法定代表人</w:t>
      </w:r>
      <w:r>
        <w:rPr>
          <w:rFonts w:ascii="宋体" w:hAnsi="宋体"/>
          <w:b/>
          <w:bCs/>
          <w:szCs w:val="21"/>
          <w:highlight w:val="none"/>
        </w:rPr>
        <w:t>出席开标会时，</w:t>
      </w:r>
      <w:r>
        <w:rPr>
          <w:rFonts w:hint="eastAsia" w:ascii="宋体" w:hAnsi="宋体"/>
          <w:b/>
          <w:bCs/>
          <w:szCs w:val="21"/>
          <w:highlight w:val="none"/>
        </w:rPr>
        <w:t>应提供</w:t>
      </w:r>
      <w:r>
        <w:rPr>
          <w:rFonts w:ascii="宋体" w:hAnsi="宋体"/>
          <w:b/>
          <w:bCs/>
          <w:szCs w:val="21"/>
          <w:highlight w:val="none"/>
        </w:rPr>
        <w:t>本人</w:t>
      </w:r>
      <w:r>
        <w:rPr>
          <w:rFonts w:hint="eastAsia" w:ascii="宋体" w:hAnsi="宋体"/>
          <w:b/>
          <w:bCs/>
          <w:szCs w:val="21"/>
          <w:highlight w:val="none"/>
        </w:rPr>
        <w:t>居民身份证（如非中国国籍应提供护照）原件</w:t>
      </w:r>
      <w:r>
        <w:rPr>
          <w:rFonts w:ascii="宋体" w:hAnsi="宋体"/>
          <w:b/>
          <w:bCs/>
          <w:szCs w:val="21"/>
          <w:highlight w:val="none"/>
        </w:rPr>
        <w:t>交由</w:t>
      </w:r>
      <w:r>
        <w:rPr>
          <w:rFonts w:hint="eastAsia" w:ascii="宋体" w:hAnsi="宋体"/>
          <w:b/>
          <w:bCs/>
          <w:szCs w:val="21"/>
          <w:highlight w:val="none"/>
        </w:rPr>
        <w:t>工作</w:t>
      </w:r>
      <w:r>
        <w:rPr>
          <w:rFonts w:ascii="宋体" w:hAnsi="宋体"/>
          <w:b/>
          <w:bCs/>
          <w:szCs w:val="21"/>
          <w:highlight w:val="none"/>
        </w:rPr>
        <w:t>人员</w:t>
      </w:r>
      <w:r>
        <w:rPr>
          <w:rFonts w:hint="eastAsia" w:ascii="宋体" w:hAnsi="宋体"/>
          <w:b/>
          <w:bCs/>
          <w:szCs w:val="21"/>
          <w:highlight w:val="none"/>
        </w:rPr>
        <w:t>现场登记。</w:t>
      </w:r>
    </w:p>
    <w:p>
      <w:pPr>
        <w:pageBreakBefore w:val="0"/>
        <w:kinsoku/>
        <w:wordWrap/>
        <w:overflowPunct/>
        <w:topLinePunct w:val="0"/>
        <w:autoSpaceDE/>
        <w:autoSpaceDN/>
        <w:bidi w:val="0"/>
        <w:spacing w:line="500" w:lineRule="exact"/>
        <w:ind w:firstLine="420"/>
        <w:outlineLvl w:val="9"/>
        <w:rPr>
          <w:rFonts w:ascii="宋体" w:hAnsi="宋体"/>
          <w:b/>
          <w:bCs/>
          <w:szCs w:val="21"/>
          <w:highlight w:val="none"/>
        </w:rPr>
      </w:pPr>
      <w:r>
        <w:rPr>
          <w:rFonts w:hint="eastAsia" w:ascii="宋体" w:hAnsi="宋体"/>
          <w:b/>
          <w:bCs/>
          <w:szCs w:val="21"/>
          <w:highlight w:val="none"/>
        </w:rPr>
        <w:t>2. 在投标文件中附法定代表人居民身份证扫描件。</w:t>
      </w:r>
    </w:p>
    <w:p>
      <w:pPr>
        <w:pageBreakBefore w:val="0"/>
        <w:widowControl/>
        <w:kinsoku/>
        <w:wordWrap/>
        <w:overflowPunct/>
        <w:topLinePunct w:val="0"/>
        <w:autoSpaceDE/>
        <w:autoSpaceDN/>
        <w:bidi w:val="0"/>
        <w:jc w:val="left"/>
        <w:outlineLvl w:val="9"/>
        <w:rPr>
          <w:rFonts w:ascii="Calibri" w:hAnsi="宋体"/>
          <w:b/>
          <w:sz w:val="28"/>
          <w:szCs w:val="28"/>
          <w:highlight w:val="none"/>
        </w:rPr>
      </w:pPr>
      <w:r>
        <w:rPr>
          <w:rFonts w:ascii="Calibri" w:hAnsi="宋体"/>
          <w:b/>
          <w:sz w:val="28"/>
          <w:szCs w:val="28"/>
          <w:highlight w:val="none"/>
        </w:rPr>
        <w:br w:type="page"/>
      </w:r>
      <w:r>
        <w:rPr>
          <w:rFonts w:hint="eastAsia" w:ascii="Calibri" w:hAnsi="宋体"/>
          <w:b/>
          <w:sz w:val="28"/>
          <w:szCs w:val="28"/>
          <w:highlight w:val="none"/>
        </w:rPr>
        <w:t>格式</w:t>
      </w:r>
      <w:r>
        <w:rPr>
          <w:rFonts w:hint="eastAsia" w:ascii="Calibri" w:hAnsi="宋体"/>
          <w:b/>
          <w:sz w:val="28"/>
          <w:szCs w:val="28"/>
          <w:highlight w:val="none"/>
          <w:lang w:val="en-US" w:eastAsia="zh-CN"/>
        </w:rPr>
        <w:t>4</w:t>
      </w:r>
      <w:r>
        <w:rPr>
          <w:rFonts w:hint="eastAsia" w:ascii="Calibri" w:hAnsi="宋体"/>
          <w:b/>
          <w:sz w:val="28"/>
          <w:szCs w:val="28"/>
          <w:highlight w:val="none"/>
        </w:rPr>
        <w:t>：</w:t>
      </w:r>
    </w:p>
    <w:p>
      <w:pPr>
        <w:keepNext/>
        <w:keepLines/>
        <w:pageBreakBefore w:val="0"/>
        <w:kinsoku/>
        <w:wordWrap/>
        <w:overflowPunct/>
        <w:topLinePunct w:val="0"/>
        <w:autoSpaceDE/>
        <w:autoSpaceDN/>
        <w:bidi w:val="0"/>
        <w:spacing w:before="240" w:line="400" w:lineRule="exact"/>
        <w:ind w:left="425"/>
        <w:jc w:val="center"/>
        <w:outlineLvl w:val="9"/>
        <w:rPr>
          <w:rFonts w:ascii="宋体" w:hAnsi="宋体"/>
          <w:b/>
          <w:spacing w:val="40"/>
          <w:sz w:val="32"/>
          <w:szCs w:val="32"/>
          <w:highlight w:val="none"/>
        </w:rPr>
      </w:pPr>
      <w:bookmarkStart w:id="439" w:name="_Toc8530"/>
      <w:bookmarkStart w:id="440" w:name="_Toc518289517"/>
      <w:r>
        <w:rPr>
          <w:rFonts w:hint="eastAsia" w:ascii="宋体" w:hAnsi="宋体"/>
          <w:b/>
          <w:spacing w:val="40"/>
          <w:sz w:val="32"/>
          <w:szCs w:val="32"/>
          <w:highlight w:val="none"/>
        </w:rPr>
        <w:t>法定代表人授权委托书</w:t>
      </w:r>
      <w:bookmarkEnd w:id="439"/>
      <w:bookmarkEnd w:id="440"/>
    </w:p>
    <w:p>
      <w:pPr>
        <w:pageBreakBefore w:val="0"/>
        <w:kinsoku/>
        <w:wordWrap/>
        <w:overflowPunct/>
        <w:topLinePunct w:val="0"/>
        <w:autoSpaceDE/>
        <w:autoSpaceDN/>
        <w:bidi w:val="0"/>
        <w:spacing w:line="500" w:lineRule="exact"/>
        <w:ind w:firstLine="480" w:firstLineChars="200"/>
        <w:outlineLvl w:val="9"/>
        <w:rPr>
          <w:rFonts w:ascii="宋体" w:hAnsi="宋体"/>
          <w:sz w:val="24"/>
          <w:highlight w:val="none"/>
        </w:rPr>
      </w:pPr>
    </w:p>
    <w:p>
      <w:pPr>
        <w:pageBreakBefore w:val="0"/>
        <w:kinsoku/>
        <w:wordWrap/>
        <w:overflowPunct/>
        <w:topLinePunct w:val="0"/>
        <w:autoSpaceDE/>
        <w:autoSpaceDN/>
        <w:bidi w:val="0"/>
        <w:spacing w:line="360" w:lineRule="auto"/>
        <w:ind w:firstLine="420" w:firstLineChars="200"/>
        <w:outlineLvl w:val="9"/>
        <w:rPr>
          <w:rFonts w:ascii="宋体" w:hAnsi="宋体"/>
          <w:szCs w:val="21"/>
          <w:highlight w:val="none"/>
        </w:rPr>
      </w:pPr>
      <w:r>
        <w:rPr>
          <w:rFonts w:hint="eastAsia" w:ascii="Calibri" w:hAnsi="Calibri" w:cs="宋体"/>
          <w:highlight w:val="none"/>
        </w:rPr>
        <w:t>本授权委托书声明：我</w:t>
      </w:r>
      <w:r>
        <w:rPr>
          <w:rFonts w:ascii="Calibri" w:hAnsi="Calibri"/>
          <w:highlight w:val="none"/>
          <w:u w:val="single"/>
        </w:rPr>
        <w:t xml:space="preserve">     </w:t>
      </w:r>
      <w:r>
        <w:rPr>
          <w:rFonts w:hint="eastAsia" w:ascii="Calibri" w:hAnsi="Calibri" w:cs="宋体"/>
          <w:highlight w:val="none"/>
          <w:u w:val="single"/>
        </w:rPr>
        <w:t>（姓名）</w:t>
      </w:r>
      <w:r>
        <w:rPr>
          <w:rFonts w:ascii="Calibri" w:hAnsi="Calibri"/>
          <w:highlight w:val="none"/>
          <w:u w:val="single"/>
        </w:rPr>
        <w:t xml:space="preserve">     </w:t>
      </w:r>
      <w:r>
        <w:rPr>
          <w:rFonts w:hint="eastAsia" w:ascii="Calibri" w:hAnsi="Calibri" w:cs="宋体"/>
          <w:highlight w:val="none"/>
        </w:rPr>
        <w:t>系</w:t>
      </w:r>
      <w:r>
        <w:rPr>
          <w:rFonts w:ascii="Calibri" w:hAnsi="Calibri"/>
          <w:highlight w:val="none"/>
          <w:u w:val="single"/>
        </w:rPr>
        <w:t xml:space="preserve">      </w:t>
      </w:r>
      <w:r>
        <w:rPr>
          <w:rFonts w:hint="eastAsia" w:ascii="Calibri" w:hAnsi="Calibri" w:cs="宋体"/>
          <w:highlight w:val="none"/>
          <w:u w:val="single"/>
        </w:rPr>
        <w:t>（投标人全称）</w:t>
      </w:r>
      <w:r>
        <w:rPr>
          <w:rFonts w:ascii="Calibri" w:hAnsi="Calibri"/>
          <w:highlight w:val="none"/>
          <w:u w:val="single"/>
        </w:rPr>
        <w:t xml:space="preserve">      </w:t>
      </w:r>
      <w:r>
        <w:rPr>
          <w:rFonts w:hint="eastAsia" w:ascii="Calibri" w:hAnsi="Calibri" w:cs="宋体"/>
          <w:highlight w:val="none"/>
        </w:rPr>
        <w:t>的法定代表人，现授权委托</w:t>
      </w:r>
      <w:r>
        <w:rPr>
          <w:rFonts w:ascii="Calibri" w:hAnsi="Calibri"/>
          <w:highlight w:val="none"/>
          <w:u w:val="single"/>
        </w:rPr>
        <w:t xml:space="preserve">      </w:t>
      </w:r>
      <w:r>
        <w:rPr>
          <w:rFonts w:hint="eastAsia" w:ascii="Calibri" w:hAnsi="Calibri" w:cs="宋体"/>
          <w:highlight w:val="none"/>
          <w:u w:val="single"/>
        </w:rPr>
        <w:t>（投标人全称）</w:t>
      </w:r>
      <w:r>
        <w:rPr>
          <w:rFonts w:ascii="Calibri" w:hAnsi="Calibri"/>
          <w:highlight w:val="none"/>
          <w:u w:val="single"/>
        </w:rPr>
        <w:t xml:space="preserve">       </w:t>
      </w:r>
      <w:r>
        <w:rPr>
          <w:rFonts w:hint="eastAsia" w:ascii="Calibri" w:hAnsi="Calibri" w:cs="宋体"/>
          <w:highlight w:val="none"/>
        </w:rPr>
        <w:t>的</w:t>
      </w:r>
      <w:r>
        <w:rPr>
          <w:rFonts w:ascii="Calibri" w:hAnsi="Calibri"/>
          <w:highlight w:val="none"/>
          <w:u w:val="single"/>
        </w:rPr>
        <w:t xml:space="preserve">    </w:t>
      </w:r>
      <w:r>
        <w:rPr>
          <w:rFonts w:hint="eastAsia" w:ascii="Calibri" w:hAnsi="Calibri" w:cs="宋体"/>
          <w:highlight w:val="none"/>
          <w:u w:val="single"/>
        </w:rPr>
        <w:t>（姓名）</w:t>
      </w:r>
      <w:r>
        <w:rPr>
          <w:rFonts w:ascii="Calibri" w:hAnsi="Calibri"/>
          <w:highlight w:val="none"/>
          <w:u w:val="single"/>
        </w:rPr>
        <w:t xml:space="preserve">    </w:t>
      </w:r>
      <w:r>
        <w:rPr>
          <w:rFonts w:hint="eastAsia" w:ascii="宋体" w:hAnsi="宋体"/>
          <w:szCs w:val="21"/>
          <w:highlight w:val="none"/>
        </w:rPr>
        <w:t>为本公司合法代理人，就贵方组织的有关</w:t>
      </w:r>
      <w:r>
        <w:rPr>
          <w:rFonts w:hint="eastAsia" w:ascii="宋体" w:hAnsi="宋体"/>
          <w:szCs w:val="21"/>
          <w:highlight w:val="none"/>
          <w:u w:val="single"/>
        </w:rPr>
        <w:t xml:space="preserve">（项目名称）    </w:t>
      </w:r>
      <w:r>
        <w:rPr>
          <w:rFonts w:hint="eastAsia" w:ascii="宋体" w:hAnsi="宋体"/>
          <w:szCs w:val="21"/>
          <w:highlight w:val="none"/>
        </w:rPr>
        <w:t>项目（项目编号：</w:t>
      </w:r>
      <w:r>
        <w:rPr>
          <w:rFonts w:hint="eastAsia" w:ascii="宋体" w:hAnsi="宋体"/>
          <w:szCs w:val="21"/>
          <w:highlight w:val="none"/>
          <w:u w:val="single"/>
        </w:rPr>
        <w:t xml:space="preserve">            </w:t>
      </w:r>
      <w:r>
        <w:rPr>
          <w:rFonts w:hint="eastAsia" w:ascii="宋体" w:hAnsi="宋体"/>
          <w:szCs w:val="21"/>
          <w:highlight w:val="none"/>
        </w:rPr>
        <w:t>）的</w:t>
      </w:r>
      <w:r>
        <w:rPr>
          <w:rFonts w:ascii="宋体" w:hAnsi="宋体"/>
          <w:szCs w:val="21"/>
          <w:highlight w:val="none"/>
        </w:rPr>
        <w:t>招标</w:t>
      </w:r>
      <w:r>
        <w:rPr>
          <w:rFonts w:hint="eastAsia" w:ascii="宋体" w:hAnsi="宋体"/>
          <w:szCs w:val="21"/>
          <w:highlight w:val="none"/>
        </w:rPr>
        <w:t>，以本单位名义</w:t>
      </w:r>
      <w:r>
        <w:rPr>
          <w:rFonts w:ascii="宋体" w:hAnsi="宋体"/>
          <w:szCs w:val="21"/>
          <w:highlight w:val="none"/>
        </w:rPr>
        <w:t>投标</w:t>
      </w:r>
      <w:r>
        <w:rPr>
          <w:rFonts w:hint="eastAsia" w:ascii="宋体" w:hAnsi="宋体"/>
          <w:szCs w:val="21"/>
          <w:highlight w:val="none"/>
        </w:rPr>
        <w:t>。</w:t>
      </w:r>
      <w:r>
        <w:rPr>
          <w:rFonts w:ascii="宋体" w:hAnsi="宋体"/>
          <w:szCs w:val="21"/>
          <w:highlight w:val="none"/>
        </w:rPr>
        <w:t>代理人在本项目投标过程中所签署的一切文件和处理与之有关的一切事务，我方均予承认。</w:t>
      </w:r>
    </w:p>
    <w:p>
      <w:pPr>
        <w:pageBreakBefore w:val="0"/>
        <w:kinsoku/>
        <w:wordWrap/>
        <w:overflowPunct/>
        <w:topLinePunct w:val="0"/>
        <w:autoSpaceDE/>
        <w:autoSpaceDN/>
        <w:bidi w:val="0"/>
        <w:spacing w:line="500" w:lineRule="exact"/>
        <w:ind w:firstLine="420"/>
        <w:outlineLvl w:val="9"/>
        <w:rPr>
          <w:rFonts w:ascii="宋体" w:hAnsi="宋体"/>
          <w:szCs w:val="21"/>
          <w:highlight w:val="none"/>
        </w:rPr>
      </w:pPr>
      <w:r>
        <w:rPr>
          <w:rFonts w:ascii="宋体" w:hAnsi="宋体"/>
          <w:szCs w:val="21"/>
          <w:highlight w:val="none"/>
        </w:rPr>
        <w:t>代理人无转委托权。</w:t>
      </w:r>
    </w:p>
    <w:p>
      <w:pPr>
        <w:pageBreakBefore w:val="0"/>
        <w:kinsoku/>
        <w:wordWrap/>
        <w:overflowPunct/>
        <w:topLinePunct w:val="0"/>
        <w:autoSpaceDE/>
        <w:autoSpaceDN/>
        <w:bidi w:val="0"/>
        <w:spacing w:line="500" w:lineRule="exact"/>
        <w:ind w:firstLine="420"/>
        <w:outlineLvl w:val="9"/>
        <w:rPr>
          <w:rFonts w:hint="eastAsia" w:ascii="宋体" w:hAnsi="宋体"/>
          <w:szCs w:val="21"/>
          <w:highlight w:val="none"/>
        </w:rPr>
      </w:pPr>
    </w:p>
    <w:p>
      <w:pPr>
        <w:pageBreakBefore w:val="0"/>
        <w:tabs>
          <w:tab w:val="left" w:pos="9214"/>
        </w:tabs>
        <w:kinsoku/>
        <w:wordWrap/>
        <w:overflowPunct/>
        <w:topLinePunct w:val="0"/>
        <w:autoSpaceDE/>
        <w:autoSpaceDN/>
        <w:bidi w:val="0"/>
        <w:spacing w:before="120" w:beforeLines="50" w:line="360" w:lineRule="auto"/>
        <w:ind w:firstLine="424" w:firstLineChars="202"/>
        <w:outlineLvl w:val="9"/>
        <w:rPr>
          <w:rFonts w:ascii="Calibri" w:hAnsi="Calibri"/>
          <w:highlight w:val="none"/>
          <w:u w:val="single"/>
        </w:rPr>
      </w:pPr>
      <w:r>
        <w:rPr>
          <w:rFonts w:hint="eastAsia" w:ascii="Calibri" w:hAnsi="Calibri" w:cs="宋体"/>
          <w:highlight w:val="none"/>
        </w:rPr>
        <w:t>代理人：</w:t>
      </w:r>
      <w:r>
        <w:rPr>
          <w:rFonts w:hint="eastAsia" w:ascii="Calibri" w:hAnsi="Calibri" w:cs="宋体"/>
          <w:highlight w:val="none"/>
          <w:u w:val="single"/>
          <w:lang w:val="en-US" w:eastAsia="zh-CN"/>
        </w:rPr>
        <w:t xml:space="preserve">     </w:t>
      </w:r>
      <w:r>
        <w:rPr>
          <w:rFonts w:hint="eastAsia" w:ascii="Calibri" w:hAnsi="Calibri" w:cs="宋体"/>
          <w:highlight w:val="none"/>
          <w:u w:val="single"/>
        </w:rPr>
        <w:t>（签字）</w:t>
      </w:r>
      <w:r>
        <w:rPr>
          <w:rFonts w:ascii="Calibri" w:hAnsi="Calibri"/>
          <w:highlight w:val="none"/>
          <w:u w:val="single"/>
        </w:rPr>
        <w:t xml:space="preserve"> </w:t>
      </w:r>
      <w:r>
        <w:rPr>
          <w:rFonts w:hint="eastAsia" w:ascii="Calibri" w:hAnsi="Calibri" w:cs="宋体"/>
          <w:highlight w:val="none"/>
        </w:rPr>
        <w:t>性别：</w:t>
      </w:r>
      <w:r>
        <w:rPr>
          <w:rFonts w:ascii="Calibri" w:hAnsi="Calibri"/>
          <w:highlight w:val="none"/>
          <w:u w:val="single"/>
        </w:rPr>
        <w:t xml:space="preserve">       </w:t>
      </w:r>
      <w:r>
        <w:rPr>
          <w:rFonts w:ascii="Calibri" w:hAnsi="Calibri"/>
          <w:highlight w:val="none"/>
        </w:rPr>
        <w:t xml:space="preserve"> </w:t>
      </w:r>
      <w:r>
        <w:rPr>
          <w:rFonts w:hint="eastAsia" w:ascii="Calibri" w:hAnsi="Calibri" w:cs="宋体"/>
          <w:highlight w:val="none"/>
        </w:rPr>
        <w:t>年龄：</w:t>
      </w:r>
      <w:r>
        <w:rPr>
          <w:rFonts w:ascii="Calibri" w:hAnsi="Calibri"/>
          <w:highlight w:val="none"/>
          <w:u w:val="single"/>
        </w:rPr>
        <w:t xml:space="preserve">        </w:t>
      </w:r>
    </w:p>
    <w:p>
      <w:pPr>
        <w:pageBreakBefore w:val="0"/>
        <w:tabs>
          <w:tab w:val="left" w:pos="9214"/>
        </w:tabs>
        <w:kinsoku/>
        <w:wordWrap/>
        <w:overflowPunct/>
        <w:topLinePunct w:val="0"/>
        <w:autoSpaceDE/>
        <w:autoSpaceDN/>
        <w:bidi w:val="0"/>
        <w:spacing w:before="120" w:beforeLines="50" w:line="360" w:lineRule="auto"/>
        <w:ind w:firstLine="424" w:firstLineChars="202"/>
        <w:outlineLvl w:val="9"/>
        <w:rPr>
          <w:rFonts w:ascii="Calibri" w:hAnsi="Calibri"/>
          <w:highlight w:val="none"/>
          <w:u w:val="single"/>
        </w:rPr>
      </w:pPr>
      <w:r>
        <w:rPr>
          <w:rFonts w:hint="eastAsia" w:ascii="Calibri" w:hAnsi="Calibri" w:cs="宋体"/>
          <w:highlight w:val="none"/>
        </w:rPr>
        <w:t>身份证号码：</w:t>
      </w:r>
      <w:r>
        <w:rPr>
          <w:rFonts w:ascii="Calibri" w:hAnsi="Calibri"/>
          <w:highlight w:val="none"/>
          <w:u w:val="single"/>
        </w:rPr>
        <w:t xml:space="preserve">               </w:t>
      </w:r>
      <w:r>
        <w:rPr>
          <w:rFonts w:ascii="Calibri" w:hAnsi="Calibri"/>
          <w:highlight w:val="none"/>
        </w:rPr>
        <w:t xml:space="preserve"> </w:t>
      </w:r>
      <w:r>
        <w:rPr>
          <w:rFonts w:hint="eastAsia" w:ascii="Calibri" w:hAnsi="Calibri" w:cs="宋体"/>
          <w:highlight w:val="none"/>
        </w:rPr>
        <w:t>职务：</w:t>
      </w:r>
      <w:r>
        <w:rPr>
          <w:rFonts w:ascii="Calibri" w:hAnsi="Calibri"/>
          <w:highlight w:val="none"/>
          <w:u w:val="single"/>
        </w:rPr>
        <w:t xml:space="preserve">                </w:t>
      </w:r>
    </w:p>
    <w:p>
      <w:pPr>
        <w:pageBreakBefore w:val="0"/>
        <w:tabs>
          <w:tab w:val="left" w:pos="9214"/>
        </w:tabs>
        <w:kinsoku/>
        <w:wordWrap/>
        <w:overflowPunct/>
        <w:topLinePunct w:val="0"/>
        <w:autoSpaceDE/>
        <w:autoSpaceDN/>
        <w:bidi w:val="0"/>
        <w:spacing w:before="120" w:beforeLines="50" w:line="360" w:lineRule="auto"/>
        <w:ind w:firstLine="424" w:firstLineChars="202"/>
        <w:outlineLvl w:val="9"/>
        <w:rPr>
          <w:rFonts w:ascii="Calibri" w:hAnsi="Calibri"/>
          <w:highlight w:val="none"/>
        </w:rPr>
      </w:pPr>
      <w:r>
        <w:rPr>
          <w:rFonts w:hint="eastAsia" w:ascii="Calibri" w:hAnsi="Calibri" w:cs="宋体"/>
          <w:highlight w:val="none"/>
        </w:rPr>
        <w:t>投标人：</w:t>
      </w:r>
      <w:r>
        <w:rPr>
          <w:rFonts w:ascii="Calibri" w:hAnsi="Calibri"/>
          <w:highlight w:val="none"/>
          <w:u w:val="single"/>
        </w:rPr>
        <w:t xml:space="preserve">           </w:t>
      </w:r>
      <w:r>
        <w:rPr>
          <w:rFonts w:hint="eastAsia" w:ascii="Calibri" w:hAnsi="Calibri"/>
          <w:highlight w:val="none"/>
          <w:u w:val="single"/>
          <w:lang w:val="en-US" w:eastAsia="zh-CN"/>
        </w:rPr>
        <w:t xml:space="preserve">     </w:t>
      </w:r>
      <w:r>
        <w:rPr>
          <w:rFonts w:ascii="Calibri" w:hAnsi="Calibri"/>
          <w:highlight w:val="none"/>
          <w:u w:val="single"/>
        </w:rPr>
        <w:t xml:space="preserve"> </w:t>
      </w:r>
      <w:r>
        <w:rPr>
          <w:rFonts w:hint="eastAsia" w:ascii="Calibri" w:hAnsi="Calibri"/>
          <w:highlight w:val="none"/>
          <w:u w:val="single"/>
          <w:lang w:val="en-US" w:eastAsia="zh-CN"/>
        </w:rPr>
        <w:t xml:space="preserve"> </w:t>
      </w:r>
      <w:r>
        <w:rPr>
          <w:rFonts w:ascii="Calibri" w:hAnsi="Calibri"/>
          <w:highlight w:val="none"/>
          <w:u w:val="single"/>
        </w:rPr>
        <w:t xml:space="preserve"> </w:t>
      </w:r>
      <w:r>
        <w:rPr>
          <w:rFonts w:hint="eastAsia" w:ascii="Calibri" w:hAnsi="Calibri" w:cs="宋体"/>
          <w:highlight w:val="none"/>
          <w:u w:val="single"/>
        </w:rPr>
        <w:t>（</w:t>
      </w:r>
      <w:r>
        <w:rPr>
          <w:rFonts w:hint="eastAsia" w:ascii="Calibri" w:hAnsi="Calibri" w:cs="宋体"/>
          <w:highlight w:val="none"/>
          <w:u w:val="single"/>
          <w:lang w:val="en-US" w:eastAsia="zh-CN"/>
        </w:rPr>
        <w:t>加盖单位公章</w:t>
      </w:r>
      <w:r>
        <w:rPr>
          <w:rFonts w:hint="eastAsia" w:ascii="Calibri" w:hAnsi="Calibri" w:cs="宋体"/>
          <w:highlight w:val="none"/>
          <w:u w:val="single"/>
        </w:rPr>
        <w:t>）</w:t>
      </w:r>
      <w:r>
        <w:rPr>
          <w:rFonts w:ascii="Calibri" w:hAnsi="Calibri"/>
          <w:highlight w:val="none"/>
          <w:u w:val="single"/>
        </w:rPr>
        <w:t xml:space="preserve">    </w:t>
      </w:r>
    </w:p>
    <w:p>
      <w:pPr>
        <w:pageBreakBefore w:val="0"/>
        <w:tabs>
          <w:tab w:val="left" w:pos="9214"/>
        </w:tabs>
        <w:kinsoku/>
        <w:wordWrap/>
        <w:overflowPunct/>
        <w:topLinePunct w:val="0"/>
        <w:autoSpaceDE/>
        <w:autoSpaceDN/>
        <w:bidi w:val="0"/>
        <w:spacing w:before="120" w:beforeLines="50" w:line="360" w:lineRule="auto"/>
        <w:ind w:firstLine="424" w:firstLineChars="202"/>
        <w:outlineLvl w:val="9"/>
        <w:rPr>
          <w:rFonts w:ascii="Calibri" w:hAnsi="Calibri"/>
          <w:highlight w:val="none"/>
        </w:rPr>
      </w:pPr>
      <w:r>
        <w:rPr>
          <w:rFonts w:hint="eastAsia" w:ascii="Calibri" w:hAnsi="Calibri" w:cs="宋体"/>
          <w:highlight w:val="none"/>
        </w:rPr>
        <w:t>法定代表人：</w:t>
      </w:r>
      <w:r>
        <w:rPr>
          <w:rFonts w:ascii="Calibri" w:hAnsi="Calibri"/>
          <w:highlight w:val="none"/>
          <w:u w:val="single"/>
        </w:rPr>
        <w:t xml:space="preserve">       </w:t>
      </w:r>
      <w:r>
        <w:rPr>
          <w:rFonts w:hint="eastAsia" w:ascii="Calibri" w:hAnsi="Calibri"/>
          <w:highlight w:val="none"/>
          <w:u w:val="single"/>
          <w:lang w:val="en-US" w:eastAsia="zh-CN"/>
        </w:rPr>
        <w:t xml:space="preserve">          </w:t>
      </w:r>
      <w:r>
        <w:rPr>
          <w:rFonts w:ascii="Calibri" w:hAnsi="Calibri"/>
          <w:highlight w:val="none"/>
          <w:u w:val="single"/>
        </w:rPr>
        <w:t xml:space="preserve">  </w:t>
      </w:r>
      <w:r>
        <w:rPr>
          <w:rFonts w:hint="eastAsia" w:ascii="Calibri" w:hAnsi="Calibri" w:cs="宋体"/>
          <w:highlight w:val="none"/>
          <w:u w:val="single"/>
        </w:rPr>
        <w:t>（签字）</w:t>
      </w:r>
      <w:r>
        <w:rPr>
          <w:rFonts w:ascii="Calibri" w:hAnsi="Calibri"/>
          <w:highlight w:val="none"/>
          <w:u w:val="single"/>
        </w:rPr>
        <w:t xml:space="preserve"> </w:t>
      </w:r>
    </w:p>
    <w:p>
      <w:pPr>
        <w:pageBreakBefore w:val="0"/>
        <w:tabs>
          <w:tab w:val="left" w:pos="9214"/>
        </w:tabs>
        <w:kinsoku/>
        <w:wordWrap/>
        <w:overflowPunct/>
        <w:topLinePunct w:val="0"/>
        <w:autoSpaceDE/>
        <w:autoSpaceDN/>
        <w:bidi w:val="0"/>
        <w:spacing w:before="120" w:beforeLines="50" w:line="360" w:lineRule="auto"/>
        <w:ind w:firstLine="424" w:firstLineChars="202"/>
        <w:outlineLvl w:val="9"/>
        <w:rPr>
          <w:rFonts w:ascii="Calibri" w:hAnsi="Calibri"/>
          <w:highlight w:val="none"/>
        </w:rPr>
      </w:pPr>
      <w:r>
        <w:rPr>
          <w:rFonts w:hint="eastAsia" w:ascii="Calibri" w:hAnsi="Calibri" w:cs="宋体"/>
          <w:highlight w:val="none"/>
        </w:rPr>
        <w:t>授权委托日期：</w:t>
      </w:r>
      <w:r>
        <w:rPr>
          <w:rFonts w:ascii="Calibri" w:hAnsi="Calibri"/>
          <w:highlight w:val="none"/>
          <w:u w:val="single"/>
        </w:rPr>
        <w:t xml:space="preserve">        </w:t>
      </w:r>
      <w:r>
        <w:rPr>
          <w:rFonts w:hint="eastAsia" w:ascii="Calibri" w:hAnsi="Calibri" w:cs="宋体"/>
          <w:highlight w:val="none"/>
        </w:rPr>
        <w:t>年</w:t>
      </w:r>
      <w:r>
        <w:rPr>
          <w:rFonts w:ascii="Calibri" w:hAnsi="Calibri"/>
          <w:highlight w:val="none"/>
          <w:u w:val="single"/>
        </w:rPr>
        <w:t xml:space="preserve">     </w:t>
      </w:r>
      <w:r>
        <w:rPr>
          <w:rFonts w:hint="eastAsia" w:ascii="Calibri" w:hAnsi="Calibri" w:cs="宋体"/>
          <w:highlight w:val="none"/>
        </w:rPr>
        <w:t>月</w:t>
      </w:r>
      <w:r>
        <w:rPr>
          <w:rFonts w:ascii="Calibri" w:hAnsi="Calibri"/>
          <w:highlight w:val="none"/>
          <w:u w:val="single"/>
        </w:rPr>
        <w:t xml:space="preserve">     </w:t>
      </w:r>
      <w:r>
        <w:rPr>
          <w:rFonts w:hint="eastAsia" w:ascii="Calibri" w:hAnsi="Calibri" w:cs="宋体"/>
          <w:highlight w:val="none"/>
        </w:rPr>
        <w:t>日</w:t>
      </w:r>
    </w:p>
    <w:p>
      <w:pPr>
        <w:pageBreakBefore w:val="0"/>
        <w:tabs>
          <w:tab w:val="left" w:pos="9214"/>
        </w:tabs>
        <w:kinsoku/>
        <w:wordWrap/>
        <w:overflowPunct/>
        <w:topLinePunct w:val="0"/>
        <w:autoSpaceDE/>
        <w:autoSpaceDN/>
        <w:bidi w:val="0"/>
        <w:spacing w:line="360" w:lineRule="auto"/>
        <w:ind w:firstLine="424" w:firstLineChars="202"/>
        <w:outlineLvl w:val="9"/>
        <w:rPr>
          <w:rFonts w:ascii="Calibri" w:hAnsi="Calibri"/>
          <w:highlight w:val="none"/>
        </w:rPr>
      </w:pPr>
    </w:p>
    <w:p>
      <w:pPr>
        <w:pageBreakBefore w:val="0"/>
        <w:tabs>
          <w:tab w:val="left" w:pos="9214"/>
        </w:tabs>
        <w:kinsoku/>
        <w:wordWrap/>
        <w:overflowPunct/>
        <w:topLinePunct w:val="0"/>
        <w:autoSpaceDE/>
        <w:autoSpaceDN/>
        <w:bidi w:val="0"/>
        <w:spacing w:line="360" w:lineRule="auto"/>
        <w:ind w:firstLine="426" w:firstLineChars="202"/>
        <w:outlineLvl w:val="9"/>
        <w:rPr>
          <w:rFonts w:ascii="Calibri" w:hAnsi="Calibri"/>
          <w:b/>
          <w:bCs/>
          <w:highlight w:val="none"/>
        </w:rPr>
      </w:pPr>
      <w:r>
        <w:rPr>
          <w:rFonts w:hint="eastAsia" w:ascii="Calibri" w:hAnsi="Calibri" w:cs="宋体"/>
          <w:b/>
          <w:bCs/>
          <w:highlight w:val="none"/>
        </w:rPr>
        <w:t>注：附授权委托代理人身份证</w:t>
      </w:r>
      <w:r>
        <w:rPr>
          <w:rFonts w:hint="eastAsia" w:ascii="Calibri" w:hAnsi="Calibri" w:cs="宋体"/>
          <w:b/>
          <w:bCs/>
          <w:highlight w:val="none"/>
          <w:lang w:val="en-US" w:eastAsia="zh-CN"/>
        </w:rPr>
        <w:t>彩色扫描</w:t>
      </w:r>
      <w:r>
        <w:rPr>
          <w:rFonts w:hint="eastAsia" w:ascii="Calibri" w:hAnsi="Calibri" w:cs="宋体"/>
          <w:b/>
          <w:bCs/>
          <w:highlight w:val="none"/>
        </w:rPr>
        <w:t>件，如由法定代表人亲自签署文件并出席开标会议的，则不需要办理授权。如委托代理人出席开标会时，则必须按本格式规定填报并提交授权书，否则被授权的代理人将不被认可。</w:t>
      </w:r>
    </w:p>
    <w:p>
      <w:pPr>
        <w:pageBreakBefore w:val="0"/>
        <w:tabs>
          <w:tab w:val="left" w:pos="9214"/>
        </w:tabs>
        <w:kinsoku/>
        <w:wordWrap/>
        <w:overflowPunct/>
        <w:topLinePunct w:val="0"/>
        <w:autoSpaceDE/>
        <w:autoSpaceDN/>
        <w:bidi w:val="0"/>
        <w:spacing w:line="360" w:lineRule="auto"/>
        <w:ind w:firstLine="426" w:firstLineChars="202"/>
        <w:outlineLvl w:val="9"/>
        <w:rPr>
          <w:rFonts w:ascii="Calibri" w:hAnsi="Calibri"/>
          <w:b/>
          <w:bCs/>
          <w:highlight w:val="none"/>
        </w:rPr>
      </w:pPr>
    </w:p>
    <w:p>
      <w:pPr>
        <w:pageBreakBefore w:val="0"/>
        <w:tabs>
          <w:tab w:val="left" w:pos="9214"/>
        </w:tabs>
        <w:kinsoku/>
        <w:wordWrap/>
        <w:overflowPunct/>
        <w:topLinePunct w:val="0"/>
        <w:autoSpaceDE/>
        <w:autoSpaceDN/>
        <w:bidi w:val="0"/>
        <w:spacing w:line="360" w:lineRule="auto"/>
        <w:ind w:firstLine="426" w:firstLineChars="202"/>
        <w:jc w:val="left"/>
        <w:outlineLvl w:val="9"/>
        <w:rPr>
          <w:rFonts w:ascii="Calibri" w:hAnsi="Calibri"/>
          <w:b/>
          <w:bCs/>
          <w:highlight w:val="none"/>
        </w:rPr>
      </w:pPr>
      <w:r>
        <w:rPr>
          <w:rFonts w:hint="eastAsia" w:ascii="Calibri" w:hAnsi="Calibri" w:cs="宋体"/>
          <w:b/>
          <w:bCs/>
          <w:highlight w:val="none"/>
        </w:rPr>
        <w:t>附：授权代理人身份证</w:t>
      </w:r>
      <w:r>
        <w:rPr>
          <w:rFonts w:hint="eastAsia" w:ascii="Calibri" w:hAnsi="Calibri" w:cs="宋体"/>
          <w:b/>
          <w:bCs/>
          <w:highlight w:val="none"/>
          <w:lang w:val="en-US" w:eastAsia="zh-CN"/>
        </w:rPr>
        <w:t>彩色扫描</w:t>
      </w:r>
      <w:r>
        <w:rPr>
          <w:rFonts w:hint="eastAsia" w:ascii="Calibri" w:hAnsi="Calibri" w:cs="宋体"/>
          <w:b/>
          <w:bCs/>
          <w:highlight w:val="none"/>
        </w:rPr>
        <w:t>件</w:t>
      </w:r>
    </w:p>
    <w:p>
      <w:pPr>
        <w:pageBreakBefore w:val="0"/>
        <w:tabs>
          <w:tab w:val="left" w:pos="9214"/>
        </w:tabs>
        <w:kinsoku/>
        <w:wordWrap/>
        <w:overflowPunct/>
        <w:topLinePunct w:val="0"/>
        <w:autoSpaceDE/>
        <w:autoSpaceDN/>
        <w:bidi w:val="0"/>
        <w:spacing w:line="360" w:lineRule="auto"/>
        <w:outlineLvl w:val="9"/>
        <w:rPr>
          <w:rFonts w:ascii="Calibri" w:hAnsi="Calibri"/>
          <w:b/>
          <w:bCs/>
          <w:sz w:val="24"/>
          <w:highlight w:val="none"/>
        </w:rPr>
      </w:pPr>
      <w:r>
        <w:rPr>
          <w:rFonts w:ascii="Calibri" w:hAnsi="Calibri"/>
          <w:highlight w:val="none"/>
        </w:rPr>
        <mc:AlternateContent>
          <mc:Choice Requires="wps">
            <w:drawing>
              <wp:anchor distT="0" distB="0" distL="114300" distR="114300" simplePos="0" relativeHeight="251662336" behindDoc="1" locked="0" layoutInCell="1" allowOverlap="1">
                <wp:simplePos x="0" y="0"/>
                <wp:positionH relativeFrom="column">
                  <wp:posOffset>3118485</wp:posOffset>
                </wp:positionH>
                <wp:positionV relativeFrom="paragraph">
                  <wp:posOffset>281305</wp:posOffset>
                </wp:positionV>
                <wp:extent cx="2934335" cy="1748155"/>
                <wp:effectExtent l="4445" t="4445" r="13970" b="19050"/>
                <wp:wrapNone/>
                <wp:docPr id="4" name="自选图形 8"/>
                <wp:cNvGraphicFramePr/>
                <a:graphic xmlns:a="http://schemas.openxmlformats.org/drawingml/2006/main">
                  <a:graphicData uri="http://schemas.microsoft.com/office/word/2010/wordprocessingShape">
                    <wps:wsp>
                      <wps:cNvSpPr/>
                      <wps:spPr>
                        <a:xfrm>
                          <a:off x="0" y="0"/>
                          <a:ext cx="2934335" cy="1748155"/>
                        </a:xfrm>
                        <a:prstGeom prst="roundRect">
                          <a:avLst>
                            <a:gd name="adj" fmla="val 16667"/>
                          </a:avLst>
                        </a:prstGeom>
                        <a:solidFill>
                          <a:srgbClr val="FFFFFF"/>
                        </a:solidFill>
                        <a:ln w="9525" cap="flat" cmpd="sng">
                          <a:solidFill>
                            <a:srgbClr val="000000"/>
                          </a:solidFill>
                          <a:prstDash val="solid"/>
                          <a:headEnd type="none" w="med" len="med"/>
                          <a:tailEnd type="none" w="med" len="med"/>
                        </a:ln>
                      </wps:spPr>
                      <wps:txbx>
                        <w:txbxContent>
                          <w:p/>
                        </w:txbxContent>
                      </wps:txbx>
                      <wps:bodyPr upright="1"/>
                    </wps:wsp>
                  </a:graphicData>
                </a:graphic>
              </wp:anchor>
            </w:drawing>
          </mc:Choice>
          <mc:Fallback>
            <w:pict>
              <v:roundrect id="自选图形 8" o:spid="_x0000_s1026" o:spt="2" style="position:absolute;left:0pt;margin-left:245.55pt;margin-top:22.15pt;height:137.65pt;width:231.05pt;z-index:-251654144;mso-width-relative:page;mso-height-relative:page;" fillcolor="#FFFFFF" filled="t" stroked="t" coordsize="21600,21600" arcsize="0.166666666666667" o:gfxdata="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">
                <v:fill on="t" focussize="0,0"/>
                <v:stroke color="#000000" joinstyle="round"/>
                <v:imagedata o:title=""/>
                <o:lock v:ext="edit" aspectratio="f"/>
                <v:textbox>
                  <w:txbxContent>
                    <w:p/>
                  </w:txbxContent>
                </v:textbox>
              </v:roundrect>
            </w:pict>
          </mc:Fallback>
        </mc:AlternateContent>
      </w:r>
      <w:r>
        <w:rPr>
          <w:rFonts w:ascii="Calibri" w:hAnsi="Calibri"/>
          <w:highlight w:val="none"/>
        </w:rPr>
        <mc:AlternateContent>
          <mc:Choice Requires="wps">
            <w:drawing>
              <wp:anchor distT="0" distB="0" distL="114300" distR="114300" simplePos="0" relativeHeight="251661312" behindDoc="1" locked="0" layoutInCell="1" allowOverlap="1">
                <wp:simplePos x="0" y="0"/>
                <wp:positionH relativeFrom="column">
                  <wp:posOffset>3175</wp:posOffset>
                </wp:positionH>
                <wp:positionV relativeFrom="paragraph">
                  <wp:posOffset>281305</wp:posOffset>
                </wp:positionV>
                <wp:extent cx="2934335" cy="1748155"/>
                <wp:effectExtent l="4445" t="4445" r="13970" b="19050"/>
                <wp:wrapNone/>
                <wp:docPr id="3" name="自选图形 9"/>
                <wp:cNvGraphicFramePr/>
                <a:graphic xmlns:a="http://schemas.openxmlformats.org/drawingml/2006/main">
                  <a:graphicData uri="http://schemas.microsoft.com/office/word/2010/wordprocessingShape">
                    <wps:wsp>
                      <wps:cNvSpPr/>
                      <wps:spPr>
                        <a:xfrm>
                          <a:off x="0" y="0"/>
                          <a:ext cx="2934335" cy="1748155"/>
                        </a:xfrm>
                        <a:prstGeom prst="roundRect">
                          <a:avLst>
                            <a:gd name="adj" fmla="val 16667"/>
                          </a:avLst>
                        </a:prstGeom>
                        <a:solidFill>
                          <a:srgbClr val="FFFFFF"/>
                        </a:solidFill>
                        <a:ln w="9525" cap="flat" cmpd="sng">
                          <a:solidFill>
                            <a:srgbClr val="000000"/>
                          </a:solidFill>
                          <a:prstDash val="solid"/>
                          <a:headEnd type="none" w="med" len="med"/>
                          <a:tailEnd type="none" w="med" len="med"/>
                        </a:ln>
                      </wps:spPr>
                      <wps:txbx>
                        <w:txbxContent>
                          <w:p/>
                        </w:txbxContent>
                      </wps:txbx>
                      <wps:bodyPr upright="1"/>
                    </wps:wsp>
                  </a:graphicData>
                </a:graphic>
              </wp:anchor>
            </w:drawing>
          </mc:Choice>
          <mc:Fallback>
            <w:pict>
              <v:roundrect id="自选图形 9" o:spid="_x0000_s1026" o:spt="2" style="position:absolute;left:0pt;margin-left:0.25pt;margin-top:22.15pt;height:137.65pt;width:231.05pt;z-index:-251655168;mso-width-relative:page;mso-height-relative:page;" fillcolor="#FFFFFF" filled="t" stroked="t" coordsize="21600,21600" arcsize="0.166666666666667" o:gfxdata="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">
                <v:fill on="t" focussize="0,0"/>
                <v:stroke color="#000000" joinstyle="round"/>
                <v:imagedata o:title=""/>
                <o:lock v:ext="edit" aspectratio="f"/>
                <v:textbox>
                  <w:txbxContent>
                    <w:p/>
                  </w:txbxContent>
                </v:textbox>
              </v:roundrect>
            </w:pict>
          </mc:Fallback>
        </mc:AlternateContent>
      </w:r>
    </w:p>
    <w:p>
      <w:pPr>
        <w:pageBreakBefore w:val="0"/>
        <w:tabs>
          <w:tab w:val="left" w:pos="9214"/>
        </w:tabs>
        <w:kinsoku/>
        <w:wordWrap/>
        <w:overflowPunct/>
        <w:topLinePunct w:val="0"/>
        <w:autoSpaceDE/>
        <w:autoSpaceDN/>
        <w:bidi w:val="0"/>
        <w:spacing w:line="360" w:lineRule="auto"/>
        <w:outlineLvl w:val="9"/>
        <w:rPr>
          <w:rFonts w:ascii="Calibri" w:hAnsi="Calibri"/>
          <w:b/>
          <w:bCs/>
          <w:sz w:val="24"/>
          <w:highlight w:val="none"/>
        </w:rPr>
      </w:pPr>
    </w:p>
    <w:p>
      <w:pPr>
        <w:pageBreakBefore w:val="0"/>
        <w:tabs>
          <w:tab w:val="left" w:pos="9214"/>
        </w:tabs>
        <w:kinsoku/>
        <w:wordWrap/>
        <w:overflowPunct/>
        <w:topLinePunct w:val="0"/>
        <w:autoSpaceDE/>
        <w:autoSpaceDN/>
        <w:bidi w:val="0"/>
        <w:spacing w:line="360" w:lineRule="auto"/>
        <w:outlineLvl w:val="9"/>
        <w:rPr>
          <w:rFonts w:ascii="Calibri" w:hAnsi="Calibri"/>
          <w:b/>
          <w:bCs/>
          <w:sz w:val="24"/>
          <w:highlight w:val="none"/>
        </w:rPr>
      </w:pPr>
    </w:p>
    <w:p>
      <w:pPr>
        <w:pageBreakBefore w:val="0"/>
        <w:tabs>
          <w:tab w:val="left" w:pos="9214"/>
        </w:tabs>
        <w:kinsoku/>
        <w:wordWrap/>
        <w:overflowPunct/>
        <w:topLinePunct w:val="0"/>
        <w:autoSpaceDE/>
        <w:autoSpaceDN/>
        <w:bidi w:val="0"/>
        <w:spacing w:line="360" w:lineRule="auto"/>
        <w:outlineLvl w:val="9"/>
        <w:rPr>
          <w:rFonts w:ascii="Calibri" w:hAnsi="Calibri"/>
          <w:b/>
          <w:bCs/>
          <w:sz w:val="24"/>
          <w:highlight w:val="none"/>
        </w:rPr>
      </w:pPr>
    </w:p>
    <w:p>
      <w:pPr>
        <w:pageBreakBefore w:val="0"/>
        <w:tabs>
          <w:tab w:val="left" w:pos="9214"/>
        </w:tabs>
        <w:kinsoku/>
        <w:wordWrap/>
        <w:overflowPunct/>
        <w:topLinePunct w:val="0"/>
        <w:autoSpaceDE/>
        <w:autoSpaceDN/>
        <w:bidi w:val="0"/>
        <w:spacing w:line="360" w:lineRule="auto"/>
        <w:outlineLvl w:val="9"/>
        <w:rPr>
          <w:rFonts w:ascii="Calibri" w:hAnsi="Calibri"/>
          <w:b/>
          <w:bCs/>
          <w:sz w:val="24"/>
          <w:highlight w:val="none"/>
        </w:rPr>
      </w:pPr>
    </w:p>
    <w:p>
      <w:pPr>
        <w:pageBreakBefore w:val="0"/>
        <w:tabs>
          <w:tab w:val="left" w:pos="9214"/>
        </w:tabs>
        <w:kinsoku/>
        <w:wordWrap/>
        <w:overflowPunct/>
        <w:topLinePunct w:val="0"/>
        <w:autoSpaceDE/>
        <w:autoSpaceDN/>
        <w:bidi w:val="0"/>
        <w:spacing w:line="360" w:lineRule="auto"/>
        <w:outlineLvl w:val="9"/>
        <w:rPr>
          <w:rFonts w:ascii="Calibri" w:hAnsi="Calibri"/>
          <w:b/>
          <w:bCs/>
          <w:sz w:val="24"/>
          <w:highlight w:val="none"/>
        </w:rPr>
      </w:pPr>
    </w:p>
    <w:p>
      <w:pPr>
        <w:pageBreakBefore w:val="0"/>
        <w:widowControl/>
        <w:kinsoku/>
        <w:wordWrap/>
        <w:overflowPunct/>
        <w:topLinePunct w:val="0"/>
        <w:autoSpaceDE/>
        <w:autoSpaceDN/>
        <w:bidi w:val="0"/>
        <w:jc w:val="left"/>
        <w:outlineLvl w:val="9"/>
        <w:rPr>
          <w:rFonts w:hint="eastAsia" w:ascii="Calibri" w:hAnsi="宋体"/>
          <w:b/>
          <w:sz w:val="28"/>
          <w:szCs w:val="28"/>
          <w:highlight w:val="none"/>
        </w:rPr>
      </w:pPr>
    </w:p>
    <w:p>
      <w:pPr>
        <w:pageBreakBefore w:val="0"/>
        <w:widowControl/>
        <w:kinsoku/>
        <w:wordWrap/>
        <w:overflowPunct/>
        <w:topLinePunct w:val="0"/>
        <w:autoSpaceDE/>
        <w:autoSpaceDN/>
        <w:bidi w:val="0"/>
        <w:jc w:val="left"/>
        <w:outlineLvl w:val="9"/>
        <w:rPr>
          <w:rFonts w:hint="eastAsia" w:ascii="Calibri" w:hAnsi="宋体"/>
          <w:b/>
          <w:sz w:val="28"/>
          <w:szCs w:val="28"/>
          <w:highlight w:val="none"/>
        </w:rPr>
      </w:pPr>
    </w:p>
    <w:p>
      <w:pPr>
        <w:pageBreakBefore w:val="0"/>
        <w:widowControl/>
        <w:kinsoku/>
        <w:wordWrap/>
        <w:overflowPunct/>
        <w:topLinePunct w:val="0"/>
        <w:autoSpaceDE/>
        <w:autoSpaceDN/>
        <w:bidi w:val="0"/>
        <w:jc w:val="left"/>
        <w:outlineLvl w:val="9"/>
        <w:rPr>
          <w:rFonts w:hint="eastAsia" w:ascii="Calibri" w:hAnsi="宋体"/>
          <w:b/>
          <w:sz w:val="28"/>
          <w:szCs w:val="28"/>
          <w:highlight w:val="none"/>
        </w:rPr>
      </w:pPr>
    </w:p>
    <w:p>
      <w:pPr>
        <w:pageBreakBefore w:val="0"/>
        <w:widowControl/>
        <w:kinsoku/>
        <w:wordWrap/>
        <w:overflowPunct/>
        <w:topLinePunct w:val="0"/>
        <w:autoSpaceDE/>
        <w:autoSpaceDN/>
        <w:bidi w:val="0"/>
        <w:jc w:val="left"/>
        <w:outlineLvl w:val="9"/>
        <w:rPr>
          <w:rFonts w:hint="eastAsia" w:ascii="Calibri" w:hAnsi="宋体"/>
          <w:b/>
          <w:sz w:val="28"/>
          <w:szCs w:val="28"/>
          <w:highlight w:val="none"/>
        </w:rPr>
      </w:pPr>
    </w:p>
    <w:p>
      <w:pPr>
        <w:pageBreakBefore w:val="0"/>
        <w:widowControl/>
        <w:kinsoku/>
        <w:wordWrap/>
        <w:overflowPunct/>
        <w:topLinePunct w:val="0"/>
        <w:autoSpaceDE/>
        <w:autoSpaceDN/>
        <w:bidi w:val="0"/>
        <w:jc w:val="left"/>
        <w:outlineLvl w:val="9"/>
        <w:rPr>
          <w:rFonts w:hint="eastAsia" w:ascii="Calibri" w:hAnsi="宋体"/>
          <w:b/>
          <w:sz w:val="28"/>
          <w:szCs w:val="28"/>
          <w:highlight w:val="none"/>
        </w:rPr>
      </w:pPr>
    </w:p>
    <w:p>
      <w:pPr>
        <w:pageBreakBefore w:val="0"/>
        <w:tabs>
          <w:tab w:val="left" w:pos="9214"/>
        </w:tabs>
        <w:kinsoku/>
        <w:wordWrap/>
        <w:overflowPunct/>
        <w:topLinePunct w:val="0"/>
        <w:autoSpaceDE/>
        <w:autoSpaceDN/>
        <w:bidi w:val="0"/>
        <w:spacing w:line="360" w:lineRule="auto"/>
        <w:outlineLvl w:val="9"/>
        <w:rPr>
          <w:rFonts w:ascii="Calibri" w:hAnsi="宋体"/>
          <w:b/>
          <w:sz w:val="28"/>
          <w:szCs w:val="28"/>
          <w:highlight w:val="none"/>
        </w:rPr>
      </w:pPr>
      <w:r>
        <w:rPr>
          <w:rFonts w:hint="eastAsia" w:ascii="Calibri" w:hAnsi="Calibri" w:cs="宋体"/>
          <w:szCs w:val="21"/>
          <w:highlight w:val="none"/>
          <w:u w:val="single"/>
        </w:rPr>
        <w:br w:type="page"/>
      </w:r>
      <w:r>
        <w:rPr>
          <w:rFonts w:hint="eastAsia" w:ascii="Calibri" w:hAnsi="宋体"/>
          <w:b/>
          <w:sz w:val="28"/>
          <w:szCs w:val="28"/>
          <w:highlight w:val="none"/>
        </w:rPr>
        <w:t>格式</w:t>
      </w:r>
      <w:r>
        <w:rPr>
          <w:rFonts w:hint="eastAsia" w:ascii="Calibri" w:hAnsi="宋体"/>
          <w:b/>
          <w:sz w:val="28"/>
          <w:szCs w:val="28"/>
          <w:highlight w:val="none"/>
          <w:lang w:val="en-US" w:eastAsia="zh-CN"/>
        </w:rPr>
        <w:t>5</w:t>
      </w:r>
      <w:r>
        <w:rPr>
          <w:rFonts w:hint="eastAsia" w:ascii="Calibri" w:hAnsi="宋体"/>
          <w:b/>
          <w:sz w:val="28"/>
          <w:szCs w:val="28"/>
          <w:highlight w:val="none"/>
        </w:rPr>
        <w:t>：</w:t>
      </w:r>
    </w:p>
    <w:p>
      <w:pPr>
        <w:pageBreakBefore w:val="0"/>
        <w:numPr>
          <w:ilvl w:val="0"/>
          <w:numId w:val="0"/>
        </w:numPr>
        <w:tabs>
          <w:tab w:val="left" w:pos="1021"/>
        </w:tabs>
        <w:kinsoku/>
        <w:wordWrap/>
        <w:overflowPunct/>
        <w:topLinePunct w:val="0"/>
        <w:autoSpaceDE/>
        <w:autoSpaceDN/>
        <w:bidi w:val="0"/>
        <w:ind w:left="-171"/>
        <w:jc w:val="center"/>
        <w:outlineLvl w:val="9"/>
        <w:rPr>
          <w:rFonts w:hint="eastAsia" w:ascii="宋体" w:hAnsi="宋体"/>
          <w:b/>
          <w:bCs/>
          <w:sz w:val="32"/>
          <w:szCs w:val="32"/>
          <w:highlight w:val="none"/>
        </w:rPr>
      </w:pPr>
      <w:bookmarkStart w:id="441" w:name="_Toc489197861"/>
      <w:bookmarkStart w:id="442" w:name="_Toc481694851"/>
      <w:bookmarkStart w:id="443" w:name="_Toc489145757"/>
      <w:bookmarkStart w:id="444" w:name="_Toc13543"/>
      <w:bookmarkStart w:id="445" w:name="_Toc488633622"/>
      <w:bookmarkStart w:id="446" w:name="_Toc12768"/>
      <w:bookmarkStart w:id="447" w:name="_Toc213141100"/>
      <w:bookmarkStart w:id="448" w:name="_Toc518289514"/>
      <w:r>
        <w:rPr>
          <w:rFonts w:hint="eastAsia" w:ascii="宋体" w:hAnsi="宋体"/>
          <w:b/>
          <w:bCs/>
          <w:sz w:val="32"/>
          <w:szCs w:val="32"/>
          <w:highlight w:val="none"/>
        </w:rPr>
        <w:t>商务条款偏离表</w:t>
      </w:r>
      <w:bookmarkEnd w:id="441"/>
      <w:bookmarkEnd w:id="442"/>
      <w:bookmarkEnd w:id="443"/>
      <w:bookmarkEnd w:id="444"/>
      <w:bookmarkEnd w:id="445"/>
      <w:bookmarkEnd w:id="446"/>
      <w:bookmarkEnd w:id="447"/>
    </w:p>
    <w:p>
      <w:pPr>
        <w:pStyle w:val="10"/>
        <w:pageBreakBefore w:val="0"/>
        <w:kinsoku/>
        <w:wordWrap/>
        <w:overflowPunct/>
        <w:topLinePunct w:val="0"/>
        <w:autoSpaceDE/>
        <w:autoSpaceDN/>
        <w:bidi w:val="0"/>
        <w:outlineLvl w:val="9"/>
        <w:rPr>
          <w:highlight w:val="none"/>
        </w:rPr>
      </w:pPr>
    </w:p>
    <w:p>
      <w:pPr>
        <w:pageBreakBefore w:val="0"/>
        <w:kinsoku/>
        <w:wordWrap/>
        <w:overflowPunct/>
        <w:topLinePunct w:val="0"/>
        <w:autoSpaceDE/>
        <w:autoSpaceDN/>
        <w:bidi w:val="0"/>
        <w:adjustRightInd w:val="0"/>
        <w:snapToGrid w:val="0"/>
        <w:spacing w:line="360" w:lineRule="auto"/>
        <w:ind w:firstLine="480" w:firstLineChars="200"/>
        <w:outlineLvl w:val="9"/>
        <w:rPr>
          <w:sz w:val="24"/>
          <w:highlight w:val="none"/>
        </w:rPr>
      </w:pPr>
      <w:r>
        <w:rPr>
          <w:sz w:val="24"/>
          <w:highlight w:val="none"/>
        </w:rPr>
        <w:t>投标人应逐条对应招标文件第五章</w:t>
      </w:r>
      <w:r>
        <w:rPr>
          <w:rFonts w:hint="eastAsia"/>
          <w:sz w:val="24"/>
          <w:highlight w:val="none"/>
        </w:rPr>
        <w:t>“</w:t>
      </w:r>
      <w:r>
        <w:rPr>
          <w:b/>
          <w:sz w:val="24"/>
          <w:highlight w:val="none"/>
        </w:rPr>
        <w:t>采购需求</w:t>
      </w:r>
      <w:r>
        <w:rPr>
          <w:rFonts w:hint="eastAsia"/>
          <w:sz w:val="24"/>
          <w:highlight w:val="none"/>
        </w:rPr>
        <w:t>”</w:t>
      </w:r>
      <w:r>
        <w:rPr>
          <w:sz w:val="24"/>
          <w:highlight w:val="none"/>
        </w:rPr>
        <w:t>和第</w:t>
      </w:r>
      <w:r>
        <w:rPr>
          <w:rFonts w:hint="eastAsia"/>
          <w:sz w:val="24"/>
          <w:highlight w:val="none"/>
        </w:rPr>
        <w:t>三</w:t>
      </w:r>
      <w:r>
        <w:rPr>
          <w:sz w:val="24"/>
          <w:highlight w:val="none"/>
        </w:rPr>
        <w:t>章</w:t>
      </w:r>
      <w:r>
        <w:rPr>
          <w:rFonts w:hint="eastAsia"/>
          <w:sz w:val="24"/>
          <w:highlight w:val="none"/>
          <w:lang w:val="en-US" w:eastAsia="zh-CN"/>
        </w:rPr>
        <w:t>招标文件</w:t>
      </w:r>
      <w:r>
        <w:rPr>
          <w:sz w:val="24"/>
          <w:highlight w:val="none"/>
        </w:rPr>
        <w:t>中要求的商务条件，包括</w:t>
      </w:r>
      <w:r>
        <w:rPr>
          <w:rFonts w:hint="eastAsia"/>
          <w:sz w:val="24"/>
          <w:highlight w:val="none"/>
        </w:rPr>
        <w:t>但不限于</w:t>
      </w:r>
      <w:r>
        <w:rPr>
          <w:rFonts w:hint="eastAsia"/>
          <w:sz w:val="24"/>
          <w:highlight w:val="none"/>
          <w:lang w:eastAsia="zh-CN"/>
        </w:rPr>
        <w:t>服务期</w:t>
      </w:r>
      <w:r>
        <w:rPr>
          <w:sz w:val="24"/>
          <w:highlight w:val="none"/>
        </w:rPr>
        <w:t>、</w:t>
      </w:r>
      <w:r>
        <w:rPr>
          <w:rFonts w:hint="eastAsia"/>
          <w:sz w:val="24"/>
          <w:highlight w:val="none"/>
          <w:lang w:eastAsia="zh-CN"/>
        </w:rPr>
        <w:t>服务地点</w:t>
      </w:r>
      <w:r>
        <w:rPr>
          <w:sz w:val="24"/>
          <w:highlight w:val="none"/>
        </w:rPr>
        <w:t>、付款方式等内容，并根据实际投标情况如实填写本表格。</w:t>
      </w:r>
    </w:p>
    <w:p>
      <w:pPr>
        <w:pStyle w:val="10"/>
        <w:pageBreakBefore w:val="0"/>
        <w:kinsoku/>
        <w:wordWrap/>
        <w:overflowPunct/>
        <w:topLinePunct w:val="0"/>
        <w:autoSpaceDE/>
        <w:autoSpaceDN/>
        <w:bidi w:val="0"/>
        <w:adjustRightInd w:val="0"/>
        <w:snapToGrid w:val="0"/>
        <w:spacing w:line="360" w:lineRule="auto"/>
        <w:outlineLvl w:val="9"/>
        <w:rPr>
          <w:b/>
          <w:color w:val="000000"/>
          <w:sz w:val="24"/>
          <w:szCs w:val="24"/>
          <w:highlight w:val="none"/>
        </w:rPr>
      </w:pPr>
      <w:r>
        <w:rPr>
          <w:b/>
          <w:color w:val="000000"/>
          <w:sz w:val="24"/>
          <w:szCs w:val="24"/>
          <w:highlight w:val="none"/>
        </w:rPr>
        <w:t>★未填写本表格的投标人将不能通过符合性审查。</w:t>
      </w:r>
    </w:p>
    <w:p>
      <w:pPr>
        <w:pStyle w:val="18"/>
        <w:pageBreakBefore w:val="0"/>
        <w:kinsoku/>
        <w:wordWrap/>
        <w:overflowPunct/>
        <w:topLinePunct w:val="0"/>
        <w:autoSpaceDE/>
        <w:autoSpaceDN/>
        <w:bidi w:val="0"/>
        <w:spacing w:line="360" w:lineRule="auto"/>
        <w:outlineLvl w:val="9"/>
        <w:rPr>
          <w:rFonts w:ascii="Times New Roman"/>
          <w:b/>
          <w:sz w:val="24"/>
          <w:szCs w:val="24"/>
          <w:highlight w:val="none"/>
        </w:rPr>
      </w:pPr>
      <w:r>
        <w:rPr>
          <w:rFonts w:ascii="Times New Roman"/>
          <w:b/>
          <w:sz w:val="24"/>
          <w:szCs w:val="24"/>
          <w:highlight w:val="none"/>
        </w:rPr>
        <w:t>项目名称：                                     项目编号：</w:t>
      </w:r>
    </w:p>
    <w:p>
      <w:pPr>
        <w:pageBreakBefore w:val="0"/>
        <w:kinsoku/>
        <w:wordWrap/>
        <w:overflowPunct/>
        <w:topLinePunct w:val="0"/>
        <w:autoSpaceDE/>
        <w:autoSpaceDN/>
        <w:bidi w:val="0"/>
        <w:spacing w:line="360" w:lineRule="auto"/>
        <w:outlineLvl w:val="9"/>
        <w:rPr>
          <w:color w:val="000000"/>
          <w:sz w:val="24"/>
          <w:highlight w:val="none"/>
        </w:rPr>
      </w:pPr>
      <w:r>
        <w:rPr>
          <w:color w:val="000000"/>
          <w:sz w:val="24"/>
          <w:highlight w:val="none"/>
        </w:rPr>
        <w:t>A、</w:t>
      </w:r>
      <w:r>
        <w:rPr>
          <w:rFonts w:ascii="Wingdings 2" w:hAnsi="Wingdings 2"/>
          <w:color w:val="000000"/>
          <w:sz w:val="24"/>
          <w:highlight w:val="none"/>
        </w:rPr>
        <w:t>£</w:t>
      </w:r>
      <w:r>
        <w:rPr>
          <w:color w:val="000000"/>
          <w:sz w:val="24"/>
          <w:highlight w:val="none"/>
        </w:rPr>
        <w:t>我公司已详细阅读招标文件中项商务要求，所有商务要求均无偏离，中标后我公司将严格遵照执行。</w:t>
      </w:r>
    </w:p>
    <w:p>
      <w:pPr>
        <w:pageBreakBefore w:val="0"/>
        <w:kinsoku/>
        <w:wordWrap/>
        <w:overflowPunct/>
        <w:topLinePunct w:val="0"/>
        <w:autoSpaceDE/>
        <w:autoSpaceDN/>
        <w:bidi w:val="0"/>
        <w:spacing w:line="360" w:lineRule="auto"/>
        <w:outlineLvl w:val="9"/>
        <w:rPr>
          <w:color w:val="000000"/>
          <w:sz w:val="24"/>
          <w:highlight w:val="none"/>
        </w:rPr>
      </w:pPr>
      <w:r>
        <w:rPr>
          <w:color w:val="000000"/>
          <w:sz w:val="24"/>
          <w:highlight w:val="none"/>
        </w:rPr>
        <w:t>B、</w:t>
      </w:r>
      <w:r>
        <w:rPr>
          <w:rFonts w:ascii="Wingdings 2" w:hAnsi="Wingdings 2"/>
          <w:color w:val="000000"/>
          <w:sz w:val="24"/>
          <w:highlight w:val="none"/>
        </w:rPr>
        <w:t>£</w:t>
      </w:r>
      <w:r>
        <w:rPr>
          <w:color w:val="000000"/>
          <w:sz w:val="24"/>
          <w:highlight w:val="none"/>
        </w:rPr>
        <w:t>我公司已详细阅读招标文件中项商务要求，除下述条款有偏离外，其余条款我公司均予以认可，中标后将严格遵照执行。</w:t>
      </w:r>
    </w:p>
    <w:p>
      <w:pPr>
        <w:pageBreakBefore w:val="0"/>
        <w:kinsoku/>
        <w:wordWrap/>
        <w:overflowPunct/>
        <w:topLinePunct w:val="0"/>
        <w:autoSpaceDE/>
        <w:autoSpaceDN/>
        <w:bidi w:val="0"/>
        <w:outlineLvl w:val="9"/>
        <w:rPr>
          <w:highlight w:val="none"/>
        </w:rPr>
      </w:pPr>
    </w:p>
    <w:tbl>
      <w:tblPr>
        <w:tblStyle w:val="3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191"/>
        <w:gridCol w:w="2251"/>
        <w:gridCol w:w="2126"/>
        <w:gridCol w:w="992"/>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vAlign w:val="center"/>
          </w:tcPr>
          <w:p>
            <w:pPr>
              <w:pStyle w:val="18"/>
              <w:pageBreakBefore w:val="0"/>
              <w:kinsoku/>
              <w:wordWrap/>
              <w:overflowPunct/>
              <w:topLinePunct w:val="0"/>
              <w:autoSpaceDE/>
              <w:autoSpaceDN/>
              <w:bidi w:val="0"/>
              <w:jc w:val="center"/>
              <w:outlineLvl w:val="9"/>
              <w:rPr>
                <w:rFonts w:hAnsi="宋体"/>
                <w:b/>
                <w:szCs w:val="21"/>
                <w:highlight w:val="none"/>
              </w:rPr>
            </w:pPr>
            <w:r>
              <w:rPr>
                <w:rFonts w:hint="eastAsia" w:hAnsi="宋体"/>
                <w:b/>
                <w:szCs w:val="21"/>
                <w:highlight w:val="none"/>
              </w:rPr>
              <w:t>序号</w:t>
            </w:r>
          </w:p>
        </w:tc>
        <w:tc>
          <w:tcPr>
            <w:tcW w:w="1191" w:type="dxa"/>
            <w:vAlign w:val="center"/>
          </w:tcPr>
          <w:p>
            <w:pPr>
              <w:pStyle w:val="18"/>
              <w:pageBreakBefore w:val="0"/>
              <w:kinsoku/>
              <w:wordWrap/>
              <w:overflowPunct/>
              <w:topLinePunct w:val="0"/>
              <w:autoSpaceDE/>
              <w:autoSpaceDN/>
              <w:bidi w:val="0"/>
              <w:jc w:val="center"/>
              <w:outlineLvl w:val="9"/>
              <w:rPr>
                <w:rFonts w:hAnsi="宋体"/>
                <w:b/>
                <w:szCs w:val="21"/>
                <w:highlight w:val="none"/>
              </w:rPr>
            </w:pPr>
            <w:r>
              <w:rPr>
                <w:rFonts w:hint="eastAsia" w:hAnsi="宋体"/>
                <w:b/>
                <w:szCs w:val="21"/>
                <w:highlight w:val="none"/>
              </w:rPr>
              <w:t>招标文件页码及条款号</w:t>
            </w:r>
          </w:p>
        </w:tc>
        <w:tc>
          <w:tcPr>
            <w:tcW w:w="2251" w:type="dxa"/>
            <w:vAlign w:val="center"/>
          </w:tcPr>
          <w:p>
            <w:pPr>
              <w:pStyle w:val="18"/>
              <w:pageBreakBefore w:val="0"/>
              <w:kinsoku/>
              <w:wordWrap/>
              <w:overflowPunct/>
              <w:topLinePunct w:val="0"/>
              <w:autoSpaceDE/>
              <w:autoSpaceDN/>
              <w:bidi w:val="0"/>
              <w:jc w:val="center"/>
              <w:outlineLvl w:val="9"/>
              <w:rPr>
                <w:rFonts w:hint="eastAsia" w:hAnsi="宋体"/>
                <w:b/>
                <w:szCs w:val="21"/>
                <w:highlight w:val="none"/>
              </w:rPr>
            </w:pPr>
            <w:r>
              <w:rPr>
                <w:rFonts w:hint="eastAsia" w:hAnsi="宋体"/>
                <w:b/>
                <w:szCs w:val="21"/>
                <w:highlight w:val="none"/>
              </w:rPr>
              <w:t>招标文件的商务条款要求</w:t>
            </w:r>
          </w:p>
        </w:tc>
        <w:tc>
          <w:tcPr>
            <w:tcW w:w="2126" w:type="dxa"/>
            <w:vAlign w:val="center"/>
          </w:tcPr>
          <w:p>
            <w:pPr>
              <w:pStyle w:val="18"/>
              <w:pageBreakBefore w:val="0"/>
              <w:kinsoku/>
              <w:wordWrap/>
              <w:overflowPunct/>
              <w:topLinePunct w:val="0"/>
              <w:autoSpaceDE/>
              <w:autoSpaceDN/>
              <w:bidi w:val="0"/>
              <w:jc w:val="center"/>
              <w:outlineLvl w:val="9"/>
              <w:rPr>
                <w:rFonts w:hint="eastAsia" w:hAnsi="宋体"/>
                <w:b/>
                <w:szCs w:val="21"/>
                <w:highlight w:val="none"/>
              </w:rPr>
            </w:pPr>
            <w:r>
              <w:rPr>
                <w:rFonts w:hint="eastAsia" w:hAnsi="宋体"/>
                <w:b/>
                <w:szCs w:val="21"/>
                <w:highlight w:val="none"/>
              </w:rPr>
              <w:t>投标文件的商务条款响应情况</w:t>
            </w:r>
          </w:p>
        </w:tc>
        <w:tc>
          <w:tcPr>
            <w:tcW w:w="992" w:type="dxa"/>
            <w:vAlign w:val="center"/>
          </w:tcPr>
          <w:p>
            <w:pPr>
              <w:pStyle w:val="18"/>
              <w:pageBreakBefore w:val="0"/>
              <w:kinsoku/>
              <w:wordWrap/>
              <w:overflowPunct/>
              <w:topLinePunct w:val="0"/>
              <w:autoSpaceDE/>
              <w:autoSpaceDN/>
              <w:bidi w:val="0"/>
              <w:jc w:val="center"/>
              <w:outlineLvl w:val="9"/>
              <w:rPr>
                <w:rFonts w:hAnsi="宋体"/>
                <w:b/>
                <w:szCs w:val="21"/>
                <w:highlight w:val="none"/>
              </w:rPr>
            </w:pPr>
            <w:r>
              <w:rPr>
                <w:rFonts w:hint="eastAsia" w:hAnsi="宋体"/>
                <w:b/>
                <w:szCs w:val="21"/>
                <w:highlight w:val="none"/>
              </w:rPr>
              <w:t>偏离情况</w:t>
            </w:r>
          </w:p>
        </w:tc>
        <w:tc>
          <w:tcPr>
            <w:tcW w:w="1418" w:type="dxa"/>
            <w:vAlign w:val="center"/>
          </w:tcPr>
          <w:p>
            <w:pPr>
              <w:pStyle w:val="18"/>
              <w:pageBreakBefore w:val="0"/>
              <w:kinsoku/>
              <w:wordWrap/>
              <w:overflowPunct/>
              <w:topLinePunct w:val="0"/>
              <w:autoSpaceDE/>
              <w:autoSpaceDN/>
              <w:bidi w:val="0"/>
              <w:jc w:val="center"/>
              <w:outlineLvl w:val="9"/>
              <w:rPr>
                <w:rFonts w:hAnsi="宋体"/>
                <w:b/>
                <w:szCs w:val="21"/>
                <w:highlight w:val="none"/>
              </w:rPr>
            </w:pPr>
            <w:r>
              <w:rPr>
                <w:rFonts w:hint="eastAsia" w:hAnsi="宋体"/>
                <w:b/>
                <w:szCs w:val="21"/>
                <w:highlight w:val="none"/>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tcPr>
          <w:p>
            <w:pPr>
              <w:pStyle w:val="18"/>
              <w:pageBreakBefore w:val="0"/>
              <w:kinsoku/>
              <w:wordWrap/>
              <w:overflowPunct/>
              <w:topLinePunct w:val="0"/>
              <w:autoSpaceDE/>
              <w:autoSpaceDN/>
              <w:bidi w:val="0"/>
              <w:outlineLvl w:val="9"/>
              <w:rPr>
                <w:rFonts w:hAnsi="宋体"/>
                <w:szCs w:val="21"/>
                <w:highlight w:val="none"/>
              </w:rPr>
            </w:pPr>
          </w:p>
        </w:tc>
        <w:tc>
          <w:tcPr>
            <w:tcW w:w="1191" w:type="dxa"/>
          </w:tcPr>
          <w:p>
            <w:pPr>
              <w:pStyle w:val="18"/>
              <w:pageBreakBefore w:val="0"/>
              <w:kinsoku/>
              <w:wordWrap/>
              <w:overflowPunct/>
              <w:topLinePunct w:val="0"/>
              <w:autoSpaceDE/>
              <w:autoSpaceDN/>
              <w:bidi w:val="0"/>
              <w:outlineLvl w:val="9"/>
              <w:rPr>
                <w:rFonts w:hAnsi="宋体"/>
                <w:szCs w:val="21"/>
                <w:highlight w:val="none"/>
              </w:rPr>
            </w:pPr>
          </w:p>
        </w:tc>
        <w:tc>
          <w:tcPr>
            <w:tcW w:w="2251" w:type="dxa"/>
          </w:tcPr>
          <w:p>
            <w:pPr>
              <w:pStyle w:val="18"/>
              <w:pageBreakBefore w:val="0"/>
              <w:kinsoku/>
              <w:wordWrap/>
              <w:overflowPunct/>
              <w:topLinePunct w:val="0"/>
              <w:autoSpaceDE/>
              <w:autoSpaceDN/>
              <w:bidi w:val="0"/>
              <w:outlineLvl w:val="9"/>
              <w:rPr>
                <w:rFonts w:hAnsi="宋体"/>
                <w:szCs w:val="21"/>
                <w:highlight w:val="none"/>
              </w:rPr>
            </w:pPr>
          </w:p>
        </w:tc>
        <w:tc>
          <w:tcPr>
            <w:tcW w:w="2126" w:type="dxa"/>
          </w:tcPr>
          <w:p>
            <w:pPr>
              <w:pStyle w:val="18"/>
              <w:pageBreakBefore w:val="0"/>
              <w:kinsoku/>
              <w:wordWrap/>
              <w:overflowPunct/>
              <w:topLinePunct w:val="0"/>
              <w:autoSpaceDE/>
              <w:autoSpaceDN/>
              <w:bidi w:val="0"/>
              <w:outlineLvl w:val="9"/>
              <w:rPr>
                <w:rFonts w:hAnsi="宋体"/>
                <w:szCs w:val="21"/>
                <w:highlight w:val="none"/>
              </w:rPr>
            </w:pPr>
          </w:p>
        </w:tc>
        <w:tc>
          <w:tcPr>
            <w:tcW w:w="992" w:type="dxa"/>
          </w:tcPr>
          <w:p>
            <w:pPr>
              <w:pStyle w:val="18"/>
              <w:pageBreakBefore w:val="0"/>
              <w:kinsoku/>
              <w:wordWrap/>
              <w:overflowPunct/>
              <w:topLinePunct w:val="0"/>
              <w:autoSpaceDE/>
              <w:autoSpaceDN/>
              <w:bidi w:val="0"/>
              <w:outlineLvl w:val="9"/>
              <w:rPr>
                <w:rFonts w:hAnsi="宋体"/>
                <w:szCs w:val="21"/>
                <w:highlight w:val="none"/>
              </w:rPr>
            </w:pPr>
          </w:p>
        </w:tc>
        <w:tc>
          <w:tcPr>
            <w:tcW w:w="1418" w:type="dxa"/>
          </w:tcPr>
          <w:p>
            <w:pPr>
              <w:pStyle w:val="18"/>
              <w:pageBreakBefore w:val="0"/>
              <w:kinsoku/>
              <w:wordWrap/>
              <w:overflowPunct/>
              <w:topLinePunct w:val="0"/>
              <w:autoSpaceDE/>
              <w:autoSpaceDN/>
              <w:bidi w:val="0"/>
              <w:outlineLvl w:val="9"/>
              <w:rPr>
                <w:rFonts w:hAnsi="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tcPr>
          <w:p>
            <w:pPr>
              <w:pStyle w:val="18"/>
              <w:pageBreakBefore w:val="0"/>
              <w:kinsoku/>
              <w:wordWrap/>
              <w:overflowPunct/>
              <w:topLinePunct w:val="0"/>
              <w:autoSpaceDE/>
              <w:autoSpaceDN/>
              <w:bidi w:val="0"/>
              <w:outlineLvl w:val="9"/>
              <w:rPr>
                <w:rFonts w:hAnsi="宋体"/>
                <w:szCs w:val="21"/>
                <w:highlight w:val="none"/>
              </w:rPr>
            </w:pPr>
          </w:p>
        </w:tc>
        <w:tc>
          <w:tcPr>
            <w:tcW w:w="1191" w:type="dxa"/>
          </w:tcPr>
          <w:p>
            <w:pPr>
              <w:pStyle w:val="18"/>
              <w:pageBreakBefore w:val="0"/>
              <w:kinsoku/>
              <w:wordWrap/>
              <w:overflowPunct/>
              <w:topLinePunct w:val="0"/>
              <w:autoSpaceDE/>
              <w:autoSpaceDN/>
              <w:bidi w:val="0"/>
              <w:outlineLvl w:val="9"/>
              <w:rPr>
                <w:rFonts w:hAnsi="宋体"/>
                <w:szCs w:val="21"/>
                <w:highlight w:val="none"/>
              </w:rPr>
            </w:pPr>
          </w:p>
        </w:tc>
        <w:tc>
          <w:tcPr>
            <w:tcW w:w="2251" w:type="dxa"/>
          </w:tcPr>
          <w:p>
            <w:pPr>
              <w:pStyle w:val="18"/>
              <w:pageBreakBefore w:val="0"/>
              <w:kinsoku/>
              <w:wordWrap/>
              <w:overflowPunct/>
              <w:topLinePunct w:val="0"/>
              <w:autoSpaceDE/>
              <w:autoSpaceDN/>
              <w:bidi w:val="0"/>
              <w:outlineLvl w:val="9"/>
              <w:rPr>
                <w:rFonts w:hAnsi="宋体"/>
                <w:szCs w:val="21"/>
                <w:highlight w:val="none"/>
              </w:rPr>
            </w:pPr>
          </w:p>
        </w:tc>
        <w:tc>
          <w:tcPr>
            <w:tcW w:w="2126" w:type="dxa"/>
          </w:tcPr>
          <w:p>
            <w:pPr>
              <w:pStyle w:val="18"/>
              <w:pageBreakBefore w:val="0"/>
              <w:kinsoku/>
              <w:wordWrap/>
              <w:overflowPunct/>
              <w:topLinePunct w:val="0"/>
              <w:autoSpaceDE/>
              <w:autoSpaceDN/>
              <w:bidi w:val="0"/>
              <w:outlineLvl w:val="9"/>
              <w:rPr>
                <w:rFonts w:hAnsi="宋体"/>
                <w:szCs w:val="21"/>
                <w:highlight w:val="none"/>
              </w:rPr>
            </w:pPr>
          </w:p>
        </w:tc>
        <w:tc>
          <w:tcPr>
            <w:tcW w:w="992" w:type="dxa"/>
          </w:tcPr>
          <w:p>
            <w:pPr>
              <w:pStyle w:val="18"/>
              <w:pageBreakBefore w:val="0"/>
              <w:kinsoku/>
              <w:wordWrap/>
              <w:overflowPunct/>
              <w:topLinePunct w:val="0"/>
              <w:autoSpaceDE/>
              <w:autoSpaceDN/>
              <w:bidi w:val="0"/>
              <w:outlineLvl w:val="9"/>
              <w:rPr>
                <w:rFonts w:hAnsi="宋体"/>
                <w:szCs w:val="21"/>
                <w:highlight w:val="none"/>
              </w:rPr>
            </w:pPr>
          </w:p>
        </w:tc>
        <w:tc>
          <w:tcPr>
            <w:tcW w:w="1418" w:type="dxa"/>
          </w:tcPr>
          <w:p>
            <w:pPr>
              <w:pStyle w:val="18"/>
              <w:pageBreakBefore w:val="0"/>
              <w:kinsoku/>
              <w:wordWrap/>
              <w:overflowPunct/>
              <w:topLinePunct w:val="0"/>
              <w:autoSpaceDE/>
              <w:autoSpaceDN/>
              <w:bidi w:val="0"/>
              <w:outlineLvl w:val="9"/>
              <w:rPr>
                <w:rFonts w:hAnsi="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tcPr>
          <w:p>
            <w:pPr>
              <w:pStyle w:val="18"/>
              <w:pageBreakBefore w:val="0"/>
              <w:kinsoku/>
              <w:wordWrap/>
              <w:overflowPunct/>
              <w:topLinePunct w:val="0"/>
              <w:autoSpaceDE/>
              <w:autoSpaceDN/>
              <w:bidi w:val="0"/>
              <w:outlineLvl w:val="9"/>
              <w:rPr>
                <w:rFonts w:hAnsi="宋体"/>
                <w:szCs w:val="21"/>
                <w:highlight w:val="none"/>
              </w:rPr>
            </w:pPr>
          </w:p>
        </w:tc>
        <w:tc>
          <w:tcPr>
            <w:tcW w:w="1191" w:type="dxa"/>
          </w:tcPr>
          <w:p>
            <w:pPr>
              <w:pStyle w:val="18"/>
              <w:pageBreakBefore w:val="0"/>
              <w:kinsoku/>
              <w:wordWrap/>
              <w:overflowPunct/>
              <w:topLinePunct w:val="0"/>
              <w:autoSpaceDE/>
              <w:autoSpaceDN/>
              <w:bidi w:val="0"/>
              <w:outlineLvl w:val="9"/>
              <w:rPr>
                <w:rFonts w:hAnsi="宋体"/>
                <w:szCs w:val="21"/>
                <w:highlight w:val="none"/>
              </w:rPr>
            </w:pPr>
          </w:p>
        </w:tc>
        <w:tc>
          <w:tcPr>
            <w:tcW w:w="2251" w:type="dxa"/>
          </w:tcPr>
          <w:p>
            <w:pPr>
              <w:pStyle w:val="18"/>
              <w:pageBreakBefore w:val="0"/>
              <w:kinsoku/>
              <w:wordWrap/>
              <w:overflowPunct/>
              <w:topLinePunct w:val="0"/>
              <w:autoSpaceDE/>
              <w:autoSpaceDN/>
              <w:bidi w:val="0"/>
              <w:outlineLvl w:val="9"/>
              <w:rPr>
                <w:rFonts w:hAnsi="宋体"/>
                <w:szCs w:val="21"/>
                <w:highlight w:val="none"/>
              </w:rPr>
            </w:pPr>
          </w:p>
        </w:tc>
        <w:tc>
          <w:tcPr>
            <w:tcW w:w="2126" w:type="dxa"/>
          </w:tcPr>
          <w:p>
            <w:pPr>
              <w:pStyle w:val="18"/>
              <w:pageBreakBefore w:val="0"/>
              <w:kinsoku/>
              <w:wordWrap/>
              <w:overflowPunct/>
              <w:topLinePunct w:val="0"/>
              <w:autoSpaceDE/>
              <w:autoSpaceDN/>
              <w:bidi w:val="0"/>
              <w:outlineLvl w:val="9"/>
              <w:rPr>
                <w:rFonts w:hAnsi="宋体"/>
                <w:szCs w:val="21"/>
                <w:highlight w:val="none"/>
              </w:rPr>
            </w:pPr>
          </w:p>
        </w:tc>
        <w:tc>
          <w:tcPr>
            <w:tcW w:w="992" w:type="dxa"/>
          </w:tcPr>
          <w:p>
            <w:pPr>
              <w:pStyle w:val="18"/>
              <w:pageBreakBefore w:val="0"/>
              <w:kinsoku/>
              <w:wordWrap/>
              <w:overflowPunct/>
              <w:topLinePunct w:val="0"/>
              <w:autoSpaceDE/>
              <w:autoSpaceDN/>
              <w:bidi w:val="0"/>
              <w:outlineLvl w:val="9"/>
              <w:rPr>
                <w:rFonts w:hAnsi="宋体"/>
                <w:szCs w:val="21"/>
                <w:highlight w:val="none"/>
              </w:rPr>
            </w:pPr>
          </w:p>
        </w:tc>
        <w:tc>
          <w:tcPr>
            <w:tcW w:w="1418" w:type="dxa"/>
          </w:tcPr>
          <w:p>
            <w:pPr>
              <w:pStyle w:val="18"/>
              <w:pageBreakBefore w:val="0"/>
              <w:kinsoku/>
              <w:wordWrap/>
              <w:overflowPunct/>
              <w:topLinePunct w:val="0"/>
              <w:autoSpaceDE/>
              <w:autoSpaceDN/>
              <w:bidi w:val="0"/>
              <w:outlineLvl w:val="9"/>
              <w:rPr>
                <w:rFonts w:hAnsi="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tcPr>
          <w:p>
            <w:pPr>
              <w:pStyle w:val="18"/>
              <w:pageBreakBefore w:val="0"/>
              <w:kinsoku/>
              <w:wordWrap/>
              <w:overflowPunct/>
              <w:topLinePunct w:val="0"/>
              <w:autoSpaceDE/>
              <w:autoSpaceDN/>
              <w:bidi w:val="0"/>
              <w:outlineLvl w:val="9"/>
              <w:rPr>
                <w:rFonts w:hAnsi="宋体"/>
                <w:szCs w:val="21"/>
                <w:highlight w:val="none"/>
              </w:rPr>
            </w:pPr>
          </w:p>
        </w:tc>
        <w:tc>
          <w:tcPr>
            <w:tcW w:w="1191" w:type="dxa"/>
          </w:tcPr>
          <w:p>
            <w:pPr>
              <w:pStyle w:val="18"/>
              <w:pageBreakBefore w:val="0"/>
              <w:kinsoku/>
              <w:wordWrap/>
              <w:overflowPunct/>
              <w:topLinePunct w:val="0"/>
              <w:autoSpaceDE/>
              <w:autoSpaceDN/>
              <w:bidi w:val="0"/>
              <w:outlineLvl w:val="9"/>
              <w:rPr>
                <w:rFonts w:hAnsi="宋体"/>
                <w:szCs w:val="21"/>
                <w:highlight w:val="none"/>
              </w:rPr>
            </w:pPr>
          </w:p>
        </w:tc>
        <w:tc>
          <w:tcPr>
            <w:tcW w:w="2251" w:type="dxa"/>
          </w:tcPr>
          <w:p>
            <w:pPr>
              <w:pStyle w:val="18"/>
              <w:pageBreakBefore w:val="0"/>
              <w:kinsoku/>
              <w:wordWrap/>
              <w:overflowPunct/>
              <w:topLinePunct w:val="0"/>
              <w:autoSpaceDE/>
              <w:autoSpaceDN/>
              <w:bidi w:val="0"/>
              <w:outlineLvl w:val="9"/>
              <w:rPr>
                <w:rFonts w:hAnsi="宋体"/>
                <w:szCs w:val="21"/>
                <w:highlight w:val="none"/>
              </w:rPr>
            </w:pPr>
          </w:p>
        </w:tc>
        <w:tc>
          <w:tcPr>
            <w:tcW w:w="2126" w:type="dxa"/>
          </w:tcPr>
          <w:p>
            <w:pPr>
              <w:pStyle w:val="18"/>
              <w:pageBreakBefore w:val="0"/>
              <w:kinsoku/>
              <w:wordWrap/>
              <w:overflowPunct/>
              <w:topLinePunct w:val="0"/>
              <w:autoSpaceDE/>
              <w:autoSpaceDN/>
              <w:bidi w:val="0"/>
              <w:outlineLvl w:val="9"/>
              <w:rPr>
                <w:rFonts w:hAnsi="宋体"/>
                <w:szCs w:val="21"/>
                <w:highlight w:val="none"/>
              </w:rPr>
            </w:pPr>
          </w:p>
        </w:tc>
        <w:tc>
          <w:tcPr>
            <w:tcW w:w="992" w:type="dxa"/>
          </w:tcPr>
          <w:p>
            <w:pPr>
              <w:pStyle w:val="18"/>
              <w:pageBreakBefore w:val="0"/>
              <w:kinsoku/>
              <w:wordWrap/>
              <w:overflowPunct/>
              <w:topLinePunct w:val="0"/>
              <w:autoSpaceDE/>
              <w:autoSpaceDN/>
              <w:bidi w:val="0"/>
              <w:outlineLvl w:val="9"/>
              <w:rPr>
                <w:rFonts w:hAnsi="宋体"/>
                <w:szCs w:val="21"/>
                <w:highlight w:val="none"/>
              </w:rPr>
            </w:pPr>
          </w:p>
        </w:tc>
        <w:tc>
          <w:tcPr>
            <w:tcW w:w="1418" w:type="dxa"/>
          </w:tcPr>
          <w:p>
            <w:pPr>
              <w:pStyle w:val="18"/>
              <w:pageBreakBefore w:val="0"/>
              <w:kinsoku/>
              <w:wordWrap/>
              <w:overflowPunct/>
              <w:topLinePunct w:val="0"/>
              <w:autoSpaceDE/>
              <w:autoSpaceDN/>
              <w:bidi w:val="0"/>
              <w:outlineLvl w:val="9"/>
              <w:rPr>
                <w:rFonts w:hAnsi="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tcPr>
          <w:p>
            <w:pPr>
              <w:pStyle w:val="18"/>
              <w:pageBreakBefore w:val="0"/>
              <w:kinsoku/>
              <w:wordWrap/>
              <w:overflowPunct/>
              <w:topLinePunct w:val="0"/>
              <w:autoSpaceDE/>
              <w:autoSpaceDN/>
              <w:bidi w:val="0"/>
              <w:outlineLvl w:val="9"/>
              <w:rPr>
                <w:rFonts w:hAnsi="宋体"/>
                <w:szCs w:val="21"/>
                <w:highlight w:val="none"/>
              </w:rPr>
            </w:pPr>
          </w:p>
        </w:tc>
        <w:tc>
          <w:tcPr>
            <w:tcW w:w="1191" w:type="dxa"/>
          </w:tcPr>
          <w:p>
            <w:pPr>
              <w:pStyle w:val="18"/>
              <w:pageBreakBefore w:val="0"/>
              <w:kinsoku/>
              <w:wordWrap/>
              <w:overflowPunct/>
              <w:topLinePunct w:val="0"/>
              <w:autoSpaceDE/>
              <w:autoSpaceDN/>
              <w:bidi w:val="0"/>
              <w:outlineLvl w:val="9"/>
              <w:rPr>
                <w:rFonts w:hAnsi="宋体"/>
                <w:szCs w:val="21"/>
                <w:highlight w:val="none"/>
              </w:rPr>
            </w:pPr>
          </w:p>
        </w:tc>
        <w:tc>
          <w:tcPr>
            <w:tcW w:w="2251" w:type="dxa"/>
          </w:tcPr>
          <w:p>
            <w:pPr>
              <w:pStyle w:val="18"/>
              <w:pageBreakBefore w:val="0"/>
              <w:kinsoku/>
              <w:wordWrap/>
              <w:overflowPunct/>
              <w:topLinePunct w:val="0"/>
              <w:autoSpaceDE/>
              <w:autoSpaceDN/>
              <w:bidi w:val="0"/>
              <w:outlineLvl w:val="9"/>
              <w:rPr>
                <w:rFonts w:hAnsi="宋体"/>
                <w:szCs w:val="21"/>
                <w:highlight w:val="none"/>
              </w:rPr>
            </w:pPr>
          </w:p>
        </w:tc>
        <w:tc>
          <w:tcPr>
            <w:tcW w:w="2126" w:type="dxa"/>
          </w:tcPr>
          <w:p>
            <w:pPr>
              <w:pStyle w:val="18"/>
              <w:pageBreakBefore w:val="0"/>
              <w:kinsoku/>
              <w:wordWrap/>
              <w:overflowPunct/>
              <w:topLinePunct w:val="0"/>
              <w:autoSpaceDE/>
              <w:autoSpaceDN/>
              <w:bidi w:val="0"/>
              <w:outlineLvl w:val="9"/>
              <w:rPr>
                <w:rFonts w:hAnsi="宋体"/>
                <w:szCs w:val="21"/>
                <w:highlight w:val="none"/>
              </w:rPr>
            </w:pPr>
          </w:p>
        </w:tc>
        <w:tc>
          <w:tcPr>
            <w:tcW w:w="992" w:type="dxa"/>
          </w:tcPr>
          <w:p>
            <w:pPr>
              <w:pStyle w:val="18"/>
              <w:pageBreakBefore w:val="0"/>
              <w:kinsoku/>
              <w:wordWrap/>
              <w:overflowPunct/>
              <w:topLinePunct w:val="0"/>
              <w:autoSpaceDE/>
              <w:autoSpaceDN/>
              <w:bidi w:val="0"/>
              <w:outlineLvl w:val="9"/>
              <w:rPr>
                <w:rFonts w:hAnsi="宋体"/>
                <w:szCs w:val="21"/>
                <w:highlight w:val="none"/>
              </w:rPr>
            </w:pPr>
          </w:p>
        </w:tc>
        <w:tc>
          <w:tcPr>
            <w:tcW w:w="1418" w:type="dxa"/>
          </w:tcPr>
          <w:p>
            <w:pPr>
              <w:pStyle w:val="18"/>
              <w:pageBreakBefore w:val="0"/>
              <w:kinsoku/>
              <w:wordWrap/>
              <w:overflowPunct/>
              <w:topLinePunct w:val="0"/>
              <w:autoSpaceDE/>
              <w:autoSpaceDN/>
              <w:bidi w:val="0"/>
              <w:outlineLvl w:val="9"/>
              <w:rPr>
                <w:rFonts w:hAnsi="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tcPr>
          <w:p>
            <w:pPr>
              <w:pStyle w:val="18"/>
              <w:pageBreakBefore w:val="0"/>
              <w:kinsoku/>
              <w:wordWrap/>
              <w:overflowPunct/>
              <w:topLinePunct w:val="0"/>
              <w:autoSpaceDE/>
              <w:autoSpaceDN/>
              <w:bidi w:val="0"/>
              <w:outlineLvl w:val="9"/>
              <w:rPr>
                <w:rFonts w:hAnsi="宋体"/>
                <w:szCs w:val="21"/>
                <w:highlight w:val="none"/>
              </w:rPr>
            </w:pPr>
          </w:p>
        </w:tc>
        <w:tc>
          <w:tcPr>
            <w:tcW w:w="1191" w:type="dxa"/>
          </w:tcPr>
          <w:p>
            <w:pPr>
              <w:pStyle w:val="18"/>
              <w:pageBreakBefore w:val="0"/>
              <w:kinsoku/>
              <w:wordWrap/>
              <w:overflowPunct/>
              <w:topLinePunct w:val="0"/>
              <w:autoSpaceDE/>
              <w:autoSpaceDN/>
              <w:bidi w:val="0"/>
              <w:outlineLvl w:val="9"/>
              <w:rPr>
                <w:rFonts w:hAnsi="宋体"/>
                <w:szCs w:val="21"/>
                <w:highlight w:val="none"/>
              </w:rPr>
            </w:pPr>
          </w:p>
        </w:tc>
        <w:tc>
          <w:tcPr>
            <w:tcW w:w="2251" w:type="dxa"/>
          </w:tcPr>
          <w:p>
            <w:pPr>
              <w:pStyle w:val="18"/>
              <w:pageBreakBefore w:val="0"/>
              <w:kinsoku/>
              <w:wordWrap/>
              <w:overflowPunct/>
              <w:topLinePunct w:val="0"/>
              <w:autoSpaceDE/>
              <w:autoSpaceDN/>
              <w:bidi w:val="0"/>
              <w:outlineLvl w:val="9"/>
              <w:rPr>
                <w:rFonts w:hAnsi="宋体"/>
                <w:szCs w:val="21"/>
                <w:highlight w:val="none"/>
              </w:rPr>
            </w:pPr>
          </w:p>
        </w:tc>
        <w:tc>
          <w:tcPr>
            <w:tcW w:w="2126" w:type="dxa"/>
          </w:tcPr>
          <w:p>
            <w:pPr>
              <w:pStyle w:val="18"/>
              <w:pageBreakBefore w:val="0"/>
              <w:kinsoku/>
              <w:wordWrap/>
              <w:overflowPunct/>
              <w:topLinePunct w:val="0"/>
              <w:autoSpaceDE/>
              <w:autoSpaceDN/>
              <w:bidi w:val="0"/>
              <w:outlineLvl w:val="9"/>
              <w:rPr>
                <w:rFonts w:hAnsi="宋体"/>
                <w:szCs w:val="21"/>
                <w:highlight w:val="none"/>
              </w:rPr>
            </w:pPr>
          </w:p>
        </w:tc>
        <w:tc>
          <w:tcPr>
            <w:tcW w:w="992" w:type="dxa"/>
          </w:tcPr>
          <w:p>
            <w:pPr>
              <w:pStyle w:val="18"/>
              <w:pageBreakBefore w:val="0"/>
              <w:kinsoku/>
              <w:wordWrap/>
              <w:overflowPunct/>
              <w:topLinePunct w:val="0"/>
              <w:autoSpaceDE/>
              <w:autoSpaceDN/>
              <w:bidi w:val="0"/>
              <w:outlineLvl w:val="9"/>
              <w:rPr>
                <w:rFonts w:hAnsi="宋体"/>
                <w:szCs w:val="21"/>
                <w:highlight w:val="none"/>
              </w:rPr>
            </w:pPr>
          </w:p>
        </w:tc>
        <w:tc>
          <w:tcPr>
            <w:tcW w:w="1418" w:type="dxa"/>
          </w:tcPr>
          <w:p>
            <w:pPr>
              <w:pStyle w:val="18"/>
              <w:pageBreakBefore w:val="0"/>
              <w:kinsoku/>
              <w:wordWrap/>
              <w:overflowPunct/>
              <w:topLinePunct w:val="0"/>
              <w:autoSpaceDE/>
              <w:autoSpaceDN/>
              <w:bidi w:val="0"/>
              <w:outlineLvl w:val="9"/>
              <w:rPr>
                <w:rFonts w:hAnsi="宋体"/>
                <w:szCs w:val="21"/>
                <w:highlight w:val="none"/>
              </w:rPr>
            </w:pPr>
          </w:p>
        </w:tc>
      </w:tr>
    </w:tbl>
    <w:p>
      <w:pPr>
        <w:pStyle w:val="18"/>
        <w:pageBreakBefore w:val="0"/>
        <w:kinsoku/>
        <w:wordWrap/>
        <w:overflowPunct/>
        <w:topLinePunct w:val="0"/>
        <w:autoSpaceDE/>
        <w:autoSpaceDN/>
        <w:bidi w:val="0"/>
        <w:spacing w:line="400" w:lineRule="exact"/>
        <w:ind w:left="-424" w:leftChars="-202" w:firstLine="422" w:firstLineChars="200"/>
        <w:outlineLvl w:val="9"/>
        <w:rPr>
          <w:rFonts w:hAnsi="宋体"/>
          <w:b/>
          <w:szCs w:val="21"/>
          <w:highlight w:val="none"/>
        </w:rPr>
      </w:pPr>
    </w:p>
    <w:bookmarkEnd w:id="448"/>
    <w:p>
      <w:pPr>
        <w:pageBreakBefore w:val="0"/>
        <w:kinsoku/>
        <w:wordWrap/>
        <w:overflowPunct/>
        <w:topLinePunct w:val="0"/>
        <w:autoSpaceDE/>
        <w:autoSpaceDN/>
        <w:bidi w:val="0"/>
        <w:spacing w:line="500" w:lineRule="exact"/>
        <w:ind w:firstLine="420" w:firstLineChars="200"/>
        <w:outlineLvl w:val="9"/>
        <w:rPr>
          <w:rFonts w:hint="eastAsia" w:ascii="宋体" w:hAnsi="宋体"/>
          <w:bCs/>
          <w:szCs w:val="20"/>
          <w:highlight w:val="none"/>
        </w:rPr>
      </w:pPr>
    </w:p>
    <w:p>
      <w:pPr>
        <w:pageBreakBefore w:val="0"/>
        <w:tabs>
          <w:tab w:val="left" w:pos="9214"/>
        </w:tabs>
        <w:kinsoku/>
        <w:wordWrap/>
        <w:overflowPunct/>
        <w:topLinePunct w:val="0"/>
        <w:autoSpaceDE/>
        <w:autoSpaceDN/>
        <w:bidi w:val="0"/>
        <w:spacing w:line="360" w:lineRule="auto"/>
        <w:outlineLvl w:val="9"/>
        <w:rPr>
          <w:rFonts w:ascii="Calibri" w:hAnsi="Calibri"/>
          <w:szCs w:val="21"/>
          <w:highlight w:val="none"/>
          <w:u w:val="single"/>
        </w:rPr>
      </w:pPr>
      <w:r>
        <w:rPr>
          <w:rFonts w:hint="eastAsia" w:ascii="Calibri" w:hAnsi="Calibri" w:cs="宋体"/>
          <w:szCs w:val="21"/>
          <w:highlight w:val="none"/>
        </w:rPr>
        <w:t>投标人：</w:t>
      </w:r>
      <w:r>
        <w:rPr>
          <w:rFonts w:ascii="Calibri" w:hAnsi="Calibri"/>
          <w:szCs w:val="21"/>
          <w:highlight w:val="none"/>
          <w:u w:val="single"/>
        </w:rPr>
        <w:t xml:space="preserve">                              </w:t>
      </w:r>
      <w:r>
        <w:rPr>
          <w:rFonts w:hint="eastAsia" w:ascii="Calibri" w:hAnsi="Calibri" w:cs="宋体"/>
          <w:szCs w:val="21"/>
          <w:highlight w:val="none"/>
          <w:u w:val="single"/>
        </w:rPr>
        <w:t>（电子签章）</w:t>
      </w:r>
    </w:p>
    <w:p>
      <w:pPr>
        <w:pageBreakBefore w:val="0"/>
        <w:widowControl w:val="0"/>
        <w:kinsoku/>
        <w:wordWrap/>
        <w:overflowPunct/>
        <w:topLinePunct w:val="0"/>
        <w:autoSpaceDE/>
        <w:autoSpaceDN/>
        <w:bidi w:val="0"/>
        <w:adjustRightInd/>
        <w:snapToGrid/>
        <w:textAlignment w:val="auto"/>
        <w:outlineLvl w:val="9"/>
        <w:rPr>
          <w:rFonts w:hint="eastAsia" w:ascii="宋体" w:hAnsi="宋体" w:cs="宋体"/>
          <w:sz w:val="21"/>
          <w:szCs w:val="21"/>
          <w:highlight w:val="none"/>
          <w:lang w:eastAsia="zh-CN"/>
        </w:rPr>
      </w:pPr>
      <w:r>
        <w:rPr>
          <w:rFonts w:hint="eastAsia" w:ascii="宋体" w:hAnsi="宋体" w:cs="宋体"/>
          <w:sz w:val="21"/>
          <w:szCs w:val="21"/>
          <w:highlight w:val="none"/>
        </w:rPr>
        <w:t>法定代表人</w:t>
      </w:r>
      <w:r>
        <w:rPr>
          <w:rFonts w:hint="eastAsia" w:ascii="宋体" w:hAnsi="宋体" w:cs="宋体"/>
          <w:sz w:val="21"/>
          <w:szCs w:val="21"/>
          <w:highlight w:val="none"/>
          <w:lang w:eastAsia="zh-CN"/>
        </w:rPr>
        <w:t>（</w:t>
      </w:r>
      <w:r>
        <w:rPr>
          <w:rFonts w:hint="eastAsia" w:ascii="宋体" w:hAnsi="宋体" w:cs="宋体"/>
          <w:sz w:val="21"/>
          <w:szCs w:val="21"/>
          <w:highlight w:val="none"/>
          <w:lang w:val="en-US" w:eastAsia="zh-CN"/>
        </w:rPr>
        <w:t>电子签名</w:t>
      </w:r>
      <w:r>
        <w:rPr>
          <w:rFonts w:hint="eastAsia" w:ascii="宋体" w:hAnsi="宋体" w:cs="宋体"/>
          <w:sz w:val="21"/>
          <w:szCs w:val="21"/>
          <w:highlight w:val="none"/>
          <w:lang w:eastAsia="zh-CN"/>
        </w:rPr>
        <w:t>）</w:t>
      </w:r>
    </w:p>
    <w:p>
      <w:pPr>
        <w:pageBreakBefore w:val="0"/>
        <w:widowControl w:val="0"/>
        <w:kinsoku/>
        <w:wordWrap/>
        <w:overflowPunct/>
        <w:topLinePunct w:val="0"/>
        <w:autoSpaceDE/>
        <w:autoSpaceDN/>
        <w:bidi w:val="0"/>
        <w:adjustRightInd/>
        <w:snapToGrid/>
        <w:textAlignment w:val="auto"/>
        <w:outlineLvl w:val="9"/>
        <w:rPr>
          <w:rFonts w:hint="eastAsia" w:ascii="宋体" w:hAnsi="宋体" w:cs="宋体"/>
          <w:sz w:val="21"/>
          <w:szCs w:val="21"/>
          <w:highlight w:val="none"/>
        </w:rPr>
      </w:pPr>
      <w:r>
        <w:rPr>
          <w:rFonts w:hint="eastAsia" w:ascii="宋体" w:hAnsi="宋体" w:cs="宋体"/>
          <w:sz w:val="21"/>
          <w:szCs w:val="21"/>
          <w:highlight w:val="none"/>
        </w:rPr>
        <w:t>或其委托代理人</w:t>
      </w:r>
      <w:r>
        <w:rPr>
          <w:rFonts w:hint="eastAsia" w:ascii="宋体" w:hAnsi="宋体" w:cs="宋体"/>
          <w:sz w:val="21"/>
          <w:szCs w:val="21"/>
          <w:highlight w:val="none"/>
          <w:lang w:eastAsia="zh-CN"/>
        </w:rPr>
        <w:t>（</w:t>
      </w:r>
      <w:r>
        <w:rPr>
          <w:rFonts w:hint="eastAsia" w:ascii="宋体" w:hAnsi="宋体" w:cs="宋体"/>
          <w:sz w:val="21"/>
          <w:szCs w:val="21"/>
          <w:highlight w:val="none"/>
          <w:lang w:val="en-US" w:eastAsia="zh-CN"/>
        </w:rPr>
        <w:t>签字</w:t>
      </w:r>
      <w:r>
        <w:rPr>
          <w:rFonts w:hint="eastAsia" w:ascii="宋体" w:hAnsi="宋体" w:cs="宋体"/>
          <w:sz w:val="21"/>
          <w:szCs w:val="21"/>
          <w:highlight w:val="none"/>
          <w:lang w:eastAsia="zh-CN"/>
        </w:rPr>
        <w:t>）</w:t>
      </w:r>
      <w:r>
        <w:rPr>
          <w:rFonts w:hint="eastAsia" w:ascii="宋体" w:hAnsi="宋体" w:cs="宋体"/>
          <w:sz w:val="21"/>
          <w:szCs w:val="21"/>
          <w:highlight w:val="none"/>
        </w:rPr>
        <w:t>：</w:t>
      </w:r>
      <w:r>
        <w:rPr>
          <w:rFonts w:hint="eastAsia" w:ascii="宋体" w:hAnsi="宋体" w:cs="宋体"/>
          <w:sz w:val="21"/>
          <w:szCs w:val="21"/>
          <w:highlight w:val="none"/>
          <w:u w:val="single"/>
        </w:rPr>
        <w:t xml:space="preserve">             </w:t>
      </w:r>
    </w:p>
    <w:p>
      <w:pPr>
        <w:pageBreakBefore w:val="0"/>
        <w:widowControl w:val="0"/>
        <w:kinsoku/>
        <w:wordWrap/>
        <w:overflowPunct/>
        <w:topLinePunct w:val="0"/>
        <w:autoSpaceDE/>
        <w:autoSpaceDN/>
        <w:bidi w:val="0"/>
        <w:adjustRightInd/>
        <w:snapToGrid/>
        <w:textAlignment w:val="auto"/>
        <w:outlineLvl w:val="9"/>
        <w:rPr>
          <w:rFonts w:hint="eastAsia" w:ascii="宋体" w:hAnsi="宋体" w:cs="宋体"/>
          <w:sz w:val="21"/>
          <w:szCs w:val="21"/>
          <w:highlight w:val="none"/>
        </w:rPr>
      </w:pPr>
      <w:r>
        <w:rPr>
          <w:rFonts w:hint="eastAsia" w:ascii="宋体" w:hAnsi="宋体" w:cs="宋体"/>
          <w:sz w:val="21"/>
          <w:szCs w:val="21"/>
          <w:highlight w:val="none"/>
        </w:rPr>
        <w:t xml:space="preserve"> </w:t>
      </w:r>
    </w:p>
    <w:p>
      <w:pPr>
        <w:pageBreakBefore w:val="0"/>
        <w:tabs>
          <w:tab w:val="left" w:pos="9214"/>
        </w:tabs>
        <w:kinsoku/>
        <w:wordWrap/>
        <w:overflowPunct/>
        <w:topLinePunct w:val="0"/>
        <w:autoSpaceDE/>
        <w:autoSpaceDN/>
        <w:bidi w:val="0"/>
        <w:spacing w:line="360" w:lineRule="auto"/>
        <w:outlineLvl w:val="9"/>
        <w:rPr>
          <w:rFonts w:ascii="Calibri" w:hAnsi="Calibri"/>
          <w:szCs w:val="21"/>
          <w:highlight w:val="none"/>
          <w:u w:val="single"/>
        </w:rPr>
      </w:pPr>
      <w:r>
        <w:rPr>
          <w:rFonts w:hint="eastAsia" w:ascii="Calibri" w:hAnsi="Calibri" w:cs="宋体"/>
          <w:szCs w:val="21"/>
          <w:highlight w:val="none"/>
        </w:rPr>
        <w:t>日</w:t>
      </w:r>
      <w:r>
        <w:rPr>
          <w:rFonts w:ascii="Calibri" w:hAnsi="Calibri"/>
          <w:szCs w:val="21"/>
          <w:highlight w:val="none"/>
        </w:rPr>
        <w:t xml:space="preserve">    </w:t>
      </w:r>
      <w:r>
        <w:rPr>
          <w:rFonts w:hint="eastAsia" w:ascii="Calibri" w:hAnsi="Calibri" w:cs="宋体"/>
          <w:szCs w:val="21"/>
          <w:highlight w:val="none"/>
        </w:rPr>
        <w:t>期：</w:t>
      </w:r>
      <w:r>
        <w:rPr>
          <w:rFonts w:ascii="Calibri" w:hAnsi="Calibri"/>
          <w:szCs w:val="21"/>
          <w:highlight w:val="none"/>
          <w:u w:val="single"/>
        </w:rPr>
        <w:t xml:space="preserve">        </w:t>
      </w:r>
      <w:r>
        <w:rPr>
          <w:rFonts w:hint="eastAsia" w:ascii="Calibri" w:hAnsi="Calibri" w:cs="宋体"/>
          <w:szCs w:val="21"/>
          <w:highlight w:val="none"/>
          <w:u w:val="none"/>
        </w:rPr>
        <w:t>年</w:t>
      </w:r>
      <w:r>
        <w:rPr>
          <w:rFonts w:ascii="Calibri" w:hAnsi="Calibri"/>
          <w:szCs w:val="21"/>
          <w:highlight w:val="none"/>
          <w:u w:val="single"/>
        </w:rPr>
        <w:t xml:space="preserve">    </w:t>
      </w:r>
      <w:r>
        <w:rPr>
          <w:rFonts w:hint="eastAsia" w:ascii="Calibri" w:hAnsi="Calibri" w:cs="宋体"/>
          <w:szCs w:val="21"/>
          <w:highlight w:val="none"/>
          <w:u w:val="none"/>
        </w:rPr>
        <w:t>月</w:t>
      </w:r>
      <w:r>
        <w:rPr>
          <w:rFonts w:ascii="Calibri" w:hAnsi="Calibri"/>
          <w:szCs w:val="21"/>
          <w:highlight w:val="none"/>
          <w:u w:val="single"/>
        </w:rPr>
        <w:t xml:space="preserve">   </w:t>
      </w:r>
      <w:r>
        <w:rPr>
          <w:rFonts w:hint="eastAsia" w:ascii="Calibri" w:hAnsi="Calibri" w:cs="宋体"/>
          <w:szCs w:val="21"/>
          <w:highlight w:val="none"/>
          <w:u w:val="none"/>
        </w:rPr>
        <w:t>日</w:t>
      </w:r>
    </w:p>
    <w:p>
      <w:pPr>
        <w:pStyle w:val="18"/>
        <w:pageBreakBefore w:val="0"/>
        <w:kinsoku/>
        <w:wordWrap/>
        <w:overflowPunct/>
        <w:topLinePunct w:val="0"/>
        <w:autoSpaceDE/>
        <w:autoSpaceDN/>
        <w:bidi w:val="0"/>
        <w:spacing w:line="360" w:lineRule="auto"/>
        <w:outlineLvl w:val="9"/>
        <w:rPr>
          <w:rFonts w:ascii="Times New Roman" w:eastAsia="仿宋"/>
          <w:b/>
          <w:sz w:val="24"/>
          <w:szCs w:val="24"/>
          <w:highlight w:val="none"/>
        </w:rPr>
      </w:pPr>
    </w:p>
    <w:p>
      <w:pPr>
        <w:pStyle w:val="18"/>
        <w:pageBreakBefore w:val="0"/>
        <w:kinsoku/>
        <w:wordWrap/>
        <w:overflowPunct/>
        <w:topLinePunct w:val="0"/>
        <w:autoSpaceDE/>
        <w:autoSpaceDN/>
        <w:bidi w:val="0"/>
        <w:spacing w:line="360" w:lineRule="auto"/>
        <w:outlineLvl w:val="9"/>
        <w:rPr>
          <w:rFonts w:ascii="Times New Roman" w:eastAsia="仿宋"/>
          <w:b/>
          <w:sz w:val="21"/>
          <w:szCs w:val="21"/>
          <w:highlight w:val="none"/>
        </w:rPr>
      </w:pPr>
      <w:r>
        <w:rPr>
          <w:rFonts w:ascii="Times New Roman" w:eastAsia="仿宋"/>
          <w:b/>
          <w:sz w:val="21"/>
          <w:szCs w:val="21"/>
          <w:highlight w:val="none"/>
        </w:rPr>
        <w:t>填表说明：</w:t>
      </w:r>
    </w:p>
    <w:p>
      <w:pPr>
        <w:pStyle w:val="18"/>
        <w:pageBreakBefore w:val="0"/>
        <w:kinsoku/>
        <w:wordWrap/>
        <w:overflowPunct/>
        <w:topLinePunct w:val="0"/>
        <w:autoSpaceDE/>
        <w:autoSpaceDN/>
        <w:bidi w:val="0"/>
        <w:spacing w:line="360" w:lineRule="auto"/>
        <w:outlineLvl w:val="9"/>
        <w:rPr>
          <w:rFonts w:ascii="Times New Roman" w:eastAsia="仿宋"/>
          <w:b/>
          <w:sz w:val="21"/>
          <w:szCs w:val="21"/>
          <w:highlight w:val="none"/>
        </w:rPr>
      </w:pPr>
      <w:r>
        <w:rPr>
          <w:rFonts w:ascii="Times New Roman" w:eastAsia="仿宋"/>
          <w:bCs/>
          <w:sz w:val="21"/>
          <w:szCs w:val="21"/>
          <w:highlight w:val="none"/>
        </w:rPr>
        <w:t>1、</w:t>
      </w:r>
      <w:r>
        <w:rPr>
          <w:rFonts w:ascii="Times New Roman" w:eastAsia="仿宋"/>
          <w:color w:val="000000"/>
          <w:sz w:val="21"/>
          <w:szCs w:val="21"/>
          <w:highlight w:val="none"/>
        </w:rPr>
        <w:t>投标人根据应根据实际投标情况，填写本表格，若无偏离，则勾选A项，签字盖章即可。若有偏离，则勾选B项，按表格要求及实际情况填写后，签字盖章。</w:t>
      </w:r>
    </w:p>
    <w:p>
      <w:pPr>
        <w:pStyle w:val="18"/>
        <w:pageBreakBefore w:val="0"/>
        <w:kinsoku/>
        <w:wordWrap/>
        <w:overflowPunct/>
        <w:topLinePunct w:val="0"/>
        <w:autoSpaceDE/>
        <w:autoSpaceDN/>
        <w:bidi w:val="0"/>
        <w:spacing w:line="360" w:lineRule="auto"/>
        <w:outlineLvl w:val="9"/>
        <w:rPr>
          <w:rFonts w:ascii="Times New Roman" w:eastAsia="仿宋"/>
          <w:color w:val="000000"/>
          <w:sz w:val="21"/>
          <w:szCs w:val="21"/>
          <w:highlight w:val="none"/>
        </w:rPr>
      </w:pPr>
      <w:r>
        <w:rPr>
          <w:rFonts w:ascii="Times New Roman" w:eastAsia="仿宋"/>
          <w:bCs/>
          <w:sz w:val="21"/>
          <w:szCs w:val="21"/>
          <w:highlight w:val="none"/>
        </w:rPr>
        <w:t>2、</w:t>
      </w:r>
      <w:r>
        <w:rPr>
          <w:rFonts w:ascii="Times New Roman" w:eastAsia="仿宋"/>
          <w:color w:val="000000"/>
          <w:sz w:val="21"/>
          <w:szCs w:val="21"/>
          <w:highlight w:val="none"/>
        </w:rPr>
        <w:t>表格中“投标文件的商务条款响应情况”请投标人根据实际投标情况如实、完整、准确的填写。</w:t>
      </w:r>
    </w:p>
    <w:p>
      <w:pPr>
        <w:pageBreakBefore w:val="0"/>
        <w:kinsoku/>
        <w:wordWrap/>
        <w:overflowPunct/>
        <w:topLinePunct w:val="0"/>
        <w:autoSpaceDE/>
        <w:autoSpaceDN/>
        <w:bidi w:val="0"/>
        <w:spacing w:line="360" w:lineRule="auto"/>
        <w:outlineLvl w:val="9"/>
        <w:rPr>
          <w:rFonts w:ascii="宋体" w:hAnsi="宋体" w:cs="宋体"/>
          <w:sz w:val="21"/>
          <w:szCs w:val="21"/>
          <w:highlight w:val="none"/>
        </w:rPr>
      </w:pPr>
      <w:r>
        <w:rPr>
          <w:rFonts w:eastAsia="仿宋"/>
          <w:color w:val="000000"/>
          <w:sz w:val="21"/>
          <w:szCs w:val="21"/>
          <w:highlight w:val="none"/>
        </w:rPr>
        <w:t>3、</w:t>
      </w:r>
      <w:r>
        <w:rPr>
          <w:rFonts w:eastAsia="仿宋"/>
          <w:b/>
          <w:color w:val="000000"/>
          <w:sz w:val="21"/>
          <w:szCs w:val="21"/>
          <w:highlight w:val="none"/>
        </w:rPr>
        <w:t>本表格中内容与投标文件其余部分不一致的，以本表格为准。</w:t>
      </w:r>
    </w:p>
    <w:p>
      <w:pPr>
        <w:pageBreakBefore w:val="0"/>
        <w:kinsoku/>
        <w:wordWrap/>
        <w:overflowPunct/>
        <w:topLinePunct w:val="0"/>
        <w:autoSpaceDE/>
        <w:autoSpaceDN/>
        <w:bidi w:val="0"/>
        <w:ind w:firstLine="420" w:firstLineChars="200"/>
        <w:jc w:val="left"/>
        <w:outlineLvl w:val="9"/>
        <w:rPr>
          <w:rFonts w:hint="eastAsia" w:ascii="Calibri" w:hAnsi="宋体"/>
          <w:sz w:val="24"/>
          <w:highlight w:val="none"/>
        </w:rPr>
      </w:pPr>
      <w:r>
        <w:rPr>
          <w:rFonts w:ascii="宋体" w:hAnsi="宋体"/>
          <w:szCs w:val="21"/>
          <w:highlight w:val="none"/>
          <w:u w:val="single"/>
        </w:rPr>
        <w:br w:type="page"/>
      </w:r>
    </w:p>
    <w:p>
      <w:pPr>
        <w:pageBreakBefore w:val="0"/>
        <w:widowControl/>
        <w:kinsoku/>
        <w:wordWrap/>
        <w:overflowPunct/>
        <w:topLinePunct w:val="0"/>
        <w:autoSpaceDE/>
        <w:autoSpaceDN/>
        <w:bidi w:val="0"/>
        <w:jc w:val="left"/>
        <w:outlineLvl w:val="9"/>
        <w:rPr>
          <w:rFonts w:hint="eastAsia" w:ascii="Calibri" w:hAnsi="宋体"/>
          <w:b/>
          <w:sz w:val="28"/>
          <w:szCs w:val="28"/>
          <w:highlight w:val="none"/>
        </w:rPr>
      </w:pPr>
      <w:r>
        <w:rPr>
          <w:rFonts w:hint="eastAsia" w:ascii="Calibri" w:hAnsi="宋体"/>
          <w:b/>
          <w:sz w:val="28"/>
          <w:szCs w:val="28"/>
          <w:highlight w:val="none"/>
        </w:rPr>
        <w:t>格式</w:t>
      </w:r>
      <w:r>
        <w:rPr>
          <w:rFonts w:hint="eastAsia" w:ascii="Calibri" w:hAnsi="宋体"/>
          <w:b/>
          <w:sz w:val="28"/>
          <w:szCs w:val="28"/>
          <w:highlight w:val="none"/>
          <w:lang w:val="en-US" w:eastAsia="zh-CN"/>
        </w:rPr>
        <w:t>6</w:t>
      </w:r>
      <w:r>
        <w:rPr>
          <w:rFonts w:hint="eastAsia" w:ascii="Calibri" w:hAnsi="宋体"/>
          <w:b/>
          <w:sz w:val="28"/>
          <w:szCs w:val="28"/>
          <w:highlight w:val="none"/>
        </w:rPr>
        <w:t>：</w:t>
      </w:r>
    </w:p>
    <w:p>
      <w:pPr>
        <w:pageBreakBefore w:val="0"/>
        <w:numPr>
          <w:ilvl w:val="0"/>
          <w:numId w:val="0"/>
        </w:numPr>
        <w:tabs>
          <w:tab w:val="left" w:pos="1021"/>
        </w:tabs>
        <w:kinsoku/>
        <w:wordWrap/>
        <w:overflowPunct/>
        <w:topLinePunct w:val="0"/>
        <w:autoSpaceDE/>
        <w:autoSpaceDN/>
        <w:bidi w:val="0"/>
        <w:ind w:left="-171"/>
        <w:jc w:val="center"/>
        <w:outlineLvl w:val="9"/>
        <w:rPr>
          <w:rFonts w:hint="eastAsia" w:ascii="宋体" w:hAnsi="宋体"/>
          <w:b/>
          <w:bCs/>
          <w:sz w:val="32"/>
          <w:szCs w:val="32"/>
          <w:highlight w:val="none"/>
          <w:lang w:val="en-US" w:eastAsia="zh-CN"/>
        </w:rPr>
      </w:pPr>
      <w:r>
        <w:rPr>
          <w:rFonts w:hint="eastAsia" w:ascii="宋体" w:hAnsi="宋体"/>
          <w:b/>
          <w:bCs/>
          <w:sz w:val="32"/>
          <w:szCs w:val="32"/>
          <w:highlight w:val="none"/>
          <w:lang w:val="en-US" w:eastAsia="zh-CN"/>
        </w:rPr>
        <w:t>项目需求分析</w:t>
      </w:r>
    </w:p>
    <w:p>
      <w:pPr>
        <w:pageBreakBefore w:val="0"/>
        <w:numPr>
          <w:ilvl w:val="0"/>
          <w:numId w:val="0"/>
        </w:numPr>
        <w:tabs>
          <w:tab w:val="left" w:pos="1021"/>
        </w:tabs>
        <w:kinsoku/>
        <w:wordWrap/>
        <w:overflowPunct/>
        <w:topLinePunct w:val="0"/>
        <w:autoSpaceDE/>
        <w:autoSpaceDN/>
        <w:bidi w:val="0"/>
        <w:ind w:left="-171"/>
        <w:jc w:val="center"/>
        <w:outlineLvl w:val="9"/>
        <w:rPr>
          <w:rFonts w:ascii="宋体" w:hAnsi="宋体"/>
          <w:b/>
          <w:bCs/>
          <w:sz w:val="32"/>
          <w:szCs w:val="32"/>
          <w:highlight w:val="none"/>
        </w:rPr>
      </w:pPr>
    </w:p>
    <w:p>
      <w:pPr>
        <w:pageBreakBefore w:val="0"/>
        <w:kinsoku/>
        <w:wordWrap/>
        <w:overflowPunct/>
        <w:topLinePunct w:val="0"/>
        <w:autoSpaceDE/>
        <w:autoSpaceDN/>
        <w:bidi w:val="0"/>
        <w:outlineLvl w:val="9"/>
        <w:rPr>
          <w:rFonts w:ascii="宋体" w:hAnsi="宋体"/>
          <w:szCs w:val="21"/>
          <w:highlight w:val="none"/>
        </w:rPr>
      </w:pPr>
    </w:p>
    <w:p>
      <w:pPr>
        <w:pStyle w:val="18"/>
        <w:pageBreakBefore w:val="0"/>
        <w:kinsoku/>
        <w:wordWrap/>
        <w:overflowPunct/>
        <w:topLinePunct w:val="0"/>
        <w:autoSpaceDE/>
        <w:autoSpaceDN/>
        <w:bidi w:val="0"/>
        <w:jc w:val="center"/>
        <w:outlineLvl w:val="9"/>
        <w:rPr>
          <w:rFonts w:hint="eastAsia" w:hAnsi="宋体"/>
          <w:szCs w:val="21"/>
          <w:highlight w:val="none"/>
        </w:rPr>
      </w:pPr>
    </w:p>
    <w:p>
      <w:pPr>
        <w:pStyle w:val="18"/>
        <w:pageBreakBefore w:val="0"/>
        <w:kinsoku/>
        <w:wordWrap/>
        <w:overflowPunct/>
        <w:topLinePunct w:val="0"/>
        <w:autoSpaceDE/>
        <w:autoSpaceDN/>
        <w:bidi w:val="0"/>
        <w:jc w:val="center"/>
        <w:outlineLvl w:val="9"/>
        <w:rPr>
          <w:rFonts w:hAnsi="宋体"/>
          <w:szCs w:val="21"/>
          <w:highlight w:val="none"/>
        </w:rPr>
      </w:pPr>
      <w:r>
        <w:rPr>
          <w:rFonts w:hint="eastAsia" w:hAnsi="宋体"/>
          <w:szCs w:val="21"/>
          <w:highlight w:val="none"/>
        </w:rPr>
        <w:t>(格式自拟)</w:t>
      </w:r>
    </w:p>
    <w:p>
      <w:pPr>
        <w:pageBreakBefore w:val="0"/>
        <w:tabs>
          <w:tab w:val="left" w:pos="9214"/>
        </w:tabs>
        <w:kinsoku/>
        <w:wordWrap/>
        <w:overflowPunct/>
        <w:topLinePunct w:val="0"/>
        <w:autoSpaceDE/>
        <w:autoSpaceDN/>
        <w:bidi w:val="0"/>
        <w:spacing w:line="360" w:lineRule="auto"/>
        <w:outlineLvl w:val="9"/>
        <w:rPr>
          <w:rFonts w:hint="eastAsia" w:ascii="Calibri" w:hAnsi="Calibri" w:cs="宋体"/>
          <w:szCs w:val="21"/>
          <w:highlight w:val="none"/>
        </w:rPr>
      </w:pPr>
    </w:p>
    <w:p>
      <w:pPr>
        <w:pageBreakBefore w:val="0"/>
        <w:tabs>
          <w:tab w:val="left" w:pos="9214"/>
        </w:tabs>
        <w:kinsoku/>
        <w:wordWrap/>
        <w:overflowPunct/>
        <w:topLinePunct w:val="0"/>
        <w:autoSpaceDE/>
        <w:autoSpaceDN/>
        <w:bidi w:val="0"/>
        <w:spacing w:line="360" w:lineRule="auto"/>
        <w:outlineLvl w:val="9"/>
        <w:rPr>
          <w:rFonts w:hint="eastAsia" w:ascii="Calibri" w:hAnsi="Calibri" w:cs="宋体"/>
          <w:szCs w:val="21"/>
          <w:highlight w:val="none"/>
        </w:rPr>
      </w:pPr>
    </w:p>
    <w:p>
      <w:pPr>
        <w:pageBreakBefore w:val="0"/>
        <w:tabs>
          <w:tab w:val="left" w:pos="9214"/>
        </w:tabs>
        <w:kinsoku/>
        <w:wordWrap/>
        <w:overflowPunct/>
        <w:topLinePunct w:val="0"/>
        <w:autoSpaceDE/>
        <w:autoSpaceDN/>
        <w:bidi w:val="0"/>
        <w:spacing w:line="360" w:lineRule="auto"/>
        <w:outlineLvl w:val="9"/>
        <w:rPr>
          <w:rFonts w:hint="eastAsia" w:ascii="Calibri" w:hAnsi="Calibri" w:cs="宋体"/>
          <w:szCs w:val="21"/>
          <w:highlight w:val="none"/>
        </w:rPr>
      </w:pPr>
    </w:p>
    <w:p>
      <w:pPr>
        <w:pageBreakBefore w:val="0"/>
        <w:numPr>
          <w:ilvl w:val="0"/>
          <w:numId w:val="0"/>
        </w:numPr>
        <w:tabs>
          <w:tab w:val="left" w:pos="360"/>
        </w:tabs>
        <w:kinsoku/>
        <w:wordWrap/>
        <w:overflowPunct/>
        <w:topLinePunct w:val="0"/>
        <w:autoSpaceDE/>
        <w:autoSpaceDN/>
        <w:bidi w:val="0"/>
        <w:outlineLvl w:val="9"/>
        <w:rPr>
          <w:rFonts w:hint="eastAsia"/>
          <w:highlight w:val="none"/>
        </w:rPr>
      </w:pPr>
    </w:p>
    <w:p>
      <w:pPr>
        <w:pageBreakBefore w:val="0"/>
        <w:widowControl/>
        <w:kinsoku/>
        <w:wordWrap/>
        <w:overflowPunct/>
        <w:topLinePunct w:val="0"/>
        <w:autoSpaceDE/>
        <w:autoSpaceDN/>
        <w:bidi w:val="0"/>
        <w:jc w:val="left"/>
        <w:outlineLvl w:val="9"/>
        <w:rPr>
          <w:rFonts w:hint="eastAsia" w:ascii="Calibri" w:hAnsi="宋体"/>
          <w:b/>
          <w:sz w:val="28"/>
          <w:szCs w:val="28"/>
          <w:highlight w:val="none"/>
        </w:rPr>
      </w:pPr>
      <w:r>
        <w:rPr>
          <w:rFonts w:hint="eastAsia" w:ascii="Calibri" w:hAnsi="宋体"/>
          <w:b/>
          <w:sz w:val="28"/>
          <w:szCs w:val="28"/>
          <w:highlight w:val="none"/>
        </w:rPr>
        <w:br w:type="page"/>
      </w:r>
      <w:r>
        <w:rPr>
          <w:rFonts w:hint="eastAsia" w:ascii="Calibri" w:hAnsi="宋体"/>
          <w:b/>
          <w:sz w:val="28"/>
          <w:szCs w:val="28"/>
          <w:highlight w:val="none"/>
        </w:rPr>
        <w:t>格式</w:t>
      </w:r>
      <w:r>
        <w:rPr>
          <w:rFonts w:hint="eastAsia" w:ascii="Calibri" w:hAnsi="宋体"/>
          <w:b/>
          <w:sz w:val="28"/>
          <w:szCs w:val="28"/>
          <w:highlight w:val="none"/>
          <w:lang w:val="en-US" w:eastAsia="zh-CN"/>
        </w:rPr>
        <w:t>7</w:t>
      </w:r>
      <w:r>
        <w:rPr>
          <w:rFonts w:hint="eastAsia" w:ascii="Calibri" w:hAnsi="宋体"/>
          <w:b/>
          <w:sz w:val="28"/>
          <w:szCs w:val="28"/>
          <w:highlight w:val="none"/>
        </w:rPr>
        <w:t>：</w:t>
      </w:r>
    </w:p>
    <w:p>
      <w:pPr>
        <w:pStyle w:val="10"/>
        <w:pageBreakBefore w:val="0"/>
        <w:kinsoku/>
        <w:wordWrap/>
        <w:overflowPunct/>
        <w:topLinePunct w:val="0"/>
        <w:autoSpaceDE/>
        <w:autoSpaceDN/>
        <w:bidi w:val="0"/>
        <w:jc w:val="center"/>
        <w:outlineLvl w:val="9"/>
        <w:rPr>
          <w:highlight w:val="none"/>
        </w:rPr>
      </w:pPr>
      <w:r>
        <w:rPr>
          <w:rFonts w:hint="eastAsia" w:ascii="宋体" w:hAnsi="宋体"/>
          <w:b/>
          <w:bCs/>
          <w:sz w:val="32"/>
          <w:szCs w:val="32"/>
          <w:highlight w:val="none"/>
          <w:lang w:val="en-US" w:eastAsia="zh-CN"/>
        </w:rPr>
        <w:t>工作思路及重点难点特点分析</w:t>
      </w:r>
    </w:p>
    <w:p>
      <w:pPr>
        <w:pageBreakBefore w:val="0"/>
        <w:kinsoku/>
        <w:wordWrap/>
        <w:overflowPunct/>
        <w:topLinePunct w:val="0"/>
        <w:autoSpaceDE/>
        <w:autoSpaceDN/>
        <w:bidi w:val="0"/>
        <w:outlineLvl w:val="9"/>
        <w:rPr>
          <w:rFonts w:hint="eastAsia" w:ascii="宋体" w:hAnsi="宋体"/>
          <w:highlight w:val="none"/>
        </w:rPr>
      </w:pPr>
    </w:p>
    <w:p>
      <w:pPr>
        <w:pageBreakBefore w:val="0"/>
        <w:kinsoku/>
        <w:wordWrap/>
        <w:overflowPunct/>
        <w:topLinePunct w:val="0"/>
        <w:autoSpaceDE/>
        <w:autoSpaceDN/>
        <w:bidi w:val="0"/>
        <w:outlineLvl w:val="9"/>
        <w:rPr>
          <w:rFonts w:hint="eastAsia" w:ascii="宋体" w:hAnsi="宋体"/>
          <w:highlight w:val="none"/>
        </w:rPr>
      </w:pPr>
    </w:p>
    <w:p>
      <w:pPr>
        <w:pageBreakBefore w:val="0"/>
        <w:kinsoku/>
        <w:wordWrap/>
        <w:overflowPunct/>
        <w:topLinePunct w:val="0"/>
        <w:autoSpaceDE/>
        <w:autoSpaceDN/>
        <w:bidi w:val="0"/>
        <w:outlineLvl w:val="9"/>
        <w:rPr>
          <w:rFonts w:hint="eastAsia" w:ascii="宋体" w:hAnsi="宋体"/>
          <w:highlight w:val="none"/>
        </w:rPr>
      </w:pPr>
    </w:p>
    <w:p>
      <w:pPr>
        <w:pageBreakBefore w:val="0"/>
        <w:kinsoku/>
        <w:wordWrap/>
        <w:overflowPunct/>
        <w:topLinePunct w:val="0"/>
        <w:autoSpaceDE/>
        <w:autoSpaceDN/>
        <w:bidi w:val="0"/>
        <w:outlineLvl w:val="9"/>
        <w:rPr>
          <w:rFonts w:hint="eastAsia" w:ascii="宋体" w:hAnsi="宋体"/>
          <w:highlight w:val="none"/>
        </w:rPr>
      </w:pPr>
    </w:p>
    <w:p>
      <w:pPr>
        <w:pageBreakBefore w:val="0"/>
        <w:kinsoku/>
        <w:wordWrap/>
        <w:overflowPunct/>
        <w:topLinePunct w:val="0"/>
        <w:autoSpaceDE/>
        <w:autoSpaceDN/>
        <w:bidi w:val="0"/>
        <w:outlineLvl w:val="9"/>
        <w:rPr>
          <w:rFonts w:hAnsi="宋体"/>
          <w:szCs w:val="21"/>
          <w:highlight w:val="none"/>
        </w:rPr>
      </w:pPr>
    </w:p>
    <w:p>
      <w:pPr>
        <w:pageBreakBefore w:val="0"/>
        <w:kinsoku/>
        <w:wordWrap/>
        <w:overflowPunct/>
        <w:topLinePunct w:val="0"/>
        <w:autoSpaceDE/>
        <w:autoSpaceDN/>
        <w:bidi w:val="0"/>
        <w:jc w:val="center"/>
        <w:outlineLvl w:val="9"/>
        <w:rPr>
          <w:rFonts w:hint="eastAsia" w:hAnsi="宋体"/>
          <w:szCs w:val="21"/>
          <w:highlight w:val="none"/>
        </w:rPr>
      </w:pPr>
    </w:p>
    <w:p>
      <w:pPr>
        <w:pageBreakBefore w:val="0"/>
        <w:kinsoku/>
        <w:wordWrap/>
        <w:overflowPunct/>
        <w:topLinePunct w:val="0"/>
        <w:autoSpaceDE/>
        <w:autoSpaceDN/>
        <w:bidi w:val="0"/>
        <w:jc w:val="center"/>
        <w:outlineLvl w:val="9"/>
        <w:rPr>
          <w:rFonts w:hint="eastAsia" w:hAnsi="宋体"/>
          <w:szCs w:val="21"/>
          <w:highlight w:val="none"/>
        </w:rPr>
      </w:pPr>
    </w:p>
    <w:p>
      <w:pPr>
        <w:pageBreakBefore w:val="0"/>
        <w:kinsoku/>
        <w:wordWrap/>
        <w:overflowPunct/>
        <w:topLinePunct w:val="0"/>
        <w:autoSpaceDE/>
        <w:autoSpaceDN/>
        <w:bidi w:val="0"/>
        <w:jc w:val="center"/>
        <w:outlineLvl w:val="9"/>
        <w:rPr>
          <w:rFonts w:hint="eastAsia" w:hAnsi="宋体"/>
          <w:szCs w:val="21"/>
          <w:highlight w:val="none"/>
        </w:rPr>
      </w:pPr>
    </w:p>
    <w:p>
      <w:pPr>
        <w:pageBreakBefore w:val="0"/>
        <w:kinsoku/>
        <w:wordWrap/>
        <w:overflowPunct/>
        <w:topLinePunct w:val="0"/>
        <w:autoSpaceDE/>
        <w:autoSpaceDN/>
        <w:bidi w:val="0"/>
        <w:jc w:val="center"/>
        <w:outlineLvl w:val="9"/>
        <w:rPr>
          <w:rFonts w:hint="eastAsia" w:hAnsi="宋体"/>
          <w:szCs w:val="21"/>
          <w:highlight w:val="none"/>
        </w:rPr>
      </w:pPr>
      <w:r>
        <w:rPr>
          <w:rFonts w:hint="eastAsia" w:hAnsi="宋体"/>
          <w:szCs w:val="21"/>
          <w:highlight w:val="none"/>
        </w:rPr>
        <w:t>(格式自拟)</w:t>
      </w:r>
    </w:p>
    <w:p>
      <w:pPr>
        <w:pageBreakBefore w:val="0"/>
        <w:tabs>
          <w:tab w:val="left" w:pos="9214"/>
        </w:tabs>
        <w:kinsoku/>
        <w:wordWrap/>
        <w:overflowPunct/>
        <w:topLinePunct w:val="0"/>
        <w:autoSpaceDE/>
        <w:autoSpaceDN/>
        <w:bidi w:val="0"/>
        <w:spacing w:line="360" w:lineRule="auto"/>
        <w:outlineLvl w:val="9"/>
        <w:rPr>
          <w:rFonts w:hint="eastAsia" w:ascii="Calibri" w:hAnsi="Calibri" w:cs="宋体"/>
          <w:szCs w:val="21"/>
          <w:highlight w:val="none"/>
        </w:rPr>
      </w:pPr>
    </w:p>
    <w:p>
      <w:pPr>
        <w:pageBreakBefore w:val="0"/>
        <w:tabs>
          <w:tab w:val="left" w:pos="9214"/>
        </w:tabs>
        <w:kinsoku/>
        <w:wordWrap/>
        <w:overflowPunct/>
        <w:topLinePunct w:val="0"/>
        <w:autoSpaceDE/>
        <w:autoSpaceDN/>
        <w:bidi w:val="0"/>
        <w:spacing w:line="360" w:lineRule="auto"/>
        <w:outlineLvl w:val="9"/>
        <w:rPr>
          <w:rFonts w:hint="eastAsia" w:ascii="Calibri" w:hAnsi="Calibri" w:cs="宋体"/>
          <w:szCs w:val="21"/>
          <w:highlight w:val="none"/>
        </w:rPr>
      </w:pPr>
    </w:p>
    <w:p>
      <w:pPr>
        <w:pageBreakBefore w:val="0"/>
        <w:tabs>
          <w:tab w:val="left" w:pos="9214"/>
        </w:tabs>
        <w:kinsoku/>
        <w:wordWrap/>
        <w:overflowPunct/>
        <w:topLinePunct w:val="0"/>
        <w:autoSpaceDE/>
        <w:autoSpaceDN/>
        <w:bidi w:val="0"/>
        <w:spacing w:line="360" w:lineRule="auto"/>
        <w:outlineLvl w:val="9"/>
        <w:rPr>
          <w:rFonts w:hint="eastAsia" w:ascii="Calibri" w:hAnsi="Calibri" w:cs="宋体"/>
          <w:szCs w:val="21"/>
          <w:highlight w:val="none"/>
        </w:rPr>
      </w:pPr>
    </w:p>
    <w:p>
      <w:pPr>
        <w:pageBreakBefore w:val="0"/>
        <w:tabs>
          <w:tab w:val="left" w:pos="9214"/>
        </w:tabs>
        <w:kinsoku/>
        <w:wordWrap/>
        <w:overflowPunct/>
        <w:topLinePunct w:val="0"/>
        <w:autoSpaceDE/>
        <w:autoSpaceDN/>
        <w:bidi w:val="0"/>
        <w:spacing w:line="360" w:lineRule="auto"/>
        <w:outlineLvl w:val="9"/>
        <w:rPr>
          <w:rFonts w:hint="eastAsia" w:ascii="Calibri" w:hAnsi="Calibri" w:cs="宋体"/>
          <w:szCs w:val="21"/>
          <w:highlight w:val="none"/>
        </w:rPr>
      </w:pPr>
    </w:p>
    <w:p>
      <w:pPr>
        <w:pageBreakBefore w:val="0"/>
        <w:tabs>
          <w:tab w:val="left" w:pos="9214"/>
        </w:tabs>
        <w:kinsoku/>
        <w:wordWrap/>
        <w:overflowPunct/>
        <w:topLinePunct w:val="0"/>
        <w:autoSpaceDE/>
        <w:autoSpaceDN/>
        <w:bidi w:val="0"/>
        <w:spacing w:line="360" w:lineRule="auto"/>
        <w:outlineLvl w:val="9"/>
        <w:rPr>
          <w:rFonts w:hint="eastAsia" w:ascii="Calibri" w:hAnsi="Calibri" w:cs="宋体"/>
          <w:szCs w:val="21"/>
          <w:highlight w:val="none"/>
        </w:rPr>
      </w:pPr>
    </w:p>
    <w:p>
      <w:pPr>
        <w:pageBreakBefore w:val="0"/>
        <w:kinsoku/>
        <w:wordWrap/>
        <w:overflowPunct/>
        <w:topLinePunct w:val="0"/>
        <w:autoSpaceDE/>
        <w:autoSpaceDN/>
        <w:bidi w:val="0"/>
        <w:outlineLvl w:val="9"/>
        <w:rPr>
          <w:rFonts w:hint="eastAsia" w:ascii="Calibri" w:hAnsi="Calibri" w:cs="宋体"/>
          <w:szCs w:val="21"/>
          <w:highlight w:val="none"/>
          <w:u w:val="single"/>
        </w:rPr>
      </w:pPr>
    </w:p>
    <w:p>
      <w:pPr>
        <w:pageBreakBefore w:val="0"/>
        <w:kinsoku/>
        <w:wordWrap/>
        <w:overflowPunct/>
        <w:topLinePunct w:val="0"/>
        <w:autoSpaceDE/>
        <w:autoSpaceDN/>
        <w:bidi w:val="0"/>
        <w:outlineLvl w:val="9"/>
        <w:rPr>
          <w:highlight w:val="none"/>
        </w:rPr>
      </w:pPr>
    </w:p>
    <w:p>
      <w:pPr>
        <w:pageBreakBefore w:val="0"/>
        <w:kinsoku/>
        <w:wordWrap/>
        <w:overflowPunct/>
        <w:topLinePunct w:val="0"/>
        <w:autoSpaceDE/>
        <w:autoSpaceDN/>
        <w:bidi w:val="0"/>
        <w:outlineLvl w:val="9"/>
        <w:rPr>
          <w:rFonts w:hint="eastAsia"/>
          <w:highlight w:val="none"/>
        </w:rPr>
      </w:pPr>
    </w:p>
    <w:p>
      <w:pPr>
        <w:pageBreakBefore w:val="0"/>
        <w:widowControl/>
        <w:kinsoku/>
        <w:wordWrap/>
        <w:overflowPunct/>
        <w:topLinePunct w:val="0"/>
        <w:autoSpaceDE/>
        <w:autoSpaceDN/>
        <w:bidi w:val="0"/>
        <w:jc w:val="left"/>
        <w:outlineLvl w:val="9"/>
        <w:rPr>
          <w:rFonts w:hint="eastAsia" w:ascii="Calibri" w:hAnsi="宋体"/>
          <w:b/>
          <w:sz w:val="28"/>
          <w:szCs w:val="28"/>
          <w:highlight w:val="none"/>
        </w:rPr>
      </w:pPr>
    </w:p>
    <w:p>
      <w:pPr>
        <w:pageBreakBefore w:val="0"/>
        <w:widowControl/>
        <w:kinsoku/>
        <w:wordWrap/>
        <w:overflowPunct/>
        <w:topLinePunct w:val="0"/>
        <w:autoSpaceDE/>
        <w:autoSpaceDN/>
        <w:bidi w:val="0"/>
        <w:jc w:val="left"/>
        <w:outlineLvl w:val="9"/>
        <w:rPr>
          <w:rFonts w:hint="eastAsia" w:ascii="Calibri" w:hAnsi="宋体"/>
          <w:b/>
          <w:sz w:val="28"/>
          <w:szCs w:val="28"/>
          <w:highlight w:val="none"/>
        </w:rPr>
      </w:pPr>
    </w:p>
    <w:p>
      <w:pPr>
        <w:pageBreakBefore w:val="0"/>
        <w:widowControl/>
        <w:kinsoku/>
        <w:wordWrap/>
        <w:overflowPunct/>
        <w:topLinePunct w:val="0"/>
        <w:autoSpaceDE/>
        <w:autoSpaceDN/>
        <w:bidi w:val="0"/>
        <w:jc w:val="left"/>
        <w:outlineLvl w:val="9"/>
        <w:rPr>
          <w:rFonts w:hint="eastAsia" w:ascii="Calibri" w:hAnsi="宋体"/>
          <w:b/>
          <w:sz w:val="28"/>
          <w:szCs w:val="28"/>
          <w:highlight w:val="none"/>
        </w:rPr>
      </w:pPr>
    </w:p>
    <w:p>
      <w:pPr>
        <w:pageBreakBefore w:val="0"/>
        <w:widowControl/>
        <w:kinsoku/>
        <w:wordWrap/>
        <w:overflowPunct/>
        <w:topLinePunct w:val="0"/>
        <w:autoSpaceDE/>
        <w:autoSpaceDN/>
        <w:bidi w:val="0"/>
        <w:jc w:val="left"/>
        <w:outlineLvl w:val="9"/>
        <w:rPr>
          <w:rFonts w:hint="eastAsia" w:ascii="Calibri" w:hAnsi="宋体"/>
          <w:b/>
          <w:sz w:val="28"/>
          <w:szCs w:val="28"/>
          <w:highlight w:val="none"/>
        </w:rPr>
      </w:pPr>
    </w:p>
    <w:p>
      <w:pPr>
        <w:pageBreakBefore w:val="0"/>
        <w:widowControl/>
        <w:kinsoku/>
        <w:wordWrap/>
        <w:overflowPunct/>
        <w:topLinePunct w:val="0"/>
        <w:autoSpaceDE/>
        <w:autoSpaceDN/>
        <w:bidi w:val="0"/>
        <w:jc w:val="left"/>
        <w:outlineLvl w:val="9"/>
        <w:rPr>
          <w:rFonts w:hint="eastAsia" w:ascii="Calibri" w:hAnsi="宋体"/>
          <w:b/>
          <w:sz w:val="28"/>
          <w:szCs w:val="28"/>
          <w:highlight w:val="none"/>
        </w:rPr>
      </w:pPr>
    </w:p>
    <w:p>
      <w:pPr>
        <w:pageBreakBefore w:val="0"/>
        <w:widowControl/>
        <w:kinsoku/>
        <w:wordWrap/>
        <w:overflowPunct/>
        <w:topLinePunct w:val="0"/>
        <w:autoSpaceDE/>
        <w:autoSpaceDN/>
        <w:bidi w:val="0"/>
        <w:jc w:val="left"/>
        <w:outlineLvl w:val="9"/>
        <w:rPr>
          <w:rFonts w:hint="eastAsia" w:ascii="Calibri" w:hAnsi="宋体"/>
          <w:b/>
          <w:sz w:val="28"/>
          <w:szCs w:val="28"/>
          <w:highlight w:val="none"/>
        </w:rPr>
      </w:pPr>
    </w:p>
    <w:p>
      <w:pPr>
        <w:pageBreakBefore w:val="0"/>
        <w:widowControl/>
        <w:kinsoku/>
        <w:wordWrap/>
        <w:overflowPunct/>
        <w:topLinePunct w:val="0"/>
        <w:autoSpaceDE/>
        <w:autoSpaceDN/>
        <w:bidi w:val="0"/>
        <w:jc w:val="left"/>
        <w:outlineLvl w:val="9"/>
        <w:rPr>
          <w:rFonts w:hint="eastAsia" w:ascii="Calibri" w:hAnsi="宋体"/>
          <w:b/>
          <w:sz w:val="28"/>
          <w:szCs w:val="28"/>
          <w:highlight w:val="none"/>
        </w:rPr>
      </w:pPr>
    </w:p>
    <w:p>
      <w:pPr>
        <w:pageBreakBefore w:val="0"/>
        <w:widowControl/>
        <w:kinsoku/>
        <w:wordWrap/>
        <w:overflowPunct/>
        <w:topLinePunct w:val="0"/>
        <w:autoSpaceDE/>
        <w:autoSpaceDN/>
        <w:bidi w:val="0"/>
        <w:jc w:val="left"/>
        <w:outlineLvl w:val="9"/>
        <w:rPr>
          <w:rFonts w:hint="eastAsia" w:ascii="Calibri" w:hAnsi="宋体"/>
          <w:b/>
          <w:sz w:val="28"/>
          <w:szCs w:val="28"/>
          <w:highlight w:val="none"/>
        </w:rPr>
      </w:pPr>
    </w:p>
    <w:p>
      <w:pPr>
        <w:pageBreakBefore w:val="0"/>
        <w:widowControl/>
        <w:kinsoku/>
        <w:wordWrap/>
        <w:overflowPunct/>
        <w:topLinePunct w:val="0"/>
        <w:autoSpaceDE/>
        <w:autoSpaceDN/>
        <w:bidi w:val="0"/>
        <w:jc w:val="left"/>
        <w:outlineLvl w:val="9"/>
        <w:rPr>
          <w:rFonts w:hint="eastAsia" w:ascii="Calibri" w:hAnsi="宋体"/>
          <w:b/>
          <w:sz w:val="28"/>
          <w:szCs w:val="28"/>
          <w:highlight w:val="none"/>
        </w:rPr>
      </w:pPr>
      <w:r>
        <w:rPr>
          <w:rFonts w:hint="eastAsia" w:ascii="Calibri" w:hAnsi="宋体"/>
          <w:b/>
          <w:sz w:val="28"/>
          <w:szCs w:val="28"/>
          <w:highlight w:val="none"/>
        </w:rPr>
        <w:br w:type="page"/>
      </w:r>
      <w:r>
        <w:rPr>
          <w:rFonts w:hint="eastAsia" w:ascii="Calibri" w:hAnsi="宋体"/>
          <w:b/>
          <w:sz w:val="28"/>
          <w:szCs w:val="28"/>
          <w:highlight w:val="none"/>
        </w:rPr>
        <w:t>格式</w:t>
      </w:r>
      <w:r>
        <w:rPr>
          <w:rFonts w:hint="eastAsia" w:ascii="Calibri" w:hAnsi="宋体"/>
          <w:b/>
          <w:sz w:val="28"/>
          <w:szCs w:val="28"/>
          <w:highlight w:val="none"/>
          <w:lang w:val="en-US" w:eastAsia="zh-CN"/>
        </w:rPr>
        <w:t>8</w:t>
      </w:r>
      <w:r>
        <w:rPr>
          <w:rFonts w:hint="eastAsia" w:ascii="Calibri" w:hAnsi="宋体"/>
          <w:b/>
          <w:sz w:val="28"/>
          <w:szCs w:val="28"/>
          <w:highlight w:val="none"/>
        </w:rPr>
        <w:t>：</w:t>
      </w:r>
    </w:p>
    <w:p>
      <w:pPr>
        <w:pageBreakBefore w:val="0"/>
        <w:kinsoku/>
        <w:wordWrap/>
        <w:overflowPunct/>
        <w:topLinePunct w:val="0"/>
        <w:autoSpaceDE/>
        <w:autoSpaceDN/>
        <w:bidi w:val="0"/>
        <w:outlineLvl w:val="9"/>
        <w:rPr>
          <w:highlight w:val="none"/>
        </w:rPr>
      </w:pPr>
    </w:p>
    <w:p>
      <w:pPr>
        <w:pageBreakBefore w:val="0"/>
        <w:kinsoku/>
        <w:wordWrap/>
        <w:overflowPunct/>
        <w:topLinePunct w:val="0"/>
        <w:autoSpaceDE/>
        <w:autoSpaceDN/>
        <w:bidi w:val="0"/>
        <w:outlineLvl w:val="9"/>
        <w:rPr>
          <w:highlight w:val="none"/>
        </w:rPr>
      </w:pPr>
    </w:p>
    <w:p>
      <w:pPr>
        <w:pageBreakBefore w:val="0"/>
        <w:numPr>
          <w:ilvl w:val="0"/>
          <w:numId w:val="0"/>
        </w:numPr>
        <w:tabs>
          <w:tab w:val="left" w:pos="1021"/>
        </w:tabs>
        <w:kinsoku/>
        <w:wordWrap/>
        <w:overflowPunct/>
        <w:topLinePunct w:val="0"/>
        <w:autoSpaceDE/>
        <w:autoSpaceDN/>
        <w:bidi w:val="0"/>
        <w:ind w:left="-767"/>
        <w:jc w:val="center"/>
        <w:outlineLvl w:val="9"/>
        <w:rPr>
          <w:rFonts w:hint="eastAsia" w:ascii="宋体" w:hAnsi="宋体"/>
          <w:b/>
          <w:bCs/>
          <w:sz w:val="32"/>
          <w:szCs w:val="32"/>
          <w:highlight w:val="none"/>
          <w:lang w:val="en-US" w:eastAsia="zh-CN"/>
        </w:rPr>
      </w:pPr>
      <w:bookmarkStart w:id="449" w:name="_Toc3228"/>
      <w:bookmarkStart w:id="450" w:name="_Toc4314"/>
      <w:r>
        <w:rPr>
          <w:rFonts w:hint="eastAsia" w:ascii="宋体" w:hAnsi="宋体"/>
          <w:b/>
          <w:bCs/>
          <w:sz w:val="32"/>
          <w:szCs w:val="32"/>
          <w:highlight w:val="none"/>
          <w:lang w:val="en-US" w:eastAsia="zh-CN"/>
        </w:rPr>
        <w:t>项目时间进度计划</w:t>
      </w:r>
    </w:p>
    <w:bookmarkEnd w:id="449"/>
    <w:bookmarkEnd w:id="450"/>
    <w:p>
      <w:pPr>
        <w:pageBreakBefore w:val="0"/>
        <w:numPr>
          <w:ilvl w:val="0"/>
          <w:numId w:val="0"/>
        </w:numPr>
        <w:tabs>
          <w:tab w:val="left" w:pos="1021"/>
        </w:tabs>
        <w:kinsoku/>
        <w:wordWrap/>
        <w:overflowPunct/>
        <w:topLinePunct w:val="0"/>
        <w:autoSpaceDE/>
        <w:autoSpaceDN/>
        <w:bidi w:val="0"/>
        <w:ind w:left="-767"/>
        <w:jc w:val="center"/>
        <w:outlineLvl w:val="9"/>
        <w:rPr>
          <w:rFonts w:hint="eastAsia" w:ascii="宋体" w:hAnsi="宋体"/>
          <w:b/>
          <w:bCs/>
          <w:sz w:val="32"/>
          <w:szCs w:val="32"/>
          <w:highlight w:val="none"/>
        </w:rPr>
      </w:pPr>
    </w:p>
    <w:p>
      <w:pPr>
        <w:pageBreakBefore w:val="0"/>
        <w:kinsoku/>
        <w:wordWrap/>
        <w:overflowPunct/>
        <w:topLinePunct w:val="0"/>
        <w:autoSpaceDE/>
        <w:autoSpaceDN/>
        <w:bidi w:val="0"/>
        <w:outlineLvl w:val="9"/>
        <w:rPr>
          <w:rFonts w:hint="eastAsia"/>
          <w:highlight w:val="none"/>
        </w:rPr>
      </w:pPr>
    </w:p>
    <w:p>
      <w:pPr>
        <w:pageBreakBefore w:val="0"/>
        <w:kinsoku/>
        <w:wordWrap/>
        <w:overflowPunct/>
        <w:topLinePunct w:val="0"/>
        <w:autoSpaceDE/>
        <w:autoSpaceDN/>
        <w:bidi w:val="0"/>
        <w:outlineLvl w:val="9"/>
        <w:rPr>
          <w:rFonts w:hint="eastAsia"/>
          <w:highlight w:val="none"/>
        </w:rPr>
      </w:pPr>
    </w:p>
    <w:p>
      <w:pPr>
        <w:pageBreakBefore w:val="0"/>
        <w:kinsoku/>
        <w:wordWrap/>
        <w:overflowPunct/>
        <w:topLinePunct w:val="0"/>
        <w:autoSpaceDE/>
        <w:autoSpaceDN/>
        <w:bidi w:val="0"/>
        <w:outlineLvl w:val="9"/>
        <w:rPr>
          <w:highlight w:val="none"/>
        </w:rPr>
      </w:pPr>
    </w:p>
    <w:p>
      <w:pPr>
        <w:pageBreakBefore w:val="0"/>
        <w:kinsoku/>
        <w:wordWrap/>
        <w:overflowPunct/>
        <w:topLinePunct w:val="0"/>
        <w:autoSpaceDE/>
        <w:autoSpaceDN/>
        <w:bidi w:val="0"/>
        <w:outlineLvl w:val="9"/>
        <w:rPr>
          <w:highlight w:val="none"/>
        </w:rPr>
      </w:pPr>
    </w:p>
    <w:p>
      <w:pPr>
        <w:pageBreakBefore w:val="0"/>
        <w:kinsoku/>
        <w:wordWrap/>
        <w:overflowPunct/>
        <w:topLinePunct w:val="0"/>
        <w:autoSpaceDE/>
        <w:autoSpaceDN/>
        <w:bidi w:val="0"/>
        <w:outlineLvl w:val="9"/>
        <w:rPr>
          <w:rFonts w:ascii="宋体" w:hAnsi="宋体"/>
          <w:highlight w:val="none"/>
        </w:rPr>
      </w:pPr>
    </w:p>
    <w:p>
      <w:pPr>
        <w:pStyle w:val="18"/>
        <w:pageBreakBefore w:val="0"/>
        <w:kinsoku/>
        <w:wordWrap/>
        <w:overflowPunct/>
        <w:topLinePunct w:val="0"/>
        <w:autoSpaceDE/>
        <w:autoSpaceDN/>
        <w:bidi w:val="0"/>
        <w:jc w:val="center"/>
        <w:outlineLvl w:val="9"/>
        <w:rPr>
          <w:rFonts w:hint="eastAsia" w:hAnsi="宋体"/>
          <w:szCs w:val="21"/>
          <w:highlight w:val="none"/>
        </w:rPr>
      </w:pPr>
      <w:r>
        <w:rPr>
          <w:rFonts w:hint="eastAsia" w:hAnsi="宋体"/>
          <w:szCs w:val="21"/>
          <w:highlight w:val="none"/>
        </w:rPr>
        <w:t>(格式自拟)</w:t>
      </w:r>
    </w:p>
    <w:p>
      <w:pPr>
        <w:pageBreakBefore w:val="0"/>
        <w:tabs>
          <w:tab w:val="left" w:pos="9214"/>
        </w:tabs>
        <w:kinsoku/>
        <w:wordWrap/>
        <w:overflowPunct/>
        <w:topLinePunct w:val="0"/>
        <w:autoSpaceDE/>
        <w:autoSpaceDN/>
        <w:bidi w:val="0"/>
        <w:spacing w:line="360" w:lineRule="auto"/>
        <w:outlineLvl w:val="9"/>
        <w:rPr>
          <w:rFonts w:hint="eastAsia" w:ascii="Calibri" w:hAnsi="Calibri" w:cs="宋体"/>
          <w:szCs w:val="21"/>
          <w:highlight w:val="none"/>
        </w:rPr>
      </w:pPr>
    </w:p>
    <w:p>
      <w:pPr>
        <w:pageBreakBefore w:val="0"/>
        <w:tabs>
          <w:tab w:val="left" w:pos="9214"/>
        </w:tabs>
        <w:kinsoku/>
        <w:wordWrap/>
        <w:overflowPunct/>
        <w:topLinePunct w:val="0"/>
        <w:autoSpaceDE/>
        <w:autoSpaceDN/>
        <w:bidi w:val="0"/>
        <w:spacing w:line="360" w:lineRule="auto"/>
        <w:outlineLvl w:val="9"/>
        <w:rPr>
          <w:rFonts w:hint="eastAsia" w:ascii="Calibri" w:hAnsi="Calibri" w:cs="宋体"/>
          <w:szCs w:val="21"/>
          <w:highlight w:val="none"/>
        </w:rPr>
      </w:pPr>
    </w:p>
    <w:p>
      <w:pPr>
        <w:pageBreakBefore w:val="0"/>
        <w:tabs>
          <w:tab w:val="left" w:pos="9214"/>
        </w:tabs>
        <w:kinsoku/>
        <w:wordWrap/>
        <w:overflowPunct/>
        <w:topLinePunct w:val="0"/>
        <w:autoSpaceDE/>
        <w:autoSpaceDN/>
        <w:bidi w:val="0"/>
        <w:spacing w:line="360" w:lineRule="auto"/>
        <w:outlineLvl w:val="9"/>
        <w:rPr>
          <w:rFonts w:hint="eastAsia" w:ascii="Calibri" w:hAnsi="Calibri" w:cs="宋体"/>
          <w:szCs w:val="21"/>
          <w:highlight w:val="none"/>
        </w:rPr>
      </w:pPr>
    </w:p>
    <w:p>
      <w:pPr>
        <w:pageBreakBefore w:val="0"/>
        <w:widowControl/>
        <w:kinsoku/>
        <w:wordWrap/>
        <w:overflowPunct/>
        <w:topLinePunct w:val="0"/>
        <w:autoSpaceDE/>
        <w:autoSpaceDN/>
        <w:bidi w:val="0"/>
        <w:jc w:val="left"/>
        <w:outlineLvl w:val="9"/>
        <w:rPr>
          <w:rFonts w:hint="eastAsia" w:ascii="Calibri" w:hAnsi="宋体"/>
          <w:b/>
          <w:sz w:val="28"/>
          <w:szCs w:val="28"/>
          <w:highlight w:val="none"/>
        </w:rPr>
      </w:pPr>
      <w:r>
        <w:rPr>
          <w:rFonts w:hint="eastAsia" w:ascii="Calibri" w:hAnsi="宋体"/>
          <w:b/>
          <w:sz w:val="28"/>
          <w:szCs w:val="28"/>
          <w:highlight w:val="none"/>
        </w:rPr>
        <w:br w:type="page"/>
      </w:r>
      <w:r>
        <w:rPr>
          <w:rFonts w:hint="eastAsia" w:ascii="Calibri" w:hAnsi="宋体"/>
          <w:b/>
          <w:sz w:val="28"/>
          <w:szCs w:val="28"/>
          <w:highlight w:val="none"/>
        </w:rPr>
        <w:t>格式</w:t>
      </w:r>
      <w:r>
        <w:rPr>
          <w:rFonts w:hint="eastAsia" w:ascii="Calibri" w:hAnsi="宋体"/>
          <w:b/>
          <w:sz w:val="28"/>
          <w:szCs w:val="28"/>
          <w:highlight w:val="none"/>
          <w:lang w:val="en-US" w:eastAsia="zh-CN"/>
        </w:rPr>
        <w:t>9</w:t>
      </w:r>
      <w:r>
        <w:rPr>
          <w:rFonts w:hint="eastAsia" w:ascii="Calibri" w:hAnsi="宋体"/>
          <w:b/>
          <w:sz w:val="28"/>
          <w:szCs w:val="28"/>
          <w:highlight w:val="none"/>
        </w:rPr>
        <w:t>：</w:t>
      </w:r>
    </w:p>
    <w:p>
      <w:pPr>
        <w:pageBreakBefore w:val="0"/>
        <w:kinsoku/>
        <w:wordWrap/>
        <w:overflowPunct/>
        <w:topLinePunct w:val="0"/>
        <w:autoSpaceDE/>
        <w:autoSpaceDN/>
        <w:bidi w:val="0"/>
        <w:outlineLvl w:val="9"/>
        <w:rPr>
          <w:highlight w:val="none"/>
        </w:rPr>
      </w:pPr>
    </w:p>
    <w:p>
      <w:pPr>
        <w:pageBreakBefore w:val="0"/>
        <w:kinsoku/>
        <w:wordWrap/>
        <w:overflowPunct/>
        <w:topLinePunct w:val="0"/>
        <w:autoSpaceDE/>
        <w:autoSpaceDN/>
        <w:bidi w:val="0"/>
        <w:outlineLvl w:val="9"/>
        <w:rPr>
          <w:highlight w:val="none"/>
        </w:rPr>
      </w:pPr>
    </w:p>
    <w:p>
      <w:pPr>
        <w:keepNext w:val="0"/>
        <w:keepLines w:val="0"/>
        <w:pageBreakBefore w:val="0"/>
        <w:widowControl w:val="0"/>
        <w:numPr>
          <w:ilvl w:val="0"/>
          <w:numId w:val="0"/>
        </w:numPr>
        <w:tabs>
          <w:tab w:val="left" w:pos="1021"/>
        </w:tabs>
        <w:kinsoku/>
        <w:wordWrap/>
        <w:overflowPunct/>
        <w:topLinePunct w:val="0"/>
        <w:autoSpaceDE/>
        <w:autoSpaceDN/>
        <w:bidi w:val="0"/>
        <w:adjustRightInd/>
        <w:snapToGrid/>
        <w:ind w:left="0"/>
        <w:jc w:val="center"/>
        <w:textAlignment w:val="auto"/>
        <w:outlineLvl w:val="9"/>
        <w:rPr>
          <w:rFonts w:hint="eastAsia" w:ascii="宋体" w:hAnsi="宋体"/>
          <w:b/>
          <w:bCs/>
          <w:sz w:val="32"/>
          <w:szCs w:val="32"/>
          <w:highlight w:val="none"/>
          <w:lang w:val="en-US" w:eastAsia="zh-CN"/>
        </w:rPr>
      </w:pPr>
      <w:r>
        <w:rPr>
          <w:rFonts w:hint="eastAsia" w:ascii="宋体" w:hAnsi="宋体" w:eastAsia="宋体" w:cs="宋体"/>
          <w:b/>
          <w:bCs/>
          <w:color w:val="000000"/>
          <w:kern w:val="0"/>
          <w:sz w:val="32"/>
          <w:szCs w:val="32"/>
          <w:lang w:val="en-US" w:eastAsia="zh-CN" w:bidi="ar"/>
        </w:rPr>
        <w:t>成果质量保证措施及承诺</w:t>
      </w:r>
    </w:p>
    <w:p>
      <w:pPr>
        <w:pageBreakBefore w:val="0"/>
        <w:numPr>
          <w:ilvl w:val="0"/>
          <w:numId w:val="0"/>
        </w:numPr>
        <w:tabs>
          <w:tab w:val="left" w:pos="1021"/>
        </w:tabs>
        <w:kinsoku/>
        <w:wordWrap/>
        <w:overflowPunct/>
        <w:topLinePunct w:val="0"/>
        <w:autoSpaceDE/>
        <w:autoSpaceDN/>
        <w:bidi w:val="0"/>
        <w:ind w:left="-767"/>
        <w:jc w:val="center"/>
        <w:outlineLvl w:val="9"/>
        <w:rPr>
          <w:rFonts w:hint="eastAsia" w:ascii="宋体" w:hAnsi="宋体"/>
          <w:b/>
          <w:bCs/>
          <w:sz w:val="32"/>
          <w:szCs w:val="32"/>
          <w:highlight w:val="none"/>
        </w:rPr>
      </w:pPr>
    </w:p>
    <w:p>
      <w:pPr>
        <w:pageBreakBefore w:val="0"/>
        <w:kinsoku/>
        <w:wordWrap/>
        <w:overflowPunct/>
        <w:topLinePunct w:val="0"/>
        <w:autoSpaceDE/>
        <w:autoSpaceDN/>
        <w:bidi w:val="0"/>
        <w:outlineLvl w:val="9"/>
        <w:rPr>
          <w:rFonts w:hint="eastAsia"/>
          <w:highlight w:val="none"/>
        </w:rPr>
      </w:pPr>
    </w:p>
    <w:p>
      <w:pPr>
        <w:pageBreakBefore w:val="0"/>
        <w:kinsoku/>
        <w:wordWrap/>
        <w:overflowPunct/>
        <w:topLinePunct w:val="0"/>
        <w:autoSpaceDE/>
        <w:autoSpaceDN/>
        <w:bidi w:val="0"/>
        <w:outlineLvl w:val="9"/>
        <w:rPr>
          <w:rFonts w:hint="eastAsia"/>
          <w:highlight w:val="none"/>
        </w:rPr>
      </w:pPr>
    </w:p>
    <w:p>
      <w:pPr>
        <w:pageBreakBefore w:val="0"/>
        <w:kinsoku/>
        <w:wordWrap/>
        <w:overflowPunct/>
        <w:topLinePunct w:val="0"/>
        <w:autoSpaceDE/>
        <w:autoSpaceDN/>
        <w:bidi w:val="0"/>
        <w:outlineLvl w:val="9"/>
        <w:rPr>
          <w:highlight w:val="none"/>
        </w:rPr>
      </w:pPr>
    </w:p>
    <w:p>
      <w:pPr>
        <w:pageBreakBefore w:val="0"/>
        <w:kinsoku/>
        <w:wordWrap/>
        <w:overflowPunct/>
        <w:topLinePunct w:val="0"/>
        <w:autoSpaceDE/>
        <w:autoSpaceDN/>
        <w:bidi w:val="0"/>
        <w:outlineLvl w:val="9"/>
        <w:rPr>
          <w:highlight w:val="none"/>
        </w:rPr>
      </w:pPr>
    </w:p>
    <w:p>
      <w:pPr>
        <w:pageBreakBefore w:val="0"/>
        <w:kinsoku/>
        <w:wordWrap/>
        <w:overflowPunct/>
        <w:topLinePunct w:val="0"/>
        <w:autoSpaceDE/>
        <w:autoSpaceDN/>
        <w:bidi w:val="0"/>
        <w:outlineLvl w:val="9"/>
        <w:rPr>
          <w:rFonts w:ascii="宋体" w:hAnsi="宋体"/>
          <w:highlight w:val="none"/>
        </w:rPr>
      </w:pPr>
    </w:p>
    <w:p>
      <w:pPr>
        <w:pStyle w:val="18"/>
        <w:pageBreakBefore w:val="0"/>
        <w:kinsoku/>
        <w:wordWrap/>
        <w:overflowPunct/>
        <w:topLinePunct w:val="0"/>
        <w:autoSpaceDE/>
        <w:autoSpaceDN/>
        <w:bidi w:val="0"/>
        <w:jc w:val="center"/>
        <w:outlineLvl w:val="9"/>
        <w:rPr>
          <w:rFonts w:hint="eastAsia" w:hAnsi="宋体"/>
          <w:szCs w:val="21"/>
          <w:highlight w:val="none"/>
        </w:rPr>
      </w:pPr>
      <w:r>
        <w:rPr>
          <w:rFonts w:hint="eastAsia" w:hAnsi="宋体"/>
          <w:szCs w:val="21"/>
          <w:highlight w:val="none"/>
        </w:rPr>
        <w:t>(格式自拟)</w:t>
      </w:r>
    </w:p>
    <w:p>
      <w:pPr>
        <w:keepNext/>
        <w:keepLines/>
        <w:pageBreakBefore w:val="0"/>
        <w:kinsoku/>
        <w:wordWrap/>
        <w:overflowPunct/>
        <w:topLinePunct w:val="0"/>
        <w:autoSpaceDE/>
        <w:autoSpaceDN/>
        <w:bidi w:val="0"/>
        <w:ind w:left="-170"/>
        <w:outlineLvl w:val="9"/>
        <w:rPr>
          <w:rFonts w:hint="default" w:ascii="Calibri" w:hAnsi="宋体" w:eastAsia="宋体"/>
          <w:sz w:val="28"/>
          <w:szCs w:val="28"/>
          <w:highlight w:val="none"/>
          <w:lang w:val="en-US" w:eastAsia="zh-CN"/>
        </w:rPr>
      </w:pPr>
      <w:r>
        <w:rPr>
          <w:rFonts w:hint="eastAsia" w:ascii="Calibri" w:hAnsi="宋体"/>
          <w:b/>
          <w:sz w:val="28"/>
          <w:szCs w:val="28"/>
          <w:highlight w:val="none"/>
        </w:rPr>
        <w:br w:type="page"/>
      </w:r>
      <w:r>
        <w:rPr>
          <w:rFonts w:hint="eastAsia" w:ascii="Calibri" w:hAnsi="宋体"/>
          <w:b/>
          <w:sz w:val="28"/>
          <w:szCs w:val="28"/>
          <w:highlight w:val="none"/>
        </w:rPr>
        <w:t>格式</w:t>
      </w:r>
      <w:r>
        <w:rPr>
          <w:rFonts w:hint="eastAsia" w:ascii="Calibri" w:hAnsi="宋体"/>
          <w:b/>
          <w:sz w:val="28"/>
          <w:szCs w:val="28"/>
          <w:highlight w:val="none"/>
          <w:lang w:val="en-US" w:eastAsia="zh-CN"/>
        </w:rPr>
        <w:t>10</w:t>
      </w:r>
      <w:r>
        <w:rPr>
          <w:rFonts w:hint="eastAsia" w:ascii="Calibri" w:hAnsi="宋体"/>
          <w:b/>
          <w:sz w:val="28"/>
          <w:szCs w:val="28"/>
          <w:highlight w:val="none"/>
        </w:rPr>
        <w:t>：</w:t>
      </w:r>
    </w:p>
    <w:p>
      <w:pPr>
        <w:pageBreakBefore w:val="0"/>
        <w:numPr>
          <w:ilvl w:val="0"/>
          <w:numId w:val="0"/>
        </w:numPr>
        <w:tabs>
          <w:tab w:val="left" w:pos="1021"/>
        </w:tabs>
        <w:kinsoku/>
        <w:wordWrap/>
        <w:overflowPunct/>
        <w:topLinePunct w:val="0"/>
        <w:autoSpaceDE/>
        <w:autoSpaceDN/>
        <w:bidi w:val="0"/>
        <w:ind w:left="-767"/>
        <w:jc w:val="center"/>
        <w:outlineLvl w:val="9"/>
        <w:rPr>
          <w:rFonts w:hint="eastAsia" w:ascii="宋体" w:hAnsi="宋体"/>
          <w:b/>
          <w:bCs/>
          <w:sz w:val="32"/>
          <w:szCs w:val="32"/>
          <w:highlight w:val="none"/>
        </w:rPr>
      </w:pPr>
    </w:p>
    <w:p>
      <w:pPr>
        <w:pageBreakBefore w:val="0"/>
        <w:numPr>
          <w:ilvl w:val="0"/>
          <w:numId w:val="0"/>
        </w:numPr>
        <w:tabs>
          <w:tab w:val="left" w:pos="1021"/>
        </w:tabs>
        <w:kinsoku/>
        <w:wordWrap/>
        <w:overflowPunct/>
        <w:topLinePunct w:val="0"/>
        <w:autoSpaceDE/>
        <w:autoSpaceDN/>
        <w:bidi w:val="0"/>
        <w:ind w:left="-767"/>
        <w:jc w:val="center"/>
        <w:outlineLvl w:val="9"/>
        <w:rPr>
          <w:rFonts w:ascii="宋体" w:hAnsi="宋体"/>
          <w:b/>
          <w:bCs/>
          <w:sz w:val="32"/>
          <w:szCs w:val="32"/>
          <w:highlight w:val="none"/>
        </w:rPr>
      </w:pPr>
      <w:r>
        <w:rPr>
          <w:rFonts w:hint="eastAsia" w:ascii="宋体" w:hAnsi="宋体"/>
          <w:b/>
          <w:bCs/>
          <w:sz w:val="32"/>
          <w:szCs w:val="32"/>
          <w:highlight w:val="none"/>
        </w:rPr>
        <w:t>项目服务团队</w:t>
      </w:r>
    </w:p>
    <w:p>
      <w:pPr>
        <w:pageBreakBefore w:val="0"/>
        <w:kinsoku/>
        <w:wordWrap/>
        <w:overflowPunct/>
        <w:topLinePunct w:val="0"/>
        <w:autoSpaceDE/>
        <w:autoSpaceDN/>
        <w:bidi w:val="0"/>
        <w:outlineLvl w:val="9"/>
        <w:rPr>
          <w:rFonts w:ascii="宋体" w:hAnsi="宋体"/>
          <w:highlight w:val="none"/>
        </w:rPr>
      </w:pPr>
    </w:p>
    <w:p>
      <w:pPr>
        <w:pStyle w:val="18"/>
        <w:pageBreakBefore w:val="0"/>
        <w:kinsoku/>
        <w:wordWrap/>
        <w:overflowPunct/>
        <w:topLinePunct w:val="0"/>
        <w:autoSpaceDE/>
        <w:autoSpaceDN/>
        <w:bidi w:val="0"/>
        <w:outlineLvl w:val="9"/>
        <w:rPr>
          <w:rFonts w:hAnsi="宋体"/>
          <w:b/>
          <w:sz w:val="24"/>
          <w:szCs w:val="24"/>
          <w:highlight w:val="none"/>
          <w:u w:val="single"/>
        </w:rPr>
      </w:pPr>
      <w:r>
        <w:rPr>
          <w:rFonts w:hint="eastAsia" w:hAnsi="宋体"/>
          <w:szCs w:val="21"/>
          <w:highlight w:val="none"/>
        </w:rPr>
        <w:t xml:space="preserve"> </w:t>
      </w:r>
    </w:p>
    <w:tbl>
      <w:tblPr>
        <w:tblStyle w:val="3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1"/>
        <w:gridCol w:w="1200"/>
        <w:gridCol w:w="911"/>
        <w:gridCol w:w="825"/>
        <w:gridCol w:w="1194"/>
        <w:gridCol w:w="1500"/>
        <w:gridCol w:w="16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3" w:hRule="atLeast"/>
          <w:jc w:val="center"/>
        </w:trPr>
        <w:tc>
          <w:tcPr>
            <w:tcW w:w="721" w:type="dxa"/>
            <w:vAlign w:val="center"/>
          </w:tcPr>
          <w:p>
            <w:pPr>
              <w:pageBreakBefore w:val="0"/>
              <w:kinsoku/>
              <w:wordWrap/>
              <w:overflowPunct/>
              <w:topLinePunct w:val="0"/>
              <w:autoSpaceDE/>
              <w:autoSpaceDN/>
              <w:bidi w:val="0"/>
              <w:jc w:val="center"/>
              <w:outlineLvl w:val="9"/>
              <w:rPr>
                <w:rFonts w:ascii="宋体" w:hAnsi="宋体"/>
                <w:b/>
                <w:sz w:val="21"/>
                <w:szCs w:val="21"/>
                <w:highlight w:val="none"/>
              </w:rPr>
            </w:pPr>
            <w:r>
              <w:rPr>
                <w:rFonts w:hint="eastAsia" w:ascii="宋体" w:hAnsi="宋体"/>
                <w:b/>
                <w:sz w:val="21"/>
                <w:szCs w:val="21"/>
                <w:highlight w:val="none"/>
              </w:rPr>
              <w:t>序号</w:t>
            </w:r>
          </w:p>
        </w:tc>
        <w:tc>
          <w:tcPr>
            <w:tcW w:w="1200" w:type="dxa"/>
            <w:vAlign w:val="center"/>
          </w:tcPr>
          <w:p>
            <w:pPr>
              <w:pageBreakBefore w:val="0"/>
              <w:kinsoku/>
              <w:wordWrap/>
              <w:overflowPunct/>
              <w:topLinePunct w:val="0"/>
              <w:autoSpaceDE/>
              <w:autoSpaceDN/>
              <w:bidi w:val="0"/>
              <w:jc w:val="center"/>
              <w:outlineLvl w:val="9"/>
              <w:rPr>
                <w:rFonts w:hint="eastAsia" w:ascii="宋体" w:hAnsi="宋体" w:eastAsia="宋体"/>
                <w:b/>
                <w:sz w:val="21"/>
                <w:szCs w:val="21"/>
                <w:highlight w:val="none"/>
                <w:lang w:val="en-US" w:eastAsia="zh-CN"/>
              </w:rPr>
            </w:pPr>
            <w:r>
              <w:rPr>
                <w:rFonts w:hint="eastAsia" w:ascii="宋体" w:hAnsi="宋体"/>
                <w:b/>
                <w:sz w:val="21"/>
                <w:szCs w:val="21"/>
                <w:highlight w:val="none"/>
                <w:lang w:val="en-US" w:eastAsia="zh-CN"/>
              </w:rPr>
              <w:t>姓名</w:t>
            </w:r>
          </w:p>
        </w:tc>
        <w:tc>
          <w:tcPr>
            <w:tcW w:w="911" w:type="dxa"/>
            <w:vAlign w:val="center"/>
          </w:tcPr>
          <w:p>
            <w:pPr>
              <w:pageBreakBefore w:val="0"/>
              <w:kinsoku/>
              <w:wordWrap/>
              <w:overflowPunct/>
              <w:topLinePunct w:val="0"/>
              <w:autoSpaceDE/>
              <w:autoSpaceDN/>
              <w:bidi w:val="0"/>
              <w:jc w:val="center"/>
              <w:outlineLvl w:val="9"/>
              <w:rPr>
                <w:rFonts w:hint="eastAsia" w:ascii="宋体" w:hAnsi="宋体" w:eastAsia="宋体"/>
                <w:b/>
                <w:sz w:val="21"/>
                <w:szCs w:val="21"/>
                <w:highlight w:val="none"/>
                <w:lang w:val="en-US" w:eastAsia="zh-CN"/>
              </w:rPr>
            </w:pPr>
            <w:r>
              <w:rPr>
                <w:rFonts w:hint="eastAsia" w:ascii="宋体" w:hAnsi="宋体"/>
                <w:b/>
                <w:sz w:val="21"/>
                <w:szCs w:val="21"/>
                <w:highlight w:val="none"/>
                <w:lang w:val="en-US" w:eastAsia="zh-CN"/>
              </w:rPr>
              <w:t>性别</w:t>
            </w:r>
          </w:p>
        </w:tc>
        <w:tc>
          <w:tcPr>
            <w:tcW w:w="825" w:type="dxa"/>
            <w:vAlign w:val="center"/>
          </w:tcPr>
          <w:p>
            <w:pPr>
              <w:pageBreakBefore w:val="0"/>
              <w:kinsoku/>
              <w:wordWrap/>
              <w:overflowPunct/>
              <w:topLinePunct w:val="0"/>
              <w:autoSpaceDE/>
              <w:autoSpaceDN/>
              <w:bidi w:val="0"/>
              <w:jc w:val="center"/>
              <w:outlineLvl w:val="9"/>
              <w:rPr>
                <w:rFonts w:hint="eastAsia" w:ascii="宋体" w:hAnsi="宋体" w:eastAsia="宋体"/>
                <w:b/>
                <w:sz w:val="21"/>
                <w:szCs w:val="21"/>
                <w:highlight w:val="none"/>
                <w:lang w:val="en-US" w:eastAsia="zh-CN"/>
              </w:rPr>
            </w:pPr>
            <w:r>
              <w:rPr>
                <w:rFonts w:hint="eastAsia" w:ascii="宋体" w:hAnsi="宋体"/>
                <w:b/>
                <w:sz w:val="21"/>
                <w:szCs w:val="21"/>
                <w:highlight w:val="none"/>
                <w:lang w:val="en-US" w:eastAsia="zh-CN"/>
              </w:rPr>
              <w:t>学历</w:t>
            </w:r>
          </w:p>
        </w:tc>
        <w:tc>
          <w:tcPr>
            <w:tcW w:w="1194" w:type="dxa"/>
            <w:vAlign w:val="center"/>
          </w:tcPr>
          <w:p>
            <w:pPr>
              <w:pageBreakBefore w:val="0"/>
              <w:kinsoku/>
              <w:wordWrap/>
              <w:overflowPunct/>
              <w:topLinePunct w:val="0"/>
              <w:autoSpaceDE/>
              <w:autoSpaceDN/>
              <w:bidi w:val="0"/>
              <w:jc w:val="center"/>
              <w:outlineLvl w:val="9"/>
              <w:rPr>
                <w:rFonts w:hint="eastAsia" w:ascii="宋体" w:hAnsi="宋体" w:eastAsia="宋体"/>
                <w:b/>
                <w:sz w:val="21"/>
                <w:szCs w:val="21"/>
                <w:highlight w:val="none"/>
                <w:lang w:val="en-US" w:eastAsia="zh-CN"/>
              </w:rPr>
            </w:pPr>
            <w:r>
              <w:rPr>
                <w:rFonts w:hint="eastAsia" w:ascii="宋体" w:hAnsi="宋体"/>
                <w:b/>
                <w:sz w:val="21"/>
                <w:szCs w:val="21"/>
                <w:highlight w:val="none"/>
                <w:lang w:val="en-US" w:eastAsia="zh-CN"/>
              </w:rPr>
              <w:t>专业</w:t>
            </w:r>
          </w:p>
        </w:tc>
        <w:tc>
          <w:tcPr>
            <w:tcW w:w="1500" w:type="dxa"/>
            <w:vAlign w:val="center"/>
          </w:tcPr>
          <w:p>
            <w:pPr>
              <w:pageBreakBefore w:val="0"/>
              <w:kinsoku/>
              <w:wordWrap/>
              <w:overflowPunct/>
              <w:topLinePunct w:val="0"/>
              <w:autoSpaceDE/>
              <w:autoSpaceDN/>
              <w:bidi w:val="0"/>
              <w:jc w:val="center"/>
              <w:outlineLvl w:val="9"/>
              <w:rPr>
                <w:rFonts w:hint="eastAsia" w:ascii="宋体" w:hAnsi="宋体"/>
                <w:b/>
                <w:sz w:val="21"/>
                <w:szCs w:val="21"/>
                <w:highlight w:val="none"/>
                <w:lang w:val="en-US" w:eastAsia="zh-CN"/>
              </w:rPr>
            </w:pPr>
            <w:r>
              <w:rPr>
                <w:rFonts w:hint="eastAsia" w:ascii="宋体" w:hAnsi="宋体"/>
                <w:b/>
                <w:sz w:val="21"/>
                <w:szCs w:val="21"/>
                <w:highlight w:val="none"/>
                <w:lang w:val="en-US" w:eastAsia="zh-CN"/>
              </w:rPr>
              <w:t>职业技术资格证书</w:t>
            </w:r>
          </w:p>
        </w:tc>
        <w:tc>
          <w:tcPr>
            <w:tcW w:w="1602" w:type="dxa"/>
            <w:vAlign w:val="center"/>
          </w:tcPr>
          <w:p>
            <w:pPr>
              <w:pageBreakBefore w:val="0"/>
              <w:kinsoku/>
              <w:wordWrap/>
              <w:overflowPunct/>
              <w:topLinePunct w:val="0"/>
              <w:autoSpaceDE/>
              <w:autoSpaceDN/>
              <w:bidi w:val="0"/>
              <w:jc w:val="center"/>
              <w:outlineLvl w:val="9"/>
              <w:rPr>
                <w:rFonts w:hint="eastAsia" w:ascii="宋体" w:hAnsi="宋体"/>
                <w:b/>
                <w:sz w:val="21"/>
                <w:szCs w:val="21"/>
                <w:highlight w:val="none"/>
                <w:lang w:val="en-US" w:eastAsia="zh-CN"/>
              </w:rPr>
            </w:pPr>
            <w:r>
              <w:rPr>
                <w:rFonts w:hint="eastAsia" w:ascii="宋体" w:hAnsi="宋体"/>
                <w:b/>
                <w:sz w:val="21"/>
                <w:szCs w:val="21"/>
                <w:highlight w:val="none"/>
                <w:lang w:val="en-US" w:eastAsia="zh-CN"/>
              </w:rPr>
              <w:t xml:space="preserve">在本项目拟任 </w:t>
            </w:r>
          </w:p>
          <w:p>
            <w:pPr>
              <w:pageBreakBefore w:val="0"/>
              <w:kinsoku/>
              <w:wordWrap/>
              <w:overflowPunct/>
              <w:topLinePunct w:val="0"/>
              <w:autoSpaceDE/>
              <w:autoSpaceDN/>
              <w:bidi w:val="0"/>
              <w:jc w:val="center"/>
              <w:outlineLvl w:val="9"/>
              <w:rPr>
                <w:rFonts w:hint="eastAsia" w:ascii="宋体" w:hAnsi="宋体"/>
                <w:b/>
                <w:sz w:val="21"/>
                <w:szCs w:val="21"/>
                <w:highlight w:val="none"/>
                <w:lang w:val="en-US" w:eastAsia="zh-CN"/>
              </w:rPr>
            </w:pPr>
            <w:r>
              <w:rPr>
                <w:rFonts w:hint="eastAsia" w:ascii="宋体" w:hAnsi="宋体"/>
                <w:b/>
                <w:sz w:val="21"/>
                <w:szCs w:val="21"/>
                <w:highlight w:val="none"/>
                <w:lang w:val="en-US" w:eastAsia="zh-CN"/>
              </w:rPr>
              <w:t>职务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721" w:type="dxa"/>
            <w:vAlign w:val="center"/>
          </w:tcPr>
          <w:p>
            <w:pPr>
              <w:pageBreakBefore w:val="0"/>
              <w:kinsoku/>
              <w:wordWrap/>
              <w:overflowPunct/>
              <w:topLinePunct w:val="0"/>
              <w:autoSpaceDE/>
              <w:autoSpaceDN/>
              <w:bidi w:val="0"/>
              <w:spacing w:line="360" w:lineRule="auto"/>
              <w:jc w:val="center"/>
              <w:outlineLvl w:val="9"/>
              <w:rPr>
                <w:rFonts w:ascii="宋体" w:hAnsi="宋体"/>
                <w:sz w:val="21"/>
                <w:szCs w:val="21"/>
                <w:highlight w:val="none"/>
              </w:rPr>
            </w:pPr>
          </w:p>
        </w:tc>
        <w:tc>
          <w:tcPr>
            <w:tcW w:w="1200" w:type="dxa"/>
            <w:vAlign w:val="center"/>
          </w:tcPr>
          <w:p>
            <w:pPr>
              <w:pageBreakBefore w:val="0"/>
              <w:kinsoku/>
              <w:wordWrap/>
              <w:overflowPunct/>
              <w:topLinePunct w:val="0"/>
              <w:autoSpaceDE/>
              <w:autoSpaceDN/>
              <w:bidi w:val="0"/>
              <w:spacing w:line="360" w:lineRule="auto"/>
              <w:jc w:val="center"/>
              <w:outlineLvl w:val="9"/>
              <w:rPr>
                <w:rFonts w:ascii="宋体" w:hAnsi="宋体"/>
                <w:sz w:val="21"/>
                <w:szCs w:val="21"/>
                <w:highlight w:val="none"/>
              </w:rPr>
            </w:pPr>
          </w:p>
        </w:tc>
        <w:tc>
          <w:tcPr>
            <w:tcW w:w="911" w:type="dxa"/>
            <w:vAlign w:val="center"/>
          </w:tcPr>
          <w:p>
            <w:pPr>
              <w:pageBreakBefore w:val="0"/>
              <w:kinsoku/>
              <w:wordWrap/>
              <w:overflowPunct/>
              <w:topLinePunct w:val="0"/>
              <w:autoSpaceDE/>
              <w:autoSpaceDN/>
              <w:bidi w:val="0"/>
              <w:spacing w:line="360" w:lineRule="auto"/>
              <w:jc w:val="center"/>
              <w:outlineLvl w:val="9"/>
              <w:rPr>
                <w:rFonts w:ascii="宋体" w:hAnsi="宋体"/>
                <w:sz w:val="21"/>
                <w:szCs w:val="21"/>
                <w:highlight w:val="none"/>
              </w:rPr>
            </w:pPr>
          </w:p>
        </w:tc>
        <w:tc>
          <w:tcPr>
            <w:tcW w:w="825" w:type="dxa"/>
          </w:tcPr>
          <w:p>
            <w:pPr>
              <w:pageBreakBefore w:val="0"/>
              <w:kinsoku/>
              <w:wordWrap/>
              <w:overflowPunct/>
              <w:topLinePunct w:val="0"/>
              <w:autoSpaceDE/>
              <w:autoSpaceDN/>
              <w:bidi w:val="0"/>
              <w:spacing w:line="360" w:lineRule="auto"/>
              <w:jc w:val="center"/>
              <w:outlineLvl w:val="9"/>
              <w:rPr>
                <w:rFonts w:ascii="宋体" w:hAnsi="宋体"/>
                <w:sz w:val="21"/>
                <w:szCs w:val="21"/>
                <w:highlight w:val="none"/>
              </w:rPr>
            </w:pPr>
          </w:p>
        </w:tc>
        <w:tc>
          <w:tcPr>
            <w:tcW w:w="1194" w:type="dxa"/>
            <w:vAlign w:val="center"/>
          </w:tcPr>
          <w:p>
            <w:pPr>
              <w:pageBreakBefore w:val="0"/>
              <w:kinsoku/>
              <w:wordWrap/>
              <w:overflowPunct/>
              <w:topLinePunct w:val="0"/>
              <w:autoSpaceDE/>
              <w:autoSpaceDN/>
              <w:bidi w:val="0"/>
              <w:spacing w:line="360" w:lineRule="auto"/>
              <w:jc w:val="center"/>
              <w:outlineLvl w:val="9"/>
              <w:rPr>
                <w:rFonts w:ascii="宋体" w:hAnsi="宋体"/>
                <w:sz w:val="21"/>
                <w:szCs w:val="21"/>
                <w:highlight w:val="none"/>
              </w:rPr>
            </w:pPr>
          </w:p>
        </w:tc>
        <w:tc>
          <w:tcPr>
            <w:tcW w:w="1500" w:type="dxa"/>
            <w:vAlign w:val="center"/>
          </w:tcPr>
          <w:p>
            <w:pPr>
              <w:pageBreakBefore w:val="0"/>
              <w:kinsoku/>
              <w:wordWrap/>
              <w:overflowPunct/>
              <w:topLinePunct w:val="0"/>
              <w:autoSpaceDE/>
              <w:autoSpaceDN/>
              <w:bidi w:val="0"/>
              <w:spacing w:line="360" w:lineRule="auto"/>
              <w:jc w:val="center"/>
              <w:outlineLvl w:val="9"/>
              <w:rPr>
                <w:rFonts w:ascii="宋体" w:hAnsi="宋体"/>
                <w:sz w:val="21"/>
                <w:szCs w:val="21"/>
                <w:highlight w:val="none"/>
              </w:rPr>
            </w:pPr>
          </w:p>
        </w:tc>
        <w:tc>
          <w:tcPr>
            <w:tcW w:w="1602" w:type="dxa"/>
            <w:vAlign w:val="center"/>
          </w:tcPr>
          <w:p>
            <w:pPr>
              <w:pageBreakBefore w:val="0"/>
              <w:kinsoku/>
              <w:wordWrap/>
              <w:overflowPunct/>
              <w:topLinePunct w:val="0"/>
              <w:autoSpaceDE/>
              <w:autoSpaceDN/>
              <w:bidi w:val="0"/>
              <w:spacing w:line="360" w:lineRule="auto"/>
              <w:jc w:val="center"/>
              <w:outlineLvl w:val="9"/>
              <w:rPr>
                <w:rFonts w:ascii="宋体" w:hAnsi="宋体"/>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7" w:hRule="atLeast"/>
          <w:jc w:val="center"/>
        </w:trPr>
        <w:tc>
          <w:tcPr>
            <w:tcW w:w="721" w:type="dxa"/>
            <w:vAlign w:val="center"/>
          </w:tcPr>
          <w:p>
            <w:pPr>
              <w:pageBreakBefore w:val="0"/>
              <w:kinsoku/>
              <w:wordWrap/>
              <w:overflowPunct/>
              <w:topLinePunct w:val="0"/>
              <w:autoSpaceDE/>
              <w:autoSpaceDN/>
              <w:bidi w:val="0"/>
              <w:spacing w:line="360" w:lineRule="auto"/>
              <w:jc w:val="center"/>
              <w:outlineLvl w:val="9"/>
              <w:rPr>
                <w:rFonts w:ascii="宋体" w:hAnsi="宋体"/>
                <w:sz w:val="21"/>
                <w:szCs w:val="21"/>
                <w:highlight w:val="none"/>
              </w:rPr>
            </w:pPr>
          </w:p>
        </w:tc>
        <w:tc>
          <w:tcPr>
            <w:tcW w:w="1200" w:type="dxa"/>
            <w:vAlign w:val="center"/>
          </w:tcPr>
          <w:p>
            <w:pPr>
              <w:pageBreakBefore w:val="0"/>
              <w:kinsoku/>
              <w:wordWrap/>
              <w:overflowPunct/>
              <w:topLinePunct w:val="0"/>
              <w:autoSpaceDE/>
              <w:autoSpaceDN/>
              <w:bidi w:val="0"/>
              <w:spacing w:line="360" w:lineRule="auto"/>
              <w:jc w:val="center"/>
              <w:outlineLvl w:val="9"/>
              <w:rPr>
                <w:rFonts w:ascii="宋体" w:hAnsi="宋体"/>
                <w:sz w:val="21"/>
                <w:szCs w:val="21"/>
                <w:highlight w:val="none"/>
              </w:rPr>
            </w:pPr>
          </w:p>
        </w:tc>
        <w:tc>
          <w:tcPr>
            <w:tcW w:w="911" w:type="dxa"/>
            <w:vAlign w:val="center"/>
          </w:tcPr>
          <w:p>
            <w:pPr>
              <w:pageBreakBefore w:val="0"/>
              <w:kinsoku/>
              <w:wordWrap/>
              <w:overflowPunct/>
              <w:topLinePunct w:val="0"/>
              <w:autoSpaceDE/>
              <w:autoSpaceDN/>
              <w:bidi w:val="0"/>
              <w:spacing w:line="360" w:lineRule="auto"/>
              <w:jc w:val="center"/>
              <w:outlineLvl w:val="9"/>
              <w:rPr>
                <w:rFonts w:ascii="宋体" w:hAnsi="宋体"/>
                <w:sz w:val="21"/>
                <w:szCs w:val="21"/>
                <w:highlight w:val="none"/>
              </w:rPr>
            </w:pPr>
          </w:p>
        </w:tc>
        <w:tc>
          <w:tcPr>
            <w:tcW w:w="825" w:type="dxa"/>
          </w:tcPr>
          <w:p>
            <w:pPr>
              <w:pageBreakBefore w:val="0"/>
              <w:kinsoku/>
              <w:wordWrap/>
              <w:overflowPunct/>
              <w:topLinePunct w:val="0"/>
              <w:autoSpaceDE/>
              <w:autoSpaceDN/>
              <w:bidi w:val="0"/>
              <w:spacing w:line="360" w:lineRule="auto"/>
              <w:jc w:val="center"/>
              <w:outlineLvl w:val="9"/>
              <w:rPr>
                <w:rFonts w:ascii="宋体" w:hAnsi="宋体"/>
                <w:sz w:val="21"/>
                <w:szCs w:val="21"/>
                <w:highlight w:val="none"/>
              </w:rPr>
            </w:pPr>
          </w:p>
        </w:tc>
        <w:tc>
          <w:tcPr>
            <w:tcW w:w="1194" w:type="dxa"/>
            <w:vAlign w:val="center"/>
          </w:tcPr>
          <w:p>
            <w:pPr>
              <w:pageBreakBefore w:val="0"/>
              <w:kinsoku/>
              <w:wordWrap/>
              <w:overflowPunct/>
              <w:topLinePunct w:val="0"/>
              <w:autoSpaceDE/>
              <w:autoSpaceDN/>
              <w:bidi w:val="0"/>
              <w:spacing w:line="360" w:lineRule="auto"/>
              <w:jc w:val="center"/>
              <w:outlineLvl w:val="9"/>
              <w:rPr>
                <w:rFonts w:ascii="宋体" w:hAnsi="宋体"/>
                <w:sz w:val="21"/>
                <w:szCs w:val="21"/>
                <w:highlight w:val="none"/>
              </w:rPr>
            </w:pPr>
          </w:p>
        </w:tc>
        <w:tc>
          <w:tcPr>
            <w:tcW w:w="1500" w:type="dxa"/>
            <w:vAlign w:val="center"/>
          </w:tcPr>
          <w:p>
            <w:pPr>
              <w:pageBreakBefore w:val="0"/>
              <w:kinsoku/>
              <w:wordWrap/>
              <w:overflowPunct/>
              <w:topLinePunct w:val="0"/>
              <w:autoSpaceDE/>
              <w:autoSpaceDN/>
              <w:bidi w:val="0"/>
              <w:spacing w:line="360" w:lineRule="auto"/>
              <w:jc w:val="center"/>
              <w:outlineLvl w:val="9"/>
              <w:rPr>
                <w:rFonts w:ascii="宋体" w:hAnsi="宋体"/>
                <w:sz w:val="21"/>
                <w:szCs w:val="21"/>
                <w:highlight w:val="none"/>
              </w:rPr>
            </w:pPr>
          </w:p>
        </w:tc>
        <w:tc>
          <w:tcPr>
            <w:tcW w:w="1602" w:type="dxa"/>
            <w:vAlign w:val="center"/>
          </w:tcPr>
          <w:p>
            <w:pPr>
              <w:pageBreakBefore w:val="0"/>
              <w:kinsoku/>
              <w:wordWrap/>
              <w:overflowPunct/>
              <w:topLinePunct w:val="0"/>
              <w:autoSpaceDE/>
              <w:autoSpaceDN/>
              <w:bidi w:val="0"/>
              <w:spacing w:line="360" w:lineRule="auto"/>
              <w:jc w:val="center"/>
              <w:outlineLvl w:val="9"/>
              <w:rPr>
                <w:rFonts w:ascii="宋体" w:hAnsi="宋体"/>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9" w:hRule="atLeast"/>
          <w:jc w:val="center"/>
        </w:trPr>
        <w:tc>
          <w:tcPr>
            <w:tcW w:w="721" w:type="dxa"/>
            <w:vAlign w:val="center"/>
          </w:tcPr>
          <w:p>
            <w:pPr>
              <w:pageBreakBefore w:val="0"/>
              <w:kinsoku/>
              <w:wordWrap/>
              <w:overflowPunct/>
              <w:topLinePunct w:val="0"/>
              <w:autoSpaceDE/>
              <w:autoSpaceDN/>
              <w:bidi w:val="0"/>
              <w:spacing w:line="360" w:lineRule="auto"/>
              <w:jc w:val="center"/>
              <w:outlineLvl w:val="9"/>
              <w:rPr>
                <w:rFonts w:ascii="宋体" w:hAnsi="宋体"/>
                <w:sz w:val="24"/>
                <w:highlight w:val="none"/>
              </w:rPr>
            </w:pPr>
          </w:p>
        </w:tc>
        <w:tc>
          <w:tcPr>
            <w:tcW w:w="1200" w:type="dxa"/>
            <w:vAlign w:val="center"/>
          </w:tcPr>
          <w:p>
            <w:pPr>
              <w:pageBreakBefore w:val="0"/>
              <w:kinsoku/>
              <w:wordWrap/>
              <w:overflowPunct/>
              <w:topLinePunct w:val="0"/>
              <w:autoSpaceDE/>
              <w:autoSpaceDN/>
              <w:bidi w:val="0"/>
              <w:spacing w:line="360" w:lineRule="auto"/>
              <w:jc w:val="center"/>
              <w:outlineLvl w:val="9"/>
              <w:rPr>
                <w:rFonts w:ascii="宋体" w:hAnsi="宋体"/>
                <w:sz w:val="24"/>
                <w:highlight w:val="none"/>
              </w:rPr>
            </w:pPr>
          </w:p>
        </w:tc>
        <w:tc>
          <w:tcPr>
            <w:tcW w:w="911" w:type="dxa"/>
            <w:vAlign w:val="center"/>
          </w:tcPr>
          <w:p>
            <w:pPr>
              <w:pageBreakBefore w:val="0"/>
              <w:kinsoku/>
              <w:wordWrap/>
              <w:overflowPunct/>
              <w:topLinePunct w:val="0"/>
              <w:autoSpaceDE/>
              <w:autoSpaceDN/>
              <w:bidi w:val="0"/>
              <w:spacing w:line="360" w:lineRule="auto"/>
              <w:jc w:val="center"/>
              <w:outlineLvl w:val="9"/>
              <w:rPr>
                <w:rFonts w:ascii="宋体" w:hAnsi="宋体"/>
                <w:sz w:val="24"/>
                <w:highlight w:val="none"/>
              </w:rPr>
            </w:pPr>
          </w:p>
        </w:tc>
        <w:tc>
          <w:tcPr>
            <w:tcW w:w="825" w:type="dxa"/>
          </w:tcPr>
          <w:p>
            <w:pPr>
              <w:pageBreakBefore w:val="0"/>
              <w:kinsoku/>
              <w:wordWrap/>
              <w:overflowPunct/>
              <w:topLinePunct w:val="0"/>
              <w:autoSpaceDE/>
              <w:autoSpaceDN/>
              <w:bidi w:val="0"/>
              <w:spacing w:line="360" w:lineRule="auto"/>
              <w:jc w:val="center"/>
              <w:outlineLvl w:val="9"/>
              <w:rPr>
                <w:rFonts w:ascii="宋体" w:hAnsi="宋体"/>
                <w:sz w:val="24"/>
                <w:highlight w:val="none"/>
              </w:rPr>
            </w:pPr>
          </w:p>
        </w:tc>
        <w:tc>
          <w:tcPr>
            <w:tcW w:w="1194" w:type="dxa"/>
            <w:vAlign w:val="center"/>
          </w:tcPr>
          <w:p>
            <w:pPr>
              <w:pageBreakBefore w:val="0"/>
              <w:kinsoku/>
              <w:wordWrap/>
              <w:overflowPunct/>
              <w:topLinePunct w:val="0"/>
              <w:autoSpaceDE/>
              <w:autoSpaceDN/>
              <w:bidi w:val="0"/>
              <w:spacing w:line="360" w:lineRule="auto"/>
              <w:jc w:val="center"/>
              <w:outlineLvl w:val="9"/>
              <w:rPr>
                <w:rFonts w:ascii="宋体" w:hAnsi="宋体"/>
                <w:sz w:val="24"/>
                <w:highlight w:val="none"/>
              </w:rPr>
            </w:pPr>
          </w:p>
        </w:tc>
        <w:tc>
          <w:tcPr>
            <w:tcW w:w="1500" w:type="dxa"/>
            <w:vAlign w:val="center"/>
          </w:tcPr>
          <w:p>
            <w:pPr>
              <w:pageBreakBefore w:val="0"/>
              <w:kinsoku/>
              <w:wordWrap/>
              <w:overflowPunct/>
              <w:topLinePunct w:val="0"/>
              <w:autoSpaceDE/>
              <w:autoSpaceDN/>
              <w:bidi w:val="0"/>
              <w:spacing w:line="360" w:lineRule="auto"/>
              <w:jc w:val="center"/>
              <w:outlineLvl w:val="9"/>
              <w:rPr>
                <w:rFonts w:ascii="宋体" w:hAnsi="宋体"/>
                <w:sz w:val="24"/>
                <w:highlight w:val="none"/>
              </w:rPr>
            </w:pPr>
          </w:p>
        </w:tc>
        <w:tc>
          <w:tcPr>
            <w:tcW w:w="1602" w:type="dxa"/>
            <w:vAlign w:val="center"/>
          </w:tcPr>
          <w:p>
            <w:pPr>
              <w:pageBreakBefore w:val="0"/>
              <w:kinsoku/>
              <w:wordWrap/>
              <w:overflowPunct/>
              <w:topLinePunct w:val="0"/>
              <w:autoSpaceDE/>
              <w:autoSpaceDN/>
              <w:bidi w:val="0"/>
              <w:spacing w:line="360" w:lineRule="auto"/>
              <w:jc w:val="center"/>
              <w:outlineLvl w:val="9"/>
              <w:rPr>
                <w:rFonts w:ascii="宋体" w:hAnsi="宋体"/>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9" w:hRule="atLeast"/>
          <w:jc w:val="center"/>
        </w:trPr>
        <w:tc>
          <w:tcPr>
            <w:tcW w:w="721" w:type="dxa"/>
            <w:vAlign w:val="center"/>
          </w:tcPr>
          <w:p>
            <w:pPr>
              <w:pageBreakBefore w:val="0"/>
              <w:kinsoku/>
              <w:wordWrap/>
              <w:overflowPunct/>
              <w:topLinePunct w:val="0"/>
              <w:autoSpaceDE/>
              <w:autoSpaceDN/>
              <w:bidi w:val="0"/>
              <w:spacing w:line="360" w:lineRule="auto"/>
              <w:jc w:val="center"/>
              <w:outlineLvl w:val="9"/>
              <w:rPr>
                <w:rFonts w:ascii="宋体" w:hAnsi="宋体"/>
                <w:sz w:val="24"/>
                <w:highlight w:val="none"/>
              </w:rPr>
            </w:pPr>
          </w:p>
        </w:tc>
        <w:tc>
          <w:tcPr>
            <w:tcW w:w="1200" w:type="dxa"/>
            <w:vAlign w:val="center"/>
          </w:tcPr>
          <w:p>
            <w:pPr>
              <w:pageBreakBefore w:val="0"/>
              <w:kinsoku/>
              <w:wordWrap/>
              <w:overflowPunct/>
              <w:topLinePunct w:val="0"/>
              <w:autoSpaceDE/>
              <w:autoSpaceDN/>
              <w:bidi w:val="0"/>
              <w:spacing w:line="360" w:lineRule="auto"/>
              <w:jc w:val="center"/>
              <w:outlineLvl w:val="9"/>
              <w:rPr>
                <w:rFonts w:ascii="宋体" w:hAnsi="宋体"/>
                <w:sz w:val="24"/>
                <w:highlight w:val="none"/>
              </w:rPr>
            </w:pPr>
          </w:p>
        </w:tc>
        <w:tc>
          <w:tcPr>
            <w:tcW w:w="911" w:type="dxa"/>
            <w:vAlign w:val="center"/>
          </w:tcPr>
          <w:p>
            <w:pPr>
              <w:pageBreakBefore w:val="0"/>
              <w:kinsoku/>
              <w:wordWrap/>
              <w:overflowPunct/>
              <w:topLinePunct w:val="0"/>
              <w:autoSpaceDE/>
              <w:autoSpaceDN/>
              <w:bidi w:val="0"/>
              <w:spacing w:line="360" w:lineRule="auto"/>
              <w:jc w:val="center"/>
              <w:outlineLvl w:val="9"/>
              <w:rPr>
                <w:rFonts w:ascii="宋体" w:hAnsi="宋体"/>
                <w:sz w:val="24"/>
                <w:highlight w:val="none"/>
              </w:rPr>
            </w:pPr>
          </w:p>
        </w:tc>
        <w:tc>
          <w:tcPr>
            <w:tcW w:w="825" w:type="dxa"/>
          </w:tcPr>
          <w:p>
            <w:pPr>
              <w:pageBreakBefore w:val="0"/>
              <w:kinsoku/>
              <w:wordWrap/>
              <w:overflowPunct/>
              <w:topLinePunct w:val="0"/>
              <w:autoSpaceDE/>
              <w:autoSpaceDN/>
              <w:bidi w:val="0"/>
              <w:spacing w:line="360" w:lineRule="auto"/>
              <w:jc w:val="center"/>
              <w:outlineLvl w:val="9"/>
              <w:rPr>
                <w:rFonts w:ascii="宋体" w:hAnsi="宋体"/>
                <w:sz w:val="24"/>
                <w:highlight w:val="none"/>
              </w:rPr>
            </w:pPr>
          </w:p>
        </w:tc>
        <w:tc>
          <w:tcPr>
            <w:tcW w:w="1194" w:type="dxa"/>
            <w:vAlign w:val="center"/>
          </w:tcPr>
          <w:p>
            <w:pPr>
              <w:pageBreakBefore w:val="0"/>
              <w:kinsoku/>
              <w:wordWrap/>
              <w:overflowPunct/>
              <w:topLinePunct w:val="0"/>
              <w:autoSpaceDE/>
              <w:autoSpaceDN/>
              <w:bidi w:val="0"/>
              <w:spacing w:line="360" w:lineRule="auto"/>
              <w:jc w:val="center"/>
              <w:outlineLvl w:val="9"/>
              <w:rPr>
                <w:rFonts w:ascii="宋体" w:hAnsi="宋体"/>
                <w:sz w:val="24"/>
                <w:highlight w:val="none"/>
              </w:rPr>
            </w:pPr>
          </w:p>
        </w:tc>
        <w:tc>
          <w:tcPr>
            <w:tcW w:w="1500" w:type="dxa"/>
            <w:vAlign w:val="center"/>
          </w:tcPr>
          <w:p>
            <w:pPr>
              <w:pageBreakBefore w:val="0"/>
              <w:kinsoku/>
              <w:wordWrap/>
              <w:overflowPunct/>
              <w:topLinePunct w:val="0"/>
              <w:autoSpaceDE/>
              <w:autoSpaceDN/>
              <w:bidi w:val="0"/>
              <w:spacing w:line="360" w:lineRule="auto"/>
              <w:jc w:val="center"/>
              <w:outlineLvl w:val="9"/>
              <w:rPr>
                <w:rFonts w:ascii="宋体" w:hAnsi="宋体"/>
                <w:sz w:val="24"/>
                <w:highlight w:val="none"/>
              </w:rPr>
            </w:pPr>
          </w:p>
        </w:tc>
        <w:tc>
          <w:tcPr>
            <w:tcW w:w="1602" w:type="dxa"/>
            <w:vAlign w:val="center"/>
          </w:tcPr>
          <w:p>
            <w:pPr>
              <w:pageBreakBefore w:val="0"/>
              <w:kinsoku/>
              <w:wordWrap/>
              <w:overflowPunct/>
              <w:topLinePunct w:val="0"/>
              <w:autoSpaceDE/>
              <w:autoSpaceDN/>
              <w:bidi w:val="0"/>
              <w:spacing w:line="360" w:lineRule="auto"/>
              <w:jc w:val="center"/>
              <w:outlineLvl w:val="9"/>
              <w:rPr>
                <w:rFonts w:ascii="宋体" w:hAnsi="宋体"/>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9" w:hRule="atLeast"/>
          <w:jc w:val="center"/>
        </w:trPr>
        <w:tc>
          <w:tcPr>
            <w:tcW w:w="721" w:type="dxa"/>
            <w:vAlign w:val="center"/>
          </w:tcPr>
          <w:p>
            <w:pPr>
              <w:pageBreakBefore w:val="0"/>
              <w:kinsoku/>
              <w:wordWrap/>
              <w:overflowPunct/>
              <w:topLinePunct w:val="0"/>
              <w:autoSpaceDE/>
              <w:autoSpaceDN/>
              <w:bidi w:val="0"/>
              <w:spacing w:line="360" w:lineRule="auto"/>
              <w:jc w:val="center"/>
              <w:outlineLvl w:val="9"/>
              <w:rPr>
                <w:rFonts w:ascii="宋体" w:hAnsi="宋体"/>
                <w:sz w:val="24"/>
                <w:highlight w:val="none"/>
              </w:rPr>
            </w:pPr>
          </w:p>
        </w:tc>
        <w:tc>
          <w:tcPr>
            <w:tcW w:w="1200" w:type="dxa"/>
            <w:vAlign w:val="center"/>
          </w:tcPr>
          <w:p>
            <w:pPr>
              <w:pageBreakBefore w:val="0"/>
              <w:kinsoku/>
              <w:wordWrap/>
              <w:overflowPunct/>
              <w:topLinePunct w:val="0"/>
              <w:autoSpaceDE/>
              <w:autoSpaceDN/>
              <w:bidi w:val="0"/>
              <w:spacing w:line="360" w:lineRule="auto"/>
              <w:jc w:val="center"/>
              <w:outlineLvl w:val="9"/>
              <w:rPr>
                <w:rFonts w:ascii="宋体" w:hAnsi="宋体"/>
                <w:sz w:val="24"/>
                <w:highlight w:val="none"/>
              </w:rPr>
            </w:pPr>
          </w:p>
        </w:tc>
        <w:tc>
          <w:tcPr>
            <w:tcW w:w="911" w:type="dxa"/>
            <w:vAlign w:val="center"/>
          </w:tcPr>
          <w:p>
            <w:pPr>
              <w:pageBreakBefore w:val="0"/>
              <w:kinsoku/>
              <w:wordWrap/>
              <w:overflowPunct/>
              <w:topLinePunct w:val="0"/>
              <w:autoSpaceDE/>
              <w:autoSpaceDN/>
              <w:bidi w:val="0"/>
              <w:spacing w:line="360" w:lineRule="auto"/>
              <w:jc w:val="center"/>
              <w:outlineLvl w:val="9"/>
              <w:rPr>
                <w:rFonts w:ascii="宋体" w:hAnsi="宋体"/>
                <w:sz w:val="24"/>
                <w:highlight w:val="none"/>
              </w:rPr>
            </w:pPr>
          </w:p>
        </w:tc>
        <w:tc>
          <w:tcPr>
            <w:tcW w:w="825" w:type="dxa"/>
          </w:tcPr>
          <w:p>
            <w:pPr>
              <w:pageBreakBefore w:val="0"/>
              <w:kinsoku/>
              <w:wordWrap/>
              <w:overflowPunct/>
              <w:topLinePunct w:val="0"/>
              <w:autoSpaceDE/>
              <w:autoSpaceDN/>
              <w:bidi w:val="0"/>
              <w:spacing w:line="360" w:lineRule="auto"/>
              <w:jc w:val="center"/>
              <w:outlineLvl w:val="9"/>
              <w:rPr>
                <w:rFonts w:ascii="宋体" w:hAnsi="宋体"/>
                <w:sz w:val="24"/>
                <w:highlight w:val="none"/>
              </w:rPr>
            </w:pPr>
          </w:p>
        </w:tc>
        <w:tc>
          <w:tcPr>
            <w:tcW w:w="1194" w:type="dxa"/>
            <w:vAlign w:val="center"/>
          </w:tcPr>
          <w:p>
            <w:pPr>
              <w:pageBreakBefore w:val="0"/>
              <w:kinsoku/>
              <w:wordWrap/>
              <w:overflowPunct/>
              <w:topLinePunct w:val="0"/>
              <w:autoSpaceDE/>
              <w:autoSpaceDN/>
              <w:bidi w:val="0"/>
              <w:spacing w:line="360" w:lineRule="auto"/>
              <w:jc w:val="center"/>
              <w:outlineLvl w:val="9"/>
              <w:rPr>
                <w:rFonts w:ascii="宋体" w:hAnsi="宋体"/>
                <w:sz w:val="24"/>
                <w:highlight w:val="none"/>
              </w:rPr>
            </w:pPr>
          </w:p>
        </w:tc>
        <w:tc>
          <w:tcPr>
            <w:tcW w:w="1500" w:type="dxa"/>
            <w:vAlign w:val="center"/>
          </w:tcPr>
          <w:p>
            <w:pPr>
              <w:pageBreakBefore w:val="0"/>
              <w:kinsoku/>
              <w:wordWrap/>
              <w:overflowPunct/>
              <w:topLinePunct w:val="0"/>
              <w:autoSpaceDE/>
              <w:autoSpaceDN/>
              <w:bidi w:val="0"/>
              <w:spacing w:line="360" w:lineRule="auto"/>
              <w:jc w:val="center"/>
              <w:outlineLvl w:val="9"/>
              <w:rPr>
                <w:rFonts w:ascii="宋体" w:hAnsi="宋体"/>
                <w:sz w:val="24"/>
                <w:highlight w:val="none"/>
              </w:rPr>
            </w:pPr>
          </w:p>
        </w:tc>
        <w:tc>
          <w:tcPr>
            <w:tcW w:w="1602" w:type="dxa"/>
            <w:vAlign w:val="center"/>
          </w:tcPr>
          <w:p>
            <w:pPr>
              <w:pageBreakBefore w:val="0"/>
              <w:kinsoku/>
              <w:wordWrap/>
              <w:overflowPunct/>
              <w:topLinePunct w:val="0"/>
              <w:autoSpaceDE/>
              <w:autoSpaceDN/>
              <w:bidi w:val="0"/>
              <w:spacing w:line="360" w:lineRule="auto"/>
              <w:jc w:val="center"/>
              <w:outlineLvl w:val="9"/>
              <w:rPr>
                <w:rFonts w:ascii="宋体" w:hAnsi="宋体"/>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9" w:hRule="atLeast"/>
          <w:jc w:val="center"/>
        </w:trPr>
        <w:tc>
          <w:tcPr>
            <w:tcW w:w="721" w:type="dxa"/>
            <w:vAlign w:val="center"/>
          </w:tcPr>
          <w:p>
            <w:pPr>
              <w:pageBreakBefore w:val="0"/>
              <w:kinsoku/>
              <w:wordWrap/>
              <w:overflowPunct/>
              <w:topLinePunct w:val="0"/>
              <w:autoSpaceDE/>
              <w:autoSpaceDN/>
              <w:bidi w:val="0"/>
              <w:spacing w:line="360" w:lineRule="auto"/>
              <w:jc w:val="center"/>
              <w:outlineLvl w:val="9"/>
              <w:rPr>
                <w:rFonts w:ascii="宋体" w:hAnsi="宋体"/>
                <w:sz w:val="24"/>
                <w:highlight w:val="none"/>
              </w:rPr>
            </w:pPr>
          </w:p>
        </w:tc>
        <w:tc>
          <w:tcPr>
            <w:tcW w:w="1200" w:type="dxa"/>
            <w:vAlign w:val="center"/>
          </w:tcPr>
          <w:p>
            <w:pPr>
              <w:pageBreakBefore w:val="0"/>
              <w:kinsoku/>
              <w:wordWrap/>
              <w:overflowPunct/>
              <w:topLinePunct w:val="0"/>
              <w:autoSpaceDE/>
              <w:autoSpaceDN/>
              <w:bidi w:val="0"/>
              <w:spacing w:line="360" w:lineRule="auto"/>
              <w:jc w:val="center"/>
              <w:outlineLvl w:val="9"/>
              <w:rPr>
                <w:rFonts w:ascii="宋体" w:hAnsi="宋体"/>
                <w:sz w:val="24"/>
                <w:highlight w:val="none"/>
              </w:rPr>
            </w:pPr>
          </w:p>
        </w:tc>
        <w:tc>
          <w:tcPr>
            <w:tcW w:w="911" w:type="dxa"/>
            <w:vAlign w:val="center"/>
          </w:tcPr>
          <w:p>
            <w:pPr>
              <w:pageBreakBefore w:val="0"/>
              <w:kinsoku/>
              <w:wordWrap/>
              <w:overflowPunct/>
              <w:topLinePunct w:val="0"/>
              <w:autoSpaceDE/>
              <w:autoSpaceDN/>
              <w:bidi w:val="0"/>
              <w:spacing w:line="360" w:lineRule="auto"/>
              <w:jc w:val="center"/>
              <w:outlineLvl w:val="9"/>
              <w:rPr>
                <w:rFonts w:ascii="宋体" w:hAnsi="宋体"/>
                <w:sz w:val="24"/>
                <w:highlight w:val="none"/>
              </w:rPr>
            </w:pPr>
          </w:p>
        </w:tc>
        <w:tc>
          <w:tcPr>
            <w:tcW w:w="825" w:type="dxa"/>
          </w:tcPr>
          <w:p>
            <w:pPr>
              <w:pageBreakBefore w:val="0"/>
              <w:kinsoku/>
              <w:wordWrap/>
              <w:overflowPunct/>
              <w:topLinePunct w:val="0"/>
              <w:autoSpaceDE/>
              <w:autoSpaceDN/>
              <w:bidi w:val="0"/>
              <w:spacing w:line="360" w:lineRule="auto"/>
              <w:jc w:val="center"/>
              <w:outlineLvl w:val="9"/>
              <w:rPr>
                <w:rFonts w:ascii="宋体" w:hAnsi="宋体"/>
                <w:sz w:val="24"/>
                <w:highlight w:val="none"/>
              </w:rPr>
            </w:pPr>
          </w:p>
        </w:tc>
        <w:tc>
          <w:tcPr>
            <w:tcW w:w="1194" w:type="dxa"/>
            <w:vAlign w:val="center"/>
          </w:tcPr>
          <w:p>
            <w:pPr>
              <w:pageBreakBefore w:val="0"/>
              <w:kinsoku/>
              <w:wordWrap/>
              <w:overflowPunct/>
              <w:topLinePunct w:val="0"/>
              <w:autoSpaceDE/>
              <w:autoSpaceDN/>
              <w:bidi w:val="0"/>
              <w:spacing w:line="360" w:lineRule="auto"/>
              <w:jc w:val="center"/>
              <w:outlineLvl w:val="9"/>
              <w:rPr>
                <w:rFonts w:ascii="宋体" w:hAnsi="宋体"/>
                <w:sz w:val="24"/>
                <w:highlight w:val="none"/>
              </w:rPr>
            </w:pPr>
          </w:p>
        </w:tc>
        <w:tc>
          <w:tcPr>
            <w:tcW w:w="1500" w:type="dxa"/>
            <w:vAlign w:val="center"/>
          </w:tcPr>
          <w:p>
            <w:pPr>
              <w:pageBreakBefore w:val="0"/>
              <w:kinsoku/>
              <w:wordWrap/>
              <w:overflowPunct/>
              <w:topLinePunct w:val="0"/>
              <w:autoSpaceDE/>
              <w:autoSpaceDN/>
              <w:bidi w:val="0"/>
              <w:spacing w:line="360" w:lineRule="auto"/>
              <w:jc w:val="center"/>
              <w:outlineLvl w:val="9"/>
              <w:rPr>
                <w:rFonts w:ascii="宋体" w:hAnsi="宋体"/>
                <w:sz w:val="24"/>
                <w:highlight w:val="none"/>
              </w:rPr>
            </w:pPr>
          </w:p>
        </w:tc>
        <w:tc>
          <w:tcPr>
            <w:tcW w:w="1602" w:type="dxa"/>
            <w:vAlign w:val="center"/>
          </w:tcPr>
          <w:p>
            <w:pPr>
              <w:pageBreakBefore w:val="0"/>
              <w:kinsoku/>
              <w:wordWrap/>
              <w:overflowPunct/>
              <w:topLinePunct w:val="0"/>
              <w:autoSpaceDE/>
              <w:autoSpaceDN/>
              <w:bidi w:val="0"/>
              <w:spacing w:line="360" w:lineRule="auto"/>
              <w:jc w:val="center"/>
              <w:outlineLvl w:val="9"/>
              <w:rPr>
                <w:rFonts w:ascii="宋体" w:hAnsi="宋体"/>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9" w:hRule="atLeast"/>
          <w:jc w:val="center"/>
        </w:trPr>
        <w:tc>
          <w:tcPr>
            <w:tcW w:w="721" w:type="dxa"/>
            <w:vAlign w:val="center"/>
          </w:tcPr>
          <w:p>
            <w:pPr>
              <w:pageBreakBefore w:val="0"/>
              <w:kinsoku/>
              <w:wordWrap/>
              <w:overflowPunct/>
              <w:topLinePunct w:val="0"/>
              <w:autoSpaceDE/>
              <w:autoSpaceDN/>
              <w:bidi w:val="0"/>
              <w:spacing w:line="360" w:lineRule="auto"/>
              <w:jc w:val="center"/>
              <w:outlineLvl w:val="9"/>
              <w:rPr>
                <w:rFonts w:ascii="宋体" w:hAnsi="宋体"/>
                <w:sz w:val="24"/>
                <w:highlight w:val="none"/>
              </w:rPr>
            </w:pPr>
          </w:p>
        </w:tc>
        <w:tc>
          <w:tcPr>
            <w:tcW w:w="1200" w:type="dxa"/>
            <w:vAlign w:val="center"/>
          </w:tcPr>
          <w:p>
            <w:pPr>
              <w:pageBreakBefore w:val="0"/>
              <w:kinsoku/>
              <w:wordWrap/>
              <w:overflowPunct/>
              <w:topLinePunct w:val="0"/>
              <w:autoSpaceDE/>
              <w:autoSpaceDN/>
              <w:bidi w:val="0"/>
              <w:spacing w:line="360" w:lineRule="auto"/>
              <w:jc w:val="center"/>
              <w:outlineLvl w:val="9"/>
              <w:rPr>
                <w:rFonts w:ascii="宋体" w:hAnsi="宋体"/>
                <w:sz w:val="24"/>
                <w:highlight w:val="none"/>
              </w:rPr>
            </w:pPr>
          </w:p>
        </w:tc>
        <w:tc>
          <w:tcPr>
            <w:tcW w:w="911" w:type="dxa"/>
            <w:vAlign w:val="center"/>
          </w:tcPr>
          <w:p>
            <w:pPr>
              <w:pageBreakBefore w:val="0"/>
              <w:kinsoku/>
              <w:wordWrap/>
              <w:overflowPunct/>
              <w:topLinePunct w:val="0"/>
              <w:autoSpaceDE/>
              <w:autoSpaceDN/>
              <w:bidi w:val="0"/>
              <w:spacing w:line="360" w:lineRule="auto"/>
              <w:jc w:val="center"/>
              <w:outlineLvl w:val="9"/>
              <w:rPr>
                <w:rFonts w:ascii="宋体" w:hAnsi="宋体"/>
                <w:sz w:val="24"/>
                <w:highlight w:val="none"/>
              </w:rPr>
            </w:pPr>
          </w:p>
        </w:tc>
        <w:tc>
          <w:tcPr>
            <w:tcW w:w="825" w:type="dxa"/>
          </w:tcPr>
          <w:p>
            <w:pPr>
              <w:pageBreakBefore w:val="0"/>
              <w:kinsoku/>
              <w:wordWrap/>
              <w:overflowPunct/>
              <w:topLinePunct w:val="0"/>
              <w:autoSpaceDE/>
              <w:autoSpaceDN/>
              <w:bidi w:val="0"/>
              <w:spacing w:line="360" w:lineRule="auto"/>
              <w:jc w:val="center"/>
              <w:outlineLvl w:val="9"/>
              <w:rPr>
                <w:rFonts w:ascii="宋体" w:hAnsi="宋体"/>
                <w:sz w:val="24"/>
                <w:highlight w:val="none"/>
              </w:rPr>
            </w:pPr>
          </w:p>
        </w:tc>
        <w:tc>
          <w:tcPr>
            <w:tcW w:w="1194" w:type="dxa"/>
            <w:vAlign w:val="center"/>
          </w:tcPr>
          <w:p>
            <w:pPr>
              <w:pageBreakBefore w:val="0"/>
              <w:kinsoku/>
              <w:wordWrap/>
              <w:overflowPunct/>
              <w:topLinePunct w:val="0"/>
              <w:autoSpaceDE/>
              <w:autoSpaceDN/>
              <w:bidi w:val="0"/>
              <w:spacing w:line="360" w:lineRule="auto"/>
              <w:jc w:val="center"/>
              <w:outlineLvl w:val="9"/>
              <w:rPr>
                <w:rFonts w:ascii="宋体" w:hAnsi="宋体"/>
                <w:sz w:val="24"/>
                <w:highlight w:val="none"/>
              </w:rPr>
            </w:pPr>
          </w:p>
        </w:tc>
        <w:tc>
          <w:tcPr>
            <w:tcW w:w="1500" w:type="dxa"/>
            <w:vAlign w:val="center"/>
          </w:tcPr>
          <w:p>
            <w:pPr>
              <w:pageBreakBefore w:val="0"/>
              <w:kinsoku/>
              <w:wordWrap/>
              <w:overflowPunct/>
              <w:topLinePunct w:val="0"/>
              <w:autoSpaceDE/>
              <w:autoSpaceDN/>
              <w:bidi w:val="0"/>
              <w:spacing w:line="360" w:lineRule="auto"/>
              <w:jc w:val="center"/>
              <w:outlineLvl w:val="9"/>
              <w:rPr>
                <w:rFonts w:ascii="宋体" w:hAnsi="宋体"/>
                <w:sz w:val="24"/>
                <w:highlight w:val="none"/>
              </w:rPr>
            </w:pPr>
          </w:p>
        </w:tc>
        <w:tc>
          <w:tcPr>
            <w:tcW w:w="1602" w:type="dxa"/>
            <w:vAlign w:val="center"/>
          </w:tcPr>
          <w:p>
            <w:pPr>
              <w:pageBreakBefore w:val="0"/>
              <w:kinsoku/>
              <w:wordWrap/>
              <w:overflowPunct/>
              <w:topLinePunct w:val="0"/>
              <w:autoSpaceDE/>
              <w:autoSpaceDN/>
              <w:bidi w:val="0"/>
              <w:spacing w:line="360" w:lineRule="auto"/>
              <w:jc w:val="center"/>
              <w:outlineLvl w:val="9"/>
              <w:rPr>
                <w:rFonts w:ascii="宋体" w:hAnsi="宋体"/>
                <w:sz w:val="24"/>
                <w:highlight w:val="none"/>
              </w:rPr>
            </w:pPr>
          </w:p>
        </w:tc>
      </w:tr>
    </w:tbl>
    <w:p>
      <w:pPr>
        <w:pStyle w:val="18"/>
        <w:pageBreakBefore w:val="0"/>
        <w:kinsoku/>
        <w:wordWrap/>
        <w:overflowPunct/>
        <w:topLinePunct w:val="0"/>
        <w:autoSpaceDE/>
        <w:autoSpaceDN/>
        <w:bidi w:val="0"/>
        <w:spacing w:line="360" w:lineRule="auto"/>
        <w:outlineLvl w:val="9"/>
        <w:rPr>
          <w:rFonts w:hint="eastAsia" w:hAnsi="宋体"/>
          <w:szCs w:val="21"/>
          <w:highlight w:val="none"/>
        </w:rPr>
      </w:pPr>
      <w:r>
        <w:rPr>
          <w:rFonts w:hint="eastAsia" w:hAnsi="宋体"/>
          <w:szCs w:val="21"/>
          <w:highlight w:val="none"/>
        </w:rPr>
        <w:t>注：</w:t>
      </w:r>
    </w:p>
    <w:p>
      <w:pPr>
        <w:pStyle w:val="18"/>
        <w:pageBreakBefore w:val="0"/>
        <w:kinsoku/>
        <w:wordWrap/>
        <w:overflowPunct/>
        <w:topLinePunct w:val="0"/>
        <w:autoSpaceDE/>
        <w:autoSpaceDN/>
        <w:bidi w:val="0"/>
        <w:spacing w:line="360" w:lineRule="auto"/>
        <w:outlineLvl w:val="9"/>
        <w:rPr>
          <w:rFonts w:hint="eastAsia" w:hAnsi="宋体"/>
          <w:szCs w:val="21"/>
          <w:highlight w:val="none"/>
        </w:rPr>
      </w:pPr>
      <w:r>
        <w:rPr>
          <w:rFonts w:hint="eastAsia" w:hAnsi="宋体"/>
          <w:szCs w:val="21"/>
          <w:highlight w:val="none"/>
        </w:rPr>
        <w:t>1.投标文件中需提供团队人员证明材料</w:t>
      </w:r>
      <w:r>
        <w:rPr>
          <w:rFonts w:hint="eastAsia" w:hAnsi="宋体"/>
          <w:szCs w:val="21"/>
          <w:highlight w:val="none"/>
          <w:lang w:eastAsia="zh-CN"/>
        </w:rPr>
        <w:t>：</w:t>
      </w:r>
      <w:r>
        <w:rPr>
          <w:rFonts w:hint="eastAsia" w:hAnsi="宋体"/>
          <w:szCs w:val="21"/>
          <w:highlight w:val="none"/>
        </w:rPr>
        <w:t>身份证、职称证（如有）或专业技术职业资格（资质）证书（如有）及社保缴纳证明材料。</w:t>
      </w:r>
    </w:p>
    <w:p>
      <w:pPr>
        <w:pStyle w:val="18"/>
        <w:pageBreakBefore w:val="0"/>
        <w:kinsoku/>
        <w:wordWrap/>
        <w:overflowPunct/>
        <w:topLinePunct w:val="0"/>
        <w:autoSpaceDE/>
        <w:autoSpaceDN/>
        <w:bidi w:val="0"/>
        <w:spacing w:line="360" w:lineRule="auto"/>
        <w:outlineLvl w:val="9"/>
        <w:rPr>
          <w:rFonts w:hint="eastAsia" w:hAnsi="宋体"/>
          <w:bCs/>
          <w:szCs w:val="21"/>
          <w:highlight w:val="none"/>
        </w:rPr>
      </w:pPr>
      <w:r>
        <w:rPr>
          <w:rFonts w:hint="eastAsia" w:hAnsi="宋体"/>
          <w:szCs w:val="21"/>
          <w:highlight w:val="none"/>
        </w:rPr>
        <w:t>2.投标人可根据实际情况拓展本表</w:t>
      </w:r>
      <w:r>
        <w:rPr>
          <w:rFonts w:hint="eastAsia" w:hAnsi="宋体"/>
          <w:bCs/>
          <w:szCs w:val="21"/>
          <w:highlight w:val="none"/>
        </w:rPr>
        <w:t>。</w:t>
      </w:r>
    </w:p>
    <w:p>
      <w:pPr>
        <w:pageBreakBefore w:val="0"/>
        <w:kinsoku/>
        <w:wordWrap/>
        <w:overflowPunct/>
        <w:topLinePunct w:val="0"/>
        <w:autoSpaceDE/>
        <w:autoSpaceDN/>
        <w:bidi w:val="0"/>
        <w:outlineLvl w:val="9"/>
        <w:rPr>
          <w:rFonts w:hint="eastAsia" w:hAnsi="宋体"/>
          <w:bCs/>
          <w:szCs w:val="21"/>
          <w:highlight w:val="none"/>
        </w:rPr>
      </w:pPr>
    </w:p>
    <w:p>
      <w:pPr>
        <w:pageBreakBefore w:val="0"/>
        <w:kinsoku/>
        <w:wordWrap/>
        <w:overflowPunct/>
        <w:topLinePunct w:val="0"/>
        <w:autoSpaceDE/>
        <w:autoSpaceDN/>
        <w:bidi w:val="0"/>
        <w:outlineLvl w:val="9"/>
        <w:rPr>
          <w:rFonts w:hint="eastAsia" w:hAnsi="宋体"/>
          <w:bCs/>
          <w:szCs w:val="21"/>
          <w:highlight w:val="none"/>
        </w:rPr>
      </w:pPr>
    </w:p>
    <w:p>
      <w:pPr>
        <w:pageBreakBefore w:val="0"/>
        <w:kinsoku/>
        <w:wordWrap/>
        <w:overflowPunct/>
        <w:topLinePunct w:val="0"/>
        <w:autoSpaceDE/>
        <w:autoSpaceDN/>
        <w:bidi w:val="0"/>
        <w:outlineLvl w:val="9"/>
        <w:rPr>
          <w:rFonts w:hint="eastAsia" w:hAnsi="宋体"/>
          <w:bCs/>
          <w:szCs w:val="21"/>
          <w:highlight w:val="none"/>
        </w:rPr>
      </w:pPr>
    </w:p>
    <w:p>
      <w:pPr>
        <w:keepNext/>
        <w:keepLines/>
        <w:pageBreakBefore w:val="0"/>
        <w:kinsoku/>
        <w:wordWrap/>
        <w:overflowPunct/>
        <w:topLinePunct w:val="0"/>
        <w:autoSpaceDE/>
        <w:autoSpaceDN/>
        <w:bidi w:val="0"/>
        <w:outlineLvl w:val="9"/>
        <w:rPr>
          <w:rFonts w:hint="eastAsia"/>
          <w:highlight w:val="none"/>
        </w:rPr>
      </w:pPr>
    </w:p>
    <w:p>
      <w:pPr>
        <w:pageBreakBefore w:val="0"/>
        <w:tabs>
          <w:tab w:val="left" w:pos="9214"/>
        </w:tabs>
        <w:kinsoku/>
        <w:wordWrap/>
        <w:overflowPunct/>
        <w:topLinePunct w:val="0"/>
        <w:autoSpaceDE/>
        <w:autoSpaceDN/>
        <w:bidi w:val="0"/>
        <w:spacing w:line="360" w:lineRule="auto"/>
        <w:outlineLvl w:val="9"/>
        <w:rPr>
          <w:rFonts w:ascii="Calibri" w:hAnsi="Calibri"/>
          <w:szCs w:val="21"/>
          <w:highlight w:val="none"/>
          <w:u w:val="single"/>
        </w:rPr>
      </w:pPr>
      <w:r>
        <w:rPr>
          <w:rFonts w:hint="eastAsia" w:ascii="Calibri" w:hAnsi="Calibri" w:cs="宋体"/>
          <w:szCs w:val="21"/>
          <w:highlight w:val="none"/>
        </w:rPr>
        <w:t>投标人：</w:t>
      </w:r>
      <w:r>
        <w:rPr>
          <w:rFonts w:ascii="Calibri" w:hAnsi="Calibri"/>
          <w:szCs w:val="21"/>
          <w:highlight w:val="none"/>
          <w:u w:val="single"/>
        </w:rPr>
        <w:t xml:space="preserve">                              </w:t>
      </w:r>
      <w:r>
        <w:rPr>
          <w:rFonts w:hint="eastAsia" w:ascii="Calibri" w:hAnsi="Calibri" w:cs="宋体"/>
          <w:szCs w:val="21"/>
          <w:highlight w:val="none"/>
          <w:u w:val="single"/>
        </w:rPr>
        <w:t>（电子签章）</w:t>
      </w:r>
    </w:p>
    <w:p>
      <w:pPr>
        <w:pageBreakBefore w:val="0"/>
        <w:widowControl w:val="0"/>
        <w:kinsoku/>
        <w:wordWrap/>
        <w:overflowPunct/>
        <w:topLinePunct w:val="0"/>
        <w:autoSpaceDE/>
        <w:autoSpaceDN/>
        <w:bidi w:val="0"/>
        <w:adjustRightInd/>
        <w:snapToGrid/>
        <w:textAlignment w:val="auto"/>
        <w:outlineLvl w:val="9"/>
        <w:rPr>
          <w:rFonts w:hint="eastAsia" w:ascii="宋体" w:hAnsi="宋体" w:cs="宋体"/>
          <w:sz w:val="21"/>
          <w:szCs w:val="21"/>
          <w:highlight w:val="none"/>
          <w:lang w:eastAsia="zh-CN"/>
        </w:rPr>
      </w:pPr>
      <w:r>
        <w:rPr>
          <w:rFonts w:hint="eastAsia" w:ascii="宋体" w:hAnsi="宋体" w:cs="宋体"/>
          <w:sz w:val="21"/>
          <w:szCs w:val="21"/>
          <w:highlight w:val="none"/>
        </w:rPr>
        <w:t>法定代表人</w:t>
      </w:r>
      <w:r>
        <w:rPr>
          <w:rFonts w:hint="eastAsia" w:ascii="宋体" w:hAnsi="宋体" w:cs="宋体"/>
          <w:sz w:val="21"/>
          <w:szCs w:val="21"/>
          <w:highlight w:val="none"/>
          <w:lang w:eastAsia="zh-CN"/>
        </w:rPr>
        <w:t>（</w:t>
      </w:r>
      <w:r>
        <w:rPr>
          <w:rFonts w:hint="eastAsia" w:ascii="宋体" w:hAnsi="宋体" w:cs="宋体"/>
          <w:sz w:val="21"/>
          <w:szCs w:val="21"/>
          <w:highlight w:val="none"/>
          <w:lang w:val="en-US" w:eastAsia="zh-CN"/>
        </w:rPr>
        <w:t>电子签名</w:t>
      </w:r>
      <w:r>
        <w:rPr>
          <w:rFonts w:hint="eastAsia" w:ascii="宋体" w:hAnsi="宋体" w:cs="宋体"/>
          <w:sz w:val="21"/>
          <w:szCs w:val="21"/>
          <w:highlight w:val="none"/>
          <w:lang w:eastAsia="zh-CN"/>
        </w:rPr>
        <w:t>）</w:t>
      </w:r>
    </w:p>
    <w:p>
      <w:pPr>
        <w:pageBreakBefore w:val="0"/>
        <w:widowControl w:val="0"/>
        <w:kinsoku/>
        <w:wordWrap/>
        <w:overflowPunct/>
        <w:topLinePunct w:val="0"/>
        <w:autoSpaceDE/>
        <w:autoSpaceDN/>
        <w:bidi w:val="0"/>
        <w:adjustRightInd/>
        <w:snapToGrid/>
        <w:textAlignment w:val="auto"/>
        <w:outlineLvl w:val="9"/>
        <w:rPr>
          <w:rFonts w:hint="eastAsia" w:ascii="宋体" w:hAnsi="宋体" w:cs="宋体"/>
          <w:sz w:val="21"/>
          <w:szCs w:val="21"/>
          <w:highlight w:val="none"/>
        </w:rPr>
      </w:pPr>
      <w:r>
        <w:rPr>
          <w:rFonts w:hint="eastAsia" w:ascii="宋体" w:hAnsi="宋体" w:cs="宋体"/>
          <w:sz w:val="21"/>
          <w:szCs w:val="21"/>
          <w:highlight w:val="none"/>
        </w:rPr>
        <w:t>或其委托代理人</w:t>
      </w:r>
      <w:r>
        <w:rPr>
          <w:rFonts w:hint="eastAsia" w:ascii="宋体" w:hAnsi="宋体" w:cs="宋体"/>
          <w:sz w:val="21"/>
          <w:szCs w:val="21"/>
          <w:highlight w:val="none"/>
          <w:lang w:eastAsia="zh-CN"/>
        </w:rPr>
        <w:t>（</w:t>
      </w:r>
      <w:r>
        <w:rPr>
          <w:rFonts w:hint="eastAsia" w:ascii="宋体" w:hAnsi="宋体" w:cs="宋体"/>
          <w:sz w:val="21"/>
          <w:szCs w:val="21"/>
          <w:highlight w:val="none"/>
          <w:lang w:val="en-US" w:eastAsia="zh-CN"/>
        </w:rPr>
        <w:t>签字</w:t>
      </w:r>
      <w:r>
        <w:rPr>
          <w:rFonts w:hint="eastAsia" w:ascii="宋体" w:hAnsi="宋体" w:cs="宋体"/>
          <w:sz w:val="21"/>
          <w:szCs w:val="21"/>
          <w:highlight w:val="none"/>
          <w:lang w:eastAsia="zh-CN"/>
        </w:rPr>
        <w:t>）</w:t>
      </w:r>
      <w:r>
        <w:rPr>
          <w:rFonts w:hint="eastAsia" w:ascii="宋体" w:hAnsi="宋体" w:cs="宋体"/>
          <w:sz w:val="21"/>
          <w:szCs w:val="21"/>
          <w:highlight w:val="none"/>
        </w:rPr>
        <w:t>：</w:t>
      </w:r>
      <w:r>
        <w:rPr>
          <w:rFonts w:hint="eastAsia" w:ascii="宋体" w:hAnsi="宋体" w:cs="宋体"/>
          <w:sz w:val="21"/>
          <w:szCs w:val="21"/>
          <w:highlight w:val="none"/>
          <w:u w:val="single"/>
        </w:rPr>
        <w:t xml:space="preserve">             </w:t>
      </w:r>
    </w:p>
    <w:p>
      <w:pPr>
        <w:pageBreakBefore w:val="0"/>
        <w:widowControl w:val="0"/>
        <w:kinsoku/>
        <w:wordWrap/>
        <w:overflowPunct/>
        <w:topLinePunct w:val="0"/>
        <w:autoSpaceDE/>
        <w:autoSpaceDN/>
        <w:bidi w:val="0"/>
        <w:adjustRightInd/>
        <w:snapToGrid/>
        <w:textAlignment w:val="auto"/>
        <w:outlineLvl w:val="9"/>
        <w:rPr>
          <w:rFonts w:hint="eastAsia" w:ascii="宋体" w:hAnsi="宋体" w:cs="宋体"/>
          <w:sz w:val="21"/>
          <w:szCs w:val="21"/>
          <w:highlight w:val="none"/>
        </w:rPr>
      </w:pPr>
      <w:r>
        <w:rPr>
          <w:rFonts w:hint="eastAsia" w:ascii="宋体" w:hAnsi="宋体" w:cs="宋体"/>
          <w:sz w:val="21"/>
          <w:szCs w:val="21"/>
          <w:highlight w:val="none"/>
        </w:rPr>
        <w:t xml:space="preserve"> </w:t>
      </w:r>
    </w:p>
    <w:p>
      <w:pPr>
        <w:pageBreakBefore w:val="0"/>
        <w:tabs>
          <w:tab w:val="left" w:pos="9214"/>
        </w:tabs>
        <w:kinsoku/>
        <w:wordWrap/>
        <w:overflowPunct/>
        <w:topLinePunct w:val="0"/>
        <w:autoSpaceDE/>
        <w:autoSpaceDN/>
        <w:bidi w:val="0"/>
        <w:spacing w:line="360" w:lineRule="auto"/>
        <w:outlineLvl w:val="9"/>
        <w:rPr>
          <w:rFonts w:ascii="Calibri" w:hAnsi="Calibri"/>
          <w:szCs w:val="21"/>
          <w:highlight w:val="none"/>
          <w:u w:val="single"/>
        </w:rPr>
      </w:pPr>
      <w:r>
        <w:rPr>
          <w:rFonts w:hint="eastAsia" w:ascii="Calibri" w:hAnsi="Calibri" w:cs="宋体"/>
          <w:szCs w:val="21"/>
          <w:highlight w:val="none"/>
        </w:rPr>
        <w:t>日</w:t>
      </w:r>
      <w:r>
        <w:rPr>
          <w:rFonts w:ascii="Calibri" w:hAnsi="Calibri"/>
          <w:szCs w:val="21"/>
          <w:highlight w:val="none"/>
        </w:rPr>
        <w:t xml:space="preserve">    </w:t>
      </w:r>
      <w:r>
        <w:rPr>
          <w:rFonts w:hint="eastAsia" w:ascii="Calibri" w:hAnsi="Calibri" w:cs="宋体"/>
          <w:szCs w:val="21"/>
          <w:highlight w:val="none"/>
        </w:rPr>
        <w:t>期：</w:t>
      </w:r>
      <w:r>
        <w:rPr>
          <w:rFonts w:ascii="Calibri" w:hAnsi="Calibri"/>
          <w:szCs w:val="21"/>
          <w:highlight w:val="none"/>
          <w:u w:val="single"/>
        </w:rPr>
        <w:t xml:space="preserve">        </w:t>
      </w:r>
      <w:r>
        <w:rPr>
          <w:rFonts w:hint="eastAsia" w:ascii="Calibri" w:hAnsi="Calibri" w:cs="宋体"/>
          <w:szCs w:val="21"/>
          <w:highlight w:val="none"/>
          <w:u w:val="none"/>
        </w:rPr>
        <w:t>年</w:t>
      </w:r>
      <w:r>
        <w:rPr>
          <w:rFonts w:ascii="Calibri" w:hAnsi="Calibri"/>
          <w:szCs w:val="21"/>
          <w:highlight w:val="none"/>
          <w:u w:val="single"/>
        </w:rPr>
        <w:t xml:space="preserve">    </w:t>
      </w:r>
      <w:r>
        <w:rPr>
          <w:rFonts w:hint="eastAsia" w:ascii="Calibri" w:hAnsi="Calibri" w:cs="宋体"/>
          <w:szCs w:val="21"/>
          <w:highlight w:val="none"/>
          <w:u w:val="none"/>
        </w:rPr>
        <w:t>月</w:t>
      </w:r>
      <w:r>
        <w:rPr>
          <w:rFonts w:ascii="Calibri" w:hAnsi="Calibri"/>
          <w:szCs w:val="21"/>
          <w:highlight w:val="none"/>
          <w:u w:val="single"/>
        </w:rPr>
        <w:t xml:space="preserve">   </w:t>
      </w:r>
      <w:r>
        <w:rPr>
          <w:rFonts w:hint="eastAsia" w:ascii="Calibri" w:hAnsi="Calibri" w:cs="宋体"/>
          <w:szCs w:val="21"/>
          <w:highlight w:val="none"/>
          <w:u w:val="none"/>
        </w:rPr>
        <w:t>日</w:t>
      </w:r>
    </w:p>
    <w:p>
      <w:pPr>
        <w:pageBreakBefore w:val="0"/>
        <w:widowControl/>
        <w:kinsoku/>
        <w:wordWrap/>
        <w:overflowPunct/>
        <w:topLinePunct w:val="0"/>
        <w:autoSpaceDE/>
        <w:autoSpaceDN/>
        <w:bidi w:val="0"/>
        <w:jc w:val="left"/>
        <w:outlineLvl w:val="9"/>
        <w:rPr>
          <w:rFonts w:ascii="Calibri" w:hAnsi="宋体"/>
          <w:b/>
          <w:sz w:val="28"/>
          <w:szCs w:val="28"/>
          <w:highlight w:val="none"/>
        </w:rPr>
        <w:sectPr>
          <w:headerReference r:id="rId9" w:type="default"/>
          <w:footerReference r:id="rId10" w:type="default"/>
          <w:pgSz w:w="11850" w:h="16783"/>
          <w:pgMar w:top="1440" w:right="1570" w:bottom="1440" w:left="1570" w:header="720" w:footer="720" w:gutter="0"/>
          <w:cols w:space="708" w:num="1"/>
        </w:sectPr>
      </w:pPr>
    </w:p>
    <w:p>
      <w:pPr>
        <w:pageBreakBefore w:val="0"/>
        <w:widowControl/>
        <w:kinsoku/>
        <w:wordWrap/>
        <w:overflowPunct/>
        <w:topLinePunct w:val="0"/>
        <w:autoSpaceDE/>
        <w:autoSpaceDN/>
        <w:bidi w:val="0"/>
        <w:jc w:val="left"/>
        <w:outlineLvl w:val="9"/>
        <w:rPr>
          <w:rFonts w:hint="eastAsia" w:ascii="Calibri" w:hAnsi="宋体"/>
          <w:b/>
          <w:sz w:val="28"/>
          <w:szCs w:val="28"/>
          <w:highlight w:val="none"/>
        </w:rPr>
      </w:pPr>
      <w:r>
        <w:rPr>
          <w:rFonts w:hint="eastAsia" w:ascii="Calibri" w:hAnsi="宋体"/>
          <w:b/>
          <w:sz w:val="28"/>
          <w:szCs w:val="28"/>
          <w:highlight w:val="none"/>
        </w:rPr>
        <w:t>格式</w:t>
      </w:r>
      <w:r>
        <w:rPr>
          <w:rFonts w:hint="eastAsia" w:ascii="Calibri" w:hAnsi="宋体"/>
          <w:b/>
          <w:sz w:val="28"/>
          <w:szCs w:val="28"/>
          <w:highlight w:val="none"/>
          <w:lang w:val="en-US" w:eastAsia="zh-CN"/>
        </w:rPr>
        <w:t>11</w:t>
      </w:r>
      <w:r>
        <w:rPr>
          <w:rFonts w:hint="eastAsia" w:ascii="Calibri" w:hAnsi="宋体"/>
          <w:b/>
          <w:sz w:val="28"/>
          <w:szCs w:val="28"/>
          <w:highlight w:val="none"/>
        </w:rPr>
        <w:t>：</w:t>
      </w:r>
    </w:p>
    <w:p>
      <w:pPr>
        <w:pageBreakBefore w:val="0"/>
        <w:kinsoku/>
        <w:wordWrap/>
        <w:overflowPunct/>
        <w:topLinePunct w:val="0"/>
        <w:autoSpaceDE/>
        <w:autoSpaceDN/>
        <w:bidi w:val="0"/>
        <w:outlineLvl w:val="9"/>
        <w:rPr>
          <w:highlight w:val="none"/>
        </w:rPr>
      </w:pPr>
    </w:p>
    <w:p>
      <w:pPr>
        <w:pageBreakBefore w:val="0"/>
        <w:kinsoku/>
        <w:wordWrap/>
        <w:overflowPunct/>
        <w:topLinePunct w:val="0"/>
        <w:autoSpaceDE/>
        <w:autoSpaceDN/>
        <w:bidi w:val="0"/>
        <w:outlineLvl w:val="9"/>
        <w:rPr>
          <w:highlight w:val="none"/>
        </w:rPr>
      </w:pPr>
    </w:p>
    <w:p>
      <w:pPr>
        <w:pageBreakBefore w:val="0"/>
        <w:numPr>
          <w:ilvl w:val="0"/>
          <w:numId w:val="0"/>
        </w:numPr>
        <w:tabs>
          <w:tab w:val="left" w:pos="1021"/>
        </w:tabs>
        <w:kinsoku/>
        <w:wordWrap/>
        <w:overflowPunct/>
        <w:topLinePunct w:val="0"/>
        <w:autoSpaceDE/>
        <w:autoSpaceDN/>
        <w:bidi w:val="0"/>
        <w:ind w:left="-767"/>
        <w:jc w:val="center"/>
        <w:outlineLvl w:val="9"/>
        <w:rPr>
          <w:rFonts w:hint="eastAsia" w:ascii="宋体" w:hAnsi="宋体"/>
          <w:b/>
          <w:bCs/>
          <w:sz w:val="32"/>
          <w:szCs w:val="32"/>
          <w:highlight w:val="none"/>
          <w:lang w:val="en-US" w:eastAsia="zh-CN"/>
        </w:rPr>
      </w:pPr>
      <w:r>
        <w:rPr>
          <w:rFonts w:hint="eastAsia" w:ascii="宋体" w:hAnsi="宋体"/>
          <w:b/>
          <w:bCs/>
          <w:sz w:val="32"/>
          <w:szCs w:val="32"/>
          <w:highlight w:val="none"/>
          <w:lang w:val="en-US" w:eastAsia="zh-CN"/>
        </w:rPr>
        <w:t>技术和质量管理制</w:t>
      </w:r>
    </w:p>
    <w:p>
      <w:pPr>
        <w:pageBreakBefore w:val="0"/>
        <w:numPr>
          <w:ilvl w:val="0"/>
          <w:numId w:val="0"/>
        </w:numPr>
        <w:tabs>
          <w:tab w:val="left" w:pos="1021"/>
        </w:tabs>
        <w:kinsoku/>
        <w:wordWrap/>
        <w:overflowPunct/>
        <w:topLinePunct w:val="0"/>
        <w:autoSpaceDE/>
        <w:autoSpaceDN/>
        <w:bidi w:val="0"/>
        <w:ind w:left="-767"/>
        <w:jc w:val="center"/>
        <w:outlineLvl w:val="9"/>
        <w:rPr>
          <w:rFonts w:hint="eastAsia" w:ascii="宋体" w:hAnsi="宋体"/>
          <w:b/>
          <w:bCs/>
          <w:sz w:val="32"/>
          <w:szCs w:val="32"/>
          <w:highlight w:val="none"/>
        </w:rPr>
      </w:pPr>
    </w:p>
    <w:p>
      <w:pPr>
        <w:pageBreakBefore w:val="0"/>
        <w:kinsoku/>
        <w:wordWrap/>
        <w:overflowPunct/>
        <w:topLinePunct w:val="0"/>
        <w:autoSpaceDE/>
        <w:autoSpaceDN/>
        <w:bidi w:val="0"/>
        <w:outlineLvl w:val="9"/>
        <w:rPr>
          <w:rFonts w:hint="eastAsia"/>
          <w:highlight w:val="none"/>
        </w:rPr>
      </w:pPr>
    </w:p>
    <w:p>
      <w:pPr>
        <w:pageBreakBefore w:val="0"/>
        <w:kinsoku/>
        <w:wordWrap/>
        <w:overflowPunct/>
        <w:topLinePunct w:val="0"/>
        <w:autoSpaceDE/>
        <w:autoSpaceDN/>
        <w:bidi w:val="0"/>
        <w:outlineLvl w:val="9"/>
        <w:rPr>
          <w:rFonts w:hint="eastAsia"/>
          <w:highlight w:val="none"/>
        </w:rPr>
      </w:pPr>
    </w:p>
    <w:p>
      <w:pPr>
        <w:pageBreakBefore w:val="0"/>
        <w:kinsoku/>
        <w:wordWrap/>
        <w:overflowPunct/>
        <w:topLinePunct w:val="0"/>
        <w:autoSpaceDE/>
        <w:autoSpaceDN/>
        <w:bidi w:val="0"/>
        <w:outlineLvl w:val="9"/>
        <w:rPr>
          <w:highlight w:val="none"/>
        </w:rPr>
      </w:pPr>
    </w:p>
    <w:p>
      <w:pPr>
        <w:pageBreakBefore w:val="0"/>
        <w:kinsoku/>
        <w:wordWrap/>
        <w:overflowPunct/>
        <w:topLinePunct w:val="0"/>
        <w:autoSpaceDE/>
        <w:autoSpaceDN/>
        <w:bidi w:val="0"/>
        <w:outlineLvl w:val="9"/>
        <w:rPr>
          <w:highlight w:val="none"/>
        </w:rPr>
      </w:pPr>
    </w:p>
    <w:p>
      <w:pPr>
        <w:pageBreakBefore w:val="0"/>
        <w:kinsoku/>
        <w:wordWrap/>
        <w:overflowPunct/>
        <w:topLinePunct w:val="0"/>
        <w:autoSpaceDE/>
        <w:autoSpaceDN/>
        <w:bidi w:val="0"/>
        <w:outlineLvl w:val="9"/>
        <w:rPr>
          <w:rFonts w:ascii="宋体" w:hAnsi="宋体"/>
          <w:highlight w:val="none"/>
        </w:rPr>
      </w:pPr>
    </w:p>
    <w:p>
      <w:pPr>
        <w:pStyle w:val="18"/>
        <w:pageBreakBefore w:val="0"/>
        <w:kinsoku/>
        <w:wordWrap/>
        <w:overflowPunct/>
        <w:topLinePunct w:val="0"/>
        <w:autoSpaceDE/>
        <w:autoSpaceDN/>
        <w:bidi w:val="0"/>
        <w:jc w:val="center"/>
        <w:outlineLvl w:val="9"/>
        <w:rPr>
          <w:rFonts w:hint="eastAsia" w:hAnsi="宋体"/>
          <w:szCs w:val="21"/>
          <w:highlight w:val="none"/>
        </w:rPr>
      </w:pPr>
      <w:r>
        <w:rPr>
          <w:rFonts w:hint="eastAsia" w:hAnsi="宋体"/>
          <w:szCs w:val="21"/>
          <w:highlight w:val="none"/>
        </w:rPr>
        <w:t>(格式自拟)</w:t>
      </w:r>
    </w:p>
    <w:p>
      <w:pPr>
        <w:pageBreakBefore w:val="0"/>
        <w:widowControl/>
        <w:kinsoku/>
        <w:wordWrap/>
        <w:overflowPunct/>
        <w:topLinePunct w:val="0"/>
        <w:autoSpaceDE/>
        <w:autoSpaceDN/>
        <w:bidi w:val="0"/>
        <w:jc w:val="left"/>
        <w:outlineLvl w:val="9"/>
        <w:rPr>
          <w:rFonts w:hint="eastAsia" w:ascii="Calibri" w:hAnsi="宋体"/>
          <w:b/>
          <w:sz w:val="28"/>
          <w:szCs w:val="28"/>
          <w:highlight w:val="none"/>
        </w:rPr>
      </w:pPr>
    </w:p>
    <w:p>
      <w:pPr>
        <w:pageBreakBefore w:val="0"/>
        <w:widowControl/>
        <w:kinsoku/>
        <w:wordWrap/>
        <w:overflowPunct/>
        <w:topLinePunct w:val="0"/>
        <w:autoSpaceDE/>
        <w:autoSpaceDN/>
        <w:bidi w:val="0"/>
        <w:jc w:val="left"/>
        <w:outlineLvl w:val="9"/>
        <w:rPr>
          <w:rFonts w:hint="eastAsia" w:ascii="Calibri" w:hAnsi="宋体"/>
          <w:b/>
          <w:sz w:val="28"/>
          <w:szCs w:val="28"/>
          <w:highlight w:val="none"/>
        </w:rPr>
      </w:pPr>
    </w:p>
    <w:p>
      <w:pPr>
        <w:pageBreakBefore w:val="0"/>
        <w:widowControl/>
        <w:kinsoku/>
        <w:wordWrap/>
        <w:overflowPunct/>
        <w:topLinePunct w:val="0"/>
        <w:autoSpaceDE/>
        <w:autoSpaceDN/>
        <w:bidi w:val="0"/>
        <w:jc w:val="left"/>
        <w:outlineLvl w:val="9"/>
        <w:rPr>
          <w:rFonts w:hint="eastAsia" w:ascii="Calibri" w:hAnsi="宋体"/>
          <w:b/>
          <w:sz w:val="28"/>
          <w:szCs w:val="28"/>
          <w:highlight w:val="none"/>
        </w:rPr>
      </w:pPr>
    </w:p>
    <w:p>
      <w:pPr>
        <w:pageBreakBefore w:val="0"/>
        <w:widowControl/>
        <w:kinsoku/>
        <w:wordWrap/>
        <w:overflowPunct/>
        <w:topLinePunct w:val="0"/>
        <w:autoSpaceDE/>
        <w:autoSpaceDN/>
        <w:bidi w:val="0"/>
        <w:jc w:val="left"/>
        <w:outlineLvl w:val="9"/>
        <w:rPr>
          <w:rFonts w:hint="eastAsia" w:ascii="Calibri" w:hAnsi="宋体"/>
          <w:b/>
          <w:sz w:val="28"/>
          <w:szCs w:val="28"/>
          <w:highlight w:val="none"/>
        </w:rPr>
      </w:pPr>
      <w:r>
        <w:rPr>
          <w:rFonts w:hint="eastAsia" w:ascii="Calibri" w:hAnsi="宋体"/>
          <w:b/>
          <w:sz w:val="28"/>
          <w:szCs w:val="28"/>
          <w:highlight w:val="none"/>
        </w:rPr>
        <w:t>格式</w:t>
      </w:r>
      <w:r>
        <w:rPr>
          <w:rFonts w:hint="eastAsia" w:ascii="Calibri" w:hAnsi="宋体"/>
          <w:b/>
          <w:sz w:val="28"/>
          <w:szCs w:val="28"/>
          <w:highlight w:val="none"/>
          <w:lang w:val="en-US" w:eastAsia="zh-CN"/>
        </w:rPr>
        <w:t>12</w:t>
      </w:r>
      <w:r>
        <w:rPr>
          <w:rFonts w:hint="eastAsia" w:ascii="Calibri" w:hAnsi="宋体"/>
          <w:b/>
          <w:sz w:val="28"/>
          <w:szCs w:val="28"/>
          <w:highlight w:val="none"/>
        </w:rPr>
        <w:t>：</w:t>
      </w:r>
    </w:p>
    <w:p>
      <w:pPr>
        <w:pageBreakBefore w:val="0"/>
        <w:kinsoku/>
        <w:wordWrap/>
        <w:overflowPunct/>
        <w:topLinePunct w:val="0"/>
        <w:autoSpaceDE/>
        <w:autoSpaceDN/>
        <w:bidi w:val="0"/>
        <w:outlineLvl w:val="9"/>
        <w:rPr>
          <w:highlight w:val="none"/>
        </w:rPr>
      </w:pPr>
    </w:p>
    <w:p>
      <w:pPr>
        <w:pageBreakBefore w:val="0"/>
        <w:kinsoku/>
        <w:wordWrap/>
        <w:overflowPunct/>
        <w:topLinePunct w:val="0"/>
        <w:autoSpaceDE/>
        <w:autoSpaceDN/>
        <w:bidi w:val="0"/>
        <w:outlineLvl w:val="9"/>
        <w:rPr>
          <w:highlight w:val="none"/>
        </w:rPr>
      </w:pPr>
    </w:p>
    <w:p>
      <w:pPr>
        <w:pageBreakBefore w:val="0"/>
        <w:numPr>
          <w:ilvl w:val="0"/>
          <w:numId w:val="0"/>
        </w:numPr>
        <w:tabs>
          <w:tab w:val="left" w:pos="1021"/>
        </w:tabs>
        <w:kinsoku/>
        <w:wordWrap/>
        <w:overflowPunct/>
        <w:topLinePunct w:val="0"/>
        <w:autoSpaceDE/>
        <w:autoSpaceDN/>
        <w:bidi w:val="0"/>
        <w:ind w:left="-767"/>
        <w:jc w:val="center"/>
        <w:outlineLvl w:val="9"/>
        <w:rPr>
          <w:rFonts w:hint="default" w:ascii="宋体" w:hAnsi="宋体"/>
          <w:b/>
          <w:bCs/>
          <w:sz w:val="32"/>
          <w:szCs w:val="32"/>
          <w:highlight w:val="none"/>
          <w:lang w:val="en-US" w:eastAsia="zh-CN"/>
        </w:rPr>
      </w:pPr>
      <w:r>
        <w:rPr>
          <w:rFonts w:hint="eastAsia" w:ascii="宋体" w:hAnsi="宋体"/>
          <w:b/>
          <w:bCs/>
          <w:sz w:val="32"/>
          <w:szCs w:val="32"/>
          <w:highlight w:val="none"/>
          <w:lang w:val="en-US" w:eastAsia="zh-CN"/>
        </w:rPr>
        <w:t>保密措施及承诺</w:t>
      </w:r>
    </w:p>
    <w:p>
      <w:pPr>
        <w:pageBreakBefore w:val="0"/>
        <w:numPr>
          <w:ilvl w:val="0"/>
          <w:numId w:val="0"/>
        </w:numPr>
        <w:tabs>
          <w:tab w:val="left" w:pos="1021"/>
        </w:tabs>
        <w:kinsoku/>
        <w:wordWrap/>
        <w:overflowPunct/>
        <w:topLinePunct w:val="0"/>
        <w:autoSpaceDE/>
        <w:autoSpaceDN/>
        <w:bidi w:val="0"/>
        <w:ind w:left="-767"/>
        <w:jc w:val="center"/>
        <w:outlineLvl w:val="9"/>
        <w:rPr>
          <w:rFonts w:hint="eastAsia" w:ascii="宋体" w:hAnsi="宋体"/>
          <w:b/>
          <w:bCs/>
          <w:sz w:val="32"/>
          <w:szCs w:val="32"/>
          <w:highlight w:val="none"/>
        </w:rPr>
      </w:pPr>
    </w:p>
    <w:p>
      <w:pPr>
        <w:pageBreakBefore w:val="0"/>
        <w:kinsoku/>
        <w:wordWrap/>
        <w:overflowPunct/>
        <w:topLinePunct w:val="0"/>
        <w:autoSpaceDE/>
        <w:autoSpaceDN/>
        <w:bidi w:val="0"/>
        <w:outlineLvl w:val="9"/>
        <w:rPr>
          <w:rFonts w:hint="eastAsia"/>
          <w:highlight w:val="none"/>
        </w:rPr>
      </w:pPr>
    </w:p>
    <w:p>
      <w:pPr>
        <w:pageBreakBefore w:val="0"/>
        <w:kinsoku/>
        <w:wordWrap/>
        <w:overflowPunct/>
        <w:topLinePunct w:val="0"/>
        <w:autoSpaceDE/>
        <w:autoSpaceDN/>
        <w:bidi w:val="0"/>
        <w:outlineLvl w:val="9"/>
        <w:rPr>
          <w:rFonts w:hint="eastAsia"/>
          <w:highlight w:val="none"/>
        </w:rPr>
      </w:pPr>
    </w:p>
    <w:p>
      <w:pPr>
        <w:pageBreakBefore w:val="0"/>
        <w:kinsoku/>
        <w:wordWrap/>
        <w:overflowPunct/>
        <w:topLinePunct w:val="0"/>
        <w:autoSpaceDE/>
        <w:autoSpaceDN/>
        <w:bidi w:val="0"/>
        <w:outlineLvl w:val="9"/>
        <w:rPr>
          <w:highlight w:val="none"/>
        </w:rPr>
      </w:pPr>
    </w:p>
    <w:p>
      <w:pPr>
        <w:pageBreakBefore w:val="0"/>
        <w:kinsoku/>
        <w:wordWrap/>
        <w:overflowPunct/>
        <w:topLinePunct w:val="0"/>
        <w:autoSpaceDE/>
        <w:autoSpaceDN/>
        <w:bidi w:val="0"/>
        <w:outlineLvl w:val="9"/>
        <w:rPr>
          <w:highlight w:val="none"/>
        </w:rPr>
      </w:pPr>
    </w:p>
    <w:p>
      <w:pPr>
        <w:pageBreakBefore w:val="0"/>
        <w:kinsoku/>
        <w:wordWrap/>
        <w:overflowPunct/>
        <w:topLinePunct w:val="0"/>
        <w:autoSpaceDE/>
        <w:autoSpaceDN/>
        <w:bidi w:val="0"/>
        <w:outlineLvl w:val="9"/>
        <w:rPr>
          <w:rFonts w:ascii="宋体" w:hAnsi="宋体"/>
          <w:highlight w:val="none"/>
        </w:rPr>
      </w:pPr>
    </w:p>
    <w:p>
      <w:pPr>
        <w:pStyle w:val="18"/>
        <w:pageBreakBefore w:val="0"/>
        <w:kinsoku/>
        <w:wordWrap/>
        <w:overflowPunct/>
        <w:topLinePunct w:val="0"/>
        <w:autoSpaceDE/>
        <w:autoSpaceDN/>
        <w:bidi w:val="0"/>
        <w:jc w:val="center"/>
        <w:outlineLvl w:val="9"/>
        <w:rPr>
          <w:rFonts w:hint="eastAsia" w:hAnsi="宋体"/>
          <w:szCs w:val="21"/>
          <w:highlight w:val="none"/>
        </w:rPr>
      </w:pPr>
      <w:r>
        <w:rPr>
          <w:rFonts w:hint="eastAsia" w:hAnsi="宋体"/>
          <w:szCs w:val="21"/>
          <w:highlight w:val="none"/>
        </w:rPr>
        <w:t>(格式自拟)</w:t>
      </w:r>
    </w:p>
    <w:p>
      <w:pPr>
        <w:pageBreakBefore w:val="0"/>
        <w:widowControl/>
        <w:kinsoku/>
        <w:wordWrap/>
        <w:overflowPunct/>
        <w:topLinePunct w:val="0"/>
        <w:autoSpaceDE/>
        <w:autoSpaceDN/>
        <w:bidi w:val="0"/>
        <w:jc w:val="left"/>
        <w:outlineLvl w:val="9"/>
        <w:rPr>
          <w:rFonts w:ascii="Calibri" w:hAnsi="宋体"/>
          <w:b/>
          <w:sz w:val="28"/>
          <w:szCs w:val="28"/>
          <w:highlight w:val="none"/>
        </w:rPr>
      </w:pPr>
      <w:r>
        <w:rPr>
          <w:rFonts w:hint="eastAsia" w:ascii="Calibri" w:hAnsi="宋体"/>
          <w:b/>
          <w:sz w:val="28"/>
          <w:szCs w:val="28"/>
          <w:highlight w:val="none"/>
        </w:rPr>
        <w:br w:type="page"/>
      </w:r>
      <w:r>
        <w:rPr>
          <w:rFonts w:hint="eastAsia" w:ascii="Calibri" w:hAnsi="宋体"/>
          <w:b/>
          <w:sz w:val="28"/>
          <w:szCs w:val="28"/>
          <w:highlight w:val="none"/>
        </w:rPr>
        <w:t>格式</w:t>
      </w:r>
      <w:r>
        <w:rPr>
          <w:rFonts w:hint="eastAsia" w:ascii="Calibri" w:hAnsi="宋体"/>
          <w:b/>
          <w:sz w:val="28"/>
          <w:szCs w:val="28"/>
          <w:highlight w:val="none"/>
          <w:lang w:val="en-US" w:eastAsia="zh-CN"/>
        </w:rPr>
        <w:t>13</w:t>
      </w:r>
      <w:r>
        <w:rPr>
          <w:rFonts w:hint="eastAsia" w:ascii="Calibri" w:hAnsi="宋体"/>
          <w:b/>
          <w:sz w:val="28"/>
          <w:szCs w:val="28"/>
          <w:highlight w:val="none"/>
        </w:rPr>
        <w:t>：</w:t>
      </w:r>
    </w:p>
    <w:p>
      <w:pPr>
        <w:pageBreakBefore w:val="0"/>
        <w:widowControl/>
        <w:kinsoku/>
        <w:wordWrap/>
        <w:overflowPunct/>
        <w:topLinePunct w:val="0"/>
        <w:autoSpaceDE/>
        <w:autoSpaceDN/>
        <w:bidi w:val="0"/>
        <w:jc w:val="left"/>
        <w:outlineLvl w:val="9"/>
        <w:rPr>
          <w:rFonts w:ascii="Calibri" w:hAnsi="宋体"/>
          <w:b/>
          <w:sz w:val="28"/>
          <w:szCs w:val="28"/>
          <w:highlight w:val="none"/>
        </w:rPr>
      </w:pPr>
    </w:p>
    <w:p>
      <w:pPr>
        <w:keepNext/>
        <w:keepLines/>
        <w:pageBreakBefore w:val="0"/>
        <w:kinsoku/>
        <w:wordWrap/>
        <w:overflowPunct/>
        <w:topLinePunct w:val="0"/>
        <w:autoSpaceDE/>
        <w:autoSpaceDN/>
        <w:bidi w:val="0"/>
        <w:spacing w:before="240" w:line="400" w:lineRule="exact"/>
        <w:jc w:val="center"/>
        <w:outlineLvl w:val="9"/>
        <w:rPr>
          <w:rFonts w:ascii="宋体" w:hAnsi="宋体"/>
          <w:b/>
          <w:spacing w:val="40"/>
          <w:sz w:val="32"/>
          <w:szCs w:val="32"/>
          <w:highlight w:val="none"/>
        </w:rPr>
      </w:pPr>
      <w:bookmarkStart w:id="451" w:name="_Toc518289515"/>
      <w:bookmarkStart w:id="452" w:name="_Toc21269"/>
      <w:r>
        <w:rPr>
          <w:rFonts w:hint="eastAsia" w:ascii="宋体" w:hAnsi="宋体"/>
          <w:b/>
          <w:spacing w:val="40"/>
          <w:sz w:val="32"/>
          <w:szCs w:val="32"/>
          <w:highlight w:val="none"/>
        </w:rPr>
        <w:t>业绩列表</w:t>
      </w:r>
      <w:bookmarkEnd w:id="451"/>
      <w:bookmarkEnd w:id="452"/>
    </w:p>
    <w:p>
      <w:pPr>
        <w:pageBreakBefore w:val="0"/>
        <w:kinsoku/>
        <w:wordWrap/>
        <w:overflowPunct/>
        <w:topLinePunct w:val="0"/>
        <w:autoSpaceDE/>
        <w:autoSpaceDN/>
        <w:bidi w:val="0"/>
        <w:outlineLvl w:val="9"/>
        <w:rPr>
          <w:rFonts w:ascii="宋体" w:hAnsi="宋体"/>
          <w:highlight w:val="none"/>
        </w:rPr>
      </w:pPr>
    </w:p>
    <w:tbl>
      <w:tblPr>
        <w:tblStyle w:val="3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7"/>
        <w:gridCol w:w="2800"/>
        <w:gridCol w:w="1279"/>
        <w:gridCol w:w="1102"/>
        <w:gridCol w:w="974"/>
        <w:gridCol w:w="851"/>
        <w:gridCol w:w="8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697" w:type="dxa"/>
            <w:vAlign w:val="center"/>
          </w:tcPr>
          <w:p>
            <w:pPr>
              <w:pageBreakBefore w:val="0"/>
              <w:kinsoku/>
              <w:wordWrap/>
              <w:overflowPunct/>
              <w:topLinePunct w:val="0"/>
              <w:autoSpaceDE/>
              <w:autoSpaceDN/>
              <w:bidi w:val="0"/>
              <w:spacing w:line="360" w:lineRule="auto"/>
              <w:jc w:val="center"/>
              <w:outlineLvl w:val="9"/>
              <w:rPr>
                <w:rFonts w:ascii="宋体" w:hAnsi="宋体"/>
                <w:szCs w:val="21"/>
                <w:highlight w:val="none"/>
              </w:rPr>
            </w:pPr>
            <w:r>
              <w:rPr>
                <w:rFonts w:ascii="宋体" w:hAnsi="宋体"/>
                <w:szCs w:val="21"/>
                <w:highlight w:val="none"/>
              </w:rPr>
              <w:t>序号</w:t>
            </w:r>
          </w:p>
        </w:tc>
        <w:tc>
          <w:tcPr>
            <w:tcW w:w="2800" w:type="dxa"/>
            <w:vAlign w:val="center"/>
          </w:tcPr>
          <w:p>
            <w:pPr>
              <w:pageBreakBefore w:val="0"/>
              <w:kinsoku/>
              <w:wordWrap/>
              <w:overflowPunct/>
              <w:topLinePunct w:val="0"/>
              <w:autoSpaceDE/>
              <w:autoSpaceDN/>
              <w:bidi w:val="0"/>
              <w:spacing w:line="360" w:lineRule="auto"/>
              <w:jc w:val="center"/>
              <w:outlineLvl w:val="9"/>
              <w:rPr>
                <w:rFonts w:ascii="宋体" w:hAnsi="宋体"/>
                <w:szCs w:val="21"/>
                <w:highlight w:val="none"/>
              </w:rPr>
            </w:pPr>
            <w:r>
              <w:rPr>
                <w:rFonts w:hint="eastAsia" w:ascii="宋体" w:hAnsi="宋体"/>
                <w:szCs w:val="21"/>
                <w:highlight w:val="none"/>
              </w:rPr>
              <w:t>项目名称</w:t>
            </w:r>
          </w:p>
        </w:tc>
        <w:tc>
          <w:tcPr>
            <w:tcW w:w="1279" w:type="dxa"/>
            <w:vAlign w:val="center"/>
          </w:tcPr>
          <w:p>
            <w:pPr>
              <w:pageBreakBefore w:val="0"/>
              <w:kinsoku/>
              <w:wordWrap/>
              <w:overflowPunct/>
              <w:topLinePunct w:val="0"/>
              <w:autoSpaceDE/>
              <w:autoSpaceDN/>
              <w:bidi w:val="0"/>
              <w:spacing w:line="360" w:lineRule="auto"/>
              <w:jc w:val="center"/>
              <w:outlineLvl w:val="9"/>
              <w:rPr>
                <w:rFonts w:ascii="宋体" w:hAnsi="宋体"/>
                <w:szCs w:val="21"/>
                <w:highlight w:val="none"/>
              </w:rPr>
            </w:pPr>
            <w:r>
              <w:rPr>
                <w:rFonts w:hint="eastAsia" w:ascii="宋体" w:hAnsi="宋体"/>
                <w:szCs w:val="21"/>
                <w:highlight w:val="none"/>
              </w:rPr>
              <w:t>采购人</w:t>
            </w:r>
          </w:p>
        </w:tc>
        <w:tc>
          <w:tcPr>
            <w:tcW w:w="1102" w:type="dxa"/>
            <w:vAlign w:val="center"/>
          </w:tcPr>
          <w:p>
            <w:pPr>
              <w:pageBreakBefore w:val="0"/>
              <w:kinsoku/>
              <w:wordWrap/>
              <w:overflowPunct/>
              <w:topLinePunct w:val="0"/>
              <w:autoSpaceDE/>
              <w:autoSpaceDN/>
              <w:bidi w:val="0"/>
              <w:spacing w:line="360" w:lineRule="auto"/>
              <w:jc w:val="center"/>
              <w:outlineLvl w:val="9"/>
              <w:rPr>
                <w:rFonts w:hint="eastAsia" w:ascii="宋体" w:hAnsi="宋体"/>
                <w:szCs w:val="21"/>
                <w:highlight w:val="none"/>
              </w:rPr>
            </w:pPr>
            <w:r>
              <w:rPr>
                <w:rFonts w:hint="eastAsia" w:ascii="宋体" w:hAnsi="宋体"/>
                <w:szCs w:val="21"/>
                <w:highlight w:val="none"/>
              </w:rPr>
              <w:t>合同金额</w:t>
            </w:r>
          </w:p>
          <w:p>
            <w:pPr>
              <w:pageBreakBefore w:val="0"/>
              <w:kinsoku/>
              <w:wordWrap/>
              <w:overflowPunct/>
              <w:topLinePunct w:val="0"/>
              <w:autoSpaceDE/>
              <w:autoSpaceDN/>
              <w:bidi w:val="0"/>
              <w:spacing w:line="360" w:lineRule="auto"/>
              <w:jc w:val="center"/>
              <w:outlineLvl w:val="9"/>
              <w:rPr>
                <w:rFonts w:hint="eastAsia" w:ascii="宋体" w:hAnsi="宋体"/>
                <w:szCs w:val="21"/>
                <w:highlight w:val="none"/>
              </w:rPr>
            </w:pPr>
            <w:r>
              <w:rPr>
                <w:rFonts w:hint="eastAsia" w:ascii="宋体" w:hAnsi="宋体"/>
                <w:szCs w:val="21"/>
                <w:highlight w:val="none"/>
              </w:rPr>
              <w:t>（元）</w:t>
            </w:r>
          </w:p>
        </w:tc>
        <w:tc>
          <w:tcPr>
            <w:tcW w:w="974" w:type="dxa"/>
            <w:vAlign w:val="center"/>
          </w:tcPr>
          <w:p>
            <w:pPr>
              <w:pageBreakBefore w:val="0"/>
              <w:kinsoku/>
              <w:wordWrap/>
              <w:overflowPunct/>
              <w:topLinePunct w:val="0"/>
              <w:autoSpaceDE/>
              <w:autoSpaceDN/>
              <w:bidi w:val="0"/>
              <w:spacing w:line="360" w:lineRule="auto"/>
              <w:jc w:val="center"/>
              <w:outlineLvl w:val="9"/>
              <w:rPr>
                <w:rFonts w:ascii="宋体" w:hAnsi="宋体"/>
                <w:szCs w:val="21"/>
                <w:highlight w:val="none"/>
              </w:rPr>
            </w:pPr>
            <w:r>
              <w:rPr>
                <w:rFonts w:hint="eastAsia" w:ascii="宋体" w:hAnsi="宋体"/>
                <w:szCs w:val="21"/>
                <w:highlight w:val="none"/>
              </w:rPr>
              <w:t>联系人</w:t>
            </w:r>
          </w:p>
        </w:tc>
        <w:tc>
          <w:tcPr>
            <w:tcW w:w="851" w:type="dxa"/>
            <w:vAlign w:val="center"/>
          </w:tcPr>
          <w:p>
            <w:pPr>
              <w:pageBreakBefore w:val="0"/>
              <w:kinsoku/>
              <w:wordWrap/>
              <w:overflowPunct/>
              <w:topLinePunct w:val="0"/>
              <w:autoSpaceDE/>
              <w:autoSpaceDN/>
              <w:bidi w:val="0"/>
              <w:spacing w:line="360" w:lineRule="auto"/>
              <w:jc w:val="center"/>
              <w:outlineLvl w:val="9"/>
              <w:rPr>
                <w:rFonts w:ascii="宋体" w:hAnsi="宋体"/>
                <w:szCs w:val="21"/>
                <w:highlight w:val="none"/>
              </w:rPr>
            </w:pPr>
            <w:r>
              <w:rPr>
                <w:rFonts w:hint="eastAsia" w:ascii="宋体" w:hAnsi="宋体"/>
                <w:szCs w:val="21"/>
                <w:highlight w:val="none"/>
              </w:rPr>
              <w:t>电话</w:t>
            </w:r>
          </w:p>
        </w:tc>
        <w:tc>
          <w:tcPr>
            <w:tcW w:w="817" w:type="dxa"/>
            <w:vAlign w:val="center"/>
          </w:tcPr>
          <w:p>
            <w:pPr>
              <w:pageBreakBefore w:val="0"/>
              <w:kinsoku/>
              <w:wordWrap/>
              <w:overflowPunct/>
              <w:topLinePunct w:val="0"/>
              <w:autoSpaceDE/>
              <w:autoSpaceDN/>
              <w:bidi w:val="0"/>
              <w:spacing w:line="360" w:lineRule="auto"/>
              <w:jc w:val="center"/>
              <w:outlineLvl w:val="9"/>
              <w:rPr>
                <w:rFonts w:ascii="宋体" w:hAnsi="宋体"/>
                <w:szCs w:val="21"/>
                <w:highlight w:val="none"/>
              </w:rPr>
            </w:pPr>
            <w:r>
              <w:rPr>
                <w:rFonts w:ascii="宋体" w:hAnsi="宋体"/>
                <w:szCs w:val="21"/>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697" w:type="dxa"/>
          </w:tcPr>
          <w:p>
            <w:pPr>
              <w:pageBreakBefore w:val="0"/>
              <w:kinsoku/>
              <w:wordWrap/>
              <w:overflowPunct/>
              <w:topLinePunct w:val="0"/>
              <w:autoSpaceDE/>
              <w:autoSpaceDN/>
              <w:bidi w:val="0"/>
              <w:spacing w:line="360" w:lineRule="auto"/>
              <w:outlineLvl w:val="9"/>
              <w:rPr>
                <w:rFonts w:ascii="宋体" w:hAnsi="宋体"/>
                <w:szCs w:val="21"/>
                <w:highlight w:val="none"/>
              </w:rPr>
            </w:pPr>
          </w:p>
        </w:tc>
        <w:tc>
          <w:tcPr>
            <w:tcW w:w="2800" w:type="dxa"/>
          </w:tcPr>
          <w:p>
            <w:pPr>
              <w:pageBreakBefore w:val="0"/>
              <w:kinsoku/>
              <w:wordWrap/>
              <w:overflowPunct/>
              <w:topLinePunct w:val="0"/>
              <w:autoSpaceDE/>
              <w:autoSpaceDN/>
              <w:bidi w:val="0"/>
              <w:spacing w:line="360" w:lineRule="auto"/>
              <w:outlineLvl w:val="9"/>
              <w:rPr>
                <w:rFonts w:ascii="宋体" w:hAnsi="宋体"/>
                <w:szCs w:val="21"/>
                <w:highlight w:val="none"/>
              </w:rPr>
            </w:pPr>
          </w:p>
        </w:tc>
        <w:tc>
          <w:tcPr>
            <w:tcW w:w="1279" w:type="dxa"/>
          </w:tcPr>
          <w:p>
            <w:pPr>
              <w:pageBreakBefore w:val="0"/>
              <w:kinsoku/>
              <w:wordWrap/>
              <w:overflowPunct/>
              <w:topLinePunct w:val="0"/>
              <w:autoSpaceDE/>
              <w:autoSpaceDN/>
              <w:bidi w:val="0"/>
              <w:spacing w:line="360" w:lineRule="auto"/>
              <w:outlineLvl w:val="9"/>
              <w:rPr>
                <w:rFonts w:ascii="宋体" w:hAnsi="宋体"/>
                <w:szCs w:val="21"/>
                <w:highlight w:val="none"/>
              </w:rPr>
            </w:pPr>
          </w:p>
        </w:tc>
        <w:tc>
          <w:tcPr>
            <w:tcW w:w="1102" w:type="dxa"/>
          </w:tcPr>
          <w:p>
            <w:pPr>
              <w:pageBreakBefore w:val="0"/>
              <w:kinsoku/>
              <w:wordWrap/>
              <w:overflowPunct/>
              <w:topLinePunct w:val="0"/>
              <w:autoSpaceDE/>
              <w:autoSpaceDN/>
              <w:bidi w:val="0"/>
              <w:spacing w:line="360" w:lineRule="auto"/>
              <w:outlineLvl w:val="9"/>
              <w:rPr>
                <w:rFonts w:ascii="宋体" w:hAnsi="宋体"/>
                <w:szCs w:val="21"/>
                <w:highlight w:val="none"/>
              </w:rPr>
            </w:pPr>
          </w:p>
        </w:tc>
        <w:tc>
          <w:tcPr>
            <w:tcW w:w="974" w:type="dxa"/>
          </w:tcPr>
          <w:p>
            <w:pPr>
              <w:pageBreakBefore w:val="0"/>
              <w:kinsoku/>
              <w:wordWrap/>
              <w:overflowPunct/>
              <w:topLinePunct w:val="0"/>
              <w:autoSpaceDE/>
              <w:autoSpaceDN/>
              <w:bidi w:val="0"/>
              <w:spacing w:line="360" w:lineRule="auto"/>
              <w:outlineLvl w:val="9"/>
              <w:rPr>
                <w:rFonts w:ascii="宋体" w:hAnsi="宋体"/>
                <w:szCs w:val="21"/>
                <w:highlight w:val="none"/>
              </w:rPr>
            </w:pPr>
          </w:p>
        </w:tc>
        <w:tc>
          <w:tcPr>
            <w:tcW w:w="851" w:type="dxa"/>
          </w:tcPr>
          <w:p>
            <w:pPr>
              <w:pageBreakBefore w:val="0"/>
              <w:kinsoku/>
              <w:wordWrap/>
              <w:overflowPunct/>
              <w:topLinePunct w:val="0"/>
              <w:autoSpaceDE/>
              <w:autoSpaceDN/>
              <w:bidi w:val="0"/>
              <w:spacing w:line="360" w:lineRule="auto"/>
              <w:outlineLvl w:val="9"/>
              <w:rPr>
                <w:rFonts w:ascii="宋体" w:hAnsi="宋体"/>
                <w:szCs w:val="21"/>
                <w:highlight w:val="none"/>
              </w:rPr>
            </w:pPr>
          </w:p>
        </w:tc>
        <w:tc>
          <w:tcPr>
            <w:tcW w:w="817" w:type="dxa"/>
          </w:tcPr>
          <w:p>
            <w:pPr>
              <w:pageBreakBefore w:val="0"/>
              <w:kinsoku/>
              <w:wordWrap/>
              <w:overflowPunct/>
              <w:topLinePunct w:val="0"/>
              <w:autoSpaceDE/>
              <w:autoSpaceDN/>
              <w:bidi w:val="0"/>
              <w:spacing w:line="360" w:lineRule="auto"/>
              <w:outlineLvl w:val="9"/>
              <w:rPr>
                <w:rFonts w:ascii="宋体" w:hAnsi="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697" w:type="dxa"/>
          </w:tcPr>
          <w:p>
            <w:pPr>
              <w:pageBreakBefore w:val="0"/>
              <w:kinsoku/>
              <w:wordWrap/>
              <w:overflowPunct/>
              <w:topLinePunct w:val="0"/>
              <w:autoSpaceDE/>
              <w:autoSpaceDN/>
              <w:bidi w:val="0"/>
              <w:spacing w:line="360" w:lineRule="auto"/>
              <w:outlineLvl w:val="9"/>
              <w:rPr>
                <w:rFonts w:ascii="宋体" w:hAnsi="宋体"/>
                <w:szCs w:val="21"/>
                <w:highlight w:val="none"/>
              </w:rPr>
            </w:pPr>
          </w:p>
        </w:tc>
        <w:tc>
          <w:tcPr>
            <w:tcW w:w="2800" w:type="dxa"/>
          </w:tcPr>
          <w:p>
            <w:pPr>
              <w:pageBreakBefore w:val="0"/>
              <w:kinsoku/>
              <w:wordWrap/>
              <w:overflowPunct/>
              <w:topLinePunct w:val="0"/>
              <w:autoSpaceDE/>
              <w:autoSpaceDN/>
              <w:bidi w:val="0"/>
              <w:spacing w:line="360" w:lineRule="auto"/>
              <w:outlineLvl w:val="9"/>
              <w:rPr>
                <w:rFonts w:ascii="宋体" w:hAnsi="宋体"/>
                <w:szCs w:val="21"/>
                <w:highlight w:val="none"/>
              </w:rPr>
            </w:pPr>
          </w:p>
        </w:tc>
        <w:tc>
          <w:tcPr>
            <w:tcW w:w="1279" w:type="dxa"/>
          </w:tcPr>
          <w:p>
            <w:pPr>
              <w:pageBreakBefore w:val="0"/>
              <w:kinsoku/>
              <w:wordWrap/>
              <w:overflowPunct/>
              <w:topLinePunct w:val="0"/>
              <w:autoSpaceDE/>
              <w:autoSpaceDN/>
              <w:bidi w:val="0"/>
              <w:spacing w:line="360" w:lineRule="auto"/>
              <w:outlineLvl w:val="9"/>
              <w:rPr>
                <w:rFonts w:ascii="宋体" w:hAnsi="宋体"/>
                <w:szCs w:val="21"/>
                <w:highlight w:val="none"/>
              </w:rPr>
            </w:pPr>
          </w:p>
        </w:tc>
        <w:tc>
          <w:tcPr>
            <w:tcW w:w="1102" w:type="dxa"/>
          </w:tcPr>
          <w:p>
            <w:pPr>
              <w:pageBreakBefore w:val="0"/>
              <w:kinsoku/>
              <w:wordWrap/>
              <w:overflowPunct/>
              <w:topLinePunct w:val="0"/>
              <w:autoSpaceDE/>
              <w:autoSpaceDN/>
              <w:bidi w:val="0"/>
              <w:spacing w:line="360" w:lineRule="auto"/>
              <w:outlineLvl w:val="9"/>
              <w:rPr>
                <w:rFonts w:ascii="宋体" w:hAnsi="宋体"/>
                <w:szCs w:val="21"/>
                <w:highlight w:val="none"/>
              </w:rPr>
            </w:pPr>
          </w:p>
        </w:tc>
        <w:tc>
          <w:tcPr>
            <w:tcW w:w="974" w:type="dxa"/>
          </w:tcPr>
          <w:p>
            <w:pPr>
              <w:pageBreakBefore w:val="0"/>
              <w:kinsoku/>
              <w:wordWrap/>
              <w:overflowPunct/>
              <w:topLinePunct w:val="0"/>
              <w:autoSpaceDE/>
              <w:autoSpaceDN/>
              <w:bidi w:val="0"/>
              <w:spacing w:line="360" w:lineRule="auto"/>
              <w:outlineLvl w:val="9"/>
              <w:rPr>
                <w:rFonts w:ascii="宋体" w:hAnsi="宋体"/>
                <w:szCs w:val="21"/>
                <w:highlight w:val="none"/>
              </w:rPr>
            </w:pPr>
          </w:p>
        </w:tc>
        <w:tc>
          <w:tcPr>
            <w:tcW w:w="851" w:type="dxa"/>
          </w:tcPr>
          <w:p>
            <w:pPr>
              <w:pageBreakBefore w:val="0"/>
              <w:kinsoku/>
              <w:wordWrap/>
              <w:overflowPunct/>
              <w:topLinePunct w:val="0"/>
              <w:autoSpaceDE/>
              <w:autoSpaceDN/>
              <w:bidi w:val="0"/>
              <w:spacing w:line="360" w:lineRule="auto"/>
              <w:outlineLvl w:val="9"/>
              <w:rPr>
                <w:rFonts w:ascii="宋体" w:hAnsi="宋体"/>
                <w:szCs w:val="21"/>
                <w:highlight w:val="none"/>
              </w:rPr>
            </w:pPr>
          </w:p>
        </w:tc>
        <w:tc>
          <w:tcPr>
            <w:tcW w:w="817" w:type="dxa"/>
          </w:tcPr>
          <w:p>
            <w:pPr>
              <w:pageBreakBefore w:val="0"/>
              <w:kinsoku/>
              <w:wordWrap/>
              <w:overflowPunct/>
              <w:topLinePunct w:val="0"/>
              <w:autoSpaceDE/>
              <w:autoSpaceDN/>
              <w:bidi w:val="0"/>
              <w:spacing w:line="360" w:lineRule="auto"/>
              <w:outlineLvl w:val="9"/>
              <w:rPr>
                <w:rFonts w:ascii="宋体" w:hAnsi="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697" w:type="dxa"/>
          </w:tcPr>
          <w:p>
            <w:pPr>
              <w:pageBreakBefore w:val="0"/>
              <w:kinsoku/>
              <w:wordWrap/>
              <w:overflowPunct/>
              <w:topLinePunct w:val="0"/>
              <w:autoSpaceDE/>
              <w:autoSpaceDN/>
              <w:bidi w:val="0"/>
              <w:spacing w:line="360" w:lineRule="auto"/>
              <w:outlineLvl w:val="9"/>
              <w:rPr>
                <w:rFonts w:ascii="宋体" w:hAnsi="宋体"/>
                <w:szCs w:val="21"/>
                <w:highlight w:val="none"/>
              </w:rPr>
            </w:pPr>
          </w:p>
        </w:tc>
        <w:tc>
          <w:tcPr>
            <w:tcW w:w="2800" w:type="dxa"/>
          </w:tcPr>
          <w:p>
            <w:pPr>
              <w:pageBreakBefore w:val="0"/>
              <w:kinsoku/>
              <w:wordWrap/>
              <w:overflowPunct/>
              <w:topLinePunct w:val="0"/>
              <w:autoSpaceDE/>
              <w:autoSpaceDN/>
              <w:bidi w:val="0"/>
              <w:spacing w:line="360" w:lineRule="auto"/>
              <w:outlineLvl w:val="9"/>
              <w:rPr>
                <w:rFonts w:ascii="宋体" w:hAnsi="宋体"/>
                <w:szCs w:val="21"/>
                <w:highlight w:val="none"/>
              </w:rPr>
            </w:pPr>
          </w:p>
        </w:tc>
        <w:tc>
          <w:tcPr>
            <w:tcW w:w="1279" w:type="dxa"/>
          </w:tcPr>
          <w:p>
            <w:pPr>
              <w:pageBreakBefore w:val="0"/>
              <w:kinsoku/>
              <w:wordWrap/>
              <w:overflowPunct/>
              <w:topLinePunct w:val="0"/>
              <w:autoSpaceDE/>
              <w:autoSpaceDN/>
              <w:bidi w:val="0"/>
              <w:spacing w:line="360" w:lineRule="auto"/>
              <w:outlineLvl w:val="9"/>
              <w:rPr>
                <w:rFonts w:ascii="宋体" w:hAnsi="宋体"/>
                <w:szCs w:val="21"/>
                <w:highlight w:val="none"/>
              </w:rPr>
            </w:pPr>
          </w:p>
        </w:tc>
        <w:tc>
          <w:tcPr>
            <w:tcW w:w="1102" w:type="dxa"/>
          </w:tcPr>
          <w:p>
            <w:pPr>
              <w:pageBreakBefore w:val="0"/>
              <w:kinsoku/>
              <w:wordWrap/>
              <w:overflowPunct/>
              <w:topLinePunct w:val="0"/>
              <w:autoSpaceDE/>
              <w:autoSpaceDN/>
              <w:bidi w:val="0"/>
              <w:spacing w:line="360" w:lineRule="auto"/>
              <w:outlineLvl w:val="9"/>
              <w:rPr>
                <w:rFonts w:ascii="宋体" w:hAnsi="宋体"/>
                <w:szCs w:val="21"/>
                <w:highlight w:val="none"/>
              </w:rPr>
            </w:pPr>
          </w:p>
        </w:tc>
        <w:tc>
          <w:tcPr>
            <w:tcW w:w="974" w:type="dxa"/>
          </w:tcPr>
          <w:p>
            <w:pPr>
              <w:pageBreakBefore w:val="0"/>
              <w:kinsoku/>
              <w:wordWrap/>
              <w:overflowPunct/>
              <w:topLinePunct w:val="0"/>
              <w:autoSpaceDE/>
              <w:autoSpaceDN/>
              <w:bidi w:val="0"/>
              <w:spacing w:line="360" w:lineRule="auto"/>
              <w:outlineLvl w:val="9"/>
              <w:rPr>
                <w:rFonts w:ascii="宋体" w:hAnsi="宋体"/>
                <w:szCs w:val="21"/>
                <w:highlight w:val="none"/>
              </w:rPr>
            </w:pPr>
          </w:p>
        </w:tc>
        <w:tc>
          <w:tcPr>
            <w:tcW w:w="851" w:type="dxa"/>
          </w:tcPr>
          <w:p>
            <w:pPr>
              <w:pageBreakBefore w:val="0"/>
              <w:kinsoku/>
              <w:wordWrap/>
              <w:overflowPunct/>
              <w:topLinePunct w:val="0"/>
              <w:autoSpaceDE/>
              <w:autoSpaceDN/>
              <w:bidi w:val="0"/>
              <w:spacing w:line="360" w:lineRule="auto"/>
              <w:outlineLvl w:val="9"/>
              <w:rPr>
                <w:rFonts w:ascii="宋体" w:hAnsi="宋体"/>
                <w:szCs w:val="21"/>
                <w:highlight w:val="none"/>
              </w:rPr>
            </w:pPr>
          </w:p>
        </w:tc>
        <w:tc>
          <w:tcPr>
            <w:tcW w:w="817" w:type="dxa"/>
          </w:tcPr>
          <w:p>
            <w:pPr>
              <w:pageBreakBefore w:val="0"/>
              <w:kinsoku/>
              <w:wordWrap/>
              <w:overflowPunct/>
              <w:topLinePunct w:val="0"/>
              <w:autoSpaceDE/>
              <w:autoSpaceDN/>
              <w:bidi w:val="0"/>
              <w:spacing w:line="360" w:lineRule="auto"/>
              <w:outlineLvl w:val="9"/>
              <w:rPr>
                <w:rFonts w:ascii="宋体" w:hAnsi="宋体"/>
                <w:szCs w:val="21"/>
                <w:highlight w:val="none"/>
              </w:rPr>
            </w:pPr>
          </w:p>
        </w:tc>
      </w:tr>
    </w:tbl>
    <w:p>
      <w:pPr>
        <w:pageBreakBefore w:val="0"/>
        <w:kinsoku/>
        <w:wordWrap/>
        <w:overflowPunct/>
        <w:topLinePunct w:val="0"/>
        <w:autoSpaceDE/>
        <w:autoSpaceDN/>
        <w:bidi w:val="0"/>
        <w:outlineLvl w:val="9"/>
        <w:rPr>
          <w:rFonts w:ascii="宋体" w:hAnsi="宋体"/>
          <w:szCs w:val="21"/>
          <w:highlight w:val="none"/>
        </w:rPr>
      </w:pPr>
    </w:p>
    <w:p>
      <w:pPr>
        <w:pageBreakBefore w:val="0"/>
        <w:kinsoku/>
        <w:wordWrap/>
        <w:overflowPunct/>
        <w:topLinePunct w:val="0"/>
        <w:autoSpaceDE/>
        <w:autoSpaceDN/>
        <w:bidi w:val="0"/>
        <w:spacing w:line="360" w:lineRule="auto"/>
        <w:outlineLvl w:val="9"/>
        <w:rPr>
          <w:rFonts w:ascii="宋体" w:hAnsi="宋体"/>
          <w:szCs w:val="21"/>
          <w:highlight w:val="none"/>
        </w:rPr>
      </w:pPr>
      <w:r>
        <w:rPr>
          <w:rFonts w:ascii="宋体" w:hAnsi="宋体"/>
          <w:szCs w:val="21"/>
          <w:highlight w:val="none"/>
        </w:rPr>
        <w:t>注：</w:t>
      </w:r>
    </w:p>
    <w:p>
      <w:pPr>
        <w:pageBreakBefore w:val="0"/>
        <w:numPr>
          <w:ilvl w:val="0"/>
          <w:numId w:val="9"/>
        </w:numPr>
        <w:kinsoku/>
        <w:wordWrap/>
        <w:overflowPunct/>
        <w:topLinePunct w:val="0"/>
        <w:autoSpaceDE/>
        <w:autoSpaceDN/>
        <w:bidi w:val="0"/>
        <w:spacing w:line="360" w:lineRule="auto"/>
        <w:outlineLvl w:val="9"/>
        <w:rPr>
          <w:rFonts w:hint="eastAsia" w:ascii="宋体" w:hAnsi="宋体"/>
          <w:szCs w:val="21"/>
          <w:highlight w:val="none"/>
        </w:rPr>
      </w:pPr>
      <w:r>
        <w:rPr>
          <w:rFonts w:hint="eastAsia" w:ascii="宋体" w:hAnsi="宋体"/>
          <w:szCs w:val="21"/>
          <w:highlight w:val="none"/>
        </w:rPr>
        <w:t>投标文件中须提供业绩列表及相对应的业绩证明材料，投标人须在投标文件中提供中标通知书</w:t>
      </w:r>
      <w:r>
        <w:rPr>
          <w:rFonts w:hint="eastAsia" w:ascii="宋体" w:hAnsi="宋体"/>
          <w:szCs w:val="21"/>
          <w:highlight w:val="none"/>
          <w:lang w:val="en-US" w:eastAsia="zh-CN"/>
        </w:rPr>
        <w:t>或</w:t>
      </w:r>
      <w:r>
        <w:rPr>
          <w:rFonts w:hint="eastAsia" w:ascii="宋体" w:hAnsi="宋体"/>
          <w:szCs w:val="21"/>
          <w:highlight w:val="none"/>
        </w:rPr>
        <w:t>合同（合同首页、标的及金额所在页及合同签字盖章页）的扫描件，若不符合上述要求的，业绩不予认可。</w:t>
      </w:r>
      <w:r>
        <w:rPr>
          <w:rFonts w:hint="eastAsia" w:ascii="宋体" w:hAnsi="Calibri"/>
          <w:szCs w:val="21"/>
          <w:highlight w:val="none"/>
        </w:rPr>
        <w:t>★</w:t>
      </w:r>
      <w:r>
        <w:rPr>
          <w:rFonts w:hint="eastAsia" w:ascii="宋体" w:hAnsi="宋体"/>
          <w:szCs w:val="21"/>
          <w:highlight w:val="none"/>
        </w:rPr>
        <w:t>一旦发现提供的业绩证明材料存在虚假的，其投标文件将按无效处理。</w:t>
      </w:r>
    </w:p>
    <w:p>
      <w:pPr>
        <w:pageBreakBefore w:val="0"/>
        <w:kinsoku/>
        <w:wordWrap/>
        <w:overflowPunct/>
        <w:topLinePunct w:val="0"/>
        <w:autoSpaceDE/>
        <w:autoSpaceDN/>
        <w:bidi w:val="0"/>
        <w:spacing w:line="360" w:lineRule="auto"/>
        <w:outlineLvl w:val="9"/>
        <w:rPr>
          <w:rFonts w:ascii="宋体" w:hAnsi="宋体"/>
          <w:szCs w:val="21"/>
          <w:highlight w:val="none"/>
        </w:rPr>
      </w:pPr>
      <w:r>
        <w:rPr>
          <w:rFonts w:hint="eastAsia" w:ascii="宋体" w:hAnsi="宋体"/>
          <w:bCs/>
          <w:szCs w:val="21"/>
          <w:highlight w:val="none"/>
        </w:rPr>
        <w:t>2、投标人可根据实际情况拓展本表。</w:t>
      </w:r>
    </w:p>
    <w:p>
      <w:pPr>
        <w:pageBreakBefore w:val="0"/>
        <w:kinsoku/>
        <w:wordWrap/>
        <w:overflowPunct/>
        <w:topLinePunct w:val="0"/>
        <w:autoSpaceDE/>
        <w:autoSpaceDN/>
        <w:bidi w:val="0"/>
        <w:outlineLvl w:val="9"/>
        <w:rPr>
          <w:rFonts w:ascii="宋体" w:hAnsi="宋体"/>
          <w:szCs w:val="21"/>
          <w:highlight w:val="none"/>
        </w:rPr>
      </w:pPr>
    </w:p>
    <w:p>
      <w:pPr>
        <w:pageBreakBefore w:val="0"/>
        <w:kinsoku/>
        <w:wordWrap/>
        <w:overflowPunct/>
        <w:topLinePunct w:val="0"/>
        <w:autoSpaceDE/>
        <w:autoSpaceDN/>
        <w:bidi w:val="0"/>
        <w:outlineLvl w:val="9"/>
        <w:rPr>
          <w:rFonts w:ascii="宋体" w:hAnsi="宋体"/>
          <w:szCs w:val="21"/>
          <w:highlight w:val="none"/>
        </w:rPr>
      </w:pPr>
    </w:p>
    <w:p>
      <w:pPr>
        <w:pageBreakBefore w:val="0"/>
        <w:kinsoku/>
        <w:wordWrap/>
        <w:overflowPunct/>
        <w:topLinePunct w:val="0"/>
        <w:autoSpaceDE/>
        <w:autoSpaceDN/>
        <w:bidi w:val="0"/>
        <w:outlineLvl w:val="9"/>
        <w:rPr>
          <w:rFonts w:ascii="宋体" w:hAnsi="宋体"/>
          <w:szCs w:val="21"/>
          <w:highlight w:val="none"/>
        </w:rPr>
      </w:pPr>
    </w:p>
    <w:p>
      <w:pPr>
        <w:pageBreakBefore w:val="0"/>
        <w:kinsoku/>
        <w:wordWrap/>
        <w:overflowPunct/>
        <w:topLinePunct w:val="0"/>
        <w:autoSpaceDE/>
        <w:autoSpaceDN/>
        <w:bidi w:val="0"/>
        <w:outlineLvl w:val="9"/>
        <w:rPr>
          <w:rFonts w:ascii="宋体" w:hAnsi="宋体"/>
          <w:szCs w:val="21"/>
          <w:highlight w:val="none"/>
        </w:rPr>
      </w:pPr>
    </w:p>
    <w:p>
      <w:pPr>
        <w:pageBreakBefore w:val="0"/>
        <w:kinsoku/>
        <w:wordWrap/>
        <w:overflowPunct/>
        <w:topLinePunct w:val="0"/>
        <w:autoSpaceDE/>
        <w:autoSpaceDN/>
        <w:bidi w:val="0"/>
        <w:outlineLvl w:val="9"/>
        <w:rPr>
          <w:rFonts w:ascii="宋体" w:hAnsi="宋体"/>
          <w:szCs w:val="21"/>
          <w:highlight w:val="none"/>
        </w:rPr>
      </w:pPr>
    </w:p>
    <w:p>
      <w:pPr>
        <w:pageBreakBefore w:val="0"/>
        <w:kinsoku/>
        <w:wordWrap/>
        <w:overflowPunct/>
        <w:topLinePunct w:val="0"/>
        <w:autoSpaceDE/>
        <w:autoSpaceDN/>
        <w:bidi w:val="0"/>
        <w:outlineLvl w:val="9"/>
        <w:rPr>
          <w:rFonts w:ascii="宋体" w:hAnsi="宋体"/>
          <w:szCs w:val="21"/>
          <w:highlight w:val="none"/>
        </w:rPr>
      </w:pPr>
    </w:p>
    <w:p>
      <w:pPr>
        <w:pageBreakBefore w:val="0"/>
        <w:tabs>
          <w:tab w:val="left" w:pos="9214"/>
        </w:tabs>
        <w:kinsoku/>
        <w:wordWrap/>
        <w:overflowPunct/>
        <w:topLinePunct w:val="0"/>
        <w:autoSpaceDE/>
        <w:autoSpaceDN/>
        <w:bidi w:val="0"/>
        <w:spacing w:line="360" w:lineRule="auto"/>
        <w:outlineLvl w:val="9"/>
        <w:rPr>
          <w:rFonts w:ascii="Calibri" w:hAnsi="Calibri"/>
          <w:szCs w:val="21"/>
          <w:highlight w:val="none"/>
          <w:u w:val="single"/>
        </w:rPr>
      </w:pPr>
      <w:r>
        <w:rPr>
          <w:rFonts w:hint="eastAsia" w:ascii="Calibri" w:hAnsi="Calibri" w:cs="宋体"/>
          <w:szCs w:val="21"/>
          <w:highlight w:val="none"/>
        </w:rPr>
        <w:t>投标人：</w:t>
      </w:r>
      <w:r>
        <w:rPr>
          <w:rFonts w:ascii="Calibri" w:hAnsi="Calibri"/>
          <w:szCs w:val="21"/>
          <w:highlight w:val="none"/>
          <w:u w:val="single"/>
        </w:rPr>
        <w:t xml:space="preserve">                              </w:t>
      </w:r>
      <w:r>
        <w:rPr>
          <w:rFonts w:hint="eastAsia" w:ascii="Calibri" w:hAnsi="Calibri" w:cs="宋体"/>
          <w:szCs w:val="21"/>
          <w:highlight w:val="none"/>
          <w:u w:val="single"/>
        </w:rPr>
        <w:t>（电子签章）</w:t>
      </w:r>
    </w:p>
    <w:p>
      <w:pPr>
        <w:pageBreakBefore w:val="0"/>
        <w:widowControl w:val="0"/>
        <w:kinsoku/>
        <w:wordWrap/>
        <w:overflowPunct/>
        <w:topLinePunct w:val="0"/>
        <w:autoSpaceDE/>
        <w:autoSpaceDN/>
        <w:bidi w:val="0"/>
        <w:adjustRightInd/>
        <w:snapToGrid/>
        <w:textAlignment w:val="auto"/>
        <w:outlineLvl w:val="9"/>
        <w:rPr>
          <w:rFonts w:hint="eastAsia" w:ascii="宋体" w:hAnsi="宋体" w:cs="宋体"/>
          <w:sz w:val="21"/>
          <w:szCs w:val="21"/>
          <w:highlight w:val="none"/>
          <w:lang w:eastAsia="zh-CN"/>
        </w:rPr>
      </w:pPr>
      <w:r>
        <w:rPr>
          <w:rFonts w:hint="eastAsia" w:ascii="宋体" w:hAnsi="宋体" w:cs="宋体"/>
          <w:sz w:val="21"/>
          <w:szCs w:val="21"/>
          <w:highlight w:val="none"/>
        </w:rPr>
        <w:t>法定代表人</w:t>
      </w:r>
      <w:r>
        <w:rPr>
          <w:rFonts w:hint="eastAsia" w:ascii="宋体" w:hAnsi="宋体" w:cs="宋体"/>
          <w:sz w:val="21"/>
          <w:szCs w:val="21"/>
          <w:highlight w:val="none"/>
          <w:lang w:eastAsia="zh-CN"/>
        </w:rPr>
        <w:t>（</w:t>
      </w:r>
      <w:r>
        <w:rPr>
          <w:rFonts w:hint="eastAsia" w:ascii="宋体" w:hAnsi="宋体" w:cs="宋体"/>
          <w:sz w:val="21"/>
          <w:szCs w:val="21"/>
          <w:highlight w:val="none"/>
          <w:lang w:val="en-US" w:eastAsia="zh-CN"/>
        </w:rPr>
        <w:t>电子签名</w:t>
      </w:r>
      <w:r>
        <w:rPr>
          <w:rFonts w:hint="eastAsia" w:ascii="宋体" w:hAnsi="宋体" w:cs="宋体"/>
          <w:sz w:val="21"/>
          <w:szCs w:val="21"/>
          <w:highlight w:val="none"/>
          <w:lang w:eastAsia="zh-CN"/>
        </w:rPr>
        <w:t>）</w:t>
      </w:r>
    </w:p>
    <w:p>
      <w:pPr>
        <w:pageBreakBefore w:val="0"/>
        <w:widowControl w:val="0"/>
        <w:kinsoku/>
        <w:wordWrap/>
        <w:overflowPunct/>
        <w:topLinePunct w:val="0"/>
        <w:autoSpaceDE/>
        <w:autoSpaceDN/>
        <w:bidi w:val="0"/>
        <w:adjustRightInd/>
        <w:snapToGrid/>
        <w:textAlignment w:val="auto"/>
        <w:outlineLvl w:val="9"/>
        <w:rPr>
          <w:rFonts w:hint="eastAsia" w:ascii="宋体" w:hAnsi="宋体" w:cs="宋体"/>
          <w:sz w:val="21"/>
          <w:szCs w:val="21"/>
          <w:highlight w:val="none"/>
        </w:rPr>
      </w:pPr>
      <w:r>
        <w:rPr>
          <w:rFonts w:hint="eastAsia" w:ascii="宋体" w:hAnsi="宋体" w:cs="宋体"/>
          <w:sz w:val="21"/>
          <w:szCs w:val="21"/>
          <w:highlight w:val="none"/>
        </w:rPr>
        <w:t>或其委托代理人</w:t>
      </w:r>
      <w:r>
        <w:rPr>
          <w:rFonts w:hint="eastAsia" w:ascii="宋体" w:hAnsi="宋体" w:cs="宋体"/>
          <w:sz w:val="21"/>
          <w:szCs w:val="21"/>
          <w:highlight w:val="none"/>
          <w:lang w:eastAsia="zh-CN"/>
        </w:rPr>
        <w:t>（</w:t>
      </w:r>
      <w:r>
        <w:rPr>
          <w:rFonts w:hint="eastAsia" w:ascii="宋体" w:hAnsi="宋体" w:cs="宋体"/>
          <w:sz w:val="21"/>
          <w:szCs w:val="21"/>
          <w:highlight w:val="none"/>
          <w:lang w:val="en-US" w:eastAsia="zh-CN"/>
        </w:rPr>
        <w:t>签字</w:t>
      </w:r>
      <w:r>
        <w:rPr>
          <w:rFonts w:hint="eastAsia" w:ascii="宋体" w:hAnsi="宋体" w:cs="宋体"/>
          <w:sz w:val="21"/>
          <w:szCs w:val="21"/>
          <w:highlight w:val="none"/>
          <w:lang w:eastAsia="zh-CN"/>
        </w:rPr>
        <w:t>）</w:t>
      </w:r>
      <w:r>
        <w:rPr>
          <w:rFonts w:hint="eastAsia" w:ascii="宋体" w:hAnsi="宋体" w:cs="宋体"/>
          <w:sz w:val="21"/>
          <w:szCs w:val="21"/>
          <w:highlight w:val="none"/>
        </w:rPr>
        <w:t>：</w:t>
      </w:r>
      <w:r>
        <w:rPr>
          <w:rFonts w:hint="eastAsia" w:ascii="宋体" w:hAnsi="宋体" w:cs="宋体"/>
          <w:sz w:val="21"/>
          <w:szCs w:val="21"/>
          <w:highlight w:val="none"/>
          <w:u w:val="single"/>
        </w:rPr>
        <w:t xml:space="preserve">             </w:t>
      </w:r>
    </w:p>
    <w:p>
      <w:pPr>
        <w:pageBreakBefore w:val="0"/>
        <w:widowControl w:val="0"/>
        <w:kinsoku/>
        <w:wordWrap/>
        <w:overflowPunct/>
        <w:topLinePunct w:val="0"/>
        <w:autoSpaceDE/>
        <w:autoSpaceDN/>
        <w:bidi w:val="0"/>
        <w:adjustRightInd/>
        <w:snapToGrid/>
        <w:textAlignment w:val="auto"/>
        <w:outlineLvl w:val="9"/>
        <w:rPr>
          <w:rFonts w:hint="eastAsia" w:ascii="宋体" w:hAnsi="宋体" w:cs="宋体"/>
          <w:sz w:val="21"/>
          <w:szCs w:val="21"/>
          <w:highlight w:val="none"/>
        </w:rPr>
      </w:pPr>
      <w:r>
        <w:rPr>
          <w:rFonts w:hint="eastAsia" w:ascii="宋体" w:hAnsi="宋体" w:cs="宋体"/>
          <w:sz w:val="21"/>
          <w:szCs w:val="21"/>
          <w:highlight w:val="none"/>
        </w:rPr>
        <w:t xml:space="preserve"> </w:t>
      </w:r>
    </w:p>
    <w:p>
      <w:pPr>
        <w:pageBreakBefore w:val="0"/>
        <w:tabs>
          <w:tab w:val="left" w:pos="9214"/>
        </w:tabs>
        <w:kinsoku/>
        <w:wordWrap/>
        <w:overflowPunct/>
        <w:topLinePunct w:val="0"/>
        <w:autoSpaceDE/>
        <w:autoSpaceDN/>
        <w:bidi w:val="0"/>
        <w:spacing w:line="360" w:lineRule="auto"/>
        <w:outlineLvl w:val="9"/>
        <w:rPr>
          <w:rFonts w:ascii="Calibri" w:hAnsi="Calibri"/>
          <w:szCs w:val="21"/>
          <w:highlight w:val="none"/>
          <w:u w:val="single"/>
        </w:rPr>
      </w:pPr>
      <w:r>
        <w:rPr>
          <w:rFonts w:hint="eastAsia" w:ascii="Calibri" w:hAnsi="Calibri" w:cs="宋体"/>
          <w:szCs w:val="21"/>
          <w:highlight w:val="none"/>
        </w:rPr>
        <w:t>日</w:t>
      </w:r>
      <w:r>
        <w:rPr>
          <w:rFonts w:ascii="Calibri" w:hAnsi="Calibri"/>
          <w:szCs w:val="21"/>
          <w:highlight w:val="none"/>
        </w:rPr>
        <w:t xml:space="preserve">    </w:t>
      </w:r>
      <w:r>
        <w:rPr>
          <w:rFonts w:hint="eastAsia" w:ascii="Calibri" w:hAnsi="Calibri" w:cs="宋体"/>
          <w:szCs w:val="21"/>
          <w:highlight w:val="none"/>
        </w:rPr>
        <w:t>期：</w:t>
      </w:r>
      <w:r>
        <w:rPr>
          <w:rFonts w:ascii="Calibri" w:hAnsi="Calibri"/>
          <w:szCs w:val="21"/>
          <w:highlight w:val="none"/>
          <w:u w:val="single"/>
        </w:rPr>
        <w:t xml:space="preserve">        </w:t>
      </w:r>
      <w:r>
        <w:rPr>
          <w:rFonts w:hint="eastAsia" w:ascii="Calibri" w:hAnsi="Calibri" w:cs="宋体"/>
          <w:szCs w:val="21"/>
          <w:highlight w:val="none"/>
          <w:u w:val="none"/>
        </w:rPr>
        <w:t>年</w:t>
      </w:r>
      <w:r>
        <w:rPr>
          <w:rFonts w:ascii="Calibri" w:hAnsi="Calibri"/>
          <w:szCs w:val="21"/>
          <w:highlight w:val="none"/>
          <w:u w:val="single"/>
        </w:rPr>
        <w:t xml:space="preserve">    </w:t>
      </w:r>
      <w:r>
        <w:rPr>
          <w:rFonts w:hint="eastAsia" w:ascii="Calibri" w:hAnsi="Calibri" w:cs="宋体"/>
          <w:szCs w:val="21"/>
          <w:highlight w:val="none"/>
          <w:u w:val="none"/>
        </w:rPr>
        <w:t>月</w:t>
      </w:r>
      <w:r>
        <w:rPr>
          <w:rFonts w:ascii="Calibri" w:hAnsi="Calibri"/>
          <w:szCs w:val="21"/>
          <w:highlight w:val="none"/>
          <w:u w:val="single"/>
        </w:rPr>
        <w:t xml:space="preserve">   </w:t>
      </w:r>
      <w:r>
        <w:rPr>
          <w:rFonts w:hint="eastAsia" w:ascii="Calibri" w:hAnsi="Calibri" w:cs="宋体"/>
          <w:szCs w:val="21"/>
          <w:highlight w:val="none"/>
          <w:u w:val="none"/>
        </w:rPr>
        <w:t>日</w:t>
      </w:r>
    </w:p>
    <w:p>
      <w:pPr>
        <w:pageBreakBefore w:val="0"/>
        <w:kinsoku/>
        <w:wordWrap/>
        <w:overflowPunct/>
        <w:topLinePunct w:val="0"/>
        <w:autoSpaceDE/>
        <w:autoSpaceDN/>
        <w:bidi w:val="0"/>
        <w:spacing w:line="600" w:lineRule="exact"/>
        <w:jc w:val="left"/>
        <w:outlineLvl w:val="9"/>
        <w:rPr>
          <w:rFonts w:ascii="宋体" w:hAnsi="宋体"/>
          <w:szCs w:val="21"/>
          <w:highlight w:val="none"/>
        </w:rPr>
      </w:pPr>
    </w:p>
    <w:p>
      <w:pPr>
        <w:pageBreakBefore w:val="0"/>
        <w:widowControl/>
        <w:kinsoku/>
        <w:wordWrap/>
        <w:overflowPunct/>
        <w:topLinePunct w:val="0"/>
        <w:autoSpaceDE/>
        <w:autoSpaceDN/>
        <w:bidi w:val="0"/>
        <w:jc w:val="left"/>
        <w:outlineLvl w:val="9"/>
        <w:rPr>
          <w:rFonts w:hint="eastAsia" w:ascii="Calibri" w:hAnsi="宋体"/>
          <w:b/>
          <w:sz w:val="28"/>
          <w:szCs w:val="28"/>
          <w:highlight w:val="none"/>
        </w:rPr>
      </w:pPr>
      <w:r>
        <w:rPr>
          <w:rFonts w:ascii="Calibri" w:hAnsi="宋体"/>
          <w:sz w:val="28"/>
          <w:szCs w:val="28"/>
          <w:highlight w:val="none"/>
        </w:rPr>
        <w:br w:type="page"/>
      </w:r>
    </w:p>
    <w:p>
      <w:pPr>
        <w:pageBreakBefore w:val="0"/>
        <w:widowControl/>
        <w:kinsoku/>
        <w:wordWrap/>
        <w:overflowPunct/>
        <w:topLinePunct w:val="0"/>
        <w:autoSpaceDE/>
        <w:autoSpaceDN/>
        <w:bidi w:val="0"/>
        <w:jc w:val="left"/>
        <w:outlineLvl w:val="9"/>
        <w:rPr>
          <w:rFonts w:hint="eastAsia" w:ascii="Calibri" w:hAnsi="宋体"/>
          <w:b/>
          <w:sz w:val="28"/>
          <w:szCs w:val="28"/>
          <w:highlight w:val="none"/>
        </w:rPr>
      </w:pPr>
      <w:r>
        <w:rPr>
          <w:rFonts w:hint="eastAsia" w:ascii="Calibri" w:hAnsi="宋体"/>
          <w:b/>
          <w:sz w:val="28"/>
          <w:szCs w:val="28"/>
          <w:highlight w:val="none"/>
        </w:rPr>
        <w:t>格式1</w:t>
      </w:r>
      <w:r>
        <w:rPr>
          <w:rFonts w:hint="eastAsia" w:ascii="Calibri" w:hAnsi="宋体"/>
          <w:b/>
          <w:sz w:val="28"/>
          <w:szCs w:val="28"/>
          <w:highlight w:val="none"/>
          <w:lang w:val="en-US" w:eastAsia="zh-CN"/>
        </w:rPr>
        <w:t>4</w:t>
      </w:r>
      <w:r>
        <w:rPr>
          <w:rFonts w:hint="eastAsia" w:ascii="Calibri" w:hAnsi="宋体"/>
          <w:b/>
          <w:sz w:val="28"/>
          <w:szCs w:val="28"/>
          <w:highlight w:val="none"/>
        </w:rPr>
        <w:t>：</w:t>
      </w:r>
    </w:p>
    <w:p>
      <w:pPr>
        <w:autoSpaceDE w:val="0"/>
        <w:autoSpaceDN w:val="0"/>
        <w:adjustRightInd w:val="0"/>
        <w:spacing w:line="360" w:lineRule="auto"/>
        <w:jc w:val="center"/>
        <w:rPr>
          <w:rFonts w:hint="eastAsia" w:ascii="宋体" w:hAnsi="宋体" w:cs="宋体"/>
          <w:b/>
          <w:bCs/>
          <w:color w:val="auto"/>
          <w:kern w:val="0"/>
          <w:sz w:val="28"/>
          <w:szCs w:val="28"/>
          <w:highlight w:val="none"/>
        </w:rPr>
      </w:pPr>
      <w:r>
        <w:rPr>
          <w:rFonts w:hint="eastAsia" w:ascii="宋体" w:hAnsi="宋体" w:cs="宋体"/>
          <w:b/>
          <w:bCs/>
          <w:color w:val="auto"/>
          <w:kern w:val="0"/>
          <w:sz w:val="28"/>
          <w:szCs w:val="28"/>
          <w:highlight w:val="none"/>
        </w:rPr>
        <w:t>中小企业声明函</w:t>
      </w:r>
    </w:p>
    <w:p>
      <w:pPr>
        <w:keepNext w:val="0"/>
        <w:keepLines w:val="0"/>
        <w:pageBreakBefore w:val="0"/>
        <w:widowControl w:val="0"/>
        <w:kinsoku/>
        <w:wordWrap/>
        <w:overflowPunct/>
        <w:topLinePunct w:val="0"/>
        <w:autoSpaceDE/>
        <w:autoSpaceDN/>
        <w:bidi w:val="0"/>
        <w:adjustRightInd/>
        <w:snapToGrid/>
        <w:spacing w:after="0" w:line="360" w:lineRule="auto"/>
        <w:ind w:firstLine="420" w:firstLineChars="200"/>
        <w:jc w:val="left"/>
        <w:textAlignment w:val="auto"/>
        <w:rPr>
          <w:rFonts w:hint="eastAsia" w:ascii="宋体" w:hAnsi="宋体" w:cs="宋体"/>
          <w:color w:val="000000"/>
          <w:szCs w:val="21"/>
          <w:highlight w:val="none"/>
        </w:rPr>
      </w:pPr>
      <w:r>
        <w:rPr>
          <w:rFonts w:hint="eastAsia" w:ascii="宋体" w:hAnsi="宋体" w:cs="宋体"/>
          <w:color w:val="000000"/>
          <w:szCs w:val="21"/>
          <w:highlight w:val="none"/>
        </w:rPr>
        <w:t>本公司（联合体）郑重声明，根据《政府采购促进中小企业发展管理办法》（财库﹝2020﹞46 号）的规定，本公司（联合体）参加</w:t>
      </w:r>
      <w:r>
        <w:rPr>
          <w:rFonts w:hint="eastAsia" w:ascii="宋体" w:hAnsi="宋体" w:cs="宋体"/>
          <w:color w:val="000000"/>
          <w:szCs w:val="21"/>
          <w:highlight w:val="none"/>
          <w:u w:val="single"/>
        </w:rPr>
        <w:t xml:space="preserve"> （单位名称） </w:t>
      </w:r>
      <w:r>
        <w:rPr>
          <w:rFonts w:hint="eastAsia" w:ascii="宋体" w:hAnsi="宋体" w:cs="宋体"/>
          <w:color w:val="000000"/>
          <w:szCs w:val="21"/>
          <w:highlight w:val="none"/>
        </w:rPr>
        <w:t xml:space="preserve">的 </w:t>
      </w:r>
      <w:r>
        <w:rPr>
          <w:rFonts w:hint="eastAsia" w:ascii="宋体" w:hAnsi="宋体" w:cs="宋体"/>
          <w:color w:val="000000"/>
          <w:szCs w:val="21"/>
          <w:highlight w:val="none"/>
          <w:u w:val="single"/>
        </w:rPr>
        <w:t xml:space="preserve">（项目名称） </w:t>
      </w:r>
      <w:r>
        <w:rPr>
          <w:rFonts w:hint="eastAsia" w:ascii="宋体" w:hAnsi="宋体" w:cs="宋体"/>
          <w:color w:val="000000"/>
          <w:szCs w:val="21"/>
          <w:highlight w:val="none"/>
        </w:rPr>
        <w:t>采购活动，</w:t>
      </w:r>
      <w:r>
        <w:rPr>
          <w:rFonts w:hint="eastAsia" w:ascii="宋体" w:hAnsi="宋体" w:cs="宋体"/>
          <w:color w:val="000000"/>
          <w:szCs w:val="21"/>
          <w:highlight w:val="none"/>
          <w:lang w:val="en-US" w:eastAsia="zh-CN"/>
        </w:rPr>
        <w:t>服务全部由符合政策要求的中小企业</w:t>
      </w:r>
      <w:r>
        <w:rPr>
          <w:rFonts w:hint="eastAsia" w:ascii="宋体" w:hAnsi="宋体" w:cs="宋体"/>
          <w:color w:val="000000"/>
          <w:szCs w:val="21"/>
          <w:highlight w:val="none"/>
        </w:rPr>
        <w:t>。相关企业（含联合体中的中小企业、签订分包意向协议的中小企业）的具体情况如下：</w:t>
      </w:r>
    </w:p>
    <w:p>
      <w:pPr>
        <w:keepNext w:val="0"/>
        <w:keepLines w:val="0"/>
        <w:pageBreakBefore w:val="0"/>
        <w:widowControl w:val="0"/>
        <w:kinsoku/>
        <w:wordWrap/>
        <w:overflowPunct/>
        <w:topLinePunct w:val="0"/>
        <w:autoSpaceDE/>
        <w:autoSpaceDN/>
        <w:bidi w:val="0"/>
        <w:adjustRightInd/>
        <w:snapToGrid/>
        <w:spacing w:after="0" w:line="360" w:lineRule="auto"/>
        <w:ind w:firstLine="420" w:firstLineChars="200"/>
        <w:jc w:val="left"/>
        <w:textAlignment w:val="auto"/>
        <w:rPr>
          <w:rFonts w:hint="eastAsia" w:ascii="宋体" w:hAnsi="宋体" w:cs="宋体"/>
          <w:color w:val="000000"/>
          <w:szCs w:val="21"/>
          <w:highlight w:val="none"/>
        </w:rPr>
      </w:pPr>
      <w:r>
        <w:rPr>
          <w:rFonts w:hint="eastAsia" w:ascii="宋体" w:hAnsi="宋体" w:cs="宋体"/>
          <w:color w:val="000000"/>
          <w:szCs w:val="21"/>
          <w:highlight w:val="none"/>
        </w:rPr>
        <w:t>1.</w:t>
      </w:r>
      <w:r>
        <w:rPr>
          <w:rFonts w:hint="eastAsia" w:ascii="宋体" w:hAnsi="宋体" w:cs="宋体"/>
          <w:color w:val="000000"/>
          <w:szCs w:val="21"/>
          <w:highlight w:val="none"/>
          <w:u w:val="single"/>
        </w:rPr>
        <w:t xml:space="preserve"> （标的名称） </w:t>
      </w:r>
      <w:r>
        <w:rPr>
          <w:rFonts w:hint="eastAsia" w:ascii="宋体" w:hAnsi="宋体" w:cs="宋体"/>
          <w:color w:val="000000"/>
          <w:szCs w:val="21"/>
          <w:highlight w:val="none"/>
        </w:rPr>
        <w:t>，属于</w:t>
      </w:r>
      <w:r>
        <w:rPr>
          <w:rFonts w:hint="eastAsia" w:ascii="宋体" w:hAnsi="宋体" w:cs="宋体"/>
          <w:color w:val="000000"/>
          <w:szCs w:val="21"/>
          <w:highlight w:val="none"/>
          <w:u w:val="single"/>
        </w:rPr>
        <w:t>（采购文件中明确的所属行业）</w:t>
      </w:r>
      <w:r>
        <w:rPr>
          <w:rFonts w:hint="eastAsia" w:ascii="宋体" w:hAnsi="宋体" w:cs="宋体"/>
          <w:color w:val="000000"/>
          <w:szCs w:val="21"/>
          <w:highlight w:val="none"/>
        </w:rPr>
        <w:t>；承接企业为</w:t>
      </w:r>
      <w:r>
        <w:rPr>
          <w:rFonts w:hint="eastAsia" w:ascii="宋体" w:hAnsi="宋体" w:cs="宋体"/>
          <w:color w:val="000000"/>
          <w:szCs w:val="21"/>
          <w:highlight w:val="none"/>
          <w:u w:val="single"/>
        </w:rPr>
        <w:t xml:space="preserve"> </w:t>
      </w:r>
      <w:r>
        <w:rPr>
          <w:rFonts w:hint="eastAsia" w:ascii="宋体" w:hAnsi="宋体" w:cs="宋体"/>
          <w:color w:val="000000"/>
          <w:szCs w:val="21"/>
          <w:highlight w:val="none"/>
          <w:u w:val="single"/>
          <w:lang w:val="en-US" w:eastAsia="zh-CN"/>
        </w:rPr>
        <w:t xml:space="preserve">  </w:t>
      </w:r>
      <w:r>
        <w:rPr>
          <w:rFonts w:hint="eastAsia" w:ascii="宋体" w:hAnsi="宋体" w:cs="宋体"/>
          <w:color w:val="000000"/>
          <w:szCs w:val="21"/>
          <w:highlight w:val="none"/>
          <w:u w:val="single"/>
        </w:rPr>
        <w:t>（企业名称）</w:t>
      </w:r>
      <w:r>
        <w:rPr>
          <w:rFonts w:hint="eastAsia" w:ascii="宋体" w:hAnsi="宋体" w:cs="宋体"/>
          <w:color w:val="000000"/>
          <w:szCs w:val="21"/>
          <w:highlight w:val="none"/>
        </w:rPr>
        <w:t xml:space="preserve"> ，从业人员</w:t>
      </w:r>
      <w:r>
        <w:rPr>
          <w:rFonts w:hint="eastAsia" w:ascii="宋体" w:hAnsi="宋体" w:cs="宋体"/>
          <w:color w:val="000000"/>
          <w:szCs w:val="21"/>
          <w:highlight w:val="none"/>
          <w:u w:val="single"/>
        </w:rPr>
        <w:t xml:space="preserve"> </w:t>
      </w:r>
      <w:r>
        <w:rPr>
          <w:rFonts w:hint="eastAsia" w:ascii="宋体" w:hAnsi="宋体" w:cs="宋体"/>
          <w:color w:val="000000"/>
          <w:szCs w:val="21"/>
          <w:highlight w:val="none"/>
          <w:u w:val="single"/>
          <w:lang w:val="en-US" w:eastAsia="zh-CN"/>
        </w:rPr>
        <w:t xml:space="preserve">  </w:t>
      </w:r>
      <w:r>
        <w:rPr>
          <w:rFonts w:hint="eastAsia" w:ascii="宋体" w:hAnsi="宋体" w:cs="宋体"/>
          <w:color w:val="000000"/>
          <w:szCs w:val="21"/>
          <w:highlight w:val="none"/>
        </w:rPr>
        <w:t>人，营业收入为</w:t>
      </w:r>
      <w:r>
        <w:rPr>
          <w:rFonts w:hint="eastAsia" w:ascii="宋体" w:hAnsi="宋体" w:cs="宋体"/>
          <w:color w:val="000000"/>
          <w:szCs w:val="21"/>
          <w:highlight w:val="none"/>
          <w:u w:val="single"/>
          <w:lang w:val="en-US" w:eastAsia="zh-CN"/>
        </w:rPr>
        <w:t xml:space="preserve">  </w:t>
      </w:r>
      <w:r>
        <w:rPr>
          <w:rFonts w:hint="eastAsia" w:ascii="宋体" w:hAnsi="宋体" w:cs="宋体"/>
          <w:color w:val="000000"/>
          <w:szCs w:val="21"/>
          <w:highlight w:val="none"/>
        </w:rPr>
        <w:t>万元，资产总额为</w:t>
      </w:r>
      <w:r>
        <w:rPr>
          <w:rFonts w:hint="eastAsia" w:ascii="宋体" w:hAnsi="宋体" w:cs="宋体"/>
          <w:color w:val="000000"/>
          <w:szCs w:val="21"/>
          <w:highlight w:val="none"/>
          <w:u w:val="single"/>
          <w:lang w:val="en-US" w:eastAsia="zh-CN"/>
        </w:rPr>
        <w:t xml:space="preserve"> </w:t>
      </w:r>
      <w:r>
        <w:rPr>
          <w:rFonts w:hint="eastAsia" w:ascii="宋体" w:hAnsi="宋体" w:cs="宋体"/>
          <w:color w:val="000000"/>
          <w:szCs w:val="21"/>
          <w:highlight w:val="none"/>
          <w:u w:val="single"/>
        </w:rPr>
        <w:t xml:space="preserve"> </w:t>
      </w:r>
      <w:r>
        <w:rPr>
          <w:rFonts w:hint="eastAsia" w:ascii="宋体" w:hAnsi="宋体" w:cs="宋体"/>
          <w:color w:val="000000"/>
          <w:szCs w:val="21"/>
          <w:highlight w:val="none"/>
        </w:rPr>
        <w:t>万元</w:t>
      </w:r>
      <w:r>
        <w:rPr>
          <w:rFonts w:hint="eastAsia" w:ascii="宋体" w:hAnsi="宋体" w:cs="宋体"/>
          <w:color w:val="000000"/>
          <w:szCs w:val="21"/>
          <w:highlight w:val="none"/>
          <w:vertAlign w:val="superscript"/>
        </w:rPr>
        <w:t xml:space="preserve"> 1</w:t>
      </w:r>
      <w:r>
        <w:rPr>
          <w:rFonts w:hint="eastAsia" w:ascii="宋体" w:hAnsi="宋体" w:cs="宋体"/>
          <w:color w:val="000000"/>
          <w:szCs w:val="21"/>
          <w:highlight w:val="none"/>
        </w:rPr>
        <w:t>，属于</w:t>
      </w:r>
      <w:r>
        <w:rPr>
          <w:rFonts w:hint="eastAsia" w:ascii="宋体" w:hAnsi="宋体" w:cs="宋体"/>
          <w:color w:val="000000"/>
          <w:szCs w:val="21"/>
          <w:highlight w:val="none"/>
          <w:u w:val="single"/>
        </w:rPr>
        <w:t>（中型企业、小型企业、微型企业）</w:t>
      </w:r>
      <w:r>
        <w:rPr>
          <w:rFonts w:hint="eastAsia" w:ascii="宋体" w:hAnsi="宋体" w:cs="宋体"/>
          <w:color w:val="000000"/>
          <w:szCs w:val="21"/>
          <w:highlight w:val="none"/>
        </w:rPr>
        <w:t>；</w:t>
      </w:r>
    </w:p>
    <w:p>
      <w:pPr>
        <w:keepNext w:val="0"/>
        <w:keepLines w:val="0"/>
        <w:pageBreakBefore w:val="0"/>
        <w:widowControl w:val="0"/>
        <w:kinsoku/>
        <w:wordWrap/>
        <w:overflowPunct/>
        <w:topLinePunct w:val="0"/>
        <w:autoSpaceDE/>
        <w:autoSpaceDN/>
        <w:bidi w:val="0"/>
        <w:adjustRightInd/>
        <w:snapToGrid/>
        <w:spacing w:after="0" w:line="360" w:lineRule="auto"/>
        <w:ind w:firstLine="420" w:firstLineChars="200"/>
        <w:jc w:val="left"/>
        <w:textAlignment w:val="auto"/>
        <w:rPr>
          <w:rFonts w:hint="eastAsia" w:ascii="宋体" w:hAnsi="宋体" w:cs="宋体"/>
          <w:color w:val="000000"/>
          <w:szCs w:val="21"/>
          <w:highlight w:val="none"/>
        </w:rPr>
      </w:pPr>
      <w:r>
        <w:rPr>
          <w:rFonts w:hint="eastAsia" w:ascii="宋体" w:hAnsi="宋体" w:cs="宋体"/>
          <w:color w:val="000000"/>
          <w:szCs w:val="21"/>
          <w:highlight w:val="none"/>
        </w:rPr>
        <w:t>以上企业，不属于大企业的分支机构，不存在控股股东为大企业的情形，也不存在与大企业的负责人为同一人的情形。</w:t>
      </w:r>
    </w:p>
    <w:p>
      <w:pPr>
        <w:keepNext w:val="0"/>
        <w:keepLines w:val="0"/>
        <w:pageBreakBefore w:val="0"/>
        <w:widowControl w:val="0"/>
        <w:kinsoku/>
        <w:wordWrap/>
        <w:overflowPunct/>
        <w:topLinePunct w:val="0"/>
        <w:autoSpaceDE/>
        <w:autoSpaceDN/>
        <w:bidi w:val="0"/>
        <w:adjustRightInd/>
        <w:snapToGrid/>
        <w:spacing w:after="0" w:line="360" w:lineRule="auto"/>
        <w:ind w:firstLine="420" w:firstLineChars="200"/>
        <w:jc w:val="left"/>
        <w:textAlignment w:val="auto"/>
        <w:rPr>
          <w:rFonts w:hint="eastAsia" w:ascii="宋体" w:hAnsi="宋体" w:cs="宋体"/>
          <w:color w:val="000000"/>
          <w:szCs w:val="21"/>
          <w:highlight w:val="none"/>
        </w:rPr>
      </w:pPr>
      <w:r>
        <w:rPr>
          <w:rFonts w:hint="eastAsia" w:ascii="宋体" w:hAnsi="宋体" w:cs="宋体"/>
          <w:color w:val="000000"/>
          <w:szCs w:val="21"/>
          <w:highlight w:val="none"/>
        </w:rPr>
        <w:t>本企业对上述声明内容的真实性负责。如有虚假，将依法承担相应责任。</w:t>
      </w:r>
    </w:p>
    <w:p>
      <w:pPr>
        <w:keepNext w:val="0"/>
        <w:keepLines w:val="0"/>
        <w:pageBreakBefore w:val="0"/>
        <w:widowControl w:val="0"/>
        <w:kinsoku/>
        <w:wordWrap/>
        <w:overflowPunct/>
        <w:topLinePunct w:val="0"/>
        <w:autoSpaceDE w:val="0"/>
        <w:autoSpaceDN w:val="0"/>
        <w:bidi w:val="0"/>
        <w:adjustRightInd w:val="0"/>
        <w:snapToGrid/>
        <w:spacing w:line="360" w:lineRule="auto"/>
        <w:ind w:firstLine="371" w:firstLineChars="177"/>
        <w:jc w:val="left"/>
        <w:textAlignment w:val="auto"/>
        <w:rPr>
          <w:rFonts w:hint="eastAsia" w:ascii="宋体" w:hAnsi="宋体" w:cs="宋体"/>
          <w:color w:val="auto"/>
          <w:kern w:val="0"/>
          <w:szCs w:val="21"/>
          <w:highlight w:val="none"/>
        </w:rPr>
      </w:pPr>
    </w:p>
    <w:p>
      <w:pPr>
        <w:keepNext w:val="0"/>
        <w:keepLines w:val="0"/>
        <w:pageBreakBefore w:val="0"/>
        <w:widowControl w:val="0"/>
        <w:kinsoku/>
        <w:wordWrap/>
        <w:overflowPunct/>
        <w:topLinePunct w:val="0"/>
        <w:bidi w:val="0"/>
        <w:snapToGrid/>
        <w:spacing w:line="360" w:lineRule="auto"/>
        <w:ind w:firstLine="420" w:firstLineChars="200"/>
        <w:jc w:val="left"/>
        <w:textAlignment w:val="auto"/>
        <w:rPr>
          <w:rFonts w:hint="eastAsia" w:ascii="宋体" w:hAnsi="宋体" w:cs="宋体"/>
          <w:color w:val="000000"/>
          <w:szCs w:val="21"/>
          <w:highlight w:val="none"/>
        </w:rPr>
      </w:pPr>
    </w:p>
    <w:p>
      <w:pPr>
        <w:pageBreakBefore w:val="0"/>
        <w:tabs>
          <w:tab w:val="left" w:pos="9214"/>
        </w:tabs>
        <w:kinsoku/>
        <w:wordWrap/>
        <w:overflowPunct/>
        <w:topLinePunct w:val="0"/>
        <w:autoSpaceDE/>
        <w:autoSpaceDN/>
        <w:bidi w:val="0"/>
        <w:adjustRightInd/>
        <w:snapToGrid/>
        <w:spacing w:after="0" w:line="360" w:lineRule="auto"/>
        <w:textAlignment w:val="auto"/>
        <w:rPr>
          <w:rFonts w:hint="default" w:ascii="Calibri" w:hAnsi="Calibri" w:eastAsia="宋体"/>
          <w:szCs w:val="21"/>
          <w:highlight w:val="none"/>
          <w:u w:val="single"/>
          <w:lang w:val="en-US" w:eastAsia="zh-CN"/>
        </w:rPr>
      </w:pPr>
      <w:r>
        <w:rPr>
          <w:rFonts w:hint="eastAsia" w:ascii="Calibri" w:hAnsi="Calibri" w:cs="宋体"/>
          <w:szCs w:val="21"/>
          <w:highlight w:val="none"/>
          <w:lang w:val="en-US" w:eastAsia="zh-CN"/>
        </w:rPr>
        <w:t>单位名称</w:t>
      </w:r>
      <w:r>
        <w:rPr>
          <w:rFonts w:hint="eastAsia" w:ascii="Calibri" w:hAnsi="Calibri" w:cs="宋体"/>
          <w:szCs w:val="21"/>
          <w:highlight w:val="none"/>
        </w:rPr>
        <w:t>：</w:t>
      </w:r>
      <w:r>
        <w:rPr>
          <w:rFonts w:hint="eastAsia" w:ascii="Calibri" w:hAnsi="Calibri" w:cs="宋体"/>
          <w:szCs w:val="21"/>
          <w:highlight w:val="none"/>
          <w:u w:val="single"/>
          <w:lang w:val="en-US" w:eastAsia="zh-CN"/>
        </w:rPr>
        <w:t xml:space="preserve">            </w:t>
      </w:r>
      <w:r>
        <w:rPr>
          <w:rFonts w:hint="eastAsia" w:ascii="Calibri" w:hAnsi="Calibri" w:cs="宋体"/>
          <w:szCs w:val="21"/>
          <w:highlight w:val="none"/>
          <w:u w:val="single"/>
        </w:rPr>
        <w:t>（</w:t>
      </w:r>
      <w:r>
        <w:rPr>
          <w:rFonts w:hint="eastAsia" w:ascii="Calibri" w:hAnsi="Calibri" w:cs="宋体"/>
          <w:szCs w:val="21"/>
          <w:highlight w:val="none"/>
          <w:u w:val="single"/>
          <w:lang w:val="en-US" w:eastAsia="zh-CN"/>
        </w:rPr>
        <w:t>加盖单位公章</w:t>
      </w:r>
      <w:r>
        <w:rPr>
          <w:rFonts w:hint="eastAsia" w:ascii="Calibri" w:hAnsi="Calibri" w:cs="宋体"/>
          <w:szCs w:val="21"/>
          <w:highlight w:val="none"/>
          <w:u w:val="single"/>
        </w:rPr>
        <w:t>）</w:t>
      </w:r>
      <w:r>
        <w:rPr>
          <w:rFonts w:hint="eastAsia" w:ascii="Calibri" w:hAnsi="Calibri" w:cs="宋体"/>
          <w:szCs w:val="21"/>
          <w:highlight w:val="none"/>
          <w:u w:val="none"/>
          <w:lang w:val="en-US" w:eastAsia="zh-CN"/>
        </w:rPr>
        <w:t xml:space="preserve">    </w:t>
      </w:r>
    </w:p>
    <w:p>
      <w:pPr>
        <w:pageBreakBefore w:val="0"/>
        <w:tabs>
          <w:tab w:val="left" w:pos="9214"/>
        </w:tabs>
        <w:kinsoku/>
        <w:wordWrap/>
        <w:overflowPunct/>
        <w:topLinePunct w:val="0"/>
        <w:autoSpaceDE/>
        <w:autoSpaceDN/>
        <w:bidi w:val="0"/>
        <w:adjustRightInd/>
        <w:snapToGrid/>
        <w:spacing w:after="0" w:line="360" w:lineRule="auto"/>
        <w:textAlignment w:val="auto"/>
        <w:rPr>
          <w:rFonts w:ascii="Calibri" w:hAnsi="Calibri"/>
          <w:szCs w:val="21"/>
          <w:highlight w:val="none"/>
          <w:u w:val="single"/>
        </w:rPr>
      </w:pPr>
      <w:r>
        <w:rPr>
          <w:rFonts w:hint="eastAsia" w:ascii="Calibri" w:hAnsi="Calibri" w:cs="宋体"/>
          <w:szCs w:val="21"/>
          <w:highlight w:val="none"/>
        </w:rPr>
        <w:t>日期：</w:t>
      </w:r>
      <w:r>
        <w:rPr>
          <w:rFonts w:hint="eastAsia" w:ascii="Calibri" w:hAnsi="Calibri" w:cs="宋体"/>
          <w:szCs w:val="21"/>
          <w:highlight w:val="none"/>
          <w:u w:val="single"/>
          <w:lang w:val="en-US" w:eastAsia="zh-CN"/>
        </w:rPr>
        <w:t xml:space="preserve">    </w:t>
      </w:r>
      <w:r>
        <w:rPr>
          <w:rFonts w:hint="eastAsia" w:ascii="Calibri" w:hAnsi="Calibri" w:cs="宋体"/>
          <w:szCs w:val="21"/>
          <w:highlight w:val="none"/>
          <w:u w:val="single"/>
        </w:rPr>
        <w:t>年</w:t>
      </w:r>
      <w:r>
        <w:rPr>
          <w:rFonts w:hint="eastAsia" w:ascii="Calibri" w:hAnsi="Calibri" w:cs="宋体"/>
          <w:szCs w:val="21"/>
          <w:highlight w:val="none"/>
          <w:u w:val="single"/>
          <w:lang w:val="en-US" w:eastAsia="zh-CN"/>
        </w:rPr>
        <w:t xml:space="preserve">  </w:t>
      </w:r>
      <w:r>
        <w:rPr>
          <w:rFonts w:hint="eastAsia" w:ascii="Calibri" w:hAnsi="Calibri" w:cs="宋体"/>
          <w:szCs w:val="21"/>
          <w:highlight w:val="none"/>
          <w:u w:val="single"/>
        </w:rPr>
        <w:t>月</w:t>
      </w:r>
      <w:r>
        <w:rPr>
          <w:rFonts w:hint="eastAsia" w:ascii="Calibri" w:hAnsi="Calibri" w:cs="宋体"/>
          <w:szCs w:val="21"/>
          <w:highlight w:val="none"/>
          <w:u w:val="single"/>
          <w:lang w:val="en-US" w:eastAsia="zh-CN"/>
        </w:rPr>
        <w:t xml:space="preserve">  </w:t>
      </w:r>
      <w:r>
        <w:rPr>
          <w:rFonts w:hint="eastAsia" w:ascii="Calibri" w:hAnsi="Calibri" w:cs="宋体"/>
          <w:szCs w:val="21"/>
          <w:highlight w:val="none"/>
          <w:u w:val="single"/>
        </w:rPr>
        <w:t>日</w:t>
      </w:r>
    </w:p>
    <w:p>
      <w:pPr>
        <w:pageBreakBefore w:val="0"/>
        <w:kinsoku/>
        <w:wordWrap/>
        <w:overflowPunct/>
        <w:topLinePunct w:val="0"/>
        <w:autoSpaceDE/>
        <w:autoSpaceDN/>
        <w:bidi w:val="0"/>
        <w:adjustRightInd/>
        <w:snapToGrid/>
        <w:spacing w:beforeAutospacing="0" w:after="0" w:afterAutospacing="0" w:line="360" w:lineRule="auto"/>
        <w:textAlignment w:val="auto"/>
        <w:rPr>
          <w:rFonts w:eastAsia="仿宋"/>
          <w:b/>
          <w:bCs/>
          <w:sz w:val="24"/>
          <w:highlight w:val="none"/>
        </w:rPr>
      </w:pPr>
      <w:r>
        <w:rPr>
          <w:rFonts w:eastAsia="仿宋"/>
          <w:b/>
          <w:bCs/>
          <w:sz w:val="24"/>
          <w:highlight w:val="none"/>
        </w:rPr>
        <w:t>说明：</w:t>
      </w:r>
    </w:p>
    <w:p>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jc w:val="left"/>
        <w:textAlignment w:val="auto"/>
        <w:rPr>
          <w:rFonts w:eastAsia="仿宋"/>
          <w:bCs/>
          <w:sz w:val="24"/>
          <w:highlight w:val="none"/>
        </w:rPr>
      </w:pPr>
      <w:r>
        <w:rPr>
          <w:rFonts w:eastAsia="仿宋"/>
          <w:bCs/>
          <w:sz w:val="24"/>
          <w:highlight w:val="none"/>
        </w:rPr>
        <w:t>1、</w:t>
      </w:r>
      <w:r>
        <w:rPr>
          <w:rFonts w:hint="eastAsia" w:ascii="仿宋" w:hAnsi="仿宋" w:eastAsia="仿宋" w:cs="仿宋"/>
          <w:b w:val="0"/>
          <w:bCs w:val="0"/>
          <w:color w:val="000000"/>
          <w:sz w:val="24"/>
          <w:szCs w:val="24"/>
          <w:highlight w:val="none"/>
          <w:vertAlign w:val="superscript"/>
        </w:rPr>
        <w:t>1</w:t>
      </w:r>
      <w:r>
        <w:rPr>
          <w:rFonts w:hint="eastAsia" w:ascii="仿宋" w:hAnsi="仿宋" w:eastAsia="仿宋" w:cs="仿宋"/>
          <w:b w:val="0"/>
          <w:bCs w:val="0"/>
          <w:color w:val="000000"/>
          <w:sz w:val="24"/>
          <w:szCs w:val="24"/>
          <w:highlight w:val="none"/>
        </w:rPr>
        <w:t>从业人员、营业收入、资产总额填报上一年度数据，无上一年度数据的新成立企业可不填报。</w:t>
      </w:r>
    </w:p>
    <w:p>
      <w:pPr>
        <w:keepNext w:val="0"/>
        <w:keepLines w:val="0"/>
        <w:pageBreakBefore w:val="0"/>
        <w:widowControl w:val="0"/>
        <w:kinsoku/>
        <w:wordWrap/>
        <w:overflowPunct/>
        <w:topLinePunct w:val="0"/>
        <w:autoSpaceDE/>
        <w:autoSpaceDN/>
        <w:bidi w:val="0"/>
        <w:adjustRightInd/>
        <w:snapToGrid/>
        <w:spacing w:beforeAutospacing="0" w:after="0" w:afterAutospacing="0" w:line="360" w:lineRule="auto"/>
        <w:ind w:firstLine="420" w:firstLineChars="200"/>
        <w:textAlignment w:val="auto"/>
        <w:rPr>
          <w:rFonts w:hint="eastAsia" w:eastAsia="仿宋"/>
          <w:bCs/>
          <w:sz w:val="21"/>
          <w:szCs w:val="21"/>
          <w:highlight w:val="none"/>
        </w:rPr>
      </w:pPr>
      <w:r>
        <w:rPr>
          <w:rFonts w:hint="eastAsia" w:eastAsia="仿宋"/>
          <w:bCs/>
          <w:sz w:val="21"/>
          <w:szCs w:val="21"/>
          <w:highlight w:val="none"/>
        </w:rPr>
        <w:t>备注：</w:t>
      </w:r>
    </w:p>
    <w:p>
      <w:pPr>
        <w:keepNext w:val="0"/>
        <w:keepLines w:val="0"/>
        <w:pageBreakBefore w:val="0"/>
        <w:widowControl w:val="0"/>
        <w:kinsoku/>
        <w:wordWrap/>
        <w:overflowPunct/>
        <w:topLinePunct w:val="0"/>
        <w:autoSpaceDE/>
        <w:autoSpaceDN/>
        <w:bidi w:val="0"/>
        <w:adjustRightInd/>
        <w:snapToGrid/>
        <w:spacing w:beforeAutospacing="0" w:after="0" w:afterAutospacing="0" w:line="360" w:lineRule="auto"/>
        <w:ind w:firstLine="420" w:firstLineChars="200"/>
        <w:textAlignment w:val="auto"/>
        <w:rPr>
          <w:rFonts w:hint="eastAsia" w:eastAsia="仿宋"/>
          <w:bCs/>
          <w:sz w:val="21"/>
          <w:szCs w:val="21"/>
          <w:highlight w:val="none"/>
        </w:rPr>
      </w:pPr>
      <w:r>
        <w:rPr>
          <w:rFonts w:hint="eastAsia" w:eastAsia="仿宋"/>
          <w:bCs/>
          <w:sz w:val="21"/>
          <w:szCs w:val="21"/>
          <w:highlight w:val="none"/>
        </w:rPr>
        <w:t>1、投标人符合《政府采购促进中小企业发展管理办法》（财库﹝2020﹞46号）的规定，如实填写出具“中小企业声明函”，按第六章的评标办法的规定执行。</w:t>
      </w:r>
    </w:p>
    <w:p>
      <w:pPr>
        <w:keepNext w:val="0"/>
        <w:keepLines w:val="0"/>
        <w:pageBreakBefore w:val="0"/>
        <w:widowControl w:val="0"/>
        <w:kinsoku/>
        <w:wordWrap/>
        <w:overflowPunct/>
        <w:topLinePunct w:val="0"/>
        <w:autoSpaceDE/>
        <w:autoSpaceDN/>
        <w:bidi w:val="0"/>
        <w:adjustRightInd/>
        <w:snapToGrid/>
        <w:spacing w:beforeAutospacing="0" w:after="0" w:afterAutospacing="0" w:line="360" w:lineRule="auto"/>
        <w:ind w:firstLine="420" w:firstLineChars="200"/>
        <w:textAlignment w:val="auto"/>
        <w:rPr>
          <w:rFonts w:hint="eastAsia" w:eastAsia="仿宋"/>
          <w:bCs/>
          <w:sz w:val="21"/>
          <w:szCs w:val="21"/>
          <w:highlight w:val="none"/>
        </w:rPr>
      </w:pPr>
      <w:r>
        <w:rPr>
          <w:rFonts w:hint="eastAsia" w:eastAsia="仿宋"/>
          <w:bCs/>
          <w:sz w:val="21"/>
          <w:szCs w:val="21"/>
          <w:highlight w:val="none"/>
        </w:rPr>
        <w:t>2、中小企业提供《中小企业声明函》时，标的名称须根据招标公告逐项填写；</w:t>
      </w:r>
    </w:p>
    <w:p>
      <w:pPr>
        <w:keepNext w:val="0"/>
        <w:keepLines w:val="0"/>
        <w:pageBreakBefore w:val="0"/>
        <w:widowControl w:val="0"/>
        <w:kinsoku/>
        <w:wordWrap/>
        <w:overflowPunct/>
        <w:topLinePunct w:val="0"/>
        <w:autoSpaceDE/>
        <w:autoSpaceDN/>
        <w:bidi w:val="0"/>
        <w:adjustRightInd/>
        <w:snapToGrid/>
        <w:spacing w:beforeAutospacing="0" w:after="0" w:afterAutospacing="0" w:line="360" w:lineRule="auto"/>
        <w:ind w:firstLine="420" w:firstLineChars="200"/>
        <w:textAlignment w:val="auto"/>
        <w:rPr>
          <w:rFonts w:hint="eastAsia" w:eastAsia="仿宋"/>
          <w:bCs/>
          <w:sz w:val="21"/>
          <w:szCs w:val="21"/>
          <w:highlight w:val="none"/>
        </w:rPr>
      </w:pPr>
      <w:r>
        <w:rPr>
          <w:rFonts w:hint="eastAsia" w:eastAsia="仿宋"/>
          <w:bCs/>
          <w:sz w:val="21"/>
          <w:szCs w:val="21"/>
          <w:highlight w:val="none"/>
        </w:rPr>
        <w:t>3、中标人享受本办法规定的中小企业扶持政策的，采购人、采购代理机构应当随中标、成交结果公开中标、中标人的《中小企业声明函》。投标人按照本办法规定提供声明函内容不实的，属于提供虚假材料谋取中标、成交，依照《中华人民共和国政府采购法》等国家有关规定追究相应责任。</w:t>
      </w:r>
    </w:p>
    <w:p>
      <w:pPr>
        <w:keepNext w:val="0"/>
        <w:keepLines w:val="0"/>
        <w:pageBreakBefore w:val="0"/>
        <w:widowControl w:val="0"/>
        <w:kinsoku/>
        <w:wordWrap/>
        <w:overflowPunct/>
        <w:topLinePunct w:val="0"/>
        <w:autoSpaceDE/>
        <w:autoSpaceDN/>
        <w:bidi w:val="0"/>
        <w:adjustRightInd/>
        <w:snapToGrid/>
        <w:spacing w:beforeAutospacing="0" w:after="0" w:afterAutospacing="0" w:line="360" w:lineRule="auto"/>
        <w:ind w:firstLine="420" w:firstLineChars="200"/>
        <w:textAlignment w:val="auto"/>
        <w:rPr>
          <w:rFonts w:hint="eastAsia" w:ascii="Calibri" w:hAnsi="宋体"/>
          <w:b/>
          <w:sz w:val="28"/>
          <w:szCs w:val="28"/>
          <w:highlight w:val="none"/>
        </w:rPr>
      </w:pPr>
      <w:r>
        <w:rPr>
          <w:rFonts w:hint="eastAsia" w:eastAsia="仿宋"/>
          <w:bCs/>
          <w:sz w:val="21"/>
          <w:szCs w:val="21"/>
          <w:highlight w:val="none"/>
        </w:rPr>
        <w:t>4、采购文件中明确的所属行业详见招标文件第</w:t>
      </w:r>
      <w:r>
        <w:rPr>
          <w:rFonts w:hint="eastAsia" w:eastAsia="仿宋"/>
          <w:bCs/>
          <w:sz w:val="21"/>
          <w:szCs w:val="21"/>
          <w:highlight w:val="none"/>
          <w:lang w:val="en-US" w:eastAsia="zh-CN"/>
        </w:rPr>
        <w:t>二</w:t>
      </w:r>
      <w:r>
        <w:rPr>
          <w:rFonts w:hint="eastAsia" w:eastAsia="仿宋"/>
          <w:bCs/>
          <w:sz w:val="21"/>
          <w:szCs w:val="21"/>
          <w:highlight w:val="none"/>
        </w:rPr>
        <w:t>章</w:t>
      </w:r>
      <w:r>
        <w:rPr>
          <w:rFonts w:hint="eastAsia" w:eastAsia="仿宋"/>
          <w:bCs/>
          <w:sz w:val="21"/>
          <w:szCs w:val="21"/>
          <w:highlight w:val="none"/>
          <w:lang w:eastAsia="zh-CN"/>
        </w:rPr>
        <w:t>《</w:t>
      </w:r>
      <w:r>
        <w:rPr>
          <w:rFonts w:hint="eastAsia" w:eastAsia="仿宋"/>
          <w:bCs/>
          <w:sz w:val="21"/>
          <w:szCs w:val="21"/>
          <w:highlight w:val="none"/>
          <w:lang w:val="en-US" w:eastAsia="zh-CN"/>
        </w:rPr>
        <w:t>投标人须知前附表</w:t>
      </w:r>
      <w:r>
        <w:rPr>
          <w:rFonts w:hint="eastAsia" w:eastAsia="仿宋"/>
          <w:bCs/>
          <w:sz w:val="21"/>
          <w:szCs w:val="21"/>
          <w:highlight w:val="none"/>
          <w:lang w:eastAsia="zh-CN"/>
        </w:rPr>
        <w:t>》35.</w:t>
      </w:r>
      <w:r>
        <w:rPr>
          <w:rFonts w:hint="eastAsia" w:eastAsia="仿宋"/>
          <w:bCs/>
          <w:sz w:val="21"/>
          <w:szCs w:val="21"/>
          <w:highlight w:val="none"/>
          <w:lang w:val="en-US" w:eastAsia="zh-CN"/>
        </w:rPr>
        <w:t>2</w:t>
      </w:r>
      <w:r>
        <w:rPr>
          <w:rFonts w:hint="eastAsia" w:eastAsia="仿宋"/>
          <w:bCs/>
          <w:sz w:val="21"/>
          <w:szCs w:val="21"/>
          <w:highlight w:val="none"/>
          <w:lang w:eastAsia="zh-CN"/>
        </w:rPr>
        <w:t>.</w:t>
      </w:r>
      <w:r>
        <w:rPr>
          <w:rFonts w:hint="eastAsia" w:eastAsia="仿宋"/>
          <w:bCs/>
          <w:sz w:val="21"/>
          <w:szCs w:val="21"/>
          <w:highlight w:val="none"/>
          <w:lang w:val="en-US" w:eastAsia="zh-CN"/>
        </w:rPr>
        <w:t>8</w:t>
      </w:r>
      <w:r>
        <w:rPr>
          <w:rFonts w:hint="eastAsia" w:eastAsia="仿宋"/>
          <w:bCs/>
          <w:sz w:val="21"/>
          <w:szCs w:val="21"/>
          <w:highlight w:val="none"/>
        </w:rPr>
        <w:t>。</w:t>
      </w:r>
    </w:p>
    <w:p>
      <w:pPr>
        <w:pageBreakBefore w:val="0"/>
        <w:widowControl/>
        <w:kinsoku/>
        <w:wordWrap/>
        <w:overflowPunct/>
        <w:topLinePunct w:val="0"/>
        <w:autoSpaceDE/>
        <w:autoSpaceDN/>
        <w:bidi w:val="0"/>
        <w:jc w:val="left"/>
        <w:outlineLvl w:val="9"/>
        <w:rPr>
          <w:rFonts w:hint="eastAsia" w:ascii="Calibri" w:hAnsi="宋体"/>
          <w:b/>
          <w:sz w:val="28"/>
          <w:szCs w:val="28"/>
          <w:highlight w:val="none"/>
        </w:rPr>
      </w:pPr>
      <w:r>
        <w:rPr>
          <w:rFonts w:hint="eastAsia" w:ascii="Calibri" w:hAnsi="宋体"/>
          <w:b/>
          <w:sz w:val="28"/>
          <w:szCs w:val="28"/>
          <w:highlight w:val="none"/>
        </w:rPr>
        <w:br w:type="page"/>
      </w:r>
      <w:r>
        <w:rPr>
          <w:rFonts w:hint="eastAsia" w:ascii="Calibri" w:hAnsi="宋体"/>
          <w:b/>
          <w:sz w:val="28"/>
          <w:szCs w:val="28"/>
          <w:highlight w:val="none"/>
        </w:rPr>
        <w:t>格式1</w:t>
      </w:r>
      <w:r>
        <w:rPr>
          <w:rFonts w:hint="eastAsia" w:ascii="Calibri" w:hAnsi="宋体"/>
          <w:b/>
          <w:sz w:val="28"/>
          <w:szCs w:val="28"/>
          <w:highlight w:val="none"/>
          <w:lang w:val="en-US" w:eastAsia="zh-CN"/>
        </w:rPr>
        <w:t>5</w:t>
      </w:r>
      <w:r>
        <w:rPr>
          <w:rFonts w:hint="eastAsia" w:ascii="Calibri" w:hAnsi="宋体"/>
          <w:b/>
          <w:sz w:val="28"/>
          <w:szCs w:val="28"/>
          <w:highlight w:val="none"/>
        </w:rPr>
        <w:t>：</w:t>
      </w:r>
    </w:p>
    <w:p>
      <w:pPr>
        <w:pageBreakBefore w:val="0"/>
        <w:kinsoku/>
        <w:wordWrap/>
        <w:overflowPunct/>
        <w:topLinePunct w:val="0"/>
        <w:autoSpaceDE/>
        <w:autoSpaceDN/>
        <w:bidi w:val="0"/>
        <w:outlineLvl w:val="9"/>
        <w:rPr>
          <w:rFonts w:hint="eastAsia"/>
          <w:highlight w:val="none"/>
        </w:rPr>
      </w:pPr>
    </w:p>
    <w:p>
      <w:pPr>
        <w:pageBreakBefore w:val="0"/>
        <w:kinsoku/>
        <w:wordWrap/>
        <w:overflowPunct/>
        <w:topLinePunct w:val="0"/>
        <w:autoSpaceDE/>
        <w:autoSpaceDN/>
        <w:bidi w:val="0"/>
        <w:outlineLvl w:val="9"/>
        <w:rPr>
          <w:rFonts w:ascii="Calibri" w:hAnsi="宋体"/>
          <w:b/>
          <w:szCs w:val="21"/>
          <w:highlight w:val="none"/>
        </w:rPr>
      </w:pPr>
    </w:p>
    <w:p>
      <w:pPr>
        <w:keepNext/>
        <w:keepLines/>
        <w:pageBreakBefore w:val="0"/>
        <w:kinsoku/>
        <w:wordWrap/>
        <w:overflowPunct/>
        <w:topLinePunct w:val="0"/>
        <w:autoSpaceDE/>
        <w:autoSpaceDN/>
        <w:bidi w:val="0"/>
        <w:spacing w:before="240" w:line="400" w:lineRule="exact"/>
        <w:ind w:left="425"/>
        <w:jc w:val="center"/>
        <w:outlineLvl w:val="9"/>
        <w:rPr>
          <w:rFonts w:ascii="仿宋_GB2312" w:hAnsi="Arial" w:eastAsia="仿宋_GB2312"/>
          <w:spacing w:val="6"/>
          <w:sz w:val="32"/>
          <w:szCs w:val="32"/>
          <w:highlight w:val="none"/>
        </w:rPr>
      </w:pPr>
      <w:bookmarkStart w:id="453" w:name="_Toc518289520"/>
      <w:bookmarkStart w:id="454" w:name="_Toc16832"/>
      <w:r>
        <w:rPr>
          <w:rFonts w:hint="eastAsia" w:ascii="宋体" w:hAnsi="宋体"/>
          <w:b/>
          <w:spacing w:val="40"/>
          <w:sz w:val="32"/>
          <w:szCs w:val="32"/>
          <w:highlight w:val="none"/>
        </w:rPr>
        <w:t>残疾人福利性单位声明函</w:t>
      </w:r>
      <w:bookmarkEnd w:id="453"/>
      <w:bookmarkEnd w:id="454"/>
    </w:p>
    <w:p>
      <w:pPr>
        <w:pageBreakBefore w:val="0"/>
        <w:kinsoku/>
        <w:wordWrap/>
        <w:overflowPunct/>
        <w:topLinePunct w:val="0"/>
        <w:autoSpaceDE/>
        <w:autoSpaceDN/>
        <w:bidi w:val="0"/>
        <w:spacing w:line="588" w:lineRule="exact"/>
        <w:ind w:firstLine="444" w:firstLineChars="200"/>
        <w:outlineLvl w:val="9"/>
        <w:rPr>
          <w:rFonts w:ascii="宋体" w:hAnsi="宋体"/>
          <w:spacing w:val="6"/>
          <w:szCs w:val="21"/>
          <w:highlight w:val="none"/>
        </w:rPr>
      </w:pPr>
      <w:r>
        <w:rPr>
          <w:rFonts w:hint="eastAsia" w:ascii="宋体" w:hAnsi="宋体"/>
          <w:spacing w:val="6"/>
          <w:szCs w:val="21"/>
          <w:highlight w:val="none"/>
        </w:rPr>
        <w:t>本单位郑重声明，根据《财政部 民政部 中国残疾人联合会关于促进残疾人就业政府采购政策的通知》（财库</w:t>
      </w:r>
      <w:r>
        <w:rPr>
          <w:rFonts w:hint="eastAsia" w:ascii="宋体" w:hAnsi="宋体"/>
          <w:szCs w:val="21"/>
          <w:highlight w:val="none"/>
        </w:rPr>
        <w:t>〔2017〕 141</w:t>
      </w:r>
      <w:r>
        <w:rPr>
          <w:rFonts w:hint="eastAsia" w:ascii="宋体" w:hAnsi="宋体"/>
          <w:spacing w:val="6"/>
          <w:szCs w:val="21"/>
          <w:highlight w:val="none"/>
        </w:rPr>
        <w:t>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pageBreakBefore w:val="0"/>
        <w:kinsoku/>
        <w:wordWrap/>
        <w:overflowPunct/>
        <w:topLinePunct w:val="0"/>
        <w:autoSpaceDE/>
        <w:autoSpaceDN/>
        <w:bidi w:val="0"/>
        <w:spacing w:line="588" w:lineRule="exact"/>
        <w:ind w:firstLine="444" w:firstLineChars="200"/>
        <w:outlineLvl w:val="9"/>
        <w:rPr>
          <w:rFonts w:ascii="宋体" w:hAnsi="宋体"/>
          <w:spacing w:val="6"/>
          <w:szCs w:val="21"/>
          <w:highlight w:val="none"/>
        </w:rPr>
      </w:pPr>
      <w:r>
        <w:rPr>
          <w:rFonts w:hint="eastAsia" w:ascii="宋体" w:hAnsi="宋体"/>
          <w:spacing w:val="6"/>
          <w:szCs w:val="21"/>
          <w:highlight w:val="none"/>
        </w:rPr>
        <w:t>本单位对上述声明的真实性负责。如有虚假，将依法承担相应责任。</w:t>
      </w:r>
    </w:p>
    <w:p>
      <w:pPr>
        <w:pageBreakBefore w:val="0"/>
        <w:kinsoku/>
        <w:wordWrap/>
        <w:overflowPunct/>
        <w:topLinePunct w:val="0"/>
        <w:autoSpaceDE/>
        <w:autoSpaceDN/>
        <w:bidi w:val="0"/>
        <w:spacing w:line="360" w:lineRule="auto"/>
        <w:ind w:firstLine="482" w:firstLineChars="200"/>
        <w:outlineLvl w:val="9"/>
        <w:rPr>
          <w:b/>
          <w:sz w:val="24"/>
          <w:highlight w:val="none"/>
        </w:rPr>
      </w:pPr>
    </w:p>
    <w:p>
      <w:pPr>
        <w:pageBreakBefore w:val="0"/>
        <w:kinsoku/>
        <w:wordWrap/>
        <w:overflowPunct/>
        <w:topLinePunct w:val="0"/>
        <w:autoSpaceDE/>
        <w:autoSpaceDN/>
        <w:bidi w:val="0"/>
        <w:spacing w:line="588" w:lineRule="exact"/>
        <w:ind w:firstLine="664" w:firstLineChars="200"/>
        <w:outlineLvl w:val="9"/>
        <w:rPr>
          <w:rFonts w:ascii="宋体" w:hAnsi="宋体"/>
          <w:spacing w:val="6"/>
          <w:sz w:val="32"/>
          <w:szCs w:val="32"/>
          <w:highlight w:val="none"/>
        </w:rPr>
      </w:pPr>
    </w:p>
    <w:p>
      <w:pPr>
        <w:pageBreakBefore w:val="0"/>
        <w:kinsoku/>
        <w:wordWrap/>
        <w:overflowPunct/>
        <w:topLinePunct w:val="0"/>
        <w:autoSpaceDE/>
        <w:autoSpaceDN/>
        <w:bidi w:val="0"/>
        <w:spacing w:line="588" w:lineRule="exact"/>
        <w:ind w:firstLine="444" w:firstLineChars="200"/>
        <w:outlineLvl w:val="9"/>
        <w:rPr>
          <w:rFonts w:ascii="宋体" w:hAnsi="宋体"/>
          <w:spacing w:val="6"/>
          <w:szCs w:val="21"/>
          <w:highlight w:val="none"/>
        </w:rPr>
      </w:pPr>
    </w:p>
    <w:p>
      <w:pPr>
        <w:pageBreakBefore w:val="0"/>
        <w:tabs>
          <w:tab w:val="left" w:pos="9214"/>
        </w:tabs>
        <w:kinsoku/>
        <w:wordWrap/>
        <w:overflowPunct/>
        <w:topLinePunct w:val="0"/>
        <w:autoSpaceDE/>
        <w:autoSpaceDN/>
        <w:bidi w:val="0"/>
        <w:spacing w:line="360" w:lineRule="auto"/>
        <w:outlineLvl w:val="9"/>
        <w:rPr>
          <w:rFonts w:ascii="Calibri" w:hAnsi="Calibri"/>
          <w:szCs w:val="21"/>
          <w:highlight w:val="none"/>
          <w:u w:val="single"/>
        </w:rPr>
      </w:pPr>
      <w:r>
        <w:rPr>
          <w:rFonts w:hint="eastAsia" w:ascii="Calibri" w:hAnsi="Calibri" w:cs="宋体"/>
          <w:szCs w:val="21"/>
          <w:highlight w:val="none"/>
          <w:lang w:val="en-US" w:eastAsia="zh-CN"/>
        </w:rPr>
        <w:t>单位名称</w:t>
      </w:r>
      <w:r>
        <w:rPr>
          <w:rFonts w:hint="eastAsia" w:ascii="Calibri" w:hAnsi="Calibri" w:cs="宋体"/>
          <w:szCs w:val="21"/>
          <w:highlight w:val="none"/>
        </w:rPr>
        <w:t>：</w:t>
      </w:r>
      <w:r>
        <w:rPr>
          <w:rFonts w:ascii="Calibri" w:hAnsi="Calibri"/>
          <w:szCs w:val="21"/>
          <w:highlight w:val="none"/>
          <w:u w:val="single"/>
        </w:rPr>
        <w:t xml:space="preserve">                              </w:t>
      </w:r>
      <w:r>
        <w:rPr>
          <w:rFonts w:hint="eastAsia" w:ascii="Calibri" w:hAnsi="Calibri" w:cs="宋体"/>
          <w:szCs w:val="21"/>
          <w:highlight w:val="none"/>
          <w:u w:val="single"/>
        </w:rPr>
        <w:t>（</w:t>
      </w:r>
      <w:r>
        <w:rPr>
          <w:rFonts w:hint="eastAsia" w:ascii="Calibri" w:hAnsi="Calibri" w:cs="宋体"/>
          <w:szCs w:val="21"/>
          <w:highlight w:val="none"/>
          <w:u w:val="single"/>
          <w:lang w:val="en-US" w:eastAsia="zh-CN"/>
        </w:rPr>
        <w:t>加盖单位公章</w:t>
      </w:r>
      <w:r>
        <w:rPr>
          <w:rFonts w:hint="eastAsia" w:ascii="Calibri" w:hAnsi="Calibri" w:cs="宋体"/>
          <w:szCs w:val="21"/>
          <w:highlight w:val="none"/>
          <w:u w:val="single"/>
        </w:rPr>
        <w:t>）</w:t>
      </w:r>
    </w:p>
    <w:p>
      <w:pPr>
        <w:pageBreakBefore w:val="0"/>
        <w:tabs>
          <w:tab w:val="left" w:pos="9214"/>
        </w:tabs>
        <w:kinsoku/>
        <w:wordWrap/>
        <w:overflowPunct/>
        <w:topLinePunct w:val="0"/>
        <w:autoSpaceDE/>
        <w:autoSpaceDN/>
        <w:bidi w:val="0"/>
        <w:spacing w:line="360" w:lineRule="auto"/>
        <w:outlineLvl w:val="9"/>
        <w:rPr>
          <w:rFonts w:ascii="Calibri" w:hAnsi="Calibri"/>
          <w:szCs w:val="21"/>
          <w:highlight w:val="none"/>
          <w:u w:val="single"/>
        </w:rPr>
      </w:pPr>
      <w:r>
        <w:rPr>
          <w:rFonts w:hint="eastAsia" w:ascii="Calibri" w:hAnsi="Calibri" w:cs="宋体"/>
          <w:szCs w:val="21"/>
          <w:highlight w:val="none"/>
        </w:rPr>
        <w:t>日</w:t>
      </w:r>
      <w:r>
        <w:rPr>
          <w:rFonts w:ascii="Calibri" w:hAnsi="Calibri"/>
          <w:szCs w:val="21"/>
          <w:highlight w:val="none"/>
        </w:rPr>
        <w:t xml:space="preserve">    </w:t>
      </w:r>
      <w:r>
        <w:rPr>
          <w:rFonts w:hint="eastAsia" w:ascii="Calibri" w:hAnsi="Calibri" w:cs="宋体"/>
          <w:szCs w:val="21"/>
          <w:highlight w:val="none"/>
        </w:rPr>
        <w:t>期：</w:t>
      </w:r>
      <w:r>
        <w:rPr>
          <w:rFonts w:ascii="Calibri" w:hAnsi="Calibri"/>
          <w:szCs w:val="21"/>
          <w:highlight w:val="none"/>
          <w:u w:val="single"/>
        </w:rPr>
        <w:t xml:space="preserve">        </w:t>
      </w:r>
      <w:r>
        <w:rPr>
          <w:rFonts w:hint="eastAsia" w:ascii="Calibri" w:hAnsi="Calibri" w:cs="宋体"/>
          <w:szCs w:val="21"/>
          <w:highlight w:val="none"/>
          <w:u w:val="single"/>
        </w:rPr>
        <w:t>年</w:t>
      </w:r>
      <w:r>
        <w:rPr>
          <w:rFonts w:ascii="Calibri" w:hAnsi="Calibri"/>
          <w:szCs w:val="21"/>
          <w:highlight w:val="none"/>
          <w:u w:val="single"/>
        </w:rPr>
        <w:t xml:space="preserve">       </w:t>
      </w:r>
      <w:r>
        <w:rPr>
          <w:rFonts w:hint="eastAsia" w:ascii="Calibri" w:hAnsi="Calibri" w:cs="宋体"/>
          <w:szCs w:val="21"/>
          <w:highlight w:val="none"/>
          <w:u w:val="single"/>
        </w:rPr>
        <w:t>月</w:t>
      </w:r>
      <w:r>
        <w:rPr>
          <w:rFonts w:ascii="Calibri" w:hAnsi="Calibri"/>
          <w:szCs w:val="21"/>
          <w:highlight w:val="none"/>
          <w:u w:val="single"/>
        </w:rPr>
        <w:t xml:space="preserve">       </w:t>
      </w:r>
      <w:r>
        <w:rPr>
          <w:rFonts w:hint="eastAsia" w:ascii="Calibri" w:hAnsi="Calibri" w:cs="宋体"/>
          <w:szCs w:val="21"/>
          <w:highlight w:val="none"/>
          <w:u w:val="single"/>
        </w:rPr>
        <w:t>日</w:t>
      </w:r>
    </w:p>
    <w:p>
      <w:pPr>
        <w:pageBreakBefore w:val="0"/>
        <w:tabs>
          <w:tab w:val="left" w:pos="4860"/>
        </w:tabs>
        <w:kinsoku/>
        <w:wordWrap/>
        <w:overflowPunct/>
        <w:topLinePunct w:val="0"/>
        <w:autoSpaceDE/>
        <w:autoSpaceDN/>
        <w:bidi w:val="0"/>
        <w:spacing w:line="588" w:lineRule="exact"/>
        <w:ind w:right="1560" w:firstLine="444" w:firstLineChars="200"/>
        <w:jc w:val="center"/>
        <w:outlineLvl w:val="9"/>
        <w:rPr>
          <w:rFonts w:ascii="宋体" w:hAnsi="宋体"/>
          <w:spacing w:val="6"/>
          <w:szCs w:val="21"/>
          <w:highlight w:val="none"/>
        </w:rPr>
      </w:pPr>
    </w:p>
    <w:p>
      <w:pPr>
        <w:pageBreakBefore w:val="0"/>
        <w:kinsoku/>
        <w:wordWrap/>
        <w:overflowPunct/>
        <w:topLinePunct w:val="0"/>
        <w:autoSpaceDE/>
        <w:autoSpaceDN/>
        <w:bidi w:val="0"/>
        <w:outlineLvl w:val="9"/>
        <w:rPr>
          <w:rFonts w:ascii="Calibri" w:hAnsi="宋体"/>
          <w:b/>
          <w:szCs w:val="21"/>
          <w:highlight w:val="none"/>
        </w:rPr>
      </w:pPr>
    </w:p>
    <w:p>
      <w:pPr>
        <w:pageBreakBefore w:val="0"/>
        <w:kinsoku/>
        <w:wordWrap/>
        <w:overflowPunct/>
        <w:topLinePunct w:val="0"/>
        <w:autoSpaceDE/>
        <w:autoSpaceDN/>
        <w:bidi w:val="0"/>
        <w:outlineLvl w:val="9"/>
        <w:rPr>
          <w:rFonts w:ascii="Calibri" w:hAnsi="宋体"/>
          <w:b/>
          <w:szCs w:val="21"/>
          <w:highlight w:val="none"/>
        </w:rPr>
      </w:pPr>
    </w:p>
    <w:p>
      <w:pPr>
        <w:pageBreakBefore w:val="0"/>
        <w:kinsoku/>
        <w:wordWrap/>
        <w:overflowPunct/>
        <w:topLinePunct w:val="0"/>
        <w:autoSpaceDE/>
        <w:autoSpaceDN/>
        <w:bidi w:val="0"/>
        <w:outlineLvl w:val="9"/>
        <w:rPr>
          <w:rFonts w:ascii="Calibri" w:hAnsi="宋体"/>
          <w:b/>
          <w:szCs w:val="21"/>
          <w:highlight w:val="none"/>
        </w:rPr>
      </w:pPr>
    </w:p>
    <w:p>
      <w:pPr>
        <w:pageBreakBefore w:val="0"/>
        <w:kinsoku/>
        <w:wordWrap/>
        <w:overflowPunct/>
        <w:topLinePunct w:val="0"/>
        <w:autoSpaceDE/>
        <w:autoSpaceDN/>
        <w:bidi w:val="0"/>
        <w:spacing w:line="360" w:lineRule="auto"/>
        <w:outlineLvl w:val="9"/>
        <w:rPr>
          <w:rFonts w:eastAsia="仿宋"/>
          <w:b/>
          <w:szCs w:val="21"/>
          <w:highlight w:val="none"/>
        </w:rPr>
      </w:pPr>
      <w:r>
        <w:rPr>
          <w:rFonts w:eastAsia="仿宋"/>
          <w:b/>
          <w:szCs w:val="21"/>
          <w:highlight w:val="none"/>
        </w:rPr>
        <w:t>说明：</w:t>
      </w:r>
    </w:p>
    <w:p>
      <w:pPr>
        <w:pageBreakBefore w:val="0"/>
        <w:kinsoku/>
        <w:wordWrap/>
        <w:overflowPunct/>
        <w:topLinePunct w:val="0"/>
        <w:autoSpaceDE/>
        <w:autoSpaceDN/>
        <w:bidi w:val="0"/>
        <w:spacing w:line="360" w:lineRule="auto"/>
        <w:ind w:firstLine="420" w:firstLineChars="200"/>
        <w:outlineLvl w:val="9"/>
        <w:rPr>
          <w:rFonts w:ascii="Calibri" w:hAnsi="宋体"/>
          <w:b/>
          <w:sz w:val="28"/>
          <w:szCs w:val="28"/>
          <w:highlight w:val="none"/>
        </w:rPr>
      </w:pPr>
      <w:r>
        <w:rPr>
          <w:rFonts w:hint="eastAsia" w:eastAsia="仿宋"/>
          <w:bCs/>
          <w:szCs w:val="21"/>
          <w:highlight w:val="none"/>
        </w:rPr>
        <w:t>1、</w:t>
      </w:r>
      <w:r>
        <w:rPr>
          <w:rFonts w:eastAsia="仿宋"/>
          <w:bCs/>
          <w:szCs w:val="21"/>
          <w:highlight w:val="none"/>
        </w:rPr>
        <w:t>符合《三部门联合发布关于促进残疾人就业政府采购政策的通知》（财库〔2017〕141号）价格扣减条件的投标人，参加政府采购活动时，须提交《残疾人福利性单位声明函》（原件）。并对声明的真实性负责。</w:t>
      </w:r>
    </w:p>
    <w:p>
      <w:pPr>
        <w:pageBreakBefore w:val="0"/>
        <w:widowControl w:val="0"/>
        <w:kinsoku/>
        <w:wordWrap/>
        <w:overflowPunct/>
        <w:topLinePunct w:val="0"/>
        <w:autoSpaceDE/>
        <w:autoSpaceDN/>
        <w:bidi w:val="0"/>
        <w:adjustRightInd/>
        <w:snapToGrid/>
        <w:spacing w:line="360" w:lineRule="auto"/>
        <w:ind w:firstLine="420" w:firstLineChars="200"/>
        <w:textAlignment w:val="auto"/>
        <w:outlineLvl w:val="9"/>
        <w:rPr>
          <w:rFonts w:ascii="Calibri" w:hAnsi="宋体"/>
          <w:b/>
          <w:sz w:val="28"/>
          <w:szCs w:val="28"/>
          <w:highlight w:val="none"/>
        </w:rPr>
      </w:pPr>
      <w:r>
        <w:rPr>
          <w:rFonts w:eastAsia="仿宋"/>
          <w:bCs/>
          <w:szCs w:val="21"/>
          <w:highlight w:val="none"/>
        </w:rPr>
        <w:t>2、符合条件的残疾人福利性单位在参加政府采购活动时，应当提供本通知规定的《残疾人福利性单位声明函》，并对声明的真实性负责。采购代理机构在随中标、成交结果同时公告其《残疾人福利性单位声明函》，接受社会监督。供应商提供的《残疾人福利性单位声明函》与事实不符的，依照《政府采购法》第七十七条第一款的规定追究法律责任。</w:t>
      </w:r>
      <w:r>
        <w:rPr>
          <w:rFonts w:ascii="Calibri" w:hAnsi="宋体"/>
          <w:b/>
          <w:szCs w:val="21"/>
          <w:highlight w:val="none"/>
        </w:rPr>
        <w:br w:type="page"/>
      </w:r>
      <w:r>
        <w:rPr>
          <w:rFonts w:hint="eastAsia" w:ascii="Calibri" w:hAnsi="宋体"/>
          <w:b/>
          <w:sz w:val="28"/>
          <w:szCs w:val="28"/>
          <w:highlight w:val="none"/>
        </w:rPr>
        <w:t>格式1</w:t>
      </w:r>
      <w:r>
        <w:rPr>
          <w:rFonts w:hint="eastAsia" w:ascii="Calibri" w:hAnsi="宋体"/>
          <w:b/>
          <w:sz w:val="28"/>
          <w:szCs w:val="28"/>
          <w:highlight w:val="none"/>
          <w:lang w:val="en-US" w:eastAsia="zh-CN"/>
        </w:rPr>
        <w:t>6</w:t>
      </w:r>
      <w:r>
        <w:rPr>
          <w:rFonts w:hint="eastAsia" w:ascii="Calibri" w:hAnsi="宋体"/>
          <w:b/>
          <w:sz w:val="28"/>
          <w:szCs w:val="28"/>
          <w:highlight w:val="none"/>
        </w:rPr>
        <w:t>：</w:t>
      </w:r>
    </w:p>
    <w:p>
      <w:pPr>
        <w:bidi w:val="0"/>
        <w:jc w:val="center"/>
        <w:rPr>
          <w:rFonts w:hint="eastAsia"/>
          <w:b/>
          <w:bCs/>
          <w:sz w:val="32"/>
          <w:szCs w:val="32"/>
          <w:highlight w:val="none"/>
        </w:rPr>
      </w:pPr>
      <w:bookmarkStart w:id="455" w:name="_Toc4868"/>
      <w:bookmarkStart w:id="456" w:name="_Toc2698"/>
      <w:r>
        <w:rPr>
          <w:rFonts w:hint="eastAsia"/>
          <w:b/>
          <w:bCs/>
          <w:sz w:val="32"/>
          <w:szCs w:val="32"/>
          <w:highlight w:val="none"/>
        </w:rPr>
        <w:t>《监狱企业证明文件》</w:t>
      </w:r>
      <w:bookmarkEnd w:id="455"/>
      <w:bookmarkEnd w:id="456"/>
    </w:p>
    <w:p>
      <w:pPr>
        <w:keepNext/>
        <w:keepLines/>
        <w:pageBreakBefore w:val="0"/>
        <w:widowControl w:val="0"/>
        <w:kinsoku/>
        <w:wordWrap/>
        <w:overflowPunct/>
        <w:topLinePunct w:val="0"/>
        <w:autoSpaceDE/>
        <w:autoSpaceDN/>
        <w:bidi w:val="0"/>
        <w:adjustRightInd/>
        <w:snapToGrid/>
        <w:spacing w:line="360" w:lineRule="auto"/>
        <w:jc w:val="center"/>
        <w:textAlignment w:val="auto"/>
        <w:outlineLvl w:val="9"/>
        <w:rPr>
          <w:rFonts w:hint="eastAsia" w:ascii="宋体" w:hAnsi="宋体" w:cs="宋体"/>
          <w:sz w:val="24"/>
          <w:highlight w:val="none"/>
        </w:rPr>
      </w:pPr>
      <w:r>
        <w:rPr>
          <w:rFonts w:hint="eastAsia" w:ascii="宋体" w:hAnsi="宋体" w:cs="宋体"/>
          <w:sz w:val="24"/>
          <w:highlight w:val="none"/>
        </w:rPr>
        <w:t>（</w:t>
      </w:r>
      <w:r>
        <w:rPr>
          <w:rFonts w:hint="eastAsia" w:ascii="宋体" w:hAnsi="宋体" w:cs="宋体"/>
          <w:sz w:val="24"/>
          <w:highlight w:val="none"/>
          <w:lang w:val="en-US" w:eastAsia="zh-CN"/>
        </w:rPr>
        <w:t>彩色扫描件</w:t>
      </w:r>
      <w:r>
        <w:rPr>
          <w:rFonts w:hint="eastAsia" w:ascii="宋体" w:hAnsi="宋体" w:cs="宋体"/>
          <w:sz w:val="24"/>
          <w:highlight w:val="none"/>
        </w:rPr>
        <w:t>加盖公章。符合《财政部 司法部关于政府采购支持监狱企业发展有关问题的通知》（财库[2014]68号）价格扣减条件的投标人须提交）</w:t>
      </w:r>
    </w:p>
    <w:p>
      <w:pPr>
        <w:pageBreakBefore w:val="0"/>
        <w:widowControl w:val="0"/>
        <w:kinsoku/>
        <w:wordWrap/>
        <w:overflowPunct/>
        <w:topLinePunct w:val="0"/>
        <w:autoSpaceDE/>
        <w:autoSpaceDN/>
        <w:bidi w:val="0"/>
        <w:adjustRightInd/>
        <w:snapToGrid/>
        <w:textAlignment w:val="auto"/>
        <w:outlineLvl w:val="9"/>
        <w:rPr>
          <w:rFonts w:hint="eastAsia"/>
          <w:highlight w:val="none"/>
        </w:rPr>
      </w:pPr>
    </w:p>
    <w:p>
      <w:pPr>
        <w:pageBreakBefore w:val="0"/>
        <w:widowControl w:val="0"/>
        <w:kinsoku/>
        <w:wordWrap/>
        <w:overflowPunct/>
        <w:topLinePunct w:val="0"/>
        <w:autoSpaceDE/>
        <w:autoSpaceDN/>
        <w:bidi w:val="0"/>
        <w:adjustRightInd/>
        <w:snapToGrid/>
        <w:spacing w:line="360" w:lineRule="auto"/>
        <w:ind w:firstLine="420" w:firstLineChars="200"/>
        <w:jc w:val="left"/>
        <w:textAlignment w:val="auto"/>
        <w:outlineLvl w:val="9"/>
        <w:rPr>
          <w:rFonts w:ascii="宋体" w:hAnsi="宋体"/>
          <w:szCs w:val="21"/>
          <w:highlight w:val="none"/>
        </w:rPr>
      </w:pPr>
      <w:r>
        <w:rPr>
          <w:rFonts w:hint="eastAsia" w:hAnsi="宋体"/>
          <w:szCs w:val="21"/>
          <w:highlight w:val="none"/>
        </w:rPr>
        <w:t>根据《财政部 司法部关于政府采购支持监狱企业发展有关问题的通知》（财库〔2014〕68号）的规定，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pPr>
        <w:pageBreakBefore w:val="0"/>
        <w:widowControl/>
        <w:kinsoku/>
        <w:wordWrap/>
        <w:overflowPunct/>
        <w:topLinePunct w:val="0"/>
        <w:autoSpaceDE/>
        <w:autoSpaceDN/>
        <w:bidi w:val="0"/>
        <w:adjustRightInd/>
        <w:snapToGrid/>
        <w:spacing w:line="360" w:lineRule="auto"/>
        <w:ind w:firstLine="420" w:firstLineChars="200"/>
        <w:jc w:val="left"/>
        <w:textAlignment w:val="auto"/>
        <w:outlineLvl w:val="9"/>
        <w:rPr>
          <w:rFonts w:ascii="宋体" w:hAnsi="宋体"/>
          <w:b/>
          <w:szCs w:val="21"/>
          <w:highlight w:val="none"/>
        </w:rPr>
      </w:pPr>
      <w:r>
        <w:rPr>
          <w:rFonts w:hint="eastAsia" w:hAnsi="宋体"/>
          <w:szCs w:val="21"/>
          <w:highlight w:val="none"/>
        </w:rPr>
        <w:t>监狱企业参加政府采购活动时，应当提供由省级以上监狱管理局、戒毒管理局（含新疆生产建设兵团）出具的属于监狱企业的证明文件。</w:t>
      </w:r>
    </w:p>
    <w:p>
      <w:pPr>
        <w:pageBreakBefore w:val="0"/>
        <w:widowControl/>
        <w:kinsoku/>
        <w:wordWrap/>
        <w:overflowPunct/>
        <w:topLinePunct w:val="0"/>
        <w:autoSpaceDE/>
        <w:autoSpaceDN/>
        <w:bidi w:val="0"/>
        <w:adjustRightInd/>
        <w:snapToGrid/>
        <w:spacing w:line="360" w:lineRule="auto"/>
        <w:jc w:val="left"/>
        <w:textAlignment w:val="auto"/>
        <w:outlineLvl w:val="9"/>
        <w:rPr>
          <w:rFonts w:hAnsi="宋体"/>
          <w:b/>
          <w:sz w:val="28"/>
          <w:szCs w:val="28"/>
          <w:highlight w:val="none"/>
        </w:rPr>
      </w:pPr>
    </w:p>
    <w:p>
      <w:pPr>
        <w:pageBreakBefore w:val="0"/>
        <w:tabs>
          <w:tab w:val="left" w:pos="5580"/>
        </w:tabs>
        <w:kinsoku/>
        <w:wordWrap/>
        <w:overflowPunct/>
        <w:topLinePunct w:val="0"/>
        <w:autoSpaceDE/>
        <w:autoSpaceDN/>
        <w:bidi w:val="0"/>
        <w:adjustRightInd/>
        <w:snapToGrid/>
        <w:spacing w:line="360" w:lineRule="auto"/>
        <w:jc w:val="left"/>
        <w:textAlignment w:val="auto"/>
        <w:outlineLvl w:val="9"/>
        <w:rPr>
          <w:rFonts w:eastAsia="仿宋"/>
          <w:b/>
          <w:sz w:val="24"/>
          <w:highlight w:val="none"/>
        </w:rPr>
      </w:pPr>
      <w:r>
        <w:rPr>
          <w:rFonts w:eastAsia="仿宋"/>
          <w:b/>
          <w:sz w:val="24"/>
          <w:highlight w:val="none"/>
        </w:rPr>
        <w:t>说明：</w:t>
      </w:r>
    </w:p>
    <w:p>
      <w:pPr>
        <w:pageBreakBefore w:val="0"/>
        <w:kinsoku/>
        <w:wordWrap/>
        <w:overflowPunct/>
        <w:topLinePunct w:val="0"/>
        <w:autoSpaceDE/>
        <w:autoSpaceDN/>
        <w:bidi w:val="0"/>
        <w:adjustRightInd/>
        <w:snapToGrid/>
        <w:spacing w:line="360" w:lineRule="auto"/>
        <w:ind w:firstLine="420" w:firstLineChars="200"/>
        <w:textAlignment w:val="auto"/>
        <w:outlineLvl w:val="9"/>
        <w:rPr>
          <w:rFonts w:eastAsia="仿宋"/>
          <w:bCs/>
          <w:szCs w:val="21"/>
          <w:highlight w:val="none"/>
        </w:rPr>
      </w:pPr>
      <w:r>
        <w:rPr>
          <w:rFonts w:eastAsia="仿宋"/>
          <w:bCs/>
          <w:szCs w:val="21"/>
          <w:highlight w:val="none"/>
        </w:rPr>
        <w:t>符合《财政部 司法部关于政府采购支持监狱企业发展有关问题的通知》（财库[2014]68号）价格扣减条件的投标人，参加政府采购活动时，须提交《监狱企业证明文件》。</w:t>
      </w:r>
    </w:p>
    <w:p>
      <w:pPr>
        <w:pageBreakBefore w:val="0"/>
        <w:kinsoku/>
        <w:wordWrap/>
        <w:overflowPunct/>
        <w:topLinePunct w:val="0"/>
        <w:autoSpaceDE/>
        <w:autoSpaceDN/>
        <w:bidi w:val="0"/>
        <w:adjustRightInd/>
        <w:snapToGrid/>
        <w:spacing w:line="360" w:lineRule="auto"/>
        <w:ind w:firstLine="420" w:firstLineChars="200"/>
        <w:textAlignment w:val="auto"/>
        <w:outlineLvl w:val="9"/>
        <w:rPr>
          <w:rFonts w:hint="eastAsia" w:ascii="Calibri" w:hAnsi="宋体"/>
          <w:b/>
          <w:sz w:val="28"/>
          <w:szCs w:val="28"/>
          <w:highlight w:val="none"/>
        </w:rPr>
      </w:pPr>
      <w:r>
        <w:rPr>
          <w:rFonts w:eastAsia="仿宋"/>
          <w:bCs/>
          <w:szCs w:val="21"/>
          <w:highlight w:val="none"/>
        </w:rPr>
        <w:br w:type="page"/>
      </w:r>
      <w:r>
        <w:rPr>
          <w:rFonts w:hint="eastAsia" w:ascii="Calibri" w:hAnsi="宋体"/>
          <w:b/>
          <w:sz w:val="28"/>
          <w:szCs w:val="28"/>
          <w:highlight w:val="none"/>
        </w:rPr>
        <w:t>格式1</w:t>
      </w:r>
      <w:r>
        <w:rPr>
          <w:rFonts w:hint="eastAsia" w:ascii="Calibri" w:hAnsi="宋体"/>
          <w:b/>
          <w:sz w:val="28"/>
          <w:szCs w:val="28"/>
          <w:highlight w:val="none"/>
          <w:lang w:val="en-US" w:eastAsia="zh-CN"/>
        </w:rPr>
        <w:t>7</w:t>
      </w:r>
      <w:r>
        <w:rPr>
          <w:rFonts w:hint="eastAsia" w:ascii="Calibri" w:hAnsi="宋体"/>
          <w:b/>
          <w:sz w:val="28"/>
          <w:szCs w:val="28"/>
          <w:highlight w:val="none"/>
        </w:rPr>
        <w:t>：</w:t>
      </w:r>
    </w:p>
    <w:p>
      <w:pPr>
        <w:pageBreakBefore w:val="0"/>
        <w:kinsoku/>
        <w:wordWrap/>
        <w:overflowPunct/>
        <w:topLinePunct w:val="0"/>
        <w:autoSpaceDE/>
        <w:autoSpaceDN/>
        <w:bidi w:val="0"/>
        <w:spacing w:line="360" w:lineRule="auto"/>
        <w:jc w:val="center"/>
        <w:outlineLvl w:val="9"/>
        <w:rPr>
          <w:rFonts w:hint="default" w:ascii="宋体" w:eastAsia="宋体"/>
          <w:b/>
          <w:bCs/>
          <w:color w:val="000000"/>
          <w:w w:val="100"/>
          <w:sz w:val="28"/>
          <w:szCs w:val="28"/>
          <w:highlight w:val="none"/>
          <w:lang w:val="en-US" w:eastAsia="zh-CN"/>
        </w:rPr>
      </w:pPr>
      <w:bookmarkStart w:id="457" w:name="_Toc518289521"/>
      <w:bookmarkStart w:id="458" w:name="_Toc3092"/>
      <w:r>
        <w:rPr>
          <w:rFonts w:hint="eastAsia" w:ascii="宋体"/>
          <w:b/>
          <w:bCs/>
          <w:color w:val="000000"/>
          <w:w w:val="100"/>
          <w:sz w:val="28"/>
          <w:szCs w:val="28"/>
          <w:highlight w:val="none"/>
        </w:rPr>
        <w:t>投标人</w:t>
      </w:r>
      <w:bookmarkEnd w:id="457"/>
      <w:bookmarkEnd w:id="458"/>
      <w:r>
        <w:rPr>
          <w:rFonts w:hint="eastAsia" w:ascii="宋体"/>
          <w:b/>
          <w:bCs/>
          <w:color w:val="000000"/>
          <w:w w:val="100"/>
          <w:sz w:val="28"/>
          <w:szCs w:val="28"/>
          <w:highlight w:val="none"/>
          <w:lang w:val="en-US" w:eastAsia="zh-CN"/>
        </w:rPr>
        <w:t>基本情况表</w:t>
      </w:r>
    </w:p>
    <w:tbl>
      <w:tblPr>
        <w:tblStyle w:val="34"/>
        <w:tblW w:w="89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2357"/>
        <w:gridCol w:w="1105"/>
        <w:gridCol w:w="2078"/>
        <w:gridCol w:w="1140"/>
        <w:gridCol w:w="22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1" w:hRule="atLeast"/>
        </w:trPr>
        <w:tc>
          <w:tcPr>
            <w:tcW w:w="2357" w:type="dxa"/>
            <w:noWrap w:val="0"/>
            <w:vAlign w:val="center"/>
          </w:tcPr>
          <w:p>
            <w:pPr>
              <w:spacing w:line="360" w:lineRule="auto"/>
              <w:jc w:val="center"/>
              <w:rPr>
                <w:rFonts w:hint="eastAsia" w:ascii="宋体" w:hAnsi="宋体" w:eastAsia="宋体" w:cs="宋体"/>
                <w:w w:val="100"/>
                <w:sz w:val="21"/>
                <w:szCs w:val="21"/>
              </w:rPr>
            </w:pPr>
            <w:r>
              <w:rPr>
                <w:rFonts w:hint="eastAsia" w:ascii="宋体" w:hAnsi="宋体" w:eastAsia="宋体" w:cs="宋体"/>
                <w:w w:val="100"/>
                <w:sz w:val="21"/>
                <w:szCs w:val="21"/>
              </w:rPr>
              <w:t>投标单位名称</w:t>
            </w:r>
          </w:p>
        </w:tc>
        <w:tc>
          <w:tcPr>
            <w:tcW w:w="6583" w:type="dxa"/>
            <w:gridSpan w:val="4"/>
            <w:noWrap w:val="0"/>
            <w:vAlign w:val="center"/>
          </w:tcPr>
          <w:p>
            <w:pPr>
              <w:spacing w:line="360" w:lineRule="auto"/>
              <w:jc w:val="center"/>
              <w:rPr>
                <w:rFonts w:hint="eastAsia" w:ascii="宋体" w:hAnsi="宋体" w:eastAsia="宋体" w:cs="宋体"/>
                <w:w w:val="1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8" w:hRule="atLeast"/>
        </w:trPr>
        <w:tc>
          <w:tcPr>
            <w:tcW w:w="2357" w:type="dxa"/>
            <w:noWrap w:val="0"/>
            <w:vAlign w:val="center"/>
          </w:tcPr>
          <w:p>
            <w:pPr>
              <w:spacing w:line="360" w:lineRule="auto"/>
              <w:jc w:val="center"/>
              <w:rPr>
                <w:rFonts w:hint="eastAsia" w:ascii="宋体" w:hAnsi="宋体" w:eastAsia="宋体" w:cs="宋体"/>
                <w:w w:val="100"/>
                <w:sz w:val="21"/>
                <w:szCs w:val="21"/>
              </w:rPr>
            </w:pPr>
            <w:r>
              <w:rPr>
                <w:rFonts w:hint="eastAsia" w:ascii="宋体" w:hAnsi="宋体" w:eastAsia="宋体" w:cs="宋体"/>
                <w:w w:val="100"/>
                <w:sz w:val="21"/>
                <w:szCs w:val="21"/>
              </w:rPr>
              <w:t>注册资金</w:t>
            </w:r>
          </w:p>
        </w:tc>
        <w:tc>
          <w:tcPr>
            <w:tcW w:w="3183" w:type="dxa"/>
            <w:gridSpan w:val="2"/>
            <w:noWrap w:val="0"/>
            <w:vAlign w:val="center"/>
          </w:tcPr>
          <w:p>
            <w:pPr>
              <w:spacing w:line="360" w:lineRule="auto"/>
              <w:jc w:val="center"/>
              <w:rPr>
                <w:rFonts w:hint="eastAsia" w:ascii="宋体" w:hAnsi="宋体" w:eastAsia="宋体" w:cs="宋体"/>
                <w:w w:val="100"/>
                <w:sz w:val="21"/>
                <w:szCs w:val="21"/>
              </w:rPr>
            </w:pPr>
          </w:p>
        </w:tc>
        <w:tc>
          <w:tcPr>
            <w:tcW w:w="1140" w:type="dxa"/>
            <w:noWrap w:val="0"/>
            <w:vAlign w:val="center"/>
          </w:tcPr>
          <w:p>
            <w:pPr>
              <w:spacing w:line="360" w:lineRule="auto"/>
              <w:jc w:val="center"/>
              <w:rPr>
                <w:rFonts w:hint="eastAsia" w:ascii="宋体" w:hAnsi="宋体" w:eastAsia="宋体" w:cs="宋体"/>
                <w:w w:val="100"/>
                <w:sz w:val="21"/>
                <w:szCs w:val="21"/>
              </w:rPr>
            </w:pPr>
            <w:r>
              <w:rPr>
                <w:rFonts w:hint="eastAsia" w:ascii="宋体" w:hAnsi="宋体" w:eastAsia="宋体" w:cs="宋体"/>
                <w:w w:val="100"/>
                <w:sz w:val="21"/>
                <w:szCs w:val="21"/>
              </w:rPr>
              <w:t>成立时间</w:t>
            </w:r>
          </w:p>
        </w:tc>
        <w:tc>
          <w:tcPr>
            <w:tcW w:w="2260" w:type="dxa"/>
            <w:noWrap w:val="0"/>
            <w:vAlign w:val="center"/>
          </w:tcPr>
          <w:p>
            <w:pPr>
              <w:spacing w:line="360" w:lineRule="auto"/>
              <w:jc w:val="center"/>
              <w:rPr>
                <w:rFonts w:hint="eastAsia" w:ascii="宋体" w:hAnsi="宋体" w:eastAsia="宋体" w:cs="宋体"/>
                <w:w w:val="1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1" w:hRule="atLeast"/>
        </w:trPr>
        <w:tc>
          <w:tcPr>
            <w:tcW w:w="2357" w:type="dxa"/>
            <w:noWrap w:val="0"/>
            <w:vAlign w:val="center"/>
          </w:tcPr>
          <w:p>
            <w:pPr>
              <w:spacing w:line="360" w:lineRule="auto"/>
              <w:jc w:val="center"/>
              <w:rPr>
                <w:rFonts w:hint="eastAsia" w:ascii="宋体" w:hAnsi="宋体" w:eastAsia="宋体" w:cs="宋体"/>
                <w:w w:val="100"/>
                <w:sz w:val="21"/>
                <w:szCs w:val="21"/>
              </w:rPr>
            </w:pPr>
            <w:r>
              <w:rPr>
                <w:rFonts w:hint="eastAsia" w:ascii="宋体" w:hAnsi="宋体" w:eastAsia="宋体" w:cs="宋体"/>
                <w:w w:val="100"/>
                <w:sz w:val="21"/>
                <w:szCs w:val="21"/>
              </w:rPr>
              <w:t>注册地址</w:t>
            </w:r>
          </w:p>
        </w:tc>
        <w:tc>
          <w:tcPr>
            <w:tcW w:w="6583" w:type="dxa"/>
            <w:gridSpan w:val="4"/>
            <w:noWrap w:val="0"/>
            <w:vAlign w:val="center"/>
          </w:tcPr>
          <w:p>
            <w:pPr>
              <w:spacing w:line="360" w:lineRule="auto"/>
              <w:jc w:val="center"/>
              <w:rPr>
                <w:rFonts w:hint="eastAsia" w:ascii="宋体" w:hAnsi="宋体" w:eastAsia="宋体" w:cs="宋体"/>
                <w:w w:val="1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9" w:hRule="atLeast"/>
        </w:trPr>
        <w:tc>
          <w:tcPr>
            <w:tcW w:w="2357" w:type="dxa"/>
            <w:noWrap w:val="0"/>
            <w:vAlign w:val="center"/>
          </w:tcPr>
          <w:p>
            <w:pPr>
              <w:spacing w:line="360" w:lineRule="auto"/>
              <w:jc w:val="center"/>
              <w:rPr>
                <w:rFonts w:hint="eastAsia" w:ascii="宋体" w:hAnsi="宋体" w:eastAsia="宋体" w:cs="宋体"/>
                <w:w w:val="100"/>
                <w:sz w:val="21"/>
                <w:szCs w:val="21"/>
              </w:rPr>
            </w:pPr>
            <w:r>
              <w:rPr>
                <w:rFonts w:hint="eastAsia" w:ascii="宋体" w:hAnsi="宋体" w:eastAsia="宋体" w:cs="宋体"/>
                <w:w w:val="100"/>
                <w:sz w:val="21"/>
                <w:szCs w:val="21"/>
              </w:rPr>
              <w:t>邮政编码</w:t>
            </w:r>
          </w:p>
        </w:tc>
        <w:tc>
          <w:tcPr>
            <w:tcW w:w="3183" w:type="dxa"/>
            <w:gridSpan w:val="2"/>
            <w:noWrap w:val="0"/>
            <w:vAlign w:val="center"/>
          </w:tcPr>
          <w:p>
            <w:pPr>
              <w:spacing w:line="360" w:lineRule="auto"/>
              <w:jc w:val="center"/>
              <w:rPr>
                <w:rFonts w:hint="eastAsia" w:ascii="宋体" w:hAnsi="宋体" w:eastAsia="宋体" w:cs="宋体"/>
                <w:w w:val="100"/>
                <w:sz w:val="21"/>
                <w:szCs w:val="21"/>
              </w:rPr>
            </w:pPr>
          </w:p>
        </w:tc>
        <w:tc>
          <w:tcPr>
            <w:tcW w:w="1140" w:type="dxa"/>
            <w:noWrap w:val="0"/>
            <w:vAlign w:val="center"/>
          </w:tcPr>
          <w:p>
            <w:pPr>
              <w:spacing w:line="360" w:lineRule="auto"/>
              <w:jc w:val="center"/>
              <w:rPr>
                <w:rFonts w:hint="eastAsia" w:ascii="宋体" w:hAnsi="宋体" w:eastAsia="宋体" w:cs="宋体"/>
                <w:w w:val="100"/>
                <w:sz w:val="21"/>
                <w:szCs w:val="21"/>
              </w:rPr>
            </w:pPr>
            <w:r>
              <w:rPr>
                <w:rFonts w:hint="eastAsia" w:ascii="宋体" w:hAnsi="宋体" w:eastAsia="宋体" w:cs="宋体"/>
                <w:w w:val="100"/>
                <w:sz w:val="21"/>
                <w:szCs w:val="21"/>
              </w:rPr>
              <w:t>员工总数</w:t>
            </w:r>
          </w:p>
        </w:tc>
        <w:tc>
          <w:tcPr>
            <w:tcW w:w="2260" w:type="dxa"/>
            <w:noWrap w:val="0"/>
            <w:vAlign w:val="center"/>
          </w:tcPr>
          <w:p>
            <w:pPr>
              <w:spacing w:line="360" w:lineRule="auto"/>
              <w:jc w:val="center"/>
              <w:rPr>
                <w:rFonts w:hint="eastAsia" w:ascii="宋体" w:hAnsi="宋体" w:eastAsia="宋体" w:cs="宋体"/>
                <w:w w:val="1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0" w:hRule="atLeast"/>
        </w:trPr>
        <w:tc>
          <w:tcPr>
            <w:tcW w:w="2357" w:type="dxa"/>
            <w:vMerge w:val="restart"/>
            <w:noWrap w:val="0"/>
            <w:vAlign w:val="center"/>
          </w:tcPr>
          <w:p>
            <w:pPr>
              <w:spacing w:line="360" w:lineRule="auto"/>
              <w:jc w:val="center"/>
              <w:rPr>
                <w:rFonts w:hint="eastAsia" w:ascii="宋体" w:hAnsi="宋体" w:eastAsia="宋体" w:cs="宋体"/>
                <w:w w:val="100"/>
                <w:sz w:val="21"/>
                <w:szCs w:val="21"/>
              </w:rPr>
            </w:pPr>
            <w:r>
              <w:rPr>
                <w:rFonts w:hint="eastAsia" w:ascii="宋体" w:hAnsi="宋体" w:eastAsia="宋体" w:cs="宋体"/>
                <w:w w:val="100"/>
                <w:sz w:val="21"/>
                <w:szCs w:val="21"/>
              </w:rPr>
              <w:t>联系方式</w:t>
            </w:r>
          </w:p>
        </w:tc>
        <w:tc>
          <w:tcPr>
            <w:tcW w:w="1105" w:type="dxa"/>
            <w:noWrap w:val="0"/>
            <w:vAlign w:val="center"/>
          </w:tcPr>
          <w:p>
            <w:pPr>
              <w:spacing w:line="360" w:lineRule="auto"/>
              <w:jc w:val="center"/>
              <w:rPr>
                <w:rFonts w:hint="eastAsia" w:ascii="宋体" w:hAnsi="宋体" w:eastAsia="宋体" w:cs="宋体"/>
                <w:w w:val="100"/>
                <w:sz w:val="21"/>
                <w:szCs w:val="21"/>
              </w:rPr>
            </w:pPr>
            <w:r>
              <w:rPr>
                <w:rFonts w:hint="eastAsia" w:ascii="宋体" w:hAnsi="宋体" w:eastAsia="宋体" w:cs="宋体"/>
                <w:w w:val="100"/>
                <w:sz w:val="21"/>
                <w:szCs w:val="21"/>
              </w:rPr>
              <w:t>联系人</w:t>
            </w:r>
          </w:p>
        </w:tc>
        <w:tc>
          <w:tcPr>
            <w:tcW w:w="2078" w:type="dxa"/>
            <w:noWrap w:val="0"/>
            <w:vAlign w:val="center"/>
          </w:tcPr>
          <w:p>
            <w:pPr>
              <w:spacing w:line="360" w:lineRule="auto"/>
              <w:jc w:val="center"/>
              <w:rPr>
                <w:rFonts w:hint="eastAsia" w:ascii="宋体" w:hAnsi="宋体" w:eastAsia="宋体" w:cs="宋体"/>
                <w:w w:val="100"/>
                <w:sz w:val="21"/>
                <w:szCs w:val="21"/>
              </w:rPr>
            </w:pPr>
          </w:p>
        </w:tc>
        <w:tc>
          <w:tcPr>
            <w:tcW w:w="1140" w:type="dxa"/>
            <w:noWrap w:val="0"/>
            <w:vAlign w:val="center"/>
          </w:tcPr>
          <w:p>
            <w:pPr>
              <w:spacing w:line="360" w:lineRule="auto"/>
              <w:jc w:val="center"/>
              <w:rPr>
                <w:rFonts w:hint="eastAsia" w:ascii="宋体" w:hAnsi="宋体" w:eastAsia="宋体" w:cs="宋体"/>
                <w:w w:val="100"/>
                <w:sz w:val="21"/>
                <w:szCs w:val="21"/>
              </w:rPr>
            </w:pPr>
            <w:r>
              <w:rPr>
                <w:rFonts w:hint="eastAsia" w:ascii="宋体" w:hAnsi="宋体" w:eastAsia="宋体" w:cs="宋体"/>
                <w:w w:val="100"/>
                <w:sz w:val="21"/>
                <w:szCs w:val="21"/>
              </w:rPr>
              <w:t>电话</w:t>
            </w:r>
          </w:p>
        </w:tc>
        <w:tc>
          <w:tcPr>
            <w:tcW w:w="2260" w:type="dxa"/>
            <w:noWrap w:val="0"/>
            <w:vAlign w:val="center"/>
          </w:tcPr>
          <w:p>
            <w:pPr>
              <w:spacing w:line="360" w:lineRule="auto"/>
              <w:jc w:val="center"/>
              <w:rPr>
                <w:rFonts w:hint="eastAsia" w:ascii="宋体" w:hAnsi="宋体" w:eastAsia="宋体" w:cs="宋体"/>
                <w:w w:val="1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9" w:hRule="atLeast"/>
        </w:trPr>
        <w:tc>
          <w:tcPr>
            <w:tcW w:w="2357" w:type="dxa"/>
            <w:vMerge w:val="continue"/>
            <w:noWrap w:val="0"/>
            <w:vAlign w:val="center"/>
          </w:tcPr>
          <w:p>
            <w:pPr>
              <w:spacing w:line="360" w:lineRule="auto"/>
              <w:jc w:val="center"/>
              <w:rPr>
                <w:rFonts w:hint="eastAsia" w:ascii="宋体" w:hAnsi="宋体" w:eastAsia="宋体" w:cs="宋体"/>
                <w:w w:val="100"/>
                <w:sz w:val="21"/>
                <w:szCs w:val="21"/>
              </w:rPr>
            </w:pPr>
          </w:p>
        </w:tc>
        <w:tc>
          <w:tcPr>
            <w:tcW w:w="1105" w:type="dxa"/>
            <w:noWrap w:val="0"/>
            <w:vAlign w:val="center"/>
          </w:tcPr>
          <w:p>
            <w:pPr>
              <w:spacing w:line="360" w:lineRule="auto"/>
              <w:jc w:val="center"/>
              <w:rPr>
                <w:rFonts w:hint="eastAsia" w:ascii="宋体" w:hAnsi="宋体" w:eastAsia="宋体" w:cs="宋体"/>
                <w:w w:val="100"/>
                <w:sz w:val="21"/>
                <w:szCs w:val="21"/>
              </w:rPr>
            </w:pPr>
            <w:r>
              <w:rPr>
                <w:rFonts w:hint="eastAsia" w:ascii="宋体" w:hAnsi="宋体" w:eastAsia="宋体" w:cs="宋体"/>
                <w:w w:val="100"/>
                <w:sz w:val="21"/>
                <w:szCs w:val="21"/>
              </w:rPr>
              <w:t>网址</w:t>
            </w:r>
          </w:p>
        </w:tc>
        <w:tc>
          <w:tcPr>
            <w:tcW w:w="2078" w:type="dxa"/>
            <w:noWrap w:val="0"/>
            <w:vAlign w:val="center"/>
          </w:tcPr>
          <w:p>
            <w:pPr>
              <w:spacing w:line="360" w:lineRule="auto"/>
              <w:jc w:val="center"/>
              <w:rPr>
                <w:rFonts w:hint="eastAsia" w:ascii="宋体" w:hAnsi="宋体" w:eastAsia="宋体" w:cs="宋体"/>
                <w:w w:val="100"/>
                <w:sz w:val="21"/>
                <w:szCs w:val="21"/>
              </w:rPr>
            </w:pPr>
          </w:p>
        </w:tc>
        <w:tc>
          <w:tcPr>
            <w:tcW w:w="1140" w:type="dxa"/>
            <w:noWrap w:val="0"/>
            <w:vAlign w:val="center"/>
          </w:tcPr>
          <w:p>
            <w:pPr>
              <w:spacing w:line="360" w:lineRule="auto"/>
              <w:jc w:val="center"/>
              <w:rPr>
                <w:rFonts w:hint="eastAsia" w:ascii="宋体" w:hAnsi="宋体" w:eastAsia="宋体" w:cs="宋体"/>
                <w:w w:val="100"/>
                <w:sz w:val="21"/>
                <w:szCs w:val="21"/>
              </w:rPr>
            </w:pPr>
            <w:r>
              <w:rPr>
                <w:rFonts w:hint="eastAsia" w:ascii="宋体" w:hAnsi="宋体" w:eastAsia="宋体" w:cs="宋体"/>
                <w:w w:val="100"/>
                <w:sz w:val="21"/>
                <w:szCs w:val="21"/>
              </w:rPr>
              <w:t>传真</w:t>
            </w:r>
          </w:p>
        </w:tc>
        <w:tc>
          <w:tcPr>
            <w:tcW w:w="2260" w:type="dxa"/>
            <w:noWrap w:val="0"/>
            <w:vAlign w:val="center"/>
          </w:tcPr>
          <w:p>
            <w:pPr>
              <w:spacing w:line="360" w:lineRule="auto"/>
              <w:jc w:val="center"/>
              <w:rPr>
                <w:rFonts w:hint="eastAsia" w:ascii="宋体" w:hAnsi="宋体" w:eastAsia="宋体" w:cs="宋体"/>
                <w:w w:val="1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0" w:hRule="atLeast"/>
        </w:trPr>
        <w:tc>
          <w:tcPr>
            <w:tcW w:w="2357" w:type="dxa"/>
            <w:noWrap w:val="0"/>
            <w:vAlign w:val="center"/>
          </w:tcPr>
          <w:p>
            <w:pPr>
              <w:spacing w:line="360" w:lineRule="auto"/>
              <w:jc w:val="center"/>
              <w:rPr>
                <w:rFonts w:hint="eastAsia" w:ascii="宋体" w:hAnsi="宋体" w:eastAsia="宋体" w:cs="宋体"/>
                <w:w w:val="100"/>
                <w:sz w:val="21"/>
                <w:szCs w:val="21"/>
              </w:rPr>
            </w:pPr>
            <w:r>
              <w:rPr>
                <w:rFonts w:hint="eastAsia" w:ascii="宋体" w:hAnsi="宋体" w:eastAsia="宋体" w:cs="宋体"/>
                <w:w w:val="100"/>
                <w:sz w:val="21"/>
                <w:szCs w:val="21"/>
              </w:rPr>
              <w:t>法定代表人</w:t>
            </w:r>
          </w:p>
          <w:p>
            <w:pPr>
              <w:spacing w:line="360" w:lineRule="auto"/>
              <w:jc w:val="center"/>
              <w:rPr>
                <w:rFonts w:hint="eastAsia" w:ascii="宋体" w:hAnsi="宋体" w:eastAsia="宋体" w:cs="宋体"/>
                <w:w w:val="100"/>
                <w:sz w:val="21"/>
                <w:szCs w:val="21"/>
              </w:rPr>
            </w:pPr>
            <w:r>
              <w:rPr>
                <w:rFonts w:hint="eastAsia" w:ascii="宋体" w:hAnsi="宋体" w:eastAsia="宋体" w:cs="宋体"/>
                <w:w w:val="100"/>
                <w:sz w:val="21"/>
                <w:szCs w:val="21"/>
              </w:rPr>
              <w:t>（单位负责人）</w:t>
            </w:r>
          </w:p>
        </w:tc>
        <w:tc>
          <w:tcPr>
            <w:tcW w:w="1105" w:type="dxa"/>
            <w:noWrap w:val="0"/>
            <w:vAlign w:val="center"/>
          </w:tcPr>
          <w:p>
            <w:pPr>
              <w:spacing w:line="360" w:lineRule="auto"/>
              <w:jc w:val="center"/>
              <w:rPr>
                <w:rFonts w:hint="eastAsia" w:ascii="宋体" w:hAnsi="宋体" w:eastAsia="宋体" w:cs="宋体"/>
                <w:w w:val="100"/>
                <w:sz w:val="21"/>
                <w:szCs w:val="21"/>
              </w:rPr>
            </w:pPr>
            <w:r>
              <w:rPr>
                <w:rFonts w:hint="eastAsia" w:ascii="宋体" w:hAnsi="宋体" w:eastAsia="宋体" w:cs="宋体"/>
                <w:w w:val="100"/>
                <w:sz w:val="21"/>
                <w:szCs w:val="21"/>
              </w:rPr>
              <w:t>姓名</w:t>
            </w:r>
          </w:p>
        </w:tc>
        <w:tc>
          <w:tcPr>
            <w:tcW w:w="2078" w:type="dxa"/>
            <w:noWrap w:val="0"/>
            <w:vAlign w:val="center"/>
          </w:tcPr>
          <w:p>
            <w:pPr>
              <w:spacing w:line="360" w:lineRule="auto"/>
              <w:jc w:val="center"/>
              <w:rPr>
                <w:rFonts w:hint="eastAsia" w:ascii="宋体" w:hAnsi="宋体" w:eastAsia="宋体" w:cs="宋体"/>
                <w:w w:val="100"/>
                <w:sz w:val="21"/>
                <w:szCs w:val="21"/>
              </w:rPr>
            </w:pPr>
          </w:p>
        </w:tc>
        <w:tc>
          <w:tcPr>
            <w:tcW w:w="1140" w:type="dxa"/>
            <w:noWrap w:val="0"/>
            <w:vAlign w:val="center"/>
          </w:tcPr>
          <w:p>
            <w:pPr>
              <w:spacing w:line="360" w:lineRule="auto"/>
              <w:jc w:val="center"/>
              <w:rPr>
                <w:rFonts w:hint="eastAsia" w:ascii="宋体" w:hAnsi="宋体" w:eastAsia="宋体" w:cs="宋体"/>
                <w:w w:val="100"/>
                <w:sz w:val="21"/>
                <w:szCs w:val="21"/>
              </w:rPr>
            </w:pPr>
            <w:r>
              <w:rPr>
                <w:rFonts w:hint="eastAsia" w:ascii="宋体" w:hAnsi="宋体" w:eastAsia="宋体" w:cs="宋体"/>
                <w:w w:val="100"/>
                <w:sz w:val="21"/>
                <w:szCs w:val="21"/>
              </w:rPr>
              <w:t>电话</w:t>
            </w:r>
          </w:p>
        </w:tc>
        <w:tc>
          <w:tcPr>
            <w:tcW w:w="2260" w:type="dxa"/>
            <w:noWrap w:val="0"/>
            <w:vAlign w:val="center"/>
          </w:tcPr>
          <w:p>
            <w:pPr>
              <w:spacing w:line="360" w:lineRule="auto"/>
              <w:jc w:val="center"/>
              <w:rPr>
                <w:rFonts w:hint="eastAsia" w:ascii="宋体" w:hAnsi="宋体" w:eastAsia="宋体" w:cs="宋体"/>
                <w:w w:val="1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80" w:hRule="atLeast"/>
        </w:trPr>
        <w:tc>
          <w:tcPr>
            <w:tcW w:w="2357" w:type="dxa"/>
            <w:noWrap w:val="0"/>
            <w:vAlign w:val="center"/>
          </w:tcPr>
          <w:p>
            <w:pPr>
              <w:spacing w:line="360" w:lineRule="auto"/>
              <w:jc w:val="center"/>
              <w:rPr>
                <w:rFonts w:hint="eastAsia" w:ascii="宋体" w:hAnsi="宋体" w:eastAsia="宋体" w:cs="宋体"/>
                <w:w w:val="100"/>
                <w:sz w:val="21"/>
                <w:szCs w:val="21"/>
              </w:rPr>
            </w:pPr>
            <w:r>
              <w:rPr>
                <w:rFonts w:hint="eastAsia" w:ascii="宋体" w:hAnsi="宋体" w:eastAsia="宋体" w:cs="宋体"/>
                <w:w w:val="100"/>
                <w:sz w:val="21"/>
                <w:szCs w:val="21"/>
              </w:rPr>
              <w:t>投标单位须知要求投标人需具有的各类资质证书</w:t>
            </w:r>
          </w:p>
        </w:tc>
        <w:tc>
          <w:tcPr>
            <w:tcW w:w="6583" w:type="dxa"/>
            <w:gridSpan w:val="4"/>
            <w:noWrap w:val="0"/>
            <w:vAlign w:val="center"/>
          </w:tcPr>
          <w:p>
            <w:pPr>
              <w:spacing w:line="360" w:lineRule="auto"/>
              <w:jc w:val="center"/>
              <w:rPr>
                <w:rFonts w:hint="eastAsia" w:ascii="宋体" w:hAnsi="宋体" w:eastAsia="宋体" w:cs="宋体"/>
                <w:w w:val="100"/>
                <w:sz w:val="21"/>
                <w:szCs w:val="21"/>
              </w:rPr>
            </w:pPr>
            <w:r>
              <w:rPr>
                <w:rFonts w:hint="eastAsia" w:ascii="宋体" w:hAnsi="宋体" w:eastAsia="宋体" w:cs="宋体"/>
                <w:w w:val="100"/>
                <w:sz w:val="21"/>
                <w:szCs w:val="21"/>
              </w:rPr>
              <w:t>类型：         等级：           证书号：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1" w:hRule="atLeast"/>
        </w:trPr>
        <w:tc>
          <w:tcPr>
            <w:tcW w:w="2357" w:type="dxa"/>
            <w:noWrap w:val="0"/>
            <w:vAlign w:val="center"/>
          </w:tcPr>
          <w:p>
            <w:pPr>
              <w:spacing w:line="360" w:lineRule="auto"/>
              <w:jc w:val="center"/>
              <w:rPr>
                <w:rFonts w:hint="eastAsia" w:ascii="宋体" w:hAnsi="宋体" w:eastAsia="宋体" w:cs="宋体"/>
                <w:w w:val="100"/>
                <w:sz w:val="21"/>
                <w:szCs w:val="21"/>
              </w:rPr>
            </w:pPr>
            <w:r>
              <w:rPr>
                <w:rFonts w:hint="eastAsia" w:ascii="宋体" w:hAnsi="宋体" w:eastAsia="宋体" w:cs="宋体"/>
                <w:w w:val="100"/>
                <w:sz w:val="21"/>
                <w:szCs w:val="21"/>
              </w:rPr>
              <w:t>基本账户开户银行</w:t>
            </w:r>
          </w:p>
        </w:tc>
        <w:tc>
          <w:tcPr>
            <w:tcW w:w="6583" w:type="dxa"/>
            <w:gridSpan w:val="4"/>
            <w:noWrap w:val="0"/>
            <w:vAlign w:val="center"/>
          </w:tcPr>
          <w:p>
            <w:pPr>
              <w:spacing w:line="360" w:lineRule="auto"/>
              <w:jc w:val="center"/>
              <w:rPr>
                <w:rFonts w:hint="eastAsia" w:ascii="宋体" w:hAnsi="宋体" w:eastAsia="宋体" w:cs="宋体"/>
                <w:w w:val="1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8" w:hRule="atLeast"/>
        </w:trPr>
        <w:tc>
          <w:tcPr>
            <w:tcW w:w="2357" w:type="dxa"/>
            <w:noWrap w:val="0"/>
            <w:vAlign w:val="center"/>
          </w:tcPr>
          <w:p>
            <w:pPr>
              <w:spacing w:line="360" w:lineRule="auto"/>
              <w:jc w:val="center"/>
              <w:rPr>
                <w:rFonts w:hint="eastAsia" w:ascii="宋体" w:hAnsi="宋体" w:eastAsia="宋体" w:cs="宋体"/>
                <w:w w:val="100"/>
                <w:sz w:val="21"/>
                <w:szCs w:val="21"/>
              </w:rPr>
            </w:pPr>
            <w:r>
              <w:rPr>
                <w:rFonts w:hint="eastAsia" w:ascii="宋体" w:hAnsi="宋体" w:eastAsia="宋体" w:cs="宋体"/>
                <w:w w:val="100"/>
                <w:sz w:val="21"/>
                <w:szCs w:val="21"/>
              </w:rPr>
              <w:t>基本账户银行账号</w:t>
            </w:r>
          </w:p>
        </w:tc>
        <w:tc>
          <w:tcPr>
            <w:tcW w:w="6583" w:type="dxa"/>
            <w:gridSpan w:val="4"/>
            <w:noWrap w:val="0"/>
            <w:vAlign w:val="center"/>
          </w:tcPr>
          <w:p>
            <w:pPr>
              <w:spacing w:line="360" w:lineRule="auto"/>
              <w:jc w:val="center"/>
              <w:rPr>
                <w:rFonts w:hint="eastAsia" w:ascii="宋体" w:hAnsi="宋体" w:eastAsia="宋体" w:cs="宋体"/>
                <w:w w:val="1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1" w:hRule="atLeast"/>
        </w:trPr>
        <w:tc>
          <w:tcPr>
            <w:tcW w:w="2357" w:type="dxa"/>
            <w:noWrap w:val="0"/>
            <w:vAlign w:val="center"/>
          </w:tcPr>
          <w:p>
            <w:pPr>
              <w:spacing w:line="360" w:lineRule="auto"/>
              <w:jc w:val="center"/>
              <w:rPr>
                <w:rFonts w:hint="eastAsia" w:ascii="宋体" w:hAnsi="宋体" w:eastAsia="宋体" w:cs="宋体"/>
                <w:w w:val="100"/>
                <w:sz w:val="21"/>
                <w:szCs w:val="21"/>
              </w:rPr>
            </w:pPr>
            <w:r>
              <w:rPr>
                <w:rFonts w:hint="eastAsia" w:ascii="宋体" w:hAnsi="宋体" w:eastAsia="宋体" w:cs="宋体"/>
                <w:w w:val="100"/>
                <w:sz w:val="21"/>
                <w:szCs w:val="21"/>
              </w:rPr>
              <w:t>近三年营业额</w:t>
            </w:r>
          </w:p>
        </w:tc>
        <w:tc>
          <w:tcPr>
            <w:tcW w:w="6583" w:type="dxa"/>
            <w:gridSpan w:val="4"/>
            <w:noWrap w:val="0"/>
            <w:vAlign w:val="center"/>
          </w:tcPr>
          <w:p>
            <w:pPr>
              <w:spacing w:line="360" w:lineRule="auto"/>
              <w:jc w:val="center"/>
              <w:rPr>
                <w:rFonts w:hint="eastAsia" w:ascii="宋体" w:hAnsi="宋体" w:eastAsia="宋体" w:cs="宋体"/>
                <w:w w:val="1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358" w:hRule="atLeast"/>
        </w:trPr>
        <w:tc>
          <w:tcPr>
            <w:tcW w:w="2357" w:type="dxa"/>
            <w:noWrap w:val="0"/>
            <w:vAlign w:val="center"/>
          </w:tcPr>
          <w:p>
            <w:pPr>
              <w:spacing w:line="360" w:lineRule="auto"/>
              <w:jc w:val="center"/>
              <w:rPr>
                <w:rFonts w:hint="eastAsia" w:ascii="宋体" w:hAnsi="宋体" w:eastAsia="宋体" w:cs="宋体"/>
                <w:w w:val="100"/>
                <w:sz w:val="21"/>
                <w:szCs w:val="21"/>
              </w:rPr>
            </w:pPr>
            <w:r>
              <w:rPr>
                <w:rFonts w:hint="eastAsia" w:ascii="宋体" w:hAnsi="宋体" w:eastAsia="宋体" w:cs="宋体"/>
                <w:w w:val="100"/>
                <w:sz w:val="21"/>
                <w:szCs w:val="21"/>
              </w:rPr>
              <w:t>投标单位关联企业情况</w:t>
            </w:r>
          </w:p>
        </w:tc>
        <w:tc>
          <w:tcPr>
            <w:tcW w:w="6583" w:type="dxa"/>
            <w:gridSpan w:val="4"/>
            <w:noWrap w:val="0"/>
            <w:vAlign w:val="center"/>
          </w:tcPr>
          <w:p>
            <w:pPr>
              <w:spacing w:line="360" w:lineRule="auto"/>
              <w:jc w:val="center"/>
              <w:rPr>
                <w:rFonts w:hint="eastAsia" w:ascii="宋体" w:hAnsi="宋体" w:eastAsia="宋体" w:cs="宋体"/>
                <w:w w:val="100"/>
                <w:sz w:val="21"/>
                <w:szCs w:val="21"/>
              </w:rPr>
            </w:pPr>
            <w:r>
              <w:rPr>
                <w:rFonts w:hint="eastAsia" w:ascii="宋体" w:hAnsi="宋体" w:eastAsia="宋体" w:cs="宋体"/>
                <w:w w:val="100"/>
                <w:sz w:val="21"/>
                <w:szCs w:val="21"/>
              </w:rPr>
              <w:t>（包括但不限于与投标人法定代表人（单位负责人）为同一人或者存在控股、管理关系的不同单位）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23" w:hRule="atLeast"/>
        </w:trPr>
        <w:tc>
          <w:tcPr>
            <w:tcW w:w="2357" w:type="dxa"/>
            <w:noWrap w:val="0"/>
            <w:vAlign w:val="center"/>
          </w:tcPr>
          <w:p>
            <w:pPr>
              <w:spacing w:line="360" w:lineRule="auto"/>
              <w:jc w:val="center"/>
              <w:rPr>
                <w:rFonts w:hint="eastAsia" w:ascii="宋体" w:hAnsi="宋体" w:eastAsia="宋体" w:cs="宋体"/>
                <w:w w:val="100"/>
                <w:sz w:val="21"/>
                <w:szCs w:val="21"/>
              </w:rPr>
            </w:pPr>
            <w:r>
              <w:rPr>
                <w:rFonts w:hint="eastAsia" w:ascii="宋体" w:hAnsi="宋体" w:eastAsia="宋体" w:cs="宋体"/>
                <w:w w:val="100"/>
                <w:sz w:val="21"/>
                <w:szCs w:val="21"/>
              </w:rPr>
              <w:t>单位规模</w:t>
            </w:r>
          </w:p>
        </w:tc>
        <w:tc>
          <w:tcPr>
            <w:tcW w:w="6583" w:type="dxa"/>
            <w:gridSpan w:val="4"/>
            <w:noWrap w:val="0"/>
            <w:vAlign w:val="center"/>
          </w:tcPr>
          <w:p>
            <w:pPr>
              <w:spacing w:line="360" w:lineRule="auto"/>
              <w:jc w:val="center"/>
              <w:rPr>
                <w:rFonts w:hint="eastAsia" w:ascii="宋体" w:hAnsi="宋体" w:eastAsia="宋体" w:cs="宋体"/>
                <w:w w:val="100"/>
                <w:sz w:val="21"/>
                <w:szCs w:val="21"/>
              </w:rPr>
            </w:pPr>
            <w:r>
              <w:rPr>
                <w:rFonts w:hint="eastAsia" w:ascii="宋体" w:hAnsi="宋体" w:eastAsia="宋体" w:cs="宋体"/>
                <w:w w:val="100"/>
                <w:sz w:val="21"/>
                <w:szCs w:val="21"/>
              </w:rPr>
              <w:sym w:font="Wingdings" w:char="00A8"/>
            </w:r>
            <w:r>
              <w:rPr>
                <w:rFonts w:hint="eastAsia" w:ascii="宋体" w:hAnsi="宋体" w:eastAsia="宋体" w:cs="宋体"/>
                <w:w w:val="100"/>
                <w:sz w:val="21"/>
                <w:szCs w:val="21"/>
              </w:rPr>
              <w:t xml:space="preserve">小微型企业    </w:t>
            </w:r>
            <w:r>
              <w:rPr>
                <w:rFonts w:hint="eastAsia" w:ascii="宋体" w:hAnsi="宋体" w:eastAsia="宋体" w:cs="宋体"/>
                <w:w w:val="100"/>
                <w:sz w:val="21"/>
                <w:szCs w:val="21"/>
              </w:rPr>
              <w:sym w:font="Wingdings" w:char="00A8"/>
            </w:r>
            <w:r>
              <w:rPr>
                <w:rFonts w:hint="eastAsia" w:ascii="宋体" w:hAnsi="宋体" w:eastAsia="宋体" w:cs="宋体"/>
                <w:w w:val="100"/>
                <w:sz w:val="21"/>
                <w:szCs w:val="21"/>
              </w:rPr>
              <w:t xml:space="preserve">中型企业   </w:t>
            </w:r>
            <w:r>
              <w:rPr>
                <w:rFonts w:hint="eastAsia" w:ascii="宋体" w:hAnsi="宋体" w:eastAsia="宋体" w:cs="宋体"/>
                <w:w w:val="100"/>
                <w:sz w:val="21"/>
                <w:szCs w:val="21"/>
              </w:rPr>
              <w:sym w:font="Wingdings" w:char="00A8"/>
            </w:r>
            <w:r>
              <w:rPr>
                <w:rFonts w:hint="eastAsia" w:ascii="宋体" w:hAnsi="宋体" w:eastAsia="宋体" w:cs="宋体"/>
                <w:w w:val="100"/>
                <w:sz w:val="21"/>
                <w:szCs w:val="21"/>
              </w:rPr>
              <w:t>大型企业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23" w:hRule="atLeast"/>
        </w:trPr>
        <w:tc>
          <w:tcPr>
            <w:tcW w:w="2357" w:type="dxa"/>
            <w:noWrap w:val="0"/>
            <w:vAlign w:val="center"/>
          </w:tcPr>
          <w:p>
            <w:pPr>
              <w:spacing w:line="360" w:lineRule="auto"/>
              <w:jc w:val="center"/>
              <w:rPr>
                <w:rFonts w:hint="eastAsia" w:ascii="宋体" w:hAnsi="宋体" w:eastAsia="宋体" w:cs="宋体"/>
                <w:w w:val="100"/>
                <w:sz w:val="21"/>
                <w:szCs w:val="21"/>
              </w:rPr>
            </w:pPr>
            <w:r>
              <w:rPr>
                <w:rFonts w:hint="eastAsia" w:ascii="宋体" w:hAnsi="宋体" w:eastAsia="宋体" w:cs="宋体"/>
                <w:w w:val="100"/>
                <w:sz w:val="21"/>
                <w:szCs w:val="21"/>
              </w:rPr>
              <w:t>所在区域</w:t>
            </w:r>
          </w:p>
        </w:tc>
        <w:tc>
          <w:tcPr>
            <w:tcW w:w="6583" w:type="dxa"/>
            <w:gridSpan w:val="4"/>
            <w:noWrap w:val="0"/>
            <w:vAlign w:val="center"/>
          </w:tcPr>
          <w:p>
            <w:pPr>
              <w:spacing w:line="360" w:lineRule="auto"/>
              <w:jc w:val="center"/>
              <w:rPr>
                <w:rFonts w:hint="eastAsia" w:ascii="宋体" w:hAnsi="宋体" w:eastAsia="宋体" w:cs="宋体"/>
                <w:w w:val="100"/>
                <w:sz w:val="21"/>
                <w:szCs w:val="21"/>
              </w:rPr>
            </w:pPr>
            <w:r>
              <w:rPr>
                <w:rFonts w:hint="eastAsia" w:ascii="宋体" w:hAnsi="宋体" w:eastAsia="宋体" w:cs="宋体"/>
                <w:w w:val="100"/>
                <w:sz w:val="21"/>
                <w:szCs w:val="21"/>
              </w:rPr>
              <w:t>省     市      县（区）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73" w:hRule="atLeast"/>
        </w:trPr>
        <w:tc>
          <w:tcPr>
            <w:tcW w:w="2357" w:type="dxa"/>
            <w:noWrap w:val="0"/>
            <w:vAlign w:val="center"/>
          </w:tcPr>
          <w:p>
            <w:pPr>
              <w:spacing w:line="360" w:lineRule="auto"/>
              <w:jc w:val="center"/>
              <w:rPr>
                <w:rFonts w:hint="eastAsia" w:ascii="宋体" w:hAnsi="宋体" w:eastAsia="宋体" w:cs="宋体"/>
                <w:w w:val="100"/>
                <w:sz w:val="21"/>
                <w:szCs w:val="21"/>
              </w:rPr>
            </w:pPr>
            <w:r>
              <w:rPr>
                <w:rFonts w:hint="eastAsia" w:ascii="宋体" w:hAnsi="宋体" w:eastAsia="宋体" w:cs="宋体"/>
                <w:w w:val="100"/>
                <w:sz w:val="21"/>
                <w:szCs w:val="21"/>
              </w:rPr>
              <w:t>特殊性质</w:t>
            </w:r>
          </w:p>
        </w:tc>
        <w:tc>
          <w:tcPr>
            <w:tcW w:w="6583" w:type="dxa"/>
            <w:gridSpan w:val="4"/>
            <w:noWrap w:val="0"/>
            <w:vAlign w:val="center"/>
          </w:tcPr>
          <w:p>
            <w:pPr>
              <w:spacing w:line="360" w:lineRule="auto"/>
              <w:jc w:val="center"/>
              <w:rPr>
                <w:rFonts w:hint="eastAsia" w:ascii="宋体" w:hAnsi="宋体" w:eastAsia="宋体" w:cs="宋体"/>
                <w:w w:val="100"/>
                <w:sz w:val="21"/>
                <w:szCs w:val="21"/>
              </w:rPr>
            </w:pPr>
            <w:r>
              <w:rPr>
                <w:rFonts w:hint="eastAsia" w:ascii="宋体" w:hAnsi="宋体" w:eastAsia="宋体" w:cs="宋体"/>
                <w:w w:val="100"/>
                <w:sz w:val="21"/>
                <w:szCs w:val="21"/>
              </w:rPr>
              <w:sym w:font="Wingdings" w:char="00A8"/>
            </w:r>
            <w:r>
              <w:rPr>
                <w:rFonts w:hint="eastAsia" w:ascii="宋体" w:hAnsi="宋体" w:eastAsia="宋体" w:cs="宋体"/>
                <w:w w:val="100"/>
                <w:sz w:val="21"/>
                <w:szCs w:val="21"/>
              </w:rPr>
              <w:t xml:space="preserve">其他   </w:t>
            </w:r>
            <w:r>
              <w:rPr>
                <w:rFonts w:hint="eastAsia" w:ascii="宋体" w:hAnsi="宋体" w:eastAsia="宋体" w:cs="宋体"/>
                <w:w w:val="100"/>
                <w:sz w:val="21"/>
                <w:szCs w:val="21"/>
              </w:rPr>
              <w:sym w:font="Wingdings" w:char="00A8"/>
            </w:r>
            <w:r>
              <w:rPr>
                <w:rFonts w:hint="eastAsia" w:ascii="宋体" w:hAnsi="宋体" w:eastAsia="宋体" w:cs="宋体"/>
                <w:w w:val="100"/>
                <w:sz w:val="21"/>
                <w:szCs w:val="21"/>
              </w:rPr>
              <w:t xml:space="preserve">监狱企业      </w:t>
            </w:r>
            <w:r>
              <w:rPr>
                <w:rFonts w:hint="eastAsia" w:ascii="宋体" w:hAnsi="宋体" w:eastAsia="宋体" w:cs="宋体"/>
                <w:w w:val="100"/>
                <w:sz w:val="21"/>
                <w:szCs w:val="21"/>
              </w:rPr>
              <w:sym w:font="Wingdings" w:char="00A8"/>
            </w:r>
            <w:r>
              <w:rPr>
                <w:rFonts w:hint="eastAsia" w:ascii="宋体" w:hAnsi="宋体" w:eastAsia="宋体" w:cs="宋体"/>
                <w:w w:val="100"/>
                <w:sz w:val="21"/>
                <w:szCs w:val="21"/>
              </w:rPr>
              <w:t>残疾人福利性单位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3" w:hRule="atLeast"/>
        </w:trPr>
        <w:tc>
          <w:tcPr>
            <w:tcW w:w="2357" w:type="dxa"/>
            <w:noWrap w:val="0"/>
            <w:vAlign w:val="center"/>
          </w:tcPr>
          <w:p>
            <w:pPr>
              <w:spacing w:line="360" w:lineRule="auto"/>
              <w:jc w:val="center"/>
              <w:rPr>
                <w:rFonts w:hint="eastAsia" w:ascii="宋体" w:hAnsi="宋体" w:eastAsia="宋体" w:cs="宋体"/>
                <w:w w:val="100"/>
                <w:sz w:val="21"/>
                <w:szCs w:val="21"/>
              </w:rPr>
            </w:pPr>
            <w:r>
              <w:rPr>
                <w:rFonts w:hint="eastAsia" w:ascii="宋体" w:hAnsi="宋体" w:eastAsia="宋体" w:cs="宋体"/>
                <w:w w:val="100"/>
                <w:sz w:val="21"/>
                <w:szCs w:val="21"/>
              </w:rPr>
              <w:t>创新类别</w:t>
            </w:r>
          </w:p>
        </w:tc>
        <w:tc>
          <w:tcPr>
            <w:tcW w:w="6583" w:type="dxa"/>
            <w:gridSpan w:val="4"/>
            <w:noWrap w:val="0"/>
            <w:vAlign w:val="center"/>
          </w:tcPr>
          <w:p>
            <w:pPr>
              <w:spacing w:line="360" w:lineRule="auto"/>
              <w:jc w:val="center"/>
              <w:rPr>
                <w:rFonts w:hint="eastAsia" w:ascii="宋体" w:hAnsi="宋体" w:eastAsia="宋体" w:cs="宋体"/>
                <w:w w:val="100"/>
                <w:sz w:val="21"/>
                <w:szCs w:val="21"/>
              </w:rPr>
            </w:pPr>
            <w:r>
              <w:rPr>
                <w:rFonts w:hint="eastAsia" w:ascii="宋体" w:hAnsi="宋体" w:eastAsia="宋体" w:cs="宋体"/>
                <w:w w:val="100"/>
                <w:sz w:val="21"/>
                <w:szCs w:val="21"/>
              </w:rPr>
              <w:sym w:font="Wingdings" w:char="00A8"/>
            </w:r>
            <w:r>
              <w:rPr>
                <w:rFonts w:hint="eastAsia" w:ascii="宋体" w:hAnsi="宋体" w:eastAsia="宋体" w:cs="宋体"/>
                <w:w w:val="100"/>
                <w:sz w:val="21"/>
                <w:szCs w:val="21"/>
              </w:rPr>
              <w:t xml:space="preserve">普通产品、服务      </w:t>
            </w:r>
            <w:r>
              <w:rPr>
                <w:rFonts w:hint="eastAsia" w:ascii="宋体" w:hAnsi="宋体" w:eastAsia="宋体" w:cs="宋体"/>
                <w:w w:val="100"/>
                <w:sz w:val="21"/>
                <w:szCs w:val="21"/>
              </w:rPr>
              <w:sym w:font="Wingdings" w:char="00A8"/>
            </w:r>
            <w:r>
              <w:rPr>
                <w:rFonts w:hint="eastAsia" w:ascii="宋体" w:hAnsi="宋体" w:eastAsia="宋体" w:cs="宋体"/>
                <w:w w:val="100"/>
                <w:sz w:val="21"/>
                <w:szCs w:val="21"/>
              </w:rPr>
              <w:t>创新产品、服务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70" w:hRule="atLeast"/>
        </w:trPr>
        <w:tc>
          <w:tcPr>
            <w:tcW w:w="2357" w:type="dxa"/>
            <w:noWrap w:val="0"/>
            <w:vAlign w:val="center"/>
          </w:tcPr>
          <w:p>
            <w:pPr>
              <w:spacing w:line="360" w:lineRule="auto"/>
              <w:jc w:val="center"/>
              <w:rPr>
                <w:rFonts w:hint="eastAsia" w:ascii="宋体" w:hAnsi="宋体" w:eastAsia="宋体" w:cs="宋体"/>
                <w:w w:val="100"/>
                <w:sz w:val="21"/>
                <w:szCs w:val="21"/>
              </w:rPr>
            </w:pPr>
            <w:r>
              <w:rPr>
                <w:rFonts w:hint="eastAsia" w:ascii="宋体" w:hAnsi="宋体" w:eastAsia="宋体" w:cs="宋体"/>
                <w:w w:val="100"/>
                <w:sz w:val="21"/>
                <w:szCs w:val="21"/>
              </w:rPr>
              <w:t>备注</w:t>
            </w:r>
          </w:p>
        </w:tc>
        <w:tc>
          <w:tcPr>
            <w:tcW w:w="6583" w:type="dxa"/>
            <w:gridSpan w:val="4"/>
            <w:noWrap w:val="0"/>
            <w:vAlign w:val="center"/>
          </w:tcPr>
          <w:p>
            <w:pPr>
              <w:spacing w:line="360" w:lineRule="auto"/>
              <w:jc w:val="center"/>
              <w:rPr>
                <w:rFonts w:hint="eastAsia" w:ascii="宋体" w:hAnsi="宋体" w:eastAsia="宋体" w:cs="宋体"/>
                <w:w w:val="100"/>
                <w:sz w:val="21"/>
                <w:szCs w:val="21"/>
              </w:rPr>
            </w:pPr>
          </w:p>
        </w:tc>
      </w:tr>
    </w:tbl>
    <w:p>
      <w:pPr>
        <w:pageBreakBefore w:val="0"/>
        <w:tabs>
          <w:tab w:val="left" w:pos="9214"/>
        </w:tabs>
        <w:kinsoku/>
        <w:wordWrap/>
        <w:overflowPunct/>
        <w:topLinePunct w:val="0"/>
        <w:autoSpaceDE/>
        <w:autoSpaceDN/>
        <w:bidi w:val="0"/>
        <w:spacing w:line="360" w:lineRule="auto"/>
        <w:outlineLvl w:val="9"/>
        <w:rPr>
          <w:rFonts w:hint="eastAsia" w:ascii="Calibri" w:hAnsi="Calibri" w:cs="宋体"/>
          <w:w w:val="100"/>
          <w:sz w:val="24"/>
          <w:highlight w:val="none"/>
        </w:rPr>
      </w:pPr>
    </w:p>
    <w:p>
      <w:pPr>
        <w:pageBreakBefore w:val="0"/>
        <w:tabs>
          <w:tab w:val="left" w:pos="9214"/>
        </w:tabs>
        <w:kinsoku/>
        <w:wordWrap/>
        <w:overflowPunct/>
        <w:topLinePunct w:val="0"/>
        <w:autoSpaceDE/>
        <w:autoSpaceDN/>
        <w:bidi w:val="0"/>
        <w:spacing w:line="360" w:lineRule="auto"/>
        <w:outlineLvl w:val="9"/>
        <w:rPr>
          <w:rFonts w:hint="eastAsia" w:ascii="Calibri" w:hAnsi="Calibri" w:cs="宋体"/>
          <w:w w:val="100"/>
          <w:sz w:val="24"/>
          <w:highlight w:val="none"/>
        </w:rPr>
      </w:pPr>
    </w:p>
    <w:p>
      <w:pPr>
        <w:pageBreakBefore w:val="0"/>
        <w:tabs>
          <w:tab w:val="left" w:pos="9214"/>
        </w:tabs>
        <w:kinsoku/>
        <w:wordWrap/>
        <w:overflowPunct/>
        <w:topLinePunct w:val="0"/>
        <w:autoSpaceDE/>
        <w:autoSpaceDN/>
        <w:bidi w:val="0"/>
        <w:spacing w:line="360" w:lineRule="auto"/>
        <w:outlineLvl w:val="9"/>
        <w:rPr>
          <w:rFonts w:ascii="Calibri" w:hAnsi="Calibri"/>
          <w:w w:val="100"/>
          <w:szCs w:val="21"/>
          <w:highlight w:val="none"/>
          <w:u w:val="single"/>
        </w:rPr>
      </w:pPr>
      <w:r>
        <w:rPr>
          <w:rFonts w:hint="eastAsia" w:ascii="Calibri" w:hAnsi="Calibri" w:cs="宋体"/>
          <w:w w:val="100"/>
          <w:szCs w:val="21"/>
          <w:highlight w:val="none"/>
        </w:rPr>
        <w:t>投标人：</w:t>
      </w:r>
      <w:r>
        <w:rPr>
          <w:rFonts w:ascii="Calibri" w:hAnsi="Calibri"/>
          <w:w w:val="100"/>
          <w:szCs w:val="21"/>
          <w:highlight w:val="none"/>
          <w:u w:val="single"/>
        </w:rPr>
        <w:t xml:space="preserve">                              </w:t>
      </w:r>
      <w:r>
        <w:rPr>
          <w:rFonts w:hint="eastAsia" w:ascii="Calibri" w:hAnsi="Calibri" w:cs="宋体"/>
          <w:w w:val="100"/>
          <w:szCs w:val="21"/>
          <w:highlight w:val="none"/>
          <w:u w:val="single"/>
        </w:rPr>
        <w:t>（电子签章）</w:t>
      </w:r>
    </w:p>
    <w:p>
      <w:pPr>
        <w:pageBreakBefore w:val="0"/>
        <w:widowControl w:val="0"/>
        <w:kinsoku/>
        <w:wordWrap/>
        <w:overflowPunct/>
        <w:topLinePunct w:val="0"/>
        <w:autoSpaceDE/>
        <w:autoSpaceDN/>
        <w:bidi w:val="0"/>
        <w:adjustRightInd/>
        <w:snapToGrid/>
        <w:textAlignment w:val="auto"/>
        <w:outlineLvl w:val="9"/>
        <w:rPr>
          <w:rFonts w:hint="eastAsia" w:ascii="宋体" w:hAnsi="宋体" w:cs="宋体"/>
          <w:w w:val="100"/>
          <w:sz w:val="21"/>
          <w:szCs w:val="21"/>
          <w:highlight w:val="none"/>
          <w:lang w:eastAsia="zh-CN"/>
        </w:rPr>
      </w:pPr>
      <w:r>
        <w:rPr>
          <w:rFonts w:hint="eastAsia" w:ascii="宋体" w:hAnsi="宋体" w:cs="宋体"/>
          <w:w w:val="100"/>
          <w:sz w:val="21"/>
          <w:szCs w:val="21"/>
          <w:highlight w:val="none"/>
        </w:rPr>
        <w:t>法定代表人</w:t>
      </w:r>
      <w:r>
        <w:rPr>
          <w:rFonts w:hint="eastAsia" w:ascii="宋体" w:hAnsi="宋体" w:cs="宋体"/>
          <w:w w:val="100"/>
          <w:sz w:val="21"/>
          <w:szCs w:val="21"/>
          <w:highlight w:val="none"/>
          <w:lang w:eastAsia="zh-CN"/>
        </w:rPr>
        <w:t>（</w:t>
      </w:r>
      <w:r>
        <w:rPr>
          <w:rFonts w:hint="eastAsia" w:ascii="宋体" w:hAnsi="宋体" w:cs="宋体"/>
          <w:w w:val="100"/>
          <w:sz w:val="21"/>
          <w:szCs w:val="21"/>
          <w:highlight w:val="none"/>
          <w:lang w:val="en-US" w:eastAsia="zh-CN"/>
        </w:rPr>
        <w:t>电子签名</w:t>
      </w:r>
      <w:r>
        <w:rPr>
          <w:rFonts w:hint="eastAsia" w:ascii="宋体" w:hAnsi="宋体" w:cs="宋体"/>
          <w:w w:val="100"/>
          <w:sz w:val="21"/>
          <w:szCs w:val="21"/>
          <w:highlight w:val="none"/>
          <w:lang w:eastAsia="zh-CN"/>
        </w:rPr>
        <w:t>）</w:t>
      </w:r>
    </w:p>
    <w:p>
      <w:pPr>
        <w:pageBreakBefore w:val="0"/>
        <w:widowControl w:val="0"/>
        <w:kinsoku/>
        <w:wordWrap/>
        <w:overflowPunct/>
        <w:topLinePunct w:val="0"/>
        <w:autoSpaceDE/>
        <w:autoSpaceDN/>
        <w:bidi w:val="0"/>
        <w:adjustRightInd/>
        <w:snapToGrid/>
        <w:textAlignment w:val="auto"/>
        <w:outlineLvl w:val="9"/>
        <w:rPr>
          <w:rFonts w:hint="eastAsia" w:ascii="宋体" w:hAnsi="宋体" w:cs="宋体"/>
          <w:w w:val="100"/>
          <w:sz w:val="21"/>
          <w:szCs w:val="21"/>
          <w:highlight w:val="none"/>
        </w:rPr>
      </w:pPr>
      <w:r>
        <w:rPr>
          <w:rFonts w:hint="eastAsia" w:ascii="宋体" w:hAnsi="宋体" w:cs="宋体"/>
          <w:w w:val="100"/>
          <w:sz w:val="21"/>
          <w:szCs w:val="21"/>
          <w:highlight w:val="none"/>
        </w:rPr>
        <w:t>或其委托代理人</w:t>
      </w:r>
      <w:r>
        <w:rPr>
          <w:rFonts w:hint="eastAsia" w:ascii="宋体" w:hAnsi="宋体" w:cs="宋体"/>
          <w:w w:val="100"/>
          <w:sz w:val="21"/>
          <w:szCs w:val="21"/>
          <w:highlight w:val="none"/>
          <w:lang w:eastAsia="zh-CN"/>
        </w:rPr>
        <w:t>（</w:t>
      </w:r>
      <w:r>
        <w:rPr>
          <w:rFonts w:hint="eastAsia" w:ascii="宋体" w:hAnsi="宋体" w:cs="宋体"/>
          <w:w w:val="100"/>
          <w:sz w:val="21"/>
          <w:szCs w:val="21"/>
          <w:highlight w:val="none"/>
          <w:lang w:val="en-US" w:eastAsia="zh-CN"/>
        </w:rPr>
        <w:t>签字</w:t>
      </w:r>
      <w:r>
        <w:rPr>
          <w:rFonts w:hint="eastAsia" w:ascii="宋体" w:hAnsi="宋体" w:cs="宋体"/>
          <w:w w:val="100"/>
          <w:sz w:val="21"/>
          <w:szCs w:val="21"/>
          <w:highlight w:val="none"/>
          <w:lang w:eastAsia="zh-CN"/>
        </w:rPr>
        <w:t>）</w:t>
      </w:r>
      <w:r>
        <w:rPr>
          <w:rFonts w:hint="eastAsia" w:ascii="宋体" w:hAnsi="宋体" w:cs="宋体"/>
          <w:w w:val="100"/>
          <w:sz w:val="21"/>
          <w:szCs w:val="21"/>
          <w:highlight w:val="none"/>
        </w:rPr>
        <w:t>：</w:t>
      </w:r>
      <w:r>
        <w:rPr>
          <w:rFonts w:hint="eastAsia" w:ascii="宋体" w:hAnsi="宋体" w:cs="宋体"/>
          <w:w w:val="100"/>
          <w:sz w:val="21"/>
          <w:szCs w:val="21"/>
          <w:highlight w:val="none"/>
          <w:u w:val="single"/>
        </w:rPr>
        <w:t xml:space="preserve">             </w:t>
      </w:r>
    </w:p>
    <w:p>
      <w:pPr>
        <w:pageBreakBefore w:val="0"/>
        <w:widowControl w:val="0"/>
        <w:kinsoku/>
        <w:wordWrap/>
        <w:overflowPunct/>
        <w:topLinePunct w:val="0"/>
        <w:autoSpaceDE/>
        <w:autoSpaceDN/>
        <w:bidi w:val="0"/>
        <w:adjustRightInd/>
        <w:snapToGrid/>
        <w:textAlignment w:val="auto"/>
        <w:outlineLvl w:val="9"/>
        <w:rPr>
          <w:rFonts w:hint="eastAsia" w:ascii="宋体" w:hAnsi="宋体" w:cs="宋体"/>
          <w:w w:val="100"/>
          <w:sz w:val="21"/>
          <w:szCs w:val="21"/>
          <w:highlight w:val="none"/>
        </w:rPr>
      </w:pPr>
      <w:r>
        <w:rPr>
          <w:rFonts w:hint="eastAsia" w:ascii="宋体" w:hAnsi="宋体" w:cs="宋体"/>
          <w:w w:val="100"/>
          <w:sz w:val="21"/>
          <w:szCs w:val="21"/>
          <w:highlight w:val="none"/>
        </w:rPr>
        <w:t xml:space="preserve"> </w:t>
      </w:r>
    </w:p>
    <w:p>
      <w:pPr>
        <w:pageBreakBefore w:val="0"/>
        <w:tabs>
          <w:tab w:val="left" w:pos="9214"/>
        </w:tabs>
        <w:kinsoku/>
        <w:wordWrap/>
        <w:overflowPunct/>
        <w:topLinePunct w:val="0"/>
        <w:autoSpaceDE/>
        <w:autoSpaceDN/>
        <w:bidi w:val="0"/>
        <w:spacing w:line="360" w:lineRule="auto"/>
        <w:outlineLvl w:val="9"/>
        <w:rPr>
          <w:rFonts w:ascii="Calibri" w:hAnsi="Calibri"/>
          <w:w w:val="100"/>
          <w:szCs w:val="21"/>
          <w:highlight w:val="none"/>
          <w:u w:val="single"/>
        </w:rPr>
      </w:pPr>
      <w:r>
        <w:rPr>
          <w:rFonts w:hint="eastAsia" w:ascii="Calibri" w:hAnsi="Calibri" w:cs="宋体"/>
          <w:w w:val="100"/>
          <w:szCs w:val="21"/>
          <w:highlight w:val="none"/>
        </w:rPr>
        <w:t>日</w:t>
      </w:r>
      <w:r>
        <w:rPr>
          <w:rFonts w:ascii="Calibri" w:hAnsi="Calibri"/>
          <w:w w:val="100"/>
          <w:szCs w:val="21"/>
          <w:highlight w:val="none"/>
        </w:rPr>
        <w:t xml:space="preserve">    </w:t>
      </w:r>
      <w:r>
        <w:rPr>
          <w:rFonts w:hint="eastAsia" w:ascii="Calibri" w:hAnsi="Calibri" w:cs="宋体"/>
          <w:w w:val="100"/>
          <w:szCs w:val="21"/>
          <w:highlight w:val="none"/>
        </w:rPr>
        <w:t>期：</w:t>
      </w:r>
      <w:r>
        <w:rPr>
          <w:rFonts w:ascii="Calibri" w:hAnsi="Calibri"/>
          <w:w w:val="100"/>
          <w:szCs w:val="21"/>
          <w:highlight w:val="none"/>
          <w:u w:val="single"/>
        </w:rPr>
        <w:t xml:space="preserve">        </w:t>
      </w:r>
      <w:r>
        <w:rPr>
          <w:rFonts w:hint="eastAsia" w:ascii="Calibri" w:hAnsi="Calibri" w:cs="宋体"/>
          <w:w w:val="100"/>
          <w:szCs w:val="21"/>
          <w:highlight w:val="none"/>
          <w:u w:val="none"/>
        </w:rPr>
        <w:t>年</w:t>
      </w:r>
      <w:r>
        <w:rPr>
          <w:rFonts w:ascii="Calibri" w:hAnsi="Calibri"/>
          <w:w w:val="100"/>
          <w:szCs w:val="21"/>
          <w:highlight w:val="none"/>
          <w:u w:val="single"/>
        </w:rPr>
        <w:t xml:space="preserve">    </w:t>
      </w:r>
      <w:r>
        <w:rPr>
          <w:rFonts w:hint="eastAsia" w:ascii="Calibri" w:hAnsi="Calibri" w:cs="宋体"/>
          <w:w w:val="100"/>
          <w:szCs w:val="21"/>
          <w:highlight w:val="none"/>
          <w:u w:val="none"/>
        </w:rPr>
        <w:t>月</w:t>
      </w:r>
      <w:r>
        <w:rPr>
          <w:rFonts w:ascii="Calibri" w:hAnsi="Calibri"/>
          <w:w w:val="100"/>
          <w:szCs w:val="21"/>
          <w:highlight w:val="none"/>
          <w:u w:val="single"/>
        </w:rPr>
        <w:t xml:space="preserve">   </w:t>
      </w:r>
      <w:r>
        <w:rPr>
          <w:rFonts w:hint="eastAsia" w:ascii="Calibri" w:hAnsi="Calibri" w:cs="宋体"/>
          <w:w w:val="100"/>
          <w:szCs w:val="21"/>
          <w:highlight w:val="none"/>
          <w:u w:val="none"/>
        </w:rPr>
        <w:t>日</w:t>
      </w:r>
    </w:p>
    <w:p>
      <w:pPr>
        <w:pageBreakBefore w:val="0"/>
        <w:kinsoku/>
        <w:wordWrap/>
        <w:overflowPunct/>
        <w:topLinePunct w:val="0"/>
        <w:autoSpaceDE/>
        <w:autoSpaceDN/>
        <w:bidi w:val="0"/>
        <w:spacing w:line="600" w:lineRule="exact"/>
        <w:outlineLvl w:val="9"/>
        <w:rPr>
          <w:rFonts w:ascii="宋体" w:hAnsi="宋体"/>
          <w:b/>
          <w:sz w:val="28"/>
          <w:szCs w:val="28"/>
          <w:highlight w:val="none"/>
        </w:rPr>
      </w:pPr>
      <w:r>
        <w:rPr>
          <w:rFonts w:hint="eastAsia" w:ascii="宋体" w:hAnsi="宋体"/>
          <w:b/>
          <w:sz w:val="28"/>
          <w:szCs w:val="28"/>
          <w:highlight w:val="none"/>
        </w:rPr>
        <w:br w:type="page"/>
      </w:r>
      <w:r>
        <w:rPr>
          <w:rFonts w:hint="eastAsia" w:ascii="宋体" w:hAnsi="宋体"/>
          <w:b/>
          <w:sz w:val="28"/>
          <w:szCs w:val="28"/>
          <w:highlight w:val="none"/>
        </w:rPr>
        <w:t>格式</w:t>
      </w:r>
      <w:r>
        <w:rPr>
          <w:rFonts w:hint="eastAsia" w:ascii="宋体" w:hAnsi="宋体"/>
          <w:b/>
          <w:sz w:val="28"/>
          <w:szCs w:val="28"/>
          <w:highlight w:val="none"/>
          <w:lang w:val="en-US" w:eastAsia="zh-CN"/>
        </w:rPr>
        <w:t>18</w:t>
      </w:r>
      <w:r>
        <w:rPr>
          <w:rFonts w:hint="eastAsia" w:ascii="宋体" w:hAnsi="宋体"/>
          <w:b/>
          <w:sz w:val="28"/>
          <w:szCs w:val="28"/>
          <w:highlight w:val="none"/>
        </w:rPr>
        <w:t>：</w:t>
      </w:r>
    </w:p>
    <w:p>
      <w:pPr>
        <w:keepNext/>
        <w:keepLines/>
        <w:pageBreakBefore w:val="0"/>
        <w:widowControl w:val="0"/>
        <w:kinsoku/>
        <w:wordWrap/>
        <w:overflowPunct/>
        <w:topLinePunct w:val="0"/>
        <w:autoSpaceDE/>
        <w:autoSpaceDN/>
        <w:bidi w:val="0"/>
        <w:adjustRightInd/>
        <w:snapToGrid/>
        <w:spacing w:line="360" w:lineRule="auto"/>
        <w:jc w:val="center"/>
        <w:textAlignment w:val="auto"/>
        <w:outlineLvl w:val="9"/>
        <w:rPr>
          <w:rFonts w:ascii="宋体" w:hAnsi="宋体"/>
          <w:b/>
          <w:spacing w:val="40"/>
          <w:sz w:val="32"/>
          <w:szCs w:val="32"/>
          <w:highlight w:val="none"/>
        </w:rPr>
      </w:pPr>
      <w:bookmarkStart w:id="459" w:name="_Toc518289522"/>
      <w:bookmarkStart w:id="460" w:name="_Toc2303"/>
      <w:r>
        <w:rPr>
          <w:rFonts w:ascii="宋体" w:hAnsi="宋体"/>
          <w:b/>
          <w:spacing w:val="40"/>
          <w:sz w:val="32"/>
          <w:szCs w:val="32"/>
          <w:highlight w:val="none"/>
        </w:rPr>
        <w:t>构成投标文件的其它资料</w:t>
      </w:r>
      <w:bookmarkEnd w:id="459"/>
      <w:bookmarkEnd w:id="460"/>
    </w:p>
    <w:p>
      <w:pPr>
        <w:keepNext w:val="0"/>
        <w:keepLines w:val="0"/>
        <w:pageBreakBefore w:val="0"/>
        <w:widowControl w:val="0"/>
        <w:kinsoku/>
        <w:wordWrap/>
        <w:overflowPunct/>
        <w:topLinePunct w:val="0"/>
        <w:autoSpaceDE/>
        <w:autoSpaceDN/>
        <w:bidi w:val="0"/>
        <w:adjustRightInd/>
        <w:snapToGrid/>
        <w:spacing w:line="360" w:lineRule="auto"/>
        <w:jc w:val="left"/>
        <w:textAlignment w:val="auto"/>
        <w:outlineLvl w:val="9"/>
        <w:rPr>
          <w:rFonts w:ascii="宋体" w:hAnsi="宋体"/>
          <w:szCs w:val="21"/>
          <w:highlight w:val="none"/>
        </w:rPr>
      </w:pPr>
      <w:r>
        <w:rPr>
          <w:rFonts w:ascii="宋体" w:hAnsi="宋体"/>
          <w:szCs w:val="21"/>
          <w:highlight w:val="none"/>
        </w:rPr>
        <w:t>详见第二章《投标人须知前附表》第</w:t>
      </w:r>
      <w:r>
        <w:rPr>
          <w:rFonts w:hint="eastAsia" w:ascii="宋体" w:hAnsi="宋体"/>
          <w:szCs w:val="21"/>
          <w:highlight w:val="none"/>
        </w:rPr>
        <w:t>16.2.2（2）</w:t>
      </w:r>
      <w:r>
        <w:rPr>
          <w:rFonts w:ascii="宋体" w:hAnsi="宋体"/>
          <w:szCs w:val="21"/>
          <w:highlight w:val="none"/>
        </w:rPr>
        <w:t>条，请自拟格式。</w:t>
      </w:r>
    </w:p>
    <w:p>
      <w:pPr>
        <w:keepNext w:val="0"/>
        <w:keepLines w:val="0"/>
        <w:pageBreakBefore w:val="0"/>
        <w:widowControl/>
        <w:kinsoku/>
        <w:wordWrap/>
        <w:overflowPunct/>
        <w:topLinePunct w:val="0"/>
        <w:autoSpaceDE/>
        <w:autoSpaceDN/>
        <w:bidi w:val="0"/>
        <w:adjustRightInd/>
        <w:snapToGrid/>
        <w:spacing w:line="360" w:lineRule="auto"/>
        <w:jc w:val="left"/>
        <w:textAlignment w:val="auto"/>
        <w:outlineLvl w:val="9"/>
        <w:rPr>
          <w:rFonts w:ascii="宋体" w:hAnsi="宋体" w:cs="宋体"/>
          <w:kern w:val="0"/>
          <w:szCs w:val="21"/>
          <w:highlight w:val="none"/>
        </w:rPr>
      </w:pPr>
      <w:r>
        <w:rPr>
          <w:rFonts w:hint="eastAsia" w:ascii="宋体" w:hAnsi="宋体" w:cs="宋体"/>
          <w:kern w:val="0"/>
          <w:szCs w:val="21"/>
          <w:highlight w:val="none"/>
        </w:rPr>
        <w:t>1、投标保证金交纳凭证（扫描件加盖电子公章）；</w:t>
      </w:r>
    </w:p>
    <w:p>
      <w:pPr>
        <w:pageBreakBefore w:val="0"/>
        <w:widowControl/>
        <w:kinsoku/>
        <w:wordWrap/>
        <w:overflowPunct/>
        <w:topLinePunct w:val="0"/>
        <w:autoSpaceDE/>
        <w:autoSpaceDN/>
        <w:bidi w:val="0"/>
        <w:spacing w:line="440" w:lineRule="exact"/>
        <w:jc w:val="left"/>
        <w:outlineLvl w:val="9"/>
        <w:rPr>
          <w:rFonts w:hint="eastAsia" w:ascii="宋体" w:hAnsi="宋体" w:cs="宋体"/>
          <w:kern w:val="0"/>
          <w:szCs w:val="21"/>
          <w:highlight w:val="none"/>
        </w:rPr>
      </w:pPr>
      <w:r>
        <w:rPr>
          <w:rFonts w:hint="eastAsia" w:ascii="宋体" w:hAnsi="宋体" w:cs="宋体"/>
          <w:kern w:val="0"/>
          <w:szCs w:val="21"/>
          <w:highlight w:val="none"/>
        </w:rPr>
        <w:t>2、第五章《采购需求》中要求提供的其他资料；</w:t>
      </w:r>
    </w:p>
    <w:p>
      <w:pPr>
        <w:pageBreakBefore w:val="0"/>
        <w:widowControl/>
        <w:kinsoku/>
        <w:wordWrap/>
        <w:overflowPunct/>
        <w:topLinePunct w:val="0"/>
        <w:autoSpaceDE/>
        <w:autoSpaceDN/>
        <w:bidi w:val="0"/>
        <w:spacing w:line="440" w:lineRule="exact"/>
        <w:jc w:val="left"/>
        <w:outlineLvl w:val="9"/>
        <w:rPr>
          <w:rFonts w:hint="eastAsia" w:ascii="宋体" w:hAnsi="宋体" w:cs="宋体"/>
          <w:kern w:val="0"/>
          <w:szCs w:val="21"/>
          <w:highlight w:val="none"/>
        </w:rPr>
      </w:pPr>
      <w:r>
        <w:rPr>
          <w:rFonts w:hint="eastAsia" w:ascii="宋体" w:hAnsi="宋体" w:cs="宋体"/>
          <w:kern w:val="0"/>
          <w:szCs w:val="21"/>
          <w:highlight w:val="none"/>
        </w:rPr>
        <w:t>3、招标文件中所涉及到的相关资料及证明文件或投标人认为必须提供的其他相关资料。</w:t>
      </w:r>
    </w:p>
    <w:p>
      <w:pPr>
        <w:pStyle w:val="3"/>
        <w:numPr>
          <w:ilvl w:val="0"/>
          <w:numId w:val="0"/>
        </w:numPr>
        <w:kinsoku/>
        <w:wordWrap/>
        <w:overflowPunct/>
        <w:topLinePunct w:val="0"/>
        <w:autoSpaceDE/>
        <w:autoSpaceDN/>
        <w:bidi w:val="0"/>
        <w:snapToGrid/>
        <w:spacing w:before="0"/>
        <w:jc w:val="center"/>
        <w:rPr>
          <w:rFonts w:hint="eastAsia" w:ascii="宋体" w:eastAsia="宋体"/>
          <w:highlight w:val="none"/>
        </w:rPr>
        <w:sectPr>
          <w:headerReference r:id="rId11" w:type="default"/>
          <w:footerReference r:id="rId12" w:type="default"/>
          <w:pgSz w:w="11850" w:h="16783"/>
          <w:pgMar w:top="1440" w:right="1570" w:bottom="1440" w:left="1570" w:header="720" w:footer="720" w:gutter="0"/>
          <w:cols w:space="708" w:num="1"/>
        </w:sectPr>
      </w:pPr>
    </w:p>
    <w:p>
      <w:pPr>
        <w:pStyle w:val="3"/>
        <w:numPr>
          <w:ilvl w:val="0"/>
          <w:numId w:val="0"/>
        </w:numPr>
        <w:kinsoku/>
        <w:wordWrap/>
        <w:overflowPunct/>
        <w:topLinePunct w:val="0"/>
        <w:autoSpaceDE/>
        <w:autoSpaceDN/>
        <w:bidi w:val="0"/>
        <w:snapToGrid/>
        <w:spacing w:before="0"/>
        <w:jc w:val="center"/>
        <w:rPr>
          <w:rFonts w:hint="eastAsia" w:ascii="黑体"/>
          <w:sz w:val="32"/>
          <w:szCs w:val="32"/>
          <w:highlight w:val="none"/>
        </w:rPr>
      </w:pPr>
      <w:bookmarkStart w:id="461" w:name="_Toc21027"/>
      <w:bookmarkStart w:id="462" w:name="_Toc3546"/>
      <w:bookmarkStart w:id="463" w:name="_Toc4526"/>
      <w:r>
        <w:rPr>
          <w:rFonts w:hint="eastAsia"/>
          <w:highlight w:val="none"/>
        </w:rPr>
        <w:t>第五章  采购需求</w:t>
      </w:r>
      <w:bookmarkEnd w:id="461"/>
      <w:bookmarkEnd w:id="462"/>
      <w:bookmarkEnd w:id="463"/>
    </w:p>
    <w:p>
      <w:pPr>
        <w:spacing w:line="400" w:lineRule="exact"/>
        <w:rPr>
          <w:rFonts w:hint="eastAsia" w:ascii="宋体" w:hAnsi="宋体"/>
          <w:b/>
          <w:szCs w:val="21"/>
          <w:highlight w:val="none"/>
        </w:rPr>
      </w:pPr>
    </w:p>
    <w:p>
      <w:pPr>
        <w:adjustRightInd w:val="0"/>
        <w:spacing w:line="360" w:lineRule="auto"/>
        <w:rPr>
          <w:rFonts w:hint="eastAsia" w:ascii="宋体" w:hAnsi="宋体" w:cs="宋体"/>
          <w:szCs w:val="21"/>
          <w:highlight w:val="none"/>
        </w:rPr>
      </w:pPr>
      <w:r>
        <w:rPr>
          <w:rFonts w:hint="eastAsia" w:ascii="宋体" w:hAnsi="宋体" w:cs="宋体"/>
          <w:szCs w:val="21"/>
          <w:highlight w:val="none"/>
        </w:rPr>
        <w:t>说明：</w:t>
      </w:r>
    </w:p>
    <w:p>
      <w:pPr>
        <w:adjustRightInd w:val="0"/>
        <w:spacing w:line="360" w:lineRule="auto"/>
        <w:ind w:firstLine="420" w:firstLineChars="200"/>
        <w:rPr>
          <w:rFonts w:hint="eastAsia" w:ascii="宋体" w:hAnsi="宋体" w:cs="宋体"/>
          <w:bCs/>
          <w:szCs w:val="21"/>
          <w:highlight w:val="none"/>
        </w:rPr>
      </w:pPr>
      <w:r>
        <w:rPr>
          <w:rFonts w:hint="eastAsia" w:ascii="宋体" w:hAnsi="宋体" w:cs="宋体"/>
          <w:bCs/>
          <w:szCs w:val="21"/>
          <w:highlight w:val="none"/>
        </w:rPr>
        <w:t>1、各投标人必须对本章中的技术、服务要求作出全面、真实的反映。若投标文件中响应情况与招标文件采购需求内容不符或无有效证明，而投标人又未在投标文件中作出说明和解释的，评标委员会在评审时将视为不响应该条技术、服务要求的规定。</w:t>
      </w:r>
    </w:p>
    <w:p>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lang w:val="en-US" w:eastAsia="zh-CN"/>
        </w:rPr>
        <w:t>2</w:t>
      </w:r>
      <w:r>
        <w:rPr>
          <w:rFonts w:hint="eastAsia" w:ascii="宋体" w:hAnsi="宋体" w:cs="宋体"/>
          <w:szCs w:val="21"/>
          <w:highlight w:val="none"/>
        </w:rPr>
        <w:t>.供应商应保证其提供的货物、工程或者服务在采购人使用期间不受第三方可能提出的侵犯其所有权、用益物权、担保物权、占有等一切涉及物权及知识产权、商标权、专利权、著作权等相关权利的起诉。</w:t>
      </w:r>
    </w:p>
    <w:p>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lang w:val="en-US" w:eastAsia="zh-CN"/>
        </w:rPr>
        <w:t>3</w:t>
      </w:r>
      <w:r>
        <w:rPr>
          <w:rFonts w:hint="eastAsia" w:ascii="宋体" w:hAnsi="宋体" w:cs="宋体"/>
          <w:szCs w:val="21"/>
          <w:highlight w:val="none"/>
        </w:rPr>
        <w:t>.供应商应对在项目服务的过程中，涉及到甲方的工作信息等秘密内容进行保密。</w:t>
      </w:r>
    </w:p>
    <w:p>
      <w:pPr>
        <w:spacing w:line="360" w:lineRule="auto"/>
        <w:ind w:firstLine="420" w:firstLineChars="200"/>
        <w:rPr>
          <w:rFonts w:hint="eastAsia" w:ascii="宋体" w:hAnsi="宋体"/>
          <w:sz w:val="24"/>
          <w:highlight w:val="none"/>
        </w:rPr>
      </w:pPr>
      <w:r>
        <w:rPr>
          <w:rFonts w:hint="eastAsia" w:ascii="宋体" w:hAnsi="宋体" w:cs="宋体"/>
          <w:szCs w:val="21"/>
          <w:highlight w:val="none"/>
          <w:lang w:val="en-US" w:eastAsia="zh-CN"/>
        </w:rPr>
        <w:t>4</w:t>
      </w:r>
      <w:r>
        <w:rPr>
          <w:rFonts w:hint="eastAsia" w:ascii="宋体" w:hAnsi="宋体" w:cs="宋体"/>
          <w:szCs w:val="21"/>
          <w:highlight w:val="none"/>
        </w:rPr>
        <w:t>.投标人应严格按照《中华人民共和国政府采购法》、《中华人民共和国政府采购法实施条例》、《政府采购货物和服务招标投标管理办法》（财政部令第87号）等有关法律、法规的规定进行投标，合同签订后采购人将按照中标人投标文件中所投货物、工程或者服务进行验收，一旦发现虚假应标行为，取消该中标人的中标资格，并保留追究其法律责任的权利</w:t>
      </w:r>
      <w:r>
        <w:rPr>
          <w:rFonts w:hint="eastAsia" w:ascii="宋体" w:hAnsi="宋体"/>
          <w:sz w:val="24"/>
          <w:highlight w:val="none"/>
        </w:rPr>
        <w:t>。</w:t>
      </w:r>
    </w:p>
    <w:p>
      <w:pPr>
        <w:spacing w:line="480" w:lineRule="exact"/>
        <w:ind w:firstLine="482" w:firstLineChars="200"/>
        <w:rPr>
          <w:rFonts w:ascii="宋体" w:hAnsi="宋体"/>
          <w:b/>
          <w:bCs/>
          <w:sz w:val="24"/>
          <w:highlight w:val="none"/>
        </w:rPr>
      </w:pPr>
    </w:p>
    <w:p>
      <w:pPr>
        <w:spacing w:line="400" w:lineRule="exact"/>
        <w:rPr>
          <w:rFonts w:hint="eastAsia" w:ascii="宋体" w:hAnsi="宋体"/>
          <w:b/>
          <w:szCs w:val="21"/>
          <w:highlight w:val="none"/>
        </w:rPr>
      </w:pPr>
    </w:p>
    <w:p>
      <w:pPr>
        <w:keepNext w:val="0"/>
        <w:keepLines w:val="0"/>
        <w:pageBreakBefore w:val="0"/>
        <w:widowControl w:val="0"/>
        <w:kinsoku/>
        <w:wordWrap/>
        <w:overflowPunct/>
        <w:topLinePunct w:val="0"/>
        <w:autoSpaceDE/>
        <w:autoSpaceDN/>
        <w:bidi w:val="0"/>
        <w:adjustRightInd/>
        <w:snapToGrid/>
        <w:spacing w:line="400" w:lineRule="exact"/>
        <w:textAlignment w:val="auto"/>
        <w:outlineLvl w:val="1"/>
        <w:rPr>
          <w:rFonts w:hint="default" w:ascii="宋体" w:hAnsi="宋体" w:cs="宋体"/>
          <w:b/>
          <w:bCs/>
          <w:sz w:val="24"/>
          <w:szCs w:val="24"/>
          <w:highlight w:val="none"/>
          <w:lang w:val="en-US" w:eastAsia="zh-CN"/>
        </w:rPr>
      </w:pPr>
      <w:r>
        <w:rPr>
          <w:rFonts w:hint="eastAsia" w:ascii="宋体" w:hAnsi="宋体"/>
          <w:b/>
          <w:szCs w:val="21"/>
          <w:highlight w:val="none"/>
        </w:rPr>
        <w:br w:type="page"/>
      </w:r>
      <w:bookmarkStart w:id="464" w:name="_Toc5343"/>
      <w:bookmarkStart w:id="465" w:name="_Toc12455"/>
      <w:r>
        <w:rPr>
          <w:rFonts w:hint="eastAsia" w:ascii="宋体" w:hAnsi="宋体" w:eastAsia="宋体" w:cs="宋体"/>
          <w:b/>
          <w:bCs/>
          <w:kern w:val="2"/>
          <w:sz w:val="21"/>
          <w:szCs w:val="21"/>
          <w:highlight w:val="none"/>
          <w:lang w:val="en-US" w:eastAsia="zh-CN" w:bidi="ar-SA"/>
        </w:rPr>
        <w:t>一、</w:t>
      </w:r>
      <w:bookmarkEnd w:id="464"/>
      <w:bookmarkEnd w:id="465"/>
      <w:bookmarkStart w:id="466" w:name="_Toc5222"/>
      <w:bookmarkStart w:id="467" w:name="_Toc15844"/>
      <w:r>
        <w:rPr>
          <w:rFonts w:hint="eastAsia" w:ascii="宋体" w:hAnsi="宋体" w:cs="宋体"/>
          <w:b/>
          <w:bCs/>
          <w:kern w:val="2"/>
          <w:sz w:val="21"/>
          <w:szCs w:val="21"/>
          <w:highlight w:val="none"/>
          <w:lang w:val="en-US" w:eastAsia="zh-CN" w:bidi="ar-SA"/>
        </w:rPr>
        <w:t>项目基本情况</w:t>
      </w:r>
    </w:p>
    <w:p>
      <w:pPr>
        <w:pageBreakBefore w:val="0"/>
        <w:kinsoku/>
        <w:wordWrap/>
        <w:overflowPunct/>
        <w:topLinePunct w:val="0"/>
        <w:autoSpaceDE/>
        <w:autoSpaceDN/>
        <w:bidi w:val="0"/>
        <w:adjustRightInd/>
        <w:snapToGrid/>
        <w:spacing w:line="440" w:lineRule="exact"/>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采购需求：</w:t>
      </w:r>
      <w:r>
        <w:rPr>
          <w:rFonts w:hint="eastAsia" w:ascii="宋体" w:hAnsi="宋体" w:cs="宋体"/>
          <w:sz w:val="21"/>
          <w:szCs w:val="21"/>
          <w:highlight w:val="none"/>
          <w:lang w:val="en-US" w:eastAsia="zh-CN"/>
        </w:rPr>
        <w:t>选择一家审计服务机构</w:t>
      </w:r>
      <w:r>
        <w:rPr>
          <w:rFonts w:hint="eastAsia" w:ascii="宋体" w:hAnsi="宋体" w:eastAsia="宋体" w:cs="宋体"/>
          <w:sz w:val="21"/>
          <w:szCs w:val="21"/>
          <w:highlight w:val="none"/>
        </w:rPr>
        <w:t>对曲水县“十三五”期间11个政府投资项目进行审计，通过政府投资项目审计，揭示和反映政府投资领域政策落实、投资决策、建设程序、资金管理、招标投标、环境保护、征地拆迁、工程造价、质量安全等方面存在的问题</w:t>
      </w:r>
      <w:r>
        <w:rPr>
          <w:rFonts w:hint="eastAsia" w:ascii="宋体" w:hAnsi="宋体" w:cs="宋体"/>
          <w:sz w:val="21"/>
          <w:szCs w:val="21"/>
          <w:highlight w:val="none"/>
          <w:lang w:eastAsia="zh-CN"/>
        </w:rPr>
        <w:t>。</w:t>
      </w:r>
      <w:r>
        <w:rPr>
          <w:rFonts w:hint="eastAsia" w:ascii="宋体" w:hAnsi="宋体" w:eastAsia="宋体" w:cs="宋体"/>
          <w:sz w:val="21"/>
          <w:szCs w:val="21"/>
          <w:highlight w:val="none"/>
        </w:rPr>
        <w:t>按照《关于印发西藏自治区审计厅政府投资项目协审中介机构聘用及管理办法（试行）的通知》（藏审发〔2019〕46号）文件规定，本次政府投资项目审计费用由基础报酬和绩效报酬两部分组成。其中基础报酬</w:t>
      </w:r>
      <w:r>
        <w:rPr>
          <w:rFonts w:hint="eastAsia" w:ascii="宋体" w:hAnsi="宋体" w:cs="宋体"/>
          <w:sz w:val="21"/>
          <w:szCs w:val="21"/>
          <w:highlight w:val="none"/>
          <w:lang w:val="en-US" w:eastAsia="zh-CN"/>
        </w:rPr>
        <w:t>最高限价</w:t>
      </w:r>
      <w:r>
        <w:rPr>
          <w:rFonts w:hint="eastAsia" w:ascii="宋体" w:hAnsi="宋体" w:eastAsia="宋体" w:cs="宋体"/>
          <w:sz w:val="21"/>
          <w:szCs w:val="21"/>
          <w:highlight w:val="none"/>
        </w:rPr>
        <w:t>为3</w:t>
      </w:r>
      <w:r>
        <w:rPr>
          <w:rFonts w:hint="eastAsia" w:ascii="宋体" w:hAnsi="宋体" w:cs="宋体"/>
          <w:sz w:val="21"/>
          <w:szCs w:val="21"/>
          <w:highlight w:val="none"/>
          <w:lang w:val="en-US" w:eastAsia="zh-CN"/>
        </w:rPr>
        <w:t>3</w:t>
      </w:r>
      <w:r>
        <w:rPr>
          <w:rFonts w:hint="eastAsia" w:ascii="宋体" w:hAnsi="宋体" w:eastAsia="宋体" w:cs="宋体"/>
          <w:sz w:val="21"/>
          <w:szCs w:val="21"/>
          <w:highlight w:val="none"/>
        </w:rPr>
        <w:t>万元；绩效报酬</w:t>
      </w:r>
      <w:r>
        <w:rPr>
          <w:rFonts w:hint="eastAsia" w:ascii="宋体" w:hAnsi="宋体" w:cs="宋体"/>
          <w:sz w:val="21"/>
          <w:szCs w:val="21"/>
          <w:highlight w:val="none"/>
          <w:lang w:val="en-US" w:eastAsia="zh-CN"/>
        </w:rPr>
        <w:t>最高限价为92万元，绩效报酬</w:t>
      </w:r>
      <w:r>
        <w:rPr>
          <w:rFonts w:hint="eastAsia" w:ascii="宋体" w:hAnsi="宋体" w:eastAsia="宋体" w:cs="宋体"/>
          <w:sz w:val="21"/>
          <w:szCs w:val="21"/>
          <w:highlight w:val="none"/>
        </w:rPr>
        <w:t>按照工程造价审计核减率确定比例。具体为：核减率为5%（含）以内的，按核减总额的3.5%提成；核减率为5%以上7.5%（含）以内的，按核减总额的4%提成；核减率为7.5%以上10%（含）以内的，按核减总额的4.5%提成；核减率为10%以上的，按核减总额的5%提成</w:t>
      </w:r>
      <w:r>
        <w:rPr>
          <w:rFonts w:hint="eastAsia" w:ascii="宋体" w:hAnsi="宋体" w:eastAsia="宋体" w:cs="宋体"/>
          <w:sz w:val="21"/>
          <w:szCs w:val="21"/>
          <w:highlight w:val="none"/>
          <w:lang w:val="en-US" w:eastAsia="zh-CN"/>
        </w:rPr>
        <w:t>，具体绩效报酬以审计服务合同为准。</w:t>
      </w:r>
      <w:r>
        <w:rPr>
          <w:rFonts w:hint="eastAsia" w:ascii="宋体" w:hAnsi="宋体" w:eastAsia="宋体" w:cs="宋体"/>
          <w:sz w:val="21"/>
          <w:szCs w:val="21"/>
          <w:highlight w:val="none"/>
        </w:rPr>
        <w:t>本项目共划分一个标段</w:t>
      </w:r>
      <w:r>
        <w:rPr>
          <w:rFonts w:hint="eastAsia" w:ascii="宋体" w:hAnsi="宋体" w:cs="宋体"/>
          <w:sz w:val="21"/>
          <w:szCs w:val="21"/>
          <w:highlight w:val="none"/>
          <w:lang w:eastAsia="zh-CN"/>
        </w:rPr>
        <w:t>，</w:t>
      </w:r>
      <w:r>
        <w:rPr>
          <w:rFonts w:hint="eastAsia" w:ascii="宋体" w:hAnsi="宋体" w:eastAsia="宋体" w:cs="宋体"/>
          <w:sz w:val="21"/>
          <w:szCs w:val="21"/>
          <w:highlight w:val="none"/>
          <w:lang w:val="en-US" w:eastAsia="zh-CN"/>
        </w:rPr>
        <w:t>供应商必须对所投标段内所有内容进行完整唯一报价，不得缺项、漏项，否则该标段投标文件将按无效处理。</w:t>
      </w:r>
      <w:r>
        <w:rPr>
          <w:rFonts w:hint="eastAsia" w:ascii="宋体" w:hAnsi="宋体" w:eastAsia="宋体" w:cs="宋体"/>
          <w:sz w:val="21"/>
          <w:szCs w:val="21"/>
          <w:highlight w:val="none"/>
        </w:rPr>
        <w:t>具体要求等详见本招标文件第五章《采购需求》。</w:t>
      </w:r>
    </w:p>
    <w:p>
      <w:pPr>
        <w:pageBreakBefore w:val="0"/>
        <w:kinsoku/>
        <w:wordWrap/>
        <w:overflowPunct/>
        <w:topLinePunct w:val="0"/>
        <w:autoSpaceDE/>
        <w:autoSpaceDN/>
        <w:bidi w:val="0"/>
        <w:adjustRightInd/>
        <w:snapToGrid/>
        <w:spacing w:line="440" w:lineRule="exact"/>
        <w:ind w:firstLine="420" w:firstLineChars="200"/>
        <w:rPr>
          <w:rFonts w:hint="eastAsia" w:ascii="宋体" w:hAnsi="宋体" w:eastAsia="宋体" w:cs="宋体"/>
          <w:sz w:val="21"/>
          <w:szCs w:val="21"/>
          <w:highlight w:val="none"/>
          <w:lang w:eastAsia="zh-CN"/>
        </w:rPr>
      </w:pPr>
      <w:r>
        <w:rPr>
          <w:rFonts w:hint="eastAsia" w:ascii="宋体" w:hAnsi="宋体" w:cs="宋体"/>
          <w:sz w:val="21"/>
          <w:szCs w:val="21"/>
          <w:highlight w:val="none"/>
          <w:lang w:val="en-US" w:eastAsia="zh-CN"/>
        </w:rPr>
        <w:t>服务</w:t>
      </w:r>
      <w:r>
        <w:rPr>
          <w:rFonts w:hint="eastAsia" w:ascii="宋体" w:hAnsi="宋体" w:eastAsia="宋体" w:cs="宋体"/>
          <w:sz w:val="21"/>
          <w:szCs w:val="21"/>
          <w:highlight w:val="none"/>
          <w:lang w:eastAsia="zh-CN"/>
        </w:rPr>
        <w:t>期：</w:t>
      </w:r>
      <w:r>
        <w:rPr>
          <w:rFonts w:hint="eastAsia" w:ascii="宋体" w:hAnsi="宋体" w:cs="宋体"/>
          <w:sz w:val="21"/>
          <w:szCs w:val="21"/>
          <w:highlight w:val="none"/>
          <w:lang w:val="en-US" w:eastAsia="zh-CN"/>
        </w:rPr>
        <w:t>收到完整的结算资料后60天完成（如遇重大或特殊情况，具体工作完成时限以招标人下达的任务书为准）</w:t>
      </w:r>
      <w:r>
        <w:rPr>
          <w:rFonts w:hint="eastAsia" w:ascii="宋体" w:hAnsi="宋体" w:eastAsia="宋体" w:cs="宋体"/>
          <w:sz w:val="21"/>
          <w:szCs w:val="21"/>
          <w:highlight w:val="none"/>
          <w:lang w:eastAsia="zh-CN"/>
        </w:rPr>
        <w:t>。</w:t>
      </w:r>
      <w:bookmarkStart w:id="507" w:name="_GoBack"/>
      <w:bookmarkEnd w:id="507"/>
    </w:p>
    <w:p>
      <w:pPr>
        <w:pageBreakBefore w:val="0"/>
        <w:kinsoku/>
        <w:wordWrap/>
        <w:overflowPunct/>
        <w:topLinePunct w:val="0"/>
        <w:autoSpaceDE/>
        <w:autoSpaceDN/>
        <w:bidi w:val="0"/>
        <w:adjustRightInd/>
        <w:snapToGrid/>
        <w:spacing w:line="440" w:lineRule="exact"/>
        <w:ind w:firstLine="420" w:firstLineChars="200"/>
        <w:rPr>
          <w:rFonts w:hint="eastAsia" w:ascii="宋体"/>
          <w:b w:val="0"/>
          <w:bCs w:val="0"/>
          <w:color w:val="000000"/>
          <w:sz w:val="21"/>
          <w:szCs w:val="21"/>
          <w:highlight w:val="none"/>
          <w:lang w:val="en-US" w:eastAsia="zh-CN"/>
        </w:rPr>
      </w:pPr>
      <w:r>
        <w:rPr>
          <w:rFonts w:hint="eastAsia" w:ascii="宋体" w:hAnsi="宋体" w:cs="宋体"/>
          <w:sz w:val="21"/>
          <w:szCs w:val="21"/>
          <w:highlight w:val="none"/>
          <w:lang w:val="en-US" w:eastAsia="zh-CN"/>
        </w:rPr>
        <w:t>服务地点</w:t>
      </w:r>
      <w:r>
        <w:rPr>
          <w:rFonts w:hint="eastAsia" w:ascii="宋体" w:hAnsi="宋体" w:eastAsia="宋体" w:cs="宋体"/>
          <w:sz w:val="21"/>
          <w:szCs w:val="21"/>
          <w:highlight w:val="none"/>
          <w:lang w:val="en-US" w:eastAsia="zh-CN"/>
        </w:rPr>
        <w:t>：</w:t>
      </w:r>
      <w:r>
        <w:rPr>
          <w:rFonts w:hint="eastAsia" w:ascii="宋体" w:hAnsi="宋体" w:cs="宋体"/>
          <w:sz w:val="21"/>
          <w:szCs w:val="21"/>
          <w:highlight w:val="none"/>
          <w:lang w:val="en-US" w:eastAsia="zh-CN"/>
        </w:rPr>
        <w:t>西藏自治区曲水县</w:t>
      </w:r>
      <w:r>
        <w:rPr>
          <w:rFonts w:hint="eastAsia" w:ascii="宋体" w:hAnsi="宋体" w:eastAsia="宋体" w:cs="宋体"/>
          <w:sz w:val="21"/>
          <w:szCs w:val="21"/>
          <w:highlight w:val="none"/>
          <w:lang w:val="en-US" w:eastAsia="zh-CN"/>
        </w:rPr>
        <w:t>。</w:t>
      </w:r>
    </w:p>
    <w:bookmarkEnd w:id="466"/>
    <w:bookmarkEnd w:id="467"/>
    <w:p>
      <w:pPr>
        <w:keepNext w:val="0"/>
        <w:keepLines w:val="0"/>
        <w:pageBreakBefore w:val="0"/>
        <w:widowControl w:val="0"/>
        <w:kinsoku/>
        <w:wordWrap/>
        <w:overflowPunct/>
        <w:topLinePunct w:val="0"/>
        <w:autoSpaceDE/>
        <w:autoSpaceDN/>
        <w:bidi w:val="0"/>
        <w:adjustRightInd/>
        <w:snapToGrid/>
        <w:spacing w:line="400" w:lineRule="exact"/>
        <w:textAlignment w:val="auto"/>
        <w:outlineLvl w:val="1"/>
        <w:rPr>
          <w:rFonts w:hint="eastAsia" w:ascii="宋体" w:hAnsi="宋体" w:eastAsia="宋体" w:cs="宋体"/>
          <w:b/>
          <w:bCs/>
          <w:kern w:val="2"/>
          <w:sz w:val="21"/>
          <w:szCs w:val="21"/>
          <w:highlight w:val="none"/>
          <w:lang w:val="en-US" w:eastAsia="zh-CN" w:bidi="ar-SA"/>
        </w:rPr>
      </w:pPr>
      <w:bookmarkStart w:id="468" w:name="_Toc11528"/>
    </w:p>
    <w:p>
      <w:pPr>
        <w:keepNext w:val="0"/>
        <w:keepLines w:val="0"/>
        <w:pageBreakBefore w:val="0"/>
        <w:widowControl w:val="0"/>
        <w:kinsoku/>
        <w:wordWrap/>
        <w:overflowPunct/>
        <w:topLinePunct w:val="0"/>
        <w:autoSpaceDE/>
        <w:autoSpaceDN/>
        <w:bidi w:val="0"/>
        <w:adjustRightInd/>
        <w:snapToGrid/>
        <w:spacing w:line="360" w:lineRule="auto"/>
        <w:textAlignment w:val="auto"/>
        <w:outlineLvl w:val="1"/>
        <w:rPr>
          <w:rFonts w:hint="default" w:ascii="宋体" w:hAnsi="宋体" w:eastAsia="宋体" w:cs="宋体"/>
          <w:b/>
          <w:bCs/>
          <w:kern w:val="2"/>
          <w:sz w:val="21"/>
          <w:szCs w:val="21"/>
          <w:highlight w:val="none"/>
          <w:lang w:val="en-US" w:eastAsia="zh-CN" w:bidi="ar-SA"/>
        </w:rPr>
      </w:pPr>
      <w:r>
        <w:rPr>
          <w:rFonts w:hint="eastAsia" w:ascii="宋体" w:hAnsi="宋体" w:eastAsia="宋体" w:cs="宋体"/>
          <w:b/>
          <w:bCs/>
          <w:kern w:val="2"/>
          <w:sz w:val="21"/>
          <w:szCs w:val="21"/>
          <w:highlight w:val="none"/>
          <w:lang w:val="en-US" w:eastAsia="zh-CN" w:bidi="ar-SA"/>
        </w:rPr>
        <w:t>二、拟审计的11个政府投资项目</w:t>
      </w:r>
    </w:p>
    <w:bookmarkEnd w:id="468"/>
    <w:tbl>
      <w:tblPr>
        <w:tblStyle w:val="35"/>
        <w:tblW w:w="9409" w:type="dxa"/>
        <w:tblInd w:w="-2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1"/>
        <w:gridCol w:w="5277"/>
        <w:gridCol w:w="1350"/>
        <w:gridCol w:w="18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1" w:type="dxa"/>
            <w:vAlign w:val="center"/>
          </w:tcPr>
          <w:p>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bCs/>
                <w:sz w:val="21"/>
                <w:szCs w:val="21"/>
                <w:highlight w:val="none"/>
                <w:vertAlign w:val="baseline"/>
              </w:rPr>
            </w:pPr>
            <w:r>
              <w:rPr>
                <w:rFonts w:hint="eastAsia" w:ascii="宋体" w:hAnsi="宋体" w:eastAsia="宋体" w:cs="宋体"/>
                <w:b/>
                <w:bCs/>
                <w:i w:val="0"/>
                <w:iCs w:val="0"/>
                <w:color w:val="000000"/>
                <w:kern w:val="0"/>
                <w:sz w:val="21"/>
                <w:szCs w:val="21"/>
                <w:u w:val="none"/>
                <w:lang w:val="en-US" w:eastAsia="zh-CN" w:bidi="ar"/>
              </w:rPr>
              <w:t>序号</w:t>
            </w:r>
          </w:p>
        </w:tc>
        <w:tc>
          <w:tcPr>
            <w:tcW w:w="5277" w:type="dxa"/>
            <w:vAlign w:val="center"/>
          </w:tcPr>
          <w:p>
            <w:pPr>
              <w:keepNext w:val="0"/>
              <w:keepLines w:val="0"/>
              <w:pageBreakBefore w:val="0"/>
              <w:kinsoku/>
              <w:wordWrap/>
              <w:overflowPunct/>
              <w:topLinePunct w:val="0"/>
              <w:autoSpaceDE/>
              <w:autoSpaceDN/>
              <w:bidi w:val="0"/>
              <w:adjustRightInd w:val="0"/>
              <w:snapToGrid w:val="0"/>
              <w:spacing w:line="360" w:lineRule="auto"/>
              <w:jc w:val="center"/>
              <w:rPr>
                <w:rFonts w:hint="eastAsia" w:ascii="宋体" w:hAnsi="宋体" w:eastAsia="宋体" w:cs="宋体"/>
                <w:b/>
                <w:bCs/>
                <w:sz w:val="21"/>
                <w:szCs w:val="21"/>
                <w:highlight w:val="none"/>
                <w:vertAlign w:val="baseline"/>
                <w:lang w:val="en-US" w:eastAsia="zh-CN"/>
              </w:rPr>
            </w:pPr>
            <w:r>
              <w:rPr>
                <w:rFonts w:hint="eastAsia" w:ascii="宋体" w:hAnsi="宋体" w:eastAsia="宋体" w:cs="宋体"/>
                <w:b/>
                <w:bCs/>
                <w:sz w:val="21"/>
                <w:szCs w:val="21"/>
                <w:highlight w:val="none"/>
                <w:vertAlign w:val="baseline"/>
                <w:lang w:val="en-US" w:eastAsia="zh-CN"/>
              </w:rPr>
              <w:t>项目名称</w:t>
            </w:r>
          </w:p>
        </w:tc>
        <w:tc>
          <w:tcPr>
            <w:tcW w:w="1350" w:type="dxa"/>
            <w:vAlign w:val="center"/>
          </w:tcPr>
          <w:p>
            <w:pPr>
              <w:keepNext w:val="0"/>
              <w:keepLines w:val="0"/>
              <w:widowControl/>
              <w:suppressLineNumbers w:val="0"/>
              <w:jc w:val="center"/>
              <w:textAlignment w:val="center"/>
              <w:rPr>
                <w:rFonts w:hint="eastAsia" w:ascii="宋体" w:hAnsi="宋体" w:eastAsia="宋体" w:cs="宋体"/>
                <w:b/>
                <w:bCs/>
                <w:sz w:val="21"/>
                <w:szCs w:val="21"/>
                <w:highlight w:val="none"/>
                <w:vertAlign w:val="baseline"/>
              </w:rPr>
            </w:pPr>
            <w:r>
              <w:rPr>
                <w:rFonts w:hint="eastAsia" w:ascii="宋体" w:hAnsi="宋体" w:eastAsia="宋体" w:cs="宋体"/>
                <w:b/>
                <w:bCs/>
                <w:i w:val="0"/>
                <w:iCs w:val="0"/>
                <w:color w:val="000000"/>
                <w:kern w:val="0"/>
                <w:sz w:val="21"/>
                <w:szCs w:val="21"/>
                <w:u w:val="none"/>
                <w:lang w:val="en-US" w:eastAsia="zh-CN" w:bidi="ar"/>
              </w:rPr>
              <w:t>类别</w:t>
            </w:r>
          </w:p>
        </w:tc>
        <w:tc>
          <w:tcPr>
            <w:tcW w:w="1841" w:type="dxa"/>
            <w:vAlign w:val="center"/>
          </w:tcPr>
          <w:p>
            <w:pPr>
              <w:keepNext w:val="0"/>
              <w:keepLines w:val="0"/>
              <w:widowControl/>
              <w:suppressLineNumbers w:val="0"/>
              <w:jc w:val="center"/>
              <w:textAlignment w:val="center"/>
              <w:rPr>
                <w:rFonts w:hint="eastAsia" w:ascii="宋体" w:hAnsi="宋体" w:eastAsia="宋体" w:cs="宋体"/>
                <w:b/>
                <w:bCs/>
                <w:sz w:val="21"/>
                <w:szCs w:val="21"/>
                <w:highlight w:val="none"/>
                <w:vertAlign w:val="baseline"/>
              </w:rPr>
            </w:pPr>
            <w:r>
              <w:rPr>
                <w:rFonts w:hint="eastAsia" w:ascii="宋体" w:hAnsi="宋体" w:eastAsia="宋体" w:cs="宋体"/>
                <w:b/>
                <w:bCs/>
                <w:i w:val="0"/>
                <w:iCs w:val="0"/>
                <w:color w:val="000000"/>
                <w:kern w:val="0"/>
                <w:sz w:val="21"/>
                <w:szCs w:val="21"/>
                <w:u w:val="none"/>
                <w:lang w:val="en-US" w:eastAsia="zh-CN" w:bidi="ar"/>
              </w:rPr>
              <w:t>概算资金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1" w:type="dxa"/>
            <w:vAlign w:val="center"/>
          </w:tcPr>
          <w:p>
            <w:pPr>
              <w:keepNext w:val="0"/>
              <w:keepLines w:val="0"/>
              <w:widowControl/>
              <w:suppressLineNumbers w:val="0"/>
              <w:jc w:val="center"/>
              <w:textAlignment w:val="center"/>
              <w:rPr>
                <w:rFonts w:hint="eastAsia" w:ascii="宋体" w:hAnsi="宋体" w:eastAsia="宋体" w:cs="宋体"/>
                <w:bCs/>
                <w:sz w:val="21"/>
                <w:szCs w:val="21"/>
                <w:highlight w:val="none"/>
                <w:vertAlign w:val="baseline"/>
              </w:rPr>
            </w:pPr>
            <w:r>
              <w:rPr>
                <w:rFonts w:hint="eastAsia" w:ascii="宋体" w:hAnsi="宋体" w:eastAsia="宋体" w:cs="宋体"/>
                <w:i w:val="0"/>
                <w:iCs w:val="0"/>
                <w:color w:val="000000"/>
                <w:kern w:val="0"/>
                <w:sz w:val="21"/>
                <w:szCs w:val="21"/>
                <w:u w:val="none"/>
                <w:lang w:val="en-US" w:eastAsia="zh-CN" w:bidi="ar"/>
              </w:rPr>
              <w:t>1</w:t>
            </w:r>
          </w:p>
        </w:tc>
        <w:tc>
          <w:tcPr>
            <w:tcW w:w="5277" w:type="dxa"/>
          </w:tcPr>
          <w:p>
            <w:pPr>
              <w:adjustRightInd w:val="0"/>
              <w:snapToGrid w:val="0"/>
              <w:spacing w:line="360" w:lineRule="auto"/>
              <w:rPr>
                <w:rFonts w:hint="eastAsia" w:ascii="宋体" w:hAnsi="宋体" w:eastAsia="宋体" w:cs="宋体"/>
                <w:bCs/>
                <w:sz w:val="21"/>
                <w:szCs w:val="21"/>
                <w:highlight w:val="none"/>
                <w:vertAlign w:val="baseline"/>
              </w:rPr>
            </w:pPr>
            <w:r>
              <w:rPr>
                <w:rFonts w:hint="eastAsia" w:ascii="宋体" w:hAnsi="宋体" w:eastAsia="宋体" w:cs="宋体"/>
                <w:bCs/>
                <w:sz w:val="21"/>
                <w:szCs w:val="21"/>
                <w:highlight w:val="none"/>
                <w:vertAlign w:val="baseline"/>
              </w:rPr>
              <w:t>曲水县县城污水处理及收集系统工程</w:t>
            </w:r>
          </w:p>
        </w:tc>
        <w:tc>
          <w:tcPr>
            <w:tcW w:w="1350" w:type="dxa"/>
            <w:vAlign w:val="center"/>
          </w:tcPr>
          <w:p>
            <w:pPr>
              <w:keepNext w:val="0"/>
              <w:keepLines w:val="0"/>
              <w:widowControl/>
              <w:suppressLineNumbers w:val="0"/>
              <w:jc w:val="center"/>
              <w:textAlignment w:val="center"/>
              <w:rPr>
                <w:rFonts w:hint="eastAsia" w:ascii="宋体" w:hAnsi="宋体" w:eastAsia="宋体" w:cs="宋体"/>
                <w:bCs/>
                <w:sz w:val="21"/>
                <w:szCs w:val="21"/>
                <w:highlight w:val="none"/>
                <w:vertAlign w:val="baseline"/>
              </w:rPr>
            </w:pPr>
            <w:r>
              <w:rPr>
                <w:rFonts w:hint="eastAsia" w:ascii="宋体" w:hAnsi="宋体" w:eastAsia="宋体" w:cs="宋体"/>
                <w:i w:val="0"/>
                <w:iCs w:val="0"/>
                <w:color w:val="000000"/>
                <w:kern w:val="0"/>
                <w:sz w:val="21"/>
                <w:szCs w:val="21"/>
                <w:u w:val="none"/>
                <w:lang w:val="en-US" w:eastAsia="zh-CN" w:bidi="ar"/>
              </w:rPr>
              <w:t>市政</w:t>
            </w:r>
          </w:p>
        </w:tc>
        <w:tc>
          <w:tcPr>
            <w:tcW w:w="1841" w:type="dxa"/>
            <w:vAlign w:val="center"/>
          </w:tcPr>
          <w:p>
            <w:pPr>
              <w:keepNext w:val="0"/>
              <w:keepLines w:val="0"/>
              <w:widowControl/>
              <w:suppressLineNumbers w:val="0"/>
              <w:jc w:val="center"/>
              <w:textAlignment w:val="center"/>
              <w:rPr>
                <w:rFonts w:hint="eastAsia" w:ascii="宋体" w:hAnsi="宋体" w:eastAsia="宋体" w:cs="宋体"/>
                <w:bCs/>
                <w:sz w:val="21"/>
                <w:szCs w:val="21"/>
                <w:highlight w:val="none"/>
                <w:vertAlign w:val="baseline"/>
              </w:rPr>
            </w:pPr>
            <w:r>
              <w:rPr>
                <w:rFonts w:hint="eastAsia" w:ascii="宋体" w:hAnsi="宋体" w:eastAsia="宋体" w:cs="宋体"/>
                <w:i w:val="0"/>
                <w:iCs w:val="0"/>
                <w:color w:val="000000"/>
                <w:kern w:val="0"/>
                <w:sz w:val="21"/>
                <w:szCs w:val="21"/>
                <w:u w:val="none"/>
                <w:lang w:val="en-US" w:eastAsia="zh-CN" w:bidi="ar"/>
              </w:rPr>
              <w:t xml:space="preserve">4605.26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1" w:type="dxa"/>
            <w:vAlign w:val="center"/>
          </w:tcPr>
          <w:p>
            <w:pPr>
              <w:keepNext w:val="0"/>
              <w:keepLines w:val="0"/>
              <w:widowControl/>
              <w:suppressLineNumbers w:val="0"/>
              <w:jc w:val="center"/>
              <w:textAlignment w:val="center"/>
              <w:rPr>
                <w:rFonts w:hint="eastAsia" w:ascii="宋体" w:hAnsi="宋体" w:eastAsia="宋体" w:cs="宋体"/>
                <w:bCs/>
                <w:sz w:val="21"/>
                <w:szCs w:val="21"/>
                <w:highlight w:val="none"/>
                <w:vertAlign w:val="baseline"/>
              </w:rPr>
            </w:pPr>
            <w:r>
              <w:rPr>
                <w:rFonts w:hint="eastAsia" w:ascii="宋体" w:hAnsi="宋体" w:eastAsia="宋体" w:cs="宋体"/>
                <w:i w:val="0"/>
                <w:iCs w:val="0"/>
                <w:color w:val="000000"/>
                <w:kern w:val="0"/>
                <w:sz w:val="21"/>
                <w:szCs w:val="21"/>
                <w:u w:val="none"/>
                <w:lang w:val="en-US" w:eastAsia="zh-CN" w:bidi="ar"/>
              </w:rPr>
              <w:t>2</w:t>
            </w:r>
          </w:p>
        </w:tc>
        <w:tc>
          <w:tcPr>
            <w:tcW w:w="5277" w:type="dxa"/>
          </w:tcPr>
          <w:p>
            <w:pPr>
              <w:adjustRightInd w:val="0"/>
              <w:snapToGrid w:val="0"/>
              <w:spacing w:line="360" w:lineRule="auto"/>
              <w:rPr>
                <w:rFonts w:hint="eastAsia" w:ascii="宋体" w:hAnsi="宋体" w:eastAsia="宋体" w:cs="宋体"/>
                <w:bCs/>
                <w:sz w:val="21"/>
                <w:szCs w:val="21"/>
                <w:highlight w:val="none"/>
                <w:vertAlign w:val="baseline"/>
              </w:rPr>
            </w:pPr>
            <w:r>
              <w:rPr>
                <w:rFonts w:hint="eastAsia" w:ascii="宋体" w:hAnsi="宋体" w:eastAsia="宋体" w:cs="宋体"/>
                <w:bCs/>
                <w:sz w:val="21"/>
                <w:szCs w:val="21"/>
                <w:highlight w:val="none"/>
                <w:vertAlign w:val="baseline"/>
              </w:rPr>
              <w:t>曲水县雪亮工程三期建设项目</w:t>
            </w:r>
          </w:p>
        </w:tc>
        <w:tc>
          <w:tcPr>
            <w:tcW w:w="1350" w:type="dxa"/>
            <w:vAlign w:val="center"/>
          </w:tcPr>
          <w:p>
            <w:pPr>
              <w:keepNext w:val="0"/>
              <w:keepLines w:val="0"/>
              <w:widowControl/>
              <w:suppressLineNumbers w:val="0"/>
              <w:jc w:val="center"/>
              <w:textAlignment w:val="center"/>
              <w:rPr>
                <w:rFonts w:hint="eastAsia" w:ascii="宋体" w:hAnsi="宋体" w:eastAsia="宋体" w:cs="宋体"/>
                <w:bCs/>
                <w:sz w:val="21"/>
                <w:szCs w:val="21"/>
                <w:highlight w:val="none"/>
                <w:vertAlign w:val="baseline"/>
              </w:rPr>
            </w:pPr>
            <w:r>
              <w:rPr>
                <w:rFonts w:hint="eastAsia" w:ascii="宋体" w:hAnsi="宋体" w:eastAsia="宋体" w:cs="宋体"/>
                <w:i w:val="0"/>
                <w:iCs w:val="0"/>
                <w:color w:val="000000"/>
                <w:kern w:val="0"/>
                <w:sz w:val="21"/>
                <w:szCs w:val="21"/>
                <w:u w:val="none"/>
                <w:lang w:val="en-US" w:eastAsia="zh-CN" w:bidi="ar"/>
              </w:rPr>
              <w:t>信息化</w:t>
            </w:r>
          </w:p>
        </w:tc>
        <w:tc>
          <w:tcPr>
            <w:tcW w:w="1841" w:type="dxa"/>
            <w:vAlign w:val="center"/>
          </w:tcPr>
          <w:p>
            <w:pPr>
              <w:keepNext w:val="0"/>
              <w:keepLines w:val="0"/>
              <w:widowControl/>
              <w:suppressLineNumbers w:val="0"/>
              <w:jc w:val="center"/>
              <w:textAlignment w:val="center"/>
              <w:rPr>
                <w:rFonts w:hint="eastAsia" w:ascii="宋体" w:hAnsi="宋体" w:eastAsia="宋体" w:cs="宋体"/>
                <w:bCs/>
                <w:sz w:val="21"/>
                <w:szCs w:val="21"/>
                <w:highlight w:val="none"/>
                <w:vertAlign w:val="baseline"/>
              </w:rPr>
            </w:pPr>
            <w:r>
              <w:rPr>
                <w:rFonts w:hint="eastAsia" w:ascii="宋体" w:hAnsi="宋体" w:eastAsia="宋体" w:cs="宋体"/>
                <w:i w:val="0"/>
                <w:iCs w:val="0"/>
                <w:color w:val="000000"/>
                <w:kern w:val="0"/>
                <w:sz w:val="21"/>
                <w:szCs w:val="21"/>
                <w:u w:val="none"/>
                <w:lang w:val="en-US" w:eastAsia="zh-CN" w:bidi="ar"/>
              </w:rPr>
              <w:t xml:space="preserve">2454.02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1" w:type="dxa"/>
            <w:vAlign w:val="center"/>
          </w:tcPr>
          <w:p>
            <w:pPr>
              <w:keepNext w:val="0"/>
              <w:keepLines w:val="0"/>
              <w:widowControl/>
              <w:suppressLineNumbers w:val="0"/>
              <w:jc w:val="center"/>
              <w:textAlignment w:val="center"/>
              <w:rPr>
                <w:rFonts w:hint="eastAsia" w:ascii="宋体" w:hAnsi="宋体" w:eastAsia="宋体" w:cs="宋体"/>
                <w:bCs/>
                <w:sz w:val="21"/>
                <w:szCs w:val="21"/>
                <w:highlight w:val="none"/>
                <w:vertAlign w:val="baseline"/>
              </w:rPr>
            </w:pPr>
            <w:r>
              <w:rPr>
                <w:rFonts w:hint="eastAsia" w:ascii="宋体" w:hAnsi="宋体" w:eastAsia="宋体" w:cs="宋体"/>
                <w:i w:val="0"/>
                <w:iCs w:val="0"/>
                <w:color w:val="000000"/>
                <w:kern w:val="0"/>
                <w:sz w:val="21"/>
                <w:szCs w:val="21"/>
                <w:u w:val="none"/>
                <w:lang w:val="en-US" w:eastAsia="zh-CN" w:bidi="ar"/>
              </w:rPr>
              <w:t>3</w:t>
            </w:r>
          </w:p>
        </w:tc>
        <w:tc>
          <w:tcPr>
            <w:tcW w:w="5277" w:type="dxa"/>
          </w:tcPr>
          <w:p>
            <w:pPr>
              <w:adjustRightInd w:val="0"/>
              <w:snapToGrid w:val="0"/>
              <w:spacing w:line="360" w:lineRule="auto"/>
              <w:rPr>
                <w:rFonts w:hint="eastAsia" w:ascii="宋体" w:hAnsi="宋体" w:eastAsia="宋体" w:cs="宋体"/>
                <w:bCs/>
                <w:sz w:val="21"/>
                <w:szCs w:val="21"/>
                <w:highlight w:val="none"/>
                <w:vertAlign w:val="baseline"/>
              </w:rPr>
            </w:pPr>
            <w:r>
              <w:rPr>
                <w:rFonts w:hint="eastAsia" w:ascii="宋体" w:hAnsi="宋体" w:eastAsia="宋体" w:cs="宋体"/>
                <w:bCs/>
                <w:sz w:val="21"/>
                <w:szCs w:val="21"/>
                <w:highlight w:val="none"/>
                <w:vertAlign w:val="baseline"/>
              </w:rPr>
              <w:t>曲水县扶贫农贸增收产业项目</w:t>
            </w:r>
          </w:p>
        </w:tc>
        <w:tc>
          <w:tcPr>
            <w:tcW w:w="1350" w:type="dxa"/>
            <w:vAlign w:val="center"/>
          </w:tcPr>
          <w:p>
            <w:pPr>
              <w:keepNext w:val="0"/>
              <w:keepLines w:val="0"/>
              <w:widowControl/>
              <w:suppressLineNumbers w:val="0"/>
              <w:jc w:val="center"/>
              <w:textAlignment w:val="center"/>
              <w:rPr>
                <w:rFonts w:hint="eastAsia" w:ascii="宋体" w:hAnsi="宋体" w:eastAsia="宋体" w:cs="宋体"/>
                <w:bCs/>
                <w:sz w:val="21"/>
                <w:szCs w:val="21"/>
                <w:highlight w:val="none"/>
                <w:vertAlign w:val="baseline"/>
              </w:rPr>
            </w:pPr>
            <w:r>
              <w:rPr>
                <w:rFonts w:hint="eastAsia" w:ascii="宋体" w:hAnsi="宋体" w:eastAsia="宋体" w:cs="宋体"/>
                <w:i w:val="0"/>
                <w:iCs w:val="0"/>
                <w:color w:val="000000"/>
                <w:kern w:val="0"/>
                <w:sz w:val="21"/>
                <w:szCs w:val="21"/>
                <w:u w:val="none"/>
                <w:lang w:val="en-US" w:eastAsia="zh-CN" w:bidi="ar"/>
              </w:rPr>
              <w:t>房建</w:t>
            </w:r>
          </w:p>
        </w:tc>
        <w:tc>
          <w:tcPr>
            <w:tcW w:w="1841" w:type="dxa"/>
            <w:vAlign w:val="center"/>
          </w:tcPr>
          <w:p>
            <w:pPr>
              <w:keepNext w:val="0"/>
              <w:keepLines w:val="0"/>
              <w:widowControl/>
              <w:suppressLineNumbers w:val="0"/>
              <w:jc w:val="center"/>
              <w:textAlignment w:val="center"/>
              <w:rPr>
                <w:rFonts w:hint="eastAsia" w:ascii="宋体" w:hAnsi="宋体" w:eastAsia="宋体" w:cs="宋体"/>
                <w:bCs/>
                <w:sz w:val="21"/>
                <w:szCs w:val="21"/>
                <w:highlight w:val="none"/>
                <w:vertAlign w:val="baseline"/>
              </w:rPr>
            </w:pPr>
            <w:r>
              <w:rPr>
                <w:rFonts w:hint="eastAsia" w:ascii="宋体" w:hAnsi="宋体" w:eastAsia="宋体" w:cs="宋体"/>
                <w:i w:val="0"/>
                <w:iCs w:val="0"/>
                <w:color w:val="000000"/>
                <w:kern w:val="0"/>
                <w:sz w:val="21"/>
                <w:szCs w:val="21"/>
                <w:u w:val="none"/>
                <w:lang w:val="en-US" w:eastAsia="zh-CN" w:bidi="ar"/>
              </w:rPr>
              <w:t xml:space="preserve">2975.64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1" w:type="dxa"/>
            <w:vAlign w:val="center"/>
          </w:tcPr>
          <w:p>
            <w:pPr>
              <w:keepNext w:val="0"/>
              <w:keepLines w:val="0"/>
              <w:widowControl/>
              <w:suppressLineNumbers w:val="0"/>
              <w:jc w:val="center"/>
              <w:textAlignment w:val="center"/>
              <w:rPr>
                <w:rFonts w:hint="eastAsia" w:ascii="宋体" w:hAnsi="宋体" w:eastAsia="宋体" w:cs="宋体"/>
                <w:bCs/>
                <w:sz w:val="21"/>
                <w:szCs w:val="21"/>
                <w:highlight w:val="none"/>
                <w:vertAlign w:val="baseline"/>
              </w:rPr>
            </w:pPr>
            <w:r>
              <w:rPr>
                <w:rFonts w:hint="eastAsia" w:ascii="宋体" w:hAnsi="宋体" w:eastAsia="宋体" w:cs="宋体"/>
                <w:i w:val="0"/>
                <w:iCs w:val="0"/>
                <w:color w:val="000000"/>
                <w:kern w:val="0"/>
                <w:sz w:val="21"/>
                <w:szCs w:val="21"/>
                <w:u w:val="none"/>
                <w:lang w:val="en-US" w:eastAsia="zh-CN" w:bidi="ar"/>
              </w:rPr>
              <w:t>4</w:t>
            </w:r>
          </w:p>
        </w:tc>
        <w:tc>
          <w:tcPr>
            <w:tcW w:w="5277" w:type="dxa"/>
          </w:tcPr>
          <w:p>
            <w:pPr>
              <w:adjustRightInd w:val="0"/>
              <w:snapToGrid w:val="0"/>
              <w:spacing w:line="360" w:lineRule="auto"/>
              <w:rPr>
                <w:rFonts w:hint="eastAsia" w:ascii="宋体" w:hAnsi="宋体" w:eastAsia="宋体" w:cs="宋体"/>
                <w:bCs/>
                <w:sz w:val="21"/>
                <w:szCs w:val="21"/>
                <w:highlight w:val="none"/>
                <w:vertAlign w:val="baseline"/>
              </w:rPr>
            </w:pPr>
            <w:r>
              <w:rPr>
                <w:rFonts w:hint="eastAsia" w:ascii="宋体" w:hAnsi="宋体" w:eastAsia="宋体" w:cs="宋体"/>
                <w:bCs/>
                <w:sz w:val="21"/>
                <w:szCs w:val="21"/>
                <w:highlight w:val="none"/>
                <w:vertAlign w:val="baseline"/>
              </w:rPr>
              <w:t>拉萨市曲水县南木乡南木村5组至6组公路工程</w:t>
            </w:r>
          </w:p>
        </w:tc>
        <w:tc>
          <w:tcPr>
            <w:tcW w:w="1350" w:type="dxa"/>
            <w:vAlign w:val="center"/>
          </w:tcPr>
          <w:p>
            <w:pPr>
              <w:keepNext w:val="0"/>
              <w:keepLines w:val="0"/>
              <w:widowControl/>
              <w:suppressLineNumbers w:val="0"/>
              <w:jc w:val="center"/>
              <w:textAlignment w:val="center"/>
              <w:rPr>
                <w:rFonts w:hint="eastAsia" w:ascii="宋体" w:hAnsi="宋体" w:eastAsia="宋体" w:cs="宋体"/>
                <w:bCs/>
                <w:sz w:val="21"/>
                <w:szCs w:val="21"/>
                <w:highlight w:val="none"/>
                <w:vertAlign w:val="baseline"/>
              </w:rPr>
            </w:pPr>
            <w:r>
              <w:rPr>
                <w:rFonts w:hint="eastAsia" w:ascii="宋体" w:hAnsi="宋体" w:eastAsia="宋体" w:cs="宋体"/>
                <w:i w:val="0"/>
                <w:iCs w:val="0"/>
                <w:color w:val="000000"/>
                <w:kern w:val="0"/>
                <w:sz w:val="21"/>
                <w:szCs w:val="21"/>
                <w:u w:val="none"/>
                <w:lang w:val="en-US" w:eastAsia="zh-CN" w:bidi="ar"/>
              </w:rPr>
              <w:t>公路</w:t>
            </w:r>
          </w:p>
        </w:tc>
        <w:tc>
          <w:tcPr>
            <w:tcW w:w="1841" w:type="dxa"/>
            <w:vAlign w:val="center"/>
          </w:tcPr>
          <w:p>
            <w:pPr>
              <w:keepNext w:val="0"/>
              <w:keepLines w:val="0"/>
              <w:widowControl/>
              <w:suppressLineNumbers w:val="0"/>
              <w:jc w:val="center"/>
              <w:textAlignment w:val="center"/>
              <w:rPr>
                <w:rFonts w:hint="eastAsia" w:ascii="宋体" w:hAnsi="宋体" w:eastAsia="宋体" w:cs="宋体"/>
                <w:bCs/>
                <w:sz w:val="21"/>
                <w:szCs w:val="21"/>
                <w:highlight w:val="none"/>
                <w:vertAlign w:val="baseline"/>
              </w:rPr>
            </w:pPr>
            <w:r>
              <w:rPr>
                <w:rFonts w:hint="eastAsia" w:ascii="宋体" w:hAnsi="宋体" w:eastAsia="宋体" w:cs="宋体"/>
                <w:i w:val="0"/>
                <w:iCs w:val="0"/>
                <w:color w:val="000000"/>
                <w:kern w:val="0"/>
                <w:sz w:val="21"/>
                <w:szCs w:val="21"/>
                <w:u w:val="none"/>
                <w:lang w:val="en-US" w:eastAsia="zh-CN" w:bidi="ar"/>
              </w:rPr>
              <w:t xml:space="preserve">3434.79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1" w:type="dxa"/>
            <w:vAlign w:val="center"/>
          </w:tcPr>
          <w:p>
            <w:pPr>
              <w:keepNext w:val="0"/>
              <w:keepLines w:val="0"/>
              <w:widowControl/>
              <w:suppressLineNumbers w:val="0"/>
              <w:jc w:val="center"/>
              <w:textAlignment w:val="center"/>
              <w:rPr>
                <w:rFonts w:hint="eastAsia" w:ascii="宋体" w:hAnsi="宋体" w:eastAsia="宋体" w:cs="宋体"/>
                <w:bCs/>
                <w:sz w:val="21"/>
                <w:szCs w:val="21"/>
                <w:highlight w:val="none"/>
                <w:vertAlign w:val="baseline"/>
              </w:rPr>
            </w:pPr>
            <w:r>
              <w:rPr>
                <w:rFonts w:hint="eastAsia" w:ascii="宋体" w:hAnsi="宋体" w:eastAsia="宋体" w:cs="宋体"/>
                <w:i w:val="0"/>
                <w:iCs w:val="0"/>
                <w:color w:val="000000"/>
                <w:kern w:val="0"/>
                <w:sz w:val="21"/>
                <w:szCs w:val="21"/>
                <w:u w:val="none"/>
                <w:lang w:val="en-US" w:eastAsia="zh-CN" w:bidi="ar"/>
              </w:rPr>
              <w:t>5</w:t>
            </w:r>
          </w:p>
        </w:tc>
        <w:tc>
          <w:tcPr>
            <w:tcW w:w="5277" w:type="dxa"/>
          </w:tcPr>
          <w:p>
            <w:pPr>
              <w:adjustRightInd w:val="0"/>
              <w:snapToGrid w:val="0"/>
              <w:spacing w:line="360" w:lineRule="auto"/>
              <w:rPr>
                <w:rFonts w:hint="eastAsia" w:ascii="宋体" w:hAnsi="宋体" w:eastAsia="宋体" w:cs="宋体"/>
                <w:bCs/>
                <w:sz w:val="21"/>
                <w:szCs w:val="21"/>
                <w:highlight w:val="none"/>
                <w:vertAlign w:val="baseline"/>
              </w:rPr>
            </w:pPr>
            <w:r>
              <w:rPr>
                <w:rFonts w:hint="eastAsia" w:ascii="宋体" w:hAnsi="宋体" w:eastAsia="宋体" w:cs="宋体"/>
                <w:bCs/>
                <w:sz w:val="21"/>
                <w:szCs w:val="21"/>
                <w:highlight w:val="none"/>
                <w:vertAlign w:val="baseline"/>
              </w:rPr>
              <w:t>西藏“两江四河”流域2020年度曲水县造林绿化工程</w:t>
            </w:r>
          </w:p>
        </w:tc>
        <w:tc>
          <w:tcPr>
            <w:tcW w:w="1350" w:type="dxa"/>
            <w:vAlign w:val="center"/>
          </w:tcPr>
          <w:p>
            <w:pPr>
              <w:keepNext w:val="0"/>
              <w:keepLines w:val="0"/>
              <w:widowControl/>
              <w:suppressLineNumbers w:val="0"/>
              <w:jc w:val="center"/>
              <w:textAlignment w:val="center"/>
              <w:rPr>
                <w:rFonts w:hint="eastAsia" w:ascii="宋体" w:hAnsi="宋体" w:eastAsia="宋体" w:cs="宋体"/>
                <w:bCs/>
                <w:sz w:val="21"/>
                <w:szCs w:val="21"/>
                <w:highlight w:val="none"/>
                <w:vertAlign w:val="baseline"/>
              </w:rPr>
            </w:pPr>
            <w:r>
              <w:rPr>
                <w:rFonts w:hint="eastAsia" w:ascii="宋体" w:hAnsi="宋体" w:eastAsia="宋体" w:cs="宋体"/>
                <w:i w:val="0"/>
                <w:iCs w:val="0"/>
                <w:color w:val="000000"/>
                <w:kern w:val="0"/>
                <w:sz w:val="21"/>
                <w:szCs w:val="21"/>
                <w:u w:val="none"/>
                <w:lang w:val="en-US" w:eastAsia="zh-CN" w:bidi="ar"/>
              </w:rPr>
              <w:t>林业</w:t>
            </w:r>
          </w:p>
        </w:tc>
        <w:tc>
          <w:tcPr>
            <w:tcW w:w="1841" w:type="dxa"/>
            <w:vAlign w:val="center"/>
          </w:tcPr>
          <w:p>
            <w:pPr>
              <w:keepNext w:val="0"/>
              <w:keepLines w:val="0"/>
              <w:widowControl/>
              <w:suppressLineNumbers w:val="0"/>
              <w:jc w:val="center"/>
              <w:textAlignment w:val="center"/>
              <w:rPr>
                <w:rFonts w:hint="eastAsia" w:ascii="宋体" w:hAnsi="宋体" w:eastAsia="宋体" w:cs="宋体"/>
                <w:bCs/>
                <w:sz w:val="21"/>
                <w:szCs w:val="21"/>
                <w:highlight w:val="none"/>
                <w:vertAlign w:val="baseline"/>
              </w:rPr>
            </w:pPr>
            <w:r>
              <w:rPr>
                <w:rFonts w:hint="eastAsia" w:ascii="宋体" w:hAnsi="宋体" w:eastAsia="宋体" w:cs="宋体"/>
                <w:i w:val="0"/>
                <w:iCs w:val="0"/>
                <w:color w:val="000000"/>
                <w:kern w:val="0"/>
                <w:sz w:val="21"/>
                <w:szCs w:val="21"/>
                <w:u w:val="none"/>
                <w:lang w:val="en-US" w:eastAsia="zh-CN" w:bidi="ar"/>
              </w:rPr>
              <w:t xml:space="preserve">2102.90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1" w:type="dxa"/>
            <w:vAlign w:val="center"/>
          </w:tcPr>
          <w:p>
            <w:pPr>
              <w:keepNext w:val="0"/>
              <w:keepLines w:val="0"/>
              <w:widowControl/>
              <w:suppressLineNumbers w:val="0"/>
              <w:jc w:val="center"/>
              <w:textAlignment w:val="center"/>
              <w:rPr>
                <w:rFonts w:hint="eastAsia" w:ascii="宋体" w:hAnsi="宋体" w:eastAsia="宋体" w:cs="宋体"/>
                <w:bCs/>
                <w:sz w:val="21"/>
                <w:szCs w:val="21"/>
                <w:highlight w:val="none"/>
                <w:vertAlign w:val="baseline"/>
              </w:rPr>
            </w:pPr>
            <w:r>
              <w:rPr>
                <w:rFonts w:hint="eastAsia" w:ascii="宋体" w:hAnsi="宋体" w:eastAsia="宋体" w:cs="宋体"/>
                <w:i w:val="0"/>
                <w:iCs w:val="0"/>
                <w:color w:val="000000"/>
                <w:kern w:val="0"/>
                <w:sz w:val="21"/>
                <w:szCs w:val="21"/>
                <w:u w:val="none"/>
                <w:lang w:val="en-US" w:eastAsia="zh-CN" w:bidi="ar"/>
              </w:rPr>
              <w:t>6</w:t>
            </w:r>
          </w:p>
        </w:tc>
        <w:tc>
          <w:tcPr>
            <w:tcW w:w="5277" w:type="dxa"/>
          </w:tcPr>
          <w:p>
            <w:pPr>
              <w:adjustRightInd w:val="0"/>
              <w:snapToGrid w:val="0"/>
              <w:spacing w:line="360" w:lineRule="auto"/>
              <w:rPr>
                <w:rFonts w:hint="eastAsia" w:ascii="宋体" w:hAnsi="宋体" w:eastAsia="宋体" w:cs="宋体"/>
                <w:bCs/>
                <w:sz w:val="21"/>
                <w:szCs w:val="21"/>
                <w:highlight w:val="none"/>
                <w:vertAlign w:val="baseline"/>
              </w:rPr>
            </w:pPr>
            <w:r>
              <w:rPr>
                <w:rFonts w:hint="eastAsia" w:ascii="宋体" w:hAnsi="宋体" w:eastAsia="宋体" w:cs="宋体"/>
                <w:bCs/>
                <w:sz w:val="21"/>
                <w:szCs w:val="21"/>
                <w:highlight w:val="none"/>
                <w:vertAlign w:val="baseline"/>
              </w:rPr>
              <w:t>曲水县南木乡南木村小康安居试点工程</w:t>
            </w:r>
          </w:p>
        </w:tc>
        <w:tc>
          <w:tcPr>
            <w:tcW w:w="1350" w:type="dxa"/>
            <w:vAlign w:val="center"/>
          </w:tcPr>
          <w:p>
            <w:pPr>
              <w:keepNext w:val="0"/>
              <w:keepLines w:val="0"/>
              <w:widowControl/>
              <w:suppressLineNumbers w:val="0"/>
              <w:jc w:val="center"/>
              <w:textAlignment w:val="center"/>
              <w:rPr>
                <w:rFonts w:hint="eastAsia" w:ascii="宋体" w:hAnsi="宋体" w:eastAsia="宋体" w:cs="宋体"/>
                <w:bCs/>
                <w:sz w:val="21"/>
                <w:szCs w:val="21"/>
                <w:highlight w:val="none"/>
                <w:vertAlign w:val="baseline"/>
              </w:rPr>
            </w:pPr>
            <w:r>
              <w:rPr>
                <w:rFonts w:hint="eastAsia" w:ascii="宋体" w:hAnsi="宋体" w:eastAsia="宋体" w:cs="宋体"/>
                <w:i w:val="0"/>
                <w:iCs w:val="0"/>
                <w:color w:val="000000"/>
                <w:kern w:val="0"/>
                <w:sz w:val="21"/>
                <w:szCs w:val="21"/>
                <w:u w:val="none"/>
                <w:lang w:val="en-US" w:eastAsia="zh-CN" w:bidi="ar"/>
              </w:rPr>
              <w:t>房建</w:t>
            </w:r>
          </w:p>
        </w:tc>
        <w:tc>
          <w:tcPr>
            <w:tcW w:w="1841" w:type="dxa"/>
            <w:vAlign w:val="center"/>
          </w:tcPr>
          <w:p>
            <w:pPr>
              <w:keepNext w:val="0"/>
              <w:keepLines w:val="0"/>
              <w:widowControl/>
              <w:suppressLineNumbers w:val="0"/>
              <w:jc w:val="center"/>
              <w:textAlignment w:val="center"/>
              <w:rPr>
                <w:rFonts w:hint="eastAsia" w:ascii="宋体" w:hAnsi="宋体" w:eastAsia="宋体" w:cs="宋体"/>
                <w:bCs/>
                <w:sz w:val="21"/>
                <w:szCs w:val="21"/>
                <w:highlight w:val="none"/>
                <w:vertAlign w:val="baseline"/>
              </w:rPr>
            </w:pPr>
            <w:r>
              <w:rPr>
                <w:rFonts w:hint="eastAsia" w:ascii="宋体" w:hAnsi="宋体" w:eastAsia="宋体" w:cs="宋体"/>
                <w:i w:val="0"/>
                <w:iCs w:val="0"/>
                <w:color w:val="000000"/>
                <w:kern w:val="0"/>
                <w:sz w:val="21"/>
                <w:szCs w:val="21"/>
                <w:u w:val="none"/>
                <w:lang w:val="en-US" w:eastAsia="zh-CN" w:bidi="ar"/>
              </w:rPr>
              <w:t xml:space="preserve">3895.09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1" w:type="dxa"/>
            <w:vAlign w:val="center"/>
          </w:tcPr>
          <w:p>
            <w:pPr>
              <w:keepNext w:val="0"/>
              <w:keepLines w:val="0"/>
              <w:widowControl/>
              <w:suppressLineNumbers w:val="0"/>
              <w:jc w:val="center"/>
              <w:textAlignment w:val="center"/>
              <w:rPr>
                <w:rFonts w:hint="eastAsia" w:ascii="宋体" w:hAnsi="宋体" w:cs="宋体"/>
                <w:bCs/>
                <w:szCs w:val="21"/>
                <w:highlight w:val="none"/>
                <w:vertAlign w:val="baseline"/>
              </w:rPr>
            </w:pPr>
            <w:r>
              <w:rPr>
                <w:rFonts w:hint="eastAsia" w:ascii="宋体" w:hAnsi="宋体" w:eastAsia="宋体" w:cs="宋体"/>
                <w:i w:val="0"/>
                <w:iCs w:val="0"/>
                <w:color w:val="000000"/>
                <w:kern w:val="0"/>
                <w:sz w:val="22"/>
                <w:szCs w:val="22"/>
                <w:u w:val="none"/>
                <w:lang w:val="en-US" w:eastAsia="zh-CN" w:bidi="ar"/>
              </w:rPr>
              <w:t>7</w:t>
            </w:r>
          </w:p>
        </w:tc>
        <w:tc>
          <w:tcPr>
            <w:tcW w:w="5277" w:type="dxa"/>
          </w:tcPr>
          <w:p>
            <w:pPr>
              <w:adjustRightInd w:val="0"/>
              <w:snapToGrid w:val="0"/>
              <w:spacing w:line="360" w:lineRule="auto"/>
              <w:rPr>
                <w:rFonts w:hint="eastAsia" w:ascii="宋体" w:hAnsi="宋体" w:cs="宋体"/>
                <w:bCs/>
                <w:szCs w:val="21"/>
                <w:highlight w:val="none"/>
                <w:vertAlign w:val="baseline"/>
              </w:rPr>
            </w:pPr>
            <w:r>
              <w:rPr>
                <w:rFonts w:hint="eastAsia" w:ascii="宋体" w:hAnsi="宋体" w:cs="宋体"/>
                <w:bCs/>
                <w:szCs w:val="21"/>
                <w:highlight w:val="none"/>
                <w:vertAlign w:val="baseline"/>
              </w:rPr>
              <w:t>曲水县2019年公租房建设项目</w:t>
            </w:r>
          </w:p>
        </w:tc>
        <w:tc>
          <w:tcPr>
            <w:tcW w:w="1350" w:type="dxa"/>
            <w:vAlign w:val="center"/>
          </w:tcPr>
          <w:p>
            <w:pPr>
              <w:keepNext w:val="0"/>
              <w:keepLines w:val="0"/>
              <w:widowControl/>
              <w:suppressLineNumbers w:val="0"/>
              <w:jc w:val="center"/>
              <w:textAlignment w:val="center"/>
              <w:rPr>
                <w:rFonts w:hint="eastAsia" w:ascii="宋体" w:hAnsi="宋体" w:eastAsia="宋体" w:cs="宋体"/>
                <w:bCs/>
                <w:sz w:val="21"/>
                <w:szCs w:val="21"/>
                <w:highlight w:val="none"/>
                <w:vertAlign w:val="baseline"/>
              </w:rPr>
            </w:pPr>
            <w:r>
              <w:rPr>
                <w:rFonts w:hint="eastAsia" w:ascii="宋体" w:hAnsi="宋体" w:eastAsia="宋体" w:cs="宋体"/>
                <w:i w:val="0"/>
                <w:iCs w:val="0"/>
                <w:color w:val="000000"/>
                <w:kern w:val="0"/>
                <w:sz w:val="21"/>
                <w:szCs w:val="21"/>
                <w:u w:val="none"/>
                <w:lang w:val="en-US" w:eastAsia="zh-CN" w:bidi="ar"/>
              </w:rPr>
              <w:t>房建</w:t>
            </w:r>
          </w:p>
        </w:tc>
        <w:tc>
          <w:tcPr>
            <w:tcW w:w="1841" w:type="dxa"/>
            <w:vAlign w:val="center"/>
          </w:tcPr>
          <w:p>
            <w:pPr>
              <w:keepNext w:val="0"/>
              <w:keepLines w:val="0"/>
              <w:widowControl/>
              <w:suppressLineNumbers w:val="0"/>
              <w:jc w:val="center"/>
              <w:textAlignment w:val="center"/>
              <w:rPr>
                <w:rFonts w:hint="eastAsia" w:ascii="宋体" w:hAnsi="宋体" w:eastAsia="宋体" w:cs="宋体"/>
                <w:bCs/>
                <w:sz w:val="21"/>
                <w:szCs w:val="21"/>
                <w:highlight w:val="none"/>
                <w:vertAlign w:val="baseline"/>
              </w:rPr>
            </w:pPr>
            <w:r>
              <w:rPr>
                <w:rFonts w:hint="eastAsia" w:ascii="宋体" w:hAnsi="宋体" w:eastAsia="宋体" w:cs="宋体"/>
                <w:i w:val="0"/>
                <w:iCs w:val="0"/>
                <w:color w:val="000000"/>
                <w:kern w:val="0"/>
                <w:sz w:val="21"/>
                <w:szCs w:val="21"/>
                <w:u w:val="none"/>
                <w:lang w:val="en-US" w:eastAsia="zh-CN" w:bidi="ar"/>
              </w:rPr>
              <w:t xml:space="preserve">3204.17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1" w:type="dxa"/>
            <w:vAlign w:val="center"/>
          </w:tcPr>
          <w:p>
            <w:pPr>
              <w:keepNext w:val="0"/>
              <w:keepLines w:val="0"/>
              <w:widowControl/>
              <w:suppressLineNumbers w:val="0"/>
              <w:jc w:val="center"/>
              <w:textAlignment w:val="center"/>
              <w:rPr>
                <w:rFonts w:hint="eastAsia" w:ascii="宋体" w:hAnsi="宋体" w:cs="宋体"/>
                <w:bCs/>
                <w:szCs w:val="21"/>
                <w:highlight w:val="none"/>
                <w:vertAlign w:val="baseline"/>
              </w:rPr>
            </w:pPr>
            <w:r>
              <w:rPr>
                <w:rFonts w:hint="eastAsia" w:ascii="宋体" w:hAnsi="宋体" w:eastAsia="宋体" w:cs="宋体"/>
                <w:i w:val="0"/>
                <w:iCs w:val="0"/>
                <w:color w:val="000000"/>
                <w:kern w:val="0"/>
                <w:sz w:val="22"/>
                <w:szCs w:val="22"/>
                <w:u w:val="none"/>
                <w:lang w:val="en-US" w:eastAsia="zh-CN" w:bidi="ar"/>
              </w:rPr>
              <w:t>8</w:t>
            </w:r>
          </w:p>
        </w:tc>
        <w:tc>
          <w:tcPr>
            <w:tcW w:w="5277" w:type="dxa"/>
          </w:tcPr>
          <w:p>
            <w:pPr>
              <w:adjustRightInd w:val="0"/>
              <w:snapToGrid w:val="0"/>
              <w:spacing w:line="360" w:lineRule="auto"/>
              <w:rPr>
                <w:rFonts w:hint="eastAsia" w:ascii="宋体" w:hAnsi="宋体" w:cs="宋体"/>
                <w:bCs/>
                <w:szCs w:val="21"/>
                <w:highlight w:val="none"/>
                <w:vertAlign w:val="baseline"/>
              </w:rPr>
            </w:pPr>
            <w:r>
              <w:rPr>
                <w:rFonts w:hint="eastAsia" w:ascii="宋体" w:hAnsi="宋体" w:cs="宋体"/>
                <w:bCs/>
                <w:szCs w:val="21"/>
                <w:highlight w:val="none"/>
                <w:vertAlign w:val="baseline"/>
              </w:rPr>
              <w:t>曲水县2020年公租房建设项目</w:t>
            </w:r>
          </w:p>
        </w:tc>
        <w:tc>
          <w:tcPr>
            <w:tcW w:w="1350" w:type="dxa"/>
            <w:vAlign w:val="center"/>
          </w:tcPr>
          <w:p>
            <w:pPr>
              <w:keepNext w:val="0"/>
              <w:keepLines w:val="0"/>
              <w:widowControl/>
              <w:suppressLineNumbers w:val="0"/>
              <w:jc w:val="center"/>
              <w:textAlignment w:val="center"/>
              <w:rPr>
                <w:rFonts w:hint="eastAsia" w:ascii="宋体" w:hAnsi="宋体" w:eastAsia="宋体" w:cs="宋体"/>
                <w:bCs/>
                <w:sz w:val="21"/>
                <w:szCs w:val="21"/>
                <w:highlight w:val="none"/>
                <w:vertAlign w:val="baseline"/>
              </w:rPr>
            </w:pPr>
            <w:r>
              <w:rPr>
                <w:rFonts w:hint="eastAsia" w:ascii="宋体" w:hAnsi="宋体" w:eastAsia="宋体" w:cs="宋体"/>
                <w:i w:val="0"/>
                <w:iCs w:val="0"/>
                <w:color w:val="000000"/>
                <w:kern w:val="0"/>
                <w:sz w:val="21"/>
                <w:szCs w:val="21"/>
                <w:u w:val="none"/>
                <w:lang w:val="en-US" w:eastAsia="zh-CN" w:bidi="ar"/>
              </w:rPr>
              <w:t>房建</w:t>
            </w:r>
          </w:p>
        </w:tc>
        <w:tc>
          <w:tcPr>
            <w:tcW w:w="1841" w:type="dxa"/>
            <w:vAlign w:val="center"/>
          </w:tcPr>
          <w:p>
            <w:pPr>
              <w:keepNext w:val="0"/>
              <w:keepLines w:val="0"/>
              <w:widowControl/>
              <w:suppressLineNumbers w:val="0"/>
              <w:jc w:val="center"/>
              <w:textAlignment w:val="center"/>
              <w:rPr>
                <w:rFonts w:hint="eastAsia" w:ascii="宋体" w:hAnsi="宋体" w:eastAsia="宋体" w:cs="宋体"/>
                <w:bCs/>
                <w:sz w:val="21"/>
                <w:szCs w:val="21"/>
                <w:highlight w:val="none"/>
                <w:vertAlign w:val="baseline"/>
              </w:rPr>
            </w:pPr>
            <w:r>
              <w:rPr>
                <w:rFonts w:hint="eastAsia" w:ascii="宋体" w:hAnsi="宋体" w:eastAsia="宋体" w:cs="宋体"/>
                <w:i w:val="0"/>
                <w:iCs w:val="0"/>
                <w:color w:val="000000"/>
                <w:kern w:val="0"/>
                <w:sz w:val="21"/>
                <w:szCs w:val="21"/>
                <w:u w:val="none"/>
                <w:lang w:val="en-US" w:eastAsia="zh-CN" w:bidi="ar"/>
              </w:rPr>
              <w:t xml:space="preserve">2627.70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1" w:type="dxa"/>
            <w:vAlign w:val="center"/>
          </w:tcPr>
          <w:p>
            <w:pPr>
              <w:keepNext w:val="0"/>
              <w:keepLines w:val="0"/>
              <w:widowControl/>
              <w:suppressLineNumbers w:val="0"/>
              <w:jc w:val="center"/>
              <w:textAlignment w:val="center"/>
              <w:rPr>
                <w:rFonts w:hint="eastAsia" w:ascii="宋体" w:hAnsi="宋体" w:cs="宋体"/>
                <w:bCs/>
                <w:szCs w:val="21"/>
                <w:highlight w:val="none"/>
                <w:vertAlign w:val="baseline"/>
              </w:rPr>
            </w:pPr>
            <w:r>
              <w:rPr>
                <w:rFonts w:hint="eastAsia" w:ascii="宋体" w:hAnsi="宋体" w:eastAsia="宋体" w:cs="宋体"/>
                <w:i w:val="0"/>
                <w:iCs w:val="0"/>
                <w:color w:val="000000"/>
                <w:kern w:val="0"/>
                <w:sz w:val="22"/>
                <w:szCs w:val="22"/>
                <w:u w:val="none"/>
                <w:lang w:val="en-US" w:eastAsia="zh-CN" w:bidi="ar"/>
              </w:rPr>
              <w:t>9</w:t>
            </w:r>
          </w:p>
        </w:tc>
        <w:tc>
          <w:tcPr>
            <w:tcW w:w="5277" w:type="dxa"/>
          </w:tcPr>
          <w:p>
            <w:pPr>
              <w:adjustRightInd w:val="0"/>
              <w:snapToGrid w:val="0"/>
              <w:spacing w:line="360" w:lineRule="auto"/>
              <w:rPr>
                <w:rFonts w:hint="eastAsia" w:ascii="宋体" w:hAnsi="宋体" w:cs="宋体"/>
                <w:bCs/>
                <w:szCs w:val="21"/>
                <w:highlight w:val="none"/>
                <w:vertAlign w:val="baseline"/>
              </w:rPr>
            </w:pPr>
            <w:r>
              <w:rPr>
                <w:rFonts w:hint="eastAsia" w:ascii="宋体" w:hAnsi="宋体" w:cs="宋体"/>
                <w:bCs/>
                <w:szCs w:val="21"/>
                <w:highlight w:val="none"/>
                <w:vertAlign w:val="baseline"/>
              </w:rPr>
              <w:t>曲水县17个村级组织活动场所标准化建设项目</w:t>
            </w:r>
          </w:p>
        </w:tc>
        <w:tc>
          <w:tcPr>
            <w:tcW w:w="1350" w:type="dxa"/>
            <w:vAlign w:val="center"/>
          </w:tcPr>
          <w:p>
            <w:pPr>
              <w:keepNext w:val="0"/>
              <w:keepLines w:val="0"/>
              <w:widowControl/>
              <w:suppressLineNumbers w:val="0"/>
              <w:jc w:val="center"/>
              <w:textAlignment w:val="center"/>
              <w:rPr>
                <w:rFonts w:hint="eastAsia" w:ascii="宋体" w:hAnsi="宋体" w:eastAsia="宋体" w:cs="宋体"/>
                <w:bCs/>
                <w:sz w:val="21"/>
                <w:szCs w:val="21"/>
                <w:highlight w:val="none"/>
                <w:vertAlign w:val="baseline"/>
              </w:rPr>
            </w:pPr>
            <w:r>
              <w:rPr>
                <w:rFonts w:hint="eastAsia" w:ascii="宋体" w:hAnsi="宋体" w:eastAsia="宋体" w:cs="宋体"/>
                <w:i w:val="0"/>
                <w:iCs w:val="0"/>
                <w:color w:val="000000"/>
                <w:kern w:val="0"/>
                <w:sz w:val="21"/>
                <w:szCs w:val="21"/>
                <w:u w:val="none"/>
                <w:lang w:val="en-US" w:eastAsia="zh-CN" w:bidi="ar"/>
              </w:rPr>
              <w:t>房建</w:t>
            </w:r>
          </w:p>
        </w:tc>
        <w:tc>
          <w:tcPr>
            <w:tcW w:w="1841" w:type="dxa"/>
            <w:vAlign w:val="center"/>
          </w:tcPr>
          <w:p>
            <w:pPr>
              <w:keepNext w:val="0"/>
              <w:keepLines w:val="0"/>
              <w:widowControl/>
              <w:suppressLineNumbers w:val="0"/>
              <w:jc w:val="center"/>
              <w:textAlignment w:val="center"/>
              <w:rPr>
                <w:rFonts w:hint="eastAsia" w:ascii="宋体" w:hAnsi="宋体" w:eastAsia="宋体" w:cs="宋体"/>
                <w:bCs/>
                <w:sz w:val="21"/>
                <w:szCs w:val="21"/>
                <w:highlight w:val="none"/>
                <w:vertAlign w:val="baseline"/>
              </w:rPr>
            </w:pPr>
            <w:r>
              <w:rPr>
                <w:rFonts w:hint="eastAsia" w:ascii="宋体" w:hAnsi="宋体" w:eastAsia="宋体" w:cs="宋体"/>
                <w:i w:val="0"/>
                <w:iCs w:val="0"/>
                <w:color w:val="000000"/>
                <w:kern w:val="0"/>
                <w:sz w:val="21"/>
                <w:szCs w:val="21"/>
                <w:u w:val="none"/>
                <w:lang w:val="en-US" w:eastAsia="zh-CN" w:bidi="ar"/>
              </w:rPr>
              <w:t xml:space="preserve">2578.26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1" w:type="dxa"/>
            <w:vAlign w:val="center"/>
          </w:tcPr>
          <w:p>
            <w:pPr>
              <w:keepNext w:val="0"/>
              <w:keepLines w:val="0"/>
              <w:widowControl/>
              <w:suppressLineNumbers w:val="0"/>
              <w:jc w:val="center"/>
              <w:textAlignment w:val="center"/>
              <w:rPr>
                <w:rFonts w:hint="eastAsia" w:ascii="宋体" w:hAnsi="宋体" w:cs="宋体"/>
                <w:bCs/>
                <w:szCs w:val="21"/>
                <w:highlight w:val="none"/>
                <w:vertAlign w:val="baseline"/>
              </w:rPr>
            </w:pPr>
            <w:r>
              <w:rPr>
                <w:rFonts w:hint="eastAsia" w:ascii="宋体" w:hAnsi="宋体" w:eastAsia="宋体" w:cs="宋体"/>
                <w:i w:val="0"/>
                <w:iCs w:val="0"/>
                <w:color w:val="000000"/>
                <w:kern w:val="0"/>
                <w:sz w:val="22"/>
                <w:szCs w:val="22"/>
                <w:u w:val="none"/>
                <w:lang w:val="en-US" w:eastAsia="zh-CN" w:bidi="ar"/>
              </w:rPr>
              <w:t>10</w:t>
            </w:r>
          </w:p>
        </w:tc>
        <w:tc>
          <w:tcPr>
            <w:tcW w:w="5277" w:type="dxa"/>
          </w:tcPr>
          <w:p>
            <w:pPr>
              <w:adjustRightInd w:val="0"/>
              <w:snapToGrid w:val="0"/>
              <w:spacing w:line="360" w:lineRule="auto"/>
              <w:rPr>
                <w:rFonts w:hint="eastAsia" w:ascii="宋体" w:hAnsi="宋体" w:cs="宋体"/>
                <w:bCs/>
                <w:szCs w:val="21"/>
                <w:highlight w:val="none"/>
                <w:vertAlign w:val="baseline"/>
              </w:rPr>
            </w:pPr>
            <w:r>
              <w:rPr>
                <w:rFonts w:hint="eastAsia" w:ascii="宋体" w:hAnsi="宋体" w:cs="宋体"/>
                <w:bCs/>
                <w:szCs w:val="21"/>
                <w:highlight w:val="none"/>
                <w:vertAlign w:val="baseline"/>
              </w:rPr>
              <w:t>曲水县茶巴拉乡柏林村小康安居试点工程</w:t>
            </w:r>
          </w:p>
        </w:tc>
        <w:tc>
          <w:tcPr>
            <w:tcW w:w="1350" w:type="dxa"/>
            <w:vAlign w:val="center"/>
          </w:tcPr>
          <w:p>
            <w:pPr>
              <w:keepNext w:val="0"/>
              <w:keepLines w:val="0"/>
              <w:widowControl/>
              <w:suppressLineNumbers w:val="0"/>
              <w:jc w:val="center"/>
              <w:textAlignment w:val="center"/>
              <w:rPr>
                <w:rFonts w:hint="eastAsia" w:ascii="宋体" w:hAnsi="宋体" w:eastAsia="宋体" w:cs="宋体"/>
                <w:bCs/>
                <w:sz w:val="21"/>
                <w:szCs w:val="21"/>
                <w:highlight w:val="none"/>
                <w:vertAlign w:val="baseline"/>
              </w:rPr>
            </w:pPr>
            <w:r>
              <w:rPr>
                <w:rFonts w:hint="eastAsia" w:ascii="宋体" w:hAnsi="宋体" w:eastAsia="宋体" w:cs="宋体"/>
                <w:i w:val="0"/>
                <w:iCs w:val="0"/>
                <w:color w:val="000000"/>
                <w:kern w:val="0"/>
                <w:sz w:val="21"/>
                <w:szCs w:val="21"/>
                <w:u w:val="none"/>
                <w:lang w:val="en-US" w:eastAsia="zh-CN" w:bidi="ar"/>
              </w:rPr>
              <w:t>房建</w:t>
            </w:r>
          </w:p>
        </w:tc>
        <w:tc>
          <w:tcPr>
            <w:tcW w:w="1841" w:type="dxa"/>
            <w:vAlign w:val="center"/>
          </w:tcPr>
          <w:p>
            <w:pPr>
              <w:keepNext w:val="0"/>
              <w:keepLines w:val="0"/>
              <w:widowControl/>
              <w:suppressLineNumbers w:val="0"/>
              <w:jc w:val="center"/>
              <w:textAlignment w:val="center"/>
              <w:rPr>
                <w:rFonts w:hint="eastAsia" w:ascii="宋体" w:hAnsi="宋体" w:eastAsia="宋体" w:cs="宋体"/>
                <w:bCs/>
                <w:sz w:val="21"/>
                <w:szCs w:val="21"/>
                <w:highlight w:val="none"/>
                <w:vertAlign w:val="baseline"/>
              </w:rPr>
            </w:pPr>
            <w:r>
              <w:rPr>
                <w:rFonts w:hint="eastAsia" w:ascii="宋体" w:hAnsi="宋体" w:eastAsia="宋体" w:cs="宋体"/>
                <w:i w:val="0"/>
                <w:iCs w:val="0"/>
                <w:color w:val="000000"/>
                <w:kern w:val="0"/>
                <w:sz w:val="21"/>
                <w:szCs w:val="21"/>
                <w:u w:val="none"/>
                <w:lang w:val="en-US" w:eastAsia="zh-CN" w:bidi="ar"/>
              </w:rPr>
              <w:t xml:space="preserve">2809.88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1"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11</w:t>
            </w:r>
          </w:p>
        </w:tc>
        <w:tc>
          <w:tcPr>
            <w:tcW w:w="5277" w:type="dxa"/>
          </w:tcPr>
          <w:p>
            <w:pPr>
              <w:adjustRightInd w:val="0"/>
              <w:snapToGrid w:val="0"/>
              <w:spacing w:line="360" w:lineRule="auto"/>
              <w:rPr>
                <w:rFonts w:hint="eastAsia" w:ascii="宋体" w:hAnsi="宋体" w:cs="宋体"/>
                <w:bCs/>
                <w:szCs w:val="21"/>
                <w:highlight w:val="none"/>
                <w:vertAlign w:val="baseline"/>
              </w:rPr>
            </w:pPr>
            <w:r>
              <w:rPr>
                <w:rFonts w:hint="eastAsia" w:ascii="宋体" w:hAnsi="宋体" w:cs="宋体"/>
                <w:bCs/>
                <w:szCs w:val="21"/>
                <w:highlight w:val="none"/>
                <w:vertAlign w:val="baseline"/>
              </w:rPr>
              <w:t>2020年拉萨市曲水县高标准农田建设项目</w:t>
            </w:r>
          </w:p>
        </w:tc>
        <w:tc>
          <w:tcPr>
            <w:tcW w:w="1350" w:type="dxa"/>
            <w:vAlign w:val="center"/>
          </w:tcPr>
          <w:p>
            <w:pPr>
              <w:keepNext w:val="0"/>
              <w:keepLines w:val="0"/>
              <w:widowControl/>
              <w:suppressLineNumbers w:val="0"/>
              <w:jc w:val="center"/>
              <w:textAlignment w:val="center"/>
              <w:rPr>
                <w:rFonts w:hint="eastAsia" w:ascii="宋体" w:hAnsi="宋体" w:eastAsia="宋体" w:cs="宋体"/>
                <w:bCs/>
                <w:sz w:val="21"/>
                <w:szCs w:val="21"/>
                <w:highlight w:val="none"/>
                <w:vertAlign w:val="baseline"/>
              </w:rPr>
            </w:pPr>
            <w:r>
              <w:rPr>
                <w:rFonts w:hint="eastAsia" w:ascii="宋体" w:hAnsi="宋体" w:eastAsia="宋体" w:cs="宋体"/>
                <w:i w:val="0"/>
                <w:iCs w:val="0"/>
                <w:color w:val="000000"/>
                <w:kern w:val="0"/>
                <w:sz w:val="21"/>
                <w:szCs w:val="21"/>
                <w:u w:val="none"/>
                <w:lang w:val="en-US" w:eastAsia="zh-CN" w:bidi="ar"/>
              </w:rPr>
              <w:t>农牧</w:t>
            </w:r>
          </w:p>
        </w:tc>
        <w:tc>
          <w:tcPr>
            <w:tcW w:w="1841" w:type="dxa"/>
            <w:vAlign w:val="center"/>
          </w:tcPr>
          <w:p>
            <w:pPr>
              <w:keepNext w:val="0"/>
              <w:keepLines w:val="0"/>
              <w:widowControl/>
              <w:suppressLineNumbers w:val="0"/>
              <w:jc w:val="center"/>
              <w:textAlignment w:val="center"/>
              <w:rPr>
                <w:rFonts w:hint="eastAsia" w:ascii="宋体" w:hAnsi="宋体" w:eastAsia="宋体" w:cs="宋体"/>
                <w:bCs/>
                <w:sz w:val="21"/>
                <w:szCs w:val="21"/>
                <w:highlight w:val="none"/>
                <w:vertAlign w:val="baseline"/>
              </w:rPr>
            </w:pPr>
            <w:r>
              <w:rPr>
                <w:rFonts w:hint="eastAsia" w:ascii="宋体" w:hAnsi="宋体" w:eastAsia="宋体" w:cs="宋体"/>
                <w:i w:val="0"/>
                <w:iCs w:val="0"/>
                <w:color w:val="000000"/>
                <w:kern w:val="0"/>
                <w:sz w:val="21"/>
                <w:szCs w:val="21"/>
                <w:u w:val="none"/>
                <w:lang w:val="en-US" w:eastAsia="zh-CN" w:bidi="ar"/>
              </w:rPr>
              <w:t xml:space="preserve">3000.00 </w:t>
            </w:r>
          </w:p>
        </w:tc>
      </w:tr>
    </w:tbl>
    <w:p>
      <w:pPr>
        <w:adjustRightInd w:val="0"/>
        <w:snapToGrid w:val="0"/>
        <w:spacing w:line="360" w:lineRule="auto"/>
        <w:rPr>
          <w:rFonts w:hint="eastAsia" w:ascii="宋体" w:hAnsi="宋体" w:cs="宋体"/>
          <w:bCs/>
          <w:szCs w:val="21"/>
          <w:highlight w:val="none"/>
        </w:rPr>
      </w:pPr>
    </w:p>
    <w:p>
      <w:pPr>
        <w:pStyle w:val="3"/>
        <w:pageBreakBefore/>
        <w:numPr>
          <w:ilvl w:val="0"/>
          <w:numId w:val="0"/>
        </w:numPr>
        <w:jc w:val="center"/>
        <w:rPr>
          <w:rFonts w:hint="eastAsia" w:ascii="黑体" w:hAnsi="黑体" w:cs="仿宋_GB2312"/>
          <w:bCs/>
          <w:sz w:val="32"/>
          <w:szCs w:val="21"/>
          <w:highlight w:val="none"/>
        </w:rPr>
      </w:pPr>
      <w:bookmarkStart w:id="469" w:name="_Toc28485"/>
      <w:bookmarkStart w:id="470" w:name="_Toc9456"/>
      <w:bookmarkStart w:id="471" w:name="_Toc544"/>
      <w:r>
        <w:rPr>
          <w:rFonts w:hint="eastAsia" w:ascii="黑体" w:hAnsi="黑体"/>
          <w:bCs/>
          <w:sz w:val="32"/>
          <w:highlight w:val="none"/>
        </w:rPr>
        <w:t>第六章  评标办法</w:t>
      </w:r>
      <w:bookmarkEnd w:id="469"/>
      <w:bookmarkEnd w:id="470"/>
      <w:bookmarkEnd w:id="471"/>
    </w:p>
    <w:p>
      <w:pPr>
        <w:keepNext/>
        <w:keepLines/>
        <w:spacing w:before="120" w:beforeLines="50" w:line="360" w:lineRule="auto"/>
        <w:jc w:val="center"/>
        <w:outlineLvl w:val="1"/>
        <w:rPr>
          <w:rFonts w:hint="eastAsia" w:ascii="黑体" w:hAnsi="黑体" w:eastAsia="黑体" w:cs="黑体"/>
          <w:b/>
          <w:color w:val="000000"/>
          <w:sz w:val="28"/>
          <w:szCs w:val="28"/>
          <w:highlight w:val="none"/>
        </w:rPr>
      </w:pPr>
      <w:bookmarkStart w:id="472" w:name="_Toc15760"/>
      <w:bookmarkStart w:id="473" w:name="_Toc30824"/>
      <w:bookmarkStart w:id="474" w:name="_Toc9019"/>
      <w:bookmarkStart w:id="475" w:name="_Toc18308"/>
      <w:bookmarkStart w:id="476" w:name="_Toc18779"/>
      <w:bookmarkStart w:id="477" w:name="_Toc23697"/>
      <w:bookmarkStart w:id="478" w:name="_Toc14091"/>
      <w:bookmarkStart w:id="479" w:name="_Toc1957"/>
      <w:bookmarkStart w:id="480" w:name="_Toc5889"/>
      <w:bookmarkStart w:id="481" w:name="_Toc19802"/>
      <w:bookmarkStart w:id="482" w:name="_Toc29247"/>
      <w:bookmarkStart w:id="483" w:name="_Toc21957"/>
      <w:r>
        <w:rPr>
          <w:rFonts w:hint="eastAsia" w:ascii="黑体" w:hAnsi="黑体" w:eastAsia="黑体" w:cs="黑体"/>
          <w:b/>
          <w:color w:val="000000"/>
          <w:sz w:val="28"/>
          <w:szCs w:val="28"/>
          <w:highlight w:val="none"/>
        </w:rPr>
        <w:t>一、资格审查</w:t>
      </w:r>
      <w:bookmarkEnd w:id="472"/>
      <w:bookmarkEnd w:id="473"/>
      <w:bookmarkEnd w:id="474"/>
      <w:bookmarkEnd w:id="475"/>
    </w:p>
    <w:p>
      <w:pPr>
        <w:keepNext/>
        <w:keepLines/>
        <w:spacing w:before="120" w:beforeLines="50" w:line="360" w:lineRule="auto"/>
        <w:jc w:val="center"/>
        <w:outlineLvl w:val="1"/>
        <w:rPr>
          <w:rFonts w:hint="eastAsia" w:ascii="黑体" w:hAnsi="黑体" w:eastAsia="黑体" w:cs="黑体"/>
          <w:b/>
          <w:color w:val="000000"/>
          <w:sz w:val="28"/>
          <w:szCs w:val="28"/>
          <w:highlight w:val="none"/>
        </w:rPr>
      </w:pPr>
      <w:bookmarkStart w:id="484" w:name="_Toc1499"/>
      <w:bookmarkStart w:id="485" w:name="_Toc3279"/>
      <w:bookmarkStart w:id="486" w:name="_Toc27034961"/>
      <w:bookmarkStart w:id="487" w:name="_Toc27016"/>
      <w:bookmarkStart w:id="488" w:name="_Toc30339"/>
      <w:r>
        <w:rPr>
          <w:rFonts w:hint="eastAsia" w:ascii="黑体" w:hAnsi="黑体" w:eastAsia="黑体" w:cs="黑体"/>
          <w:b/>
          <w:color w:val="000000"/>
          <w:sz w:val="28"/>
          <w:szCs w:val="28"/>
          <w:highlight w:val="none"/>
        </w:rPr>
        <w:t>资格审查前附表</w:t>
      </w:r>
      <w:bookmarkEnd w:id="484"/>
      <w:bookmarkEnd w:id="485"/>
      <w:bookmarkEnd w:id="486"/>
      <w:bookmarkEnd w:id="487"/>
      <w:bookmarkEnd w:id="488"/>
    </w:p>
    <w:tbl>
      <w:tblPr>
        <w:tblStyle w:val="3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4"/>
        <w:gridCol w:w="1660"/>
        <w:gridCol w:w="62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4" w:type="dxa"/>
            <w:vAlign w:val="center"/>
          </w:tcPr>
          <w:p>
            <w:pPr>
              <w:adjustRightInd w:val="0"/>
              <w:snapToGrid w:val="0"/>
              <w:jc w:val="center"/>
              <w:rPr>
                <w:b/>
                <w:color w:val="000000"/>
                <w:szCs w:val="21"/>
                <w:highlight w:val="none"/>
              </w:rPr>
            </w:pPr>
            <w:r>
              <w:rPr>
                <w:b/>
                <w:color w:val="000000"/>
                <w:szCs w:val="21"/>
                <w:highlight w:val="none"/>
              </w:rPr>
              <w:t>条款号</w:t>
            </w:r>
          </w:p>
        </w:tc>
        <w:tc>
          <w:tcPr>
            <w:tcW w:w="1660" w:type="dxa"/>
            <w:vAlign w:val="center"/>
          </w:tcPr>
          <w:p>
            <w:pPr>
              <w:adjustRightInd w:val="0"/>
              <w:snapToGrid w:val="0"/>
              <w:jc w:val="center"/>
              <w:rPr>
                <w:b/>
                <w:color w:val="000000"/>
                <w:szCs w:val="21"/>
                <w:highlight w:val="none"/>
              </w:rPr>
            </w:pPr>
            <w:r>
              <w:rPr>
                <w:b/>
                <w:color w:val="000000"/>
                <w:szCs w:val="21"/>
                <w:highlight w:val="none"/>
              </w:rPr>
              <w:t>审查因素</w:t>
            </w:r>
          </w:p>
        </w:tc>
        <w:tc>
          <w:tcPr>
            <w:tcW w:w="6268" w:type="dxa"/>
            <w:vAlign w:val="center"/>
          </w:tcPr>
          <w:p>
            <w:pPr>
              <w:adjustRightInd w:val="0"/>
              <w:snapToGrid w:val="0"/>
              <w:jc w:val="center"/>
              <w:rPr>
                <w:b/>
                <w:color w:val="000000"/>
                <w:szCs w:val="21"/>
                <w:highlight w:val="none"/>
              </w:rPr>
            </w:pPr>
            <w:r>
              <w:rPr>
                <w:b/>
                <w:color w:val="000000"/>
                <w:szCs w:val="21"/>
                <w:highlight w:val="none"/>
              </w:rPr>
              <w:t>审 查 标 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864" w:type="dxa"/>
            <w:vMerge w:val="restart"/>
            <w:vAlign w:val="center"/>
          </w:tcPr>
          <w:p>
            <w:pPr>
              <w:adjustRightInd w:val="0"/>
              <w:snapToGrid w:val="0"/>
              <w:jc w:val="center"/>
              <w:rPr>
                <w:rFonts w:hint="eastAsia"/>
                <w:color w:val="000000"/>
                <w:szCs w:val="21"/>
                <w:highlight w:val="none"/>
              </w:rPr>
            </w:pPr>
            <w:r>
              <w:rPr>
                <w:rFonts w:hint="eastAsia"/>
                <w:color w:val="000000"/>
                <w:szCs w:val="21"/>
                <w:highlight w:val="none"/>
              </w:rPr>
              <w:t>2</w:t>
            </w:r>
          </w:p>
        </w:tc>
        <w:tc>
          <w:tcPr>
            <w:tcW w:w="1660" w:type="dxa"/>
            <w:vAlign w:val="center"/>
          </w:tcPr>
          <w:p>
            <w:pPr>
              <w:adjustRightInd w:val="0"/>
              <w:snapToGrid w:val="0"/>
              <w:jc w:val="center"/>
              <w:rPr>
                <w:b/>
                <w:color w:val="000000"/>
                <w:szCs w:val="21"/>
                <w:highlight w:val="none"/>
              </w:rPr>
            </w:pPr>
            <w:r>
              <w:rPr>
                <w:color w:val="000000"/>
                <w:szCs w:val="21"/>
                <w:highlight w:val="none"/>
              </w:rPr>
              <w:t>规定</w:t>
            </w:r>
            <w:r>
              <w:rPr>
                <w:rFonts w:hint="eastAsia"/>
                <w:color w:val="000000"/>
                <w:szCs w:val="21"/>
                <w:highlight w:val="none"/>
              </w:rPr>
              <w:t>的资格</w:t>
            </w:r>
            <w:r>
              <w:rPr>
                <w:color w:val="000000"/>
                <w:szCs w:val="21"/>
                <w:highlight w:val="none"/>
              </w:rPr>
              <w:t>条件</w:t>
            </w:r>
          </w:p>
        </w:tc>
        <w:tc>
          <w:tcPr>
            <w:tcW w:w="6268" w:type="dxa"/>
            <w:vAlign w:val="center"/>
          </w:tcPr>
          <w:p>
            <w:pPr>
              <w:adjustRightInd w:val="0"/>
              <w:snapToGrid w:val="0"/>
              <w:jc w:val="left"/>
              <w:rPr>
                <w:color w:val="000000"/>
                <w:szCs w:val="21"/>
                <w:highlight w:val="none"/>
              </w:rPr>
            </w:pPr>
            <w:r>
              <w:rPr>
                <w:rFonts w:hint="eastAsia"/>
                <w:color w:val="000000"/>
                <w:szCs w:val="21"/>
                <w:highlight w:val="none"/>
              </w:rPr>
              <w:t>符合招标文件</w:t>
            </w:r>
            <w:r>
              <w:rPr>
                <w:color w:val="000000"/>
                <w:szCs w:val="21"/>
                <w:highlight w:val="none"/>
              </w:rPr>
              <w:t>第二章</w:t>
            </w:r>
            <w:r>
              <w:rPr>
                <w:rFonts w:hint="eastAsia"/>
                <w:color w:val="000000"/>
                <w:szCs w:val="21"/>
                <w:highlight w:val="none"/>
              </w:rPr>
              <w:t>“</w:t>
            </w:r>
            <w:r>
              <w:rPr>
                <w:color w:val="000000"/>
                <w:szCs w:val="21"/>
                <w:highlight w:val="none"/>
              </w:rPr>
              <w:t>投标人须知</w:t>
            </w:r>
            <w:r>
              <w:rPr>
                <w:rFonts w:hint="eastAsia"/>
                <w:color w:val="000000"/>
                <w:szCs w:val="21"/>
                <w:highlight w:val="none"/>
              </w:rPr>
              <w:t>”</w:t>
            </w:r>
            <w:r>
              <w:rPr>
                <w:bCs/>
                <w:szCs w:val="21"/>
                <w:highlight w:val="none"/>
              </w:rPr>
              <w:t>3.1</w:t>
            </w:r>
            <w:r>
              <w:rPr>
                <w:rFonts w:hint="eastAsia"/>
                <w:bCs/>
                <w:szCs w:val="21"/>
                <w:highlight w:val="none"/>
              </w:rPr>
              <w:t>款</w:t>
            </w:r>
            <w:r>
              <w:rPr>
                <w:color w:val="000000"/>
                <w:szCs w:val="21"/>
                <w:highlight w:val="none"/>
              </w:rPr>
              <w:t>的规定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64" w:type="dxa"/>
            <w:vMerge w:val="continue"/>
            <w:vAlign w:val="center"/>
          </w:tcPr>
          <w:p>
            <w:pPr>
              <w:adjustRightInd w:val="0"/>
              <w:snapToGrid w:val="0"/>
              <w:jc w:val="center"/>
              <w:rPr>
                <w:color w:val="000000"/>
                <w:szCs w:val="21"/>
                <w:highlight w:val="none"/>
              </w:rPr>
            </w:pPr>
          </w:p>
        </w:tc>
        <w:tc>
          <w:tcPr>
            <w:tcW w:w="1660" w:type="dxa"/>
            <w:vAlign w:val="center"/>
          </w:tcPr>
          <w:p>
            <w:pPr>
              <w:adjustRightInd w:val="0"/>
              <w:snapToGrid w:val="0"/>
              <w:jc w:val="center"/>
              <w:rPr>
                <w:color w:val="000000"/>
                <w:szCs w:val="21"/>
                <w:highlight w:val="none"/>
              </w:rPr>
            </w:pPr>
            <w:r>
              <w:rPr>
                <w:color w:val="000000"/>
                <w:szCs w:val="21"/>
                <w:highlight w:val="none"/>
              </w:rPr>
              <w:t>特定</w:t>
            </w:r>
            <w:r>
              <w:rPr>
                <w:rFonts w:hint="eastAsia"/>
                <w:color w:val="000000"/>
                <w:szCs w:val="21"/>
                <w:highlight w:val="none"/>
              </w:rPr>
              <w:t>资格</w:t>
            </w:r>
            <w:r>
              <w:rPr>
                <w:color w:val="000000"/>
                <w:szCs w:val="21"/>
                <w:highlight w:val="none"/>
              </w:rPr>
              <w:t>条件</w:t>
            </w:r>
          </w:p>
        </w:tc>
        <w:tc>
          <w:tcPr>
            <w:tcW w:w="6268" w:type="dxa"/>
            <w:vAlign w:val="center"/>
          </w:tcPr>
          <w:p>
            <w:pPr>
              <w:adjustRightInd w:val="0"/>
              <w:snapToGrid w:val="0"/>
              <w:jc w:val="left"/>
              <w:rPr>
                <w:color w:val="000000"/>
                <w:szCs w:val="21"/>
                <w:highlight w:val="none"/>
              </w:rPr>
            </w:pPr>
            <w:r>
              <w:rPr>
                <w:color w:val="000000"/>
                <w:szCs w:val="21"/>
                <w:highlight w:val="none"/>
              </w:rPr>
              <w:t>符合招标文件第</w:t>
            </w:r>
            <w:r>
              <w:rPr>
                <w:rFonts w:hint="eastAsia"/>
                <w:color w:val="000000"/>
                <w:szCs w:val="21"/>
                <w:highlight w:val="none"/>
              </w:rPr>
              <w:t>二</w:t>
            </w:r>
            <w:r>
              <w:rPr>
                <w:color w:val="000000"/>
                <w:szCs w:val="21"/>
                <w:highlight w:val="none"/>
              </w:rPr>
              <w:t>章</w:t>
            </w:r>
            <w:r>
              <w:rPr>
                <w:rFonts w:hint="eastAsia"/>
                <w:color w:val="000000"/>
                <w:szCs w:val="21"/>
                <w:highlight w:val="none"/>
              </w:rPr>
              <w:t>“</w:t>
            </w:r>
            <w:r>
              <w:rPr>
                <w:color w:val="000000"/>
                <w:szCs w:val="21"/>
                <w:highlight w:val="none"/>
              </w:rPr>
              <w:t>投标人须知</w:t>
            </w:r>
            <w:r>
              <w:rPr>
                <w:rFonts w:hint="eastAsia"/>
                <w:color w:val="000000"/>
                <w:szCs w:val="21"/>
                <w:highlight w:val="none"/>
              </w:rPr>
              <w:t>”3.2款的规定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64" w:type="dxa"/>
            <w:vMerge w:val="continue"/>
            <w:vAlign w:val="center"/>
          </w:tcPr>
          <w:p>
            <w:pPr>
              <w:adjustRightInd w:val="0"/>
              <w:snapToGrid w:val="0"/>
              <w:jc w:val="center"/>
              <w:rPr>
                <w:color w:val="000000"/>
                <w:szCs w:val="21"/>
                <w:highlight w:val="none"/>
              </w:rPr>
            </w:pPr>
          </w:p>
        </w:tc>
        <w:tc>
          <w:tcPr>
            <w:tcW w:w="1660" w:type="dxa"/>
            <w:vAlign w:val="center"/>
          </w:tcPr>
          <w:p>
            <w:pPr>
              <w:adjustRightInd w:val="0"/>
              <w:snapToGrid w:val="0"/>
              <w:jc w:val="center"/>
              <w:rPr>
                <w:rFonts w:hint="eastAsia"/>
                <w:b/>
                <w:color w:val="000000"/>
                <w:szCs w:val="21"/>
                <w:highlight w:val="none"/>
              </w:rPr>
            </w:pPr>
            <w:r>
              <w:rPr>
                <w:rFonts w:hint="eastAsia"/>
                <w:bCs/>
                <w:color w:val="000000"/>
                <w:szCs w:val="21"/>
                <w:highlight w:val="none"/>
              </w:rPr>
              <w:t>信用要求</w:t>
            </w:r>
          </w:p>
        </w:tc>
        <w:tc>
          <w:tcPr>
            <w:tcW w:w="6268" w:type="dxa"/>
            <w:vAlign w:val="center"/>
          </w:tcPr>
          <w:p>
            <w:pPr>
              <w:adjustRightInd w:val="0"/>
              <w:snapToGrid w:val="0"/>
              <w:jc w:val="left"/>
              <w:rPr>
                <w:rFonts w:hint="eastAsia"/>
                <w:szCs w:val="21"/>
                <w:highlight w:val="none"/>
              </w:rPr>
            </w:pPr>
            <w:r>
              <w:rPr>
                <w:color w:val="000000"/>
                <w:szCs w:val="21"/>
                <w:highlight w:val="none"/>
              </w:rPr>
              <w:t>符合招标文件第</w:t>
            </w:r>
            <w:r>
              <w:rPr>
                <w:rFonts w:hint="eastAsia"/>
                <w:color w:val="000000"/>
                <w:szCs w:val="21"/>
                <w:highlight w:val="none"/>
              </w:rPr>
              <w:t>一</w:t>
            </w:r>
            <w:r>
              <w:rPr>
                <w:color w:val="000000"/>
                <w:szCs w:val="21"/>
                <w:highlight w:val="none"/>
              </w:rPr>
              <w:t>章</w:t>
            </w:r>
            <w:r>
              <w:rPr>
                <w:rFonts w:hint="eastAsia"/>
                <w:color w:val="000000"/>
                <w:szCs w:val="21"/>
                <w:highlight w:val="none"/>
              </w:rPr>
              <w:t>“投标人须知”3.3款的规定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64" w:type="dxa"/>
            <w:vMerge w:val="continue"/>
            <w:vAlign w:val="center"/>
          </w:tcPr>
          <w:p>
            <w:pPr>
              <w:adjustRightInd w:val="0"/>
              <w:snapToGrid w:val="0"/>
              <w:jc w:val="center"/>
              <w:rPr>
                <w:color w:val="000000"/>
                <w:szCs w:val="21"/>
                <w:highlight w:val="none"/>
              </w:rPr>
            </w:pPr>
          </w:p>
        </w:tc>
        <w:tc>
          <w:tcPr>
            <w:tcW w:w="1660" w:type="dxa"/>
            <w:vAlign w:val="center"/>
          </w:tcPr>
          <w:p>
            <w:pPr>
              <w:adjustRightInd w:val="0"/>
              <w:snapToGrid w:val="0"/>
              <w:jc w:val="center"/>
              <w:rPr>
                <w:rFonts w:hint="eastAsia"/>
                <w:bCs/>
                <w:color w:val="000000"/>
                <w:szCs w:val="21"/>
                <w:highlight w:val="none"/>
              </w:rPr>
            </w:pPr>
            <w:r>
              <w:rPr>
                <w:rFonts w:hint="eastAsia"/>
                <w:bCs/>
                <w:color w:val="000000"/>
                <w:szCs w:val="21"/>
                <w:highlight w:val="none"/>
              </w:rPr>
              <w:t>其他条件</w:t>
            </w:r>
          </w:p>
        </w:tc>
        <w:tc>
          <w:tcPr>
            <w:tcW w:w="6268" w:type="dxa"/>
            <w:vAlign w:val="center"/>
          </w:tcPr>
          <w:p>
            <w:pPr>
              <w:adjustRightInd w:val="0"/>
              <w:snapToGrid w:val="0"/>
              <w:jc w:val="left"/>
              <w:rPr>
                <w:szCs w:val="21"/>
                <w:highlight w:val="none"/>
              </w:rPr>
            </w:pPr>
            <w:r>
              <w:rPr>
                <w:color w:val="000000"/>
                <w:szCs w:val="21"/>
                <w:highlight w:val="none"/>
              </w:rPr>
              <w:t>符合招标文件第</w:t>
            </w:r>
            <w:r>
              <w:rPr>
                <w:rFonts w:hint="eastAsia"/>
                <w:color w:val="000000"/>
                <w:szCs w:val="21"/>
                <w:highlight w:val="none"/>
              </w:rPr>
              <w:t>一</w:t>
            </w:r>
            <w:r>
              <w:rPr>
                <w:color w:val="000000"/>
                <w:szCs w:val="21"/>
                <w:highlight w:val="none"/>
              </w:rPr>
              <w:t>章</w:t>
            </w:r>
            <w:r>
              <w:rPr>
                <w:rFonts w:hint="eastAsia"/>
                <w:color w:val="000000"/>
                <w:szCs w:val="21"/>
                <w:highlight w:val="none"/>
              </w:rPr>
              <w:t>“投标人须知”3.4款的规定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64" w:type="dxa"/>
            <w:vMerge w:val="continue"/>
            <w:vAlign w:val="center"/>
          </w:tcPr>
          <w:p>
            <w:pPr>
              <w:adjustRightInd w:val="0"/>
              <w:snapToGrid w:val="0"/>
              <w:jc w:val="center"/>
              <w:rPr>
                <w:color w:val="000000"/>
                <w:szCs w:val="21"/>
                <w:highlight w:val="none"/>
              </w:rPr>
            </w:pPr>
          </w:p>
        </w:tc>
        <w:tc>
          <w:tcPr>
            <w:tcW w:w="1660" w:type="dxa"/>
            <w:vAlign w:val="center"/>
          </w:tcPr>
          <w:p>
            <w:pPr>
              <w:adjustRightInd w:val="0"/>
              <w:snapToGrid w:val="0"/>
              <w:jc w:val="center"/>
              <w:rPr>
                <w:rFonts w:hint="eastAsia"/>
                <w:b/>
                <w:color w:val="000000"/>
                <w:szCs w:val="21"/>
                <w:highlight w:val="none"/>
              </w:rPr>
            </w:pPr>
            <w:r>
              <w:rPr>
                <w:rFonts w:hint="eastAsia"/>
                <w:bCs/>
                <w:color w:val="000000"/>
                <w:szCs w:val="21"/>
                <w:highlight w:val="none"/>
              </w:rPr>
              <w:t>联合体投标</w:t>
            </w:r>
          </w:p>
        </w:tc>
        <w:tc>
          <w:tcPr>
            <w:tcW w:w="6268" w:type="dxa"/>
            <w:vAlign w:val="center"/>
          </w:tcPr>
          <w:p>
            <w:pPr>
              <w:adjustRightInd w:val="0"/>
              <w:snapToGrid w:val="0"/>
              <w:jc w:val="left"/>
              <w:rPr>
                <w:rFonts w:hint="eastAsia"/>
                <w:szCs w:val="21"/>
                <w:highlight w:val="none"/>
              </w:rPr>
            </w:pPr>
            <w:r>
              <w:rPr>
                <w:color w:val="000000"/>
                <w:szCs w:val="21"/>
                <w:highlight w:val="none"/>
              </w:rPr>
              <w:t>符合招标文件第</w:t>
            </w:r>
            <w:r>
              <w:rPr>
                <w:rFonts w:hint="eastAsia"/>
                <w:color w:val="000000"/>
                <w:szCs w:val="21"/>
                <w:highlight w:val="none"/>
              </w:rPr>
              <w:t>二</w:t>
            </w:r>
            <w:r>
              <w:rPr>
                <w:color w:val="000000"/>
                <w:szCs w:val="21"/>
                <w:highlight w:val="none"/>
              </w:rPr>
              <w:t>章</w:t>
            </w:r>
            <w:r>
              <w:rPr>
                <w:rFonts w:hint="eastAsia"/>
                <w:color w:val="000000"/>
                <w:szCs w:val="21"/>
                <w:highlight w:val="none"/>
              </w:rPr>
              <w:t>“</w:t>
            </w:r>
            <w:r>
              <w:rPr>
                <w:color w:val="000000"/>
                <w:szCs w:val="21"/>
                <w:highlight w:val="none"/>
              </w:rPr>
              <w:t>投标人须知</w:t>
            </w:r>
            <w:r>
              <w:rPr>
                <w:rFonts w:hint="eastAsia"/>
                <w:color w:val="000000"/>
                <w:szCs w:val="21"/>
                <w:highlight w:val="none"/>
              </w:rPr>
              <w:t>”3.5款的规定</w:t>
            </w:r>
          </w:p>
        </w:tc>
      </w:tr>
    </w:tbl>
    <w:p>
      <w:pPr>
        <w:adjustRightInd w:val="0"/>
        <w:snapToGrid w:val="0"/>
        <w:spacing w:line="360" w:lineRule="auto"/>
        <w:jc w:val="left"/>
        <w:rPr>
          <w:rFonts w:hint="eastAsia" w:ascii="宋体" w:hAnsi="宋体" w:eastAsia="宋体" w:cs="宋体"/>
          <w:b/>
          <w:color w:val="000000"/>
          <w:szCs w:val="21"/>
          <w:highlight w:val="none"/>
        </w:rPr>
      </w:pPr>
      <w:bookmarkStart w:id="489" w:name="_Toc27034962"/>
      <w:r>
        <w:rPr>
          <w:rFonts w:hint="eastAsia" w:ascii="宋体" w:hAnsi="宋体" w:eastAsia="宋体" w:cs="宋体"/>
          <w:b/>
          <w:color w:val="000000"/>
          <w:szCs w:val="21"/>
          <w:highlight w:val="none"/>
        </w:rPr>
        <w:t>注：</w:t>
      </w:r>
    </w:p>
    <w:p>
      <w:pPr>
        <w:adjustRightInd w:val="0"/>
        <w:snapToGrid w:val="0"/>
        <w:spacing w:line="360" w:lineRule="auto"/>
        <w:jc w:val="left"/>
        <w:rPr>
          <w:rFonts w:hint="eastAsia" w:ascii="宋体" w:hAnsi="宋体" w:eastAsia="宋体" w:cs="宋体"/>
          <w:szCs w:val="21"/>
          <w:highlight w:val="none"/>
        </w:rPr>
      </w:pPr>
      <w:r>
        <w:rPr>
          <w:rFonts w:hint="eastAsia" w:ascii="宋体" w:hAnsi="宋体" w:cs="宋体"/>
          <w:bCs/>
          <w:color w:val="000000"/>
          <w:szCs w:val="21"/>
          <w:highlight w:val="none"/>
          <w:lang w:eastAsia="zh-CN"/>
        </w:rPr>
        <w:t>（</w:t>
      </w:r>
      <w:r>
        <w:rPr>
          <w:rFonts w:hint="eastAsia" w:ascii="宋体" w:hAnsi="宋体" w:cs="宋体"/>
          <w:bCs/>
          <w:color w:val="000000"/>
          <w:szCs w:val="21"/>
          <w:highlight w:val="none"/>
          <w:lang w:val="en-US" w:eastAsia="zh-CN"/>
        </w:rPr>
        <w:t>1</w:t>
      </w:r>
      <w:r>
        <w:rPr>
          <w:rFonts w:hint="eastAsia" w:ascii="宋体" w:hAnsi="宋体" w:cs="宋体"/>
          <w:bCs/>
          <w:color w:val="000000"/>
          <w:szCs w:val="21"/>
          <w:highlight w:val="none"/>
          <w:lang w:eastAsia="zh-CN"/>
        </w:rPr>
        <w:t>）</w:t>
      </w:r>
      <w:r>
        <w:rPr>
          <w:rFonts w:hint="eastAsia" w:ascii="宋体" w:hAnsi="宋体" w:eastAsia="宋体" w:cs="宋体"/>
          <w:szCs w:val="21"/>
          <w:highlight w:val="none"/>
        </w:rPr>
        <w:t>投标人应按招标文件第四章“投标文件格式”要求</w:t>
      </w:r>
      <w:r>
        <w:rPr>
          <w:rFonts w:hint="eastAsia" w:ascii="宋体" w:hAnsi="宋体" w:eastAsia="宋体" w:cs="宋体"/>
          <w:color w:val="000000"/>
          <w:szCs w:val="21"/>
          <w:highlight w:val="none"/>
        </w:rPr>
        <w:t>提供资格证明文件或者情况说明，以证明其符合第二章“</w:t>
      </w:r>
      <w:r>
        <w:rPr>
          <w:rFonts w:hint="eastAsia" w:ascii="宋体" w:hAnsi="宋体" w:eastAsia="宋体" w:cs="宋体"/>
          <w:szCs w:val="21"/>
          <w:highlight w:val="none"/>
        </w:rPr>
        <w:t>投标人须知</w:t>
      </w:r>
      <w:r>
        <w:rPr>
          <w:rFonts w:hint="eastAsia" w:ascii="宋体" w:hAnsi="宋体" w:eastAsia="宋体" w:cs="宋体"/>
          <w:color w:val="000000"/>
          <w:szCs w:val="21"/>
          <w:highlight w:val="none"/>
        </w:rPr>
        <w:t>”第</w:t>
      </w:r>
      <w:r>
        <w:rPr>
          <w:rFonts w:hint="eastAsia" w:ascii="宋体" w:hAnsi="宋体" w:eastAsia="宋体" w:cs="宋体"/>
          <w:szCs w:val="21"/>
          <w:highlight w:val="none"/>
        </w:rPr>
        <w:t>3条的要求。</w:t>
      </w:r>
    </w:p>
    <w:p>
      <w:pPr>
        <w:adjustRightInd w:val="0"/>
        <w:snapToGrid w:val="0"/>
        <w:spacing w:line="360" w:lineRule="auto"/>
        <w:jc w:val="left"/>
        <w:rPr>
          <w:rFonts w:hint="eastAsia" w:ascii="宋体" w:hAnsi="宋体" w:eastAsia="宋体" w:cs="宋体"/>
          <w:b/>
          <w:color w:val="000000"/>
          <w:szCs w:val="21"/>
          <w:highlight w:val="none"/>
        </w:rPr>
      </w:pPr>
      <w:r>
        <w:rPr>
          <w:rFonts w:hint="eastAsia" w:ascii="宋体" w:hAnsi="宋体" w:cs="宋体"/>
          <w:szCs w:val="21"/>
          <w:highlight w:val="none"/>
          <w:lang w:eastAsia="zh-CN"/>
        </w:rPr>
        <w:t>（</w:t>
      </w:r>
      <w:r>
        <w:rPr>
          <w:rFonts w:hint="eastAsia" w:ascii="宋体" w:hAnsi="宋体" w:cs="宋体"/>
          <w:szCs w:val="21"/>
          <w:highlight w:val="none"/>
          <w:lang w:val="en-US" w:eastAsia="zh-CN"/>
        </w:rPr>
        <w:t>2</w:t>
      </w:r>
      <w:r>
        <w:rPr>
          <w:rFonts w:hint="eastAsia" w:ascii="宋体" w:hAnsi="宋体" w:cs="宋体"/>
          <w:szCs w:val="21"/>
          <w:highlight w:val="none"/>
          <w:lang w:eastAsia="zh-CN"/>
        </w:rPr>
        <w:t>）</w:t>
      </w:r>
      <w:r>
        <w:rPr>
          <w:rFonts w:hint="eastAsia" w:ascii="宋体" w:hAnsi="宋体" w:eastAsia="宋体" w:cs="宋体"/>
          <w:szCs w:val="21"/>
          <w:highlight w:val="none"/>
        </w:rPr>
        <w:t>合格投标人不足3家的，不再进入评标程序，作废标处理。</w:t>
      </w:r>
    </w:p>
    <w:p>
      <w:pPr>
        <w:adjustRightInd w:val="0"/>
        <w:snapToGrid w:val="0"/>
        <w:spacing w:before="120" w:beforeLines="50" w:line="360" w:lineRule="auto"/>
        <w:jc w:val="left"/>
        <w:rPr>
          <w:b/>
          <w:color w:val="000000"/>
          <w:sz w:val="24"/>
          <w:highlight w:val="none"/>
        </w:rPr>
      </w:pPr>
    </w:p>
    <w:p>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outlineLvl w:val="2"/>
        <w:rPr>
          <w:b/>
          <w:color w:val="000000"/>
          <w:sz w:val="21"/>
          <w:szCs w:val="21"/>
          <w:highlight w:val="none"/>
        </w:rPr>
      </w:pPr>
      <w:bookmarkStart w:id="490" w:name="_Toc30877"/>
      <w:r>
        <w:rPr>
          <w:b/>
          <w:color w:val="000000"/>
          <w:sz w:val="21"/>
          <w:szCs w:val="21"/>
          <w:highlight w:val="none"/>
        </w:rPr>
        <w:t>1. 资格审查</w:t>
      </w:r>
      <w:bookmarkEnd w:id="489"/>
      <w:bookmarkEnd w:id="490"/>
    </w:p>
    <w:p>
      <w:pPr>
        <w:snapToGrid w:val="0"/>
        <w:spacing w:line="360" w:lineRule="auto"/>
        <w:ind w:firstLine="420" w:firstLineChars="200"/>
        <w:rPr>
          <w:color w:val="000000"/>
          <w:sz w:val="21"/>
          <w:szCs w:val="21"/>
          <w:highlight w:val="none"/>
        </w:rPr>
      </w:pPr>
      <w:r>
        <w:rPr>
          <w:color w:val="000000"/>
          <w:sz w:val="21"/>
          <w:szCs w:val="21"/>
          <w:highlight w:val="none"/>
        </w:rPr>
        <w:t>公开招标采购项目开标结束后，采购人或者采购代理机构依法对投标人的资格进行审查。</w:t>
      </w:r>
    </w:p>
    <w:p>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outlineLvl w:val="2"/>
        <w:rPr>
          <w:b/>
          <w:color w:val="000000"/>
          <w:sz w:val="21"/>
          <w:szCs w:val="21"/>
          <w:highlight w:val="none"/>
        </w:rPr>
      </w:pPr>
      <w:bookmarkStart w:id="491" w:name="_Toc20671"/>
      <w:bookmarkStart w:id="492" w:name="_Toc27034963"/>
      <w:r>
        <w:rPr>
          <w:b/>
          <w:color w:val="000000"/>
          <w:sz w:val="21"/>
          <w:szCs w:val="21"/>
          <w:highlight w:val="none"/>
        </w:rPr>
        <w:t>2. 资格审查标准</w:t>
      </w:r>
      <w:bookmarkEnd w:id="491"/>
      <w:bookmarkEnd w:id="492"/>
    </w:p>
    <w:p>
      <w:pPr>
        <w:snapToGrid w:val="0"/>
        <w:spacing w:line="360" w:lineRule="auto"/>
        <w:ind w:firstLine="420" w:firstLineChars="200"/>
        <w:jc w:val="left"/>
        <w:rPr>
          <w:color w:val="000000"/>
          <w:sz w:val="21"/>
          <w:szCs w:val="21"/>
          <w:highlight w:val="none"/>
        </w:rPr>
      </w:pPr>
      <w:r>
        <w:rPr>
          <w:color w:val="000000"/>
          <w:sz w:val="21"/>
          <w:szCs w:val="21"/>
          <w:highlight w:val="none"/>
        </w:rPr>
        <w:t>资格审查标准：依据法律法规和招标文件的规定，对投标文件中的资格条件以及证明文件等进行审查，以确定投标人是否具备投标资格；见</w:t>
      </w:r>
      <w:r>
        <w:rPr>
          <w:rFonts w:hint="eastAsia"/>
          <w:color w:val="000000"/>
          <w:sz w:val="21"/>
          <w:szCs w:val="21"/>
          <w:highlight w:val="none"/>
        </w:rPr>
        <w:t>“</w:t>
      </w:r>
      <w:r>
        <w:rPr>
          <w:color w:val="000000"/>
          <w:sz w:val="21"/>
          <w:szCs w:val="21"/>
          <w:highlight w:val="none"/>
        </w:rPr>
        <w:t>资格审查前附表</w:t>
      </w:r>
      <w:r>
        <w:rPr>
          <w:rFonts w:hint="eastAsia"/>
          <w:color w:val="000000"/>
          <w:sz w:val="21"/>
          <w:szCs w:val="21"/>
          <w:highlight w:val="none"/>
        </w:rPr>
        <w:t>”</w:t>
      </w:r>
      <w:r>
        <w:rPr>
          <w:color w:val="000000"/>
          <w:sz w:val="21"/>
          <w:szCs w:val="21"/>
          <w:highlight w:val="none"/>
        </w:rPr>
        <w:t>。</w:t>
      </w:r>
    </w:p>
    <w:p>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outlineLvl w:val="2"/>
        <w:rPr>
          <w:b/>
          <w:color w:val="000000"/>
          <w:sz w:val="21"/>
          <w:szCs w:val="21"/>
          <w:highlight w:val="none"/>
        </w:rPr>
      </w:pPr>
      <w:bookmarkStart w:id="493" w:name="_Toc15656"/>
      <w:bookmarkStart w:id="494" w:name="_Toc27034964"/>
      <w:r>
        <w:rPr>
          <w:b/>
          <w:color w:val="000000"/>
          <w:sz w:val="21"/>
          <w:szCs w:val="21"/>
          <w:highlight w:val="none"/>
        </w:rPr>
        <w:t>3. 资格审查程序</w:t>
      </w:r>
      <w:bookmarkEnd w:id="493"/>
      <w:bookmarkEnd w:id="494"/>
    </w:p>
    <w:p>
      <w:pPr>
        <w:tabs>
          <w:tab w:val="left" w:pos="2472"/>
        </w:tabs>
        <w:snapToGrid w:val="0"/>
        <w:spacing w:line="360" w:lineRule="auto"/>
        <w:ind w:firstLine="420" w:firstLineChars="200"/>
        <w:rPr>
          <w:color w:val="000000"/>
          <w:sz w:val="24"/>
          <w:highlight w:val="none"/>
        </w:rPr>
      </w:pPr>
      <w:r>
        <w:rPr>
          <w:color w:val="000000"/>
          <w:sz w:val="21"/>
          <w:szCs w:val="21"/>
          <w:highlight w:val="none"/>
        </w:rPr>
        <w:t>采购人或采购代理机构依据本章第2项规定的标准对投标文件进行资格审查。有一项不符合审查标准的，投标无效。</w:t>
      </w:r>
    </w:p>
    <w:p>
      <w:pPr>
        <w:ind w:firstLine="420"/>
        <w:rPr>
          <w:rFonts w:hint="eastAsia"/>
          <w:highlight w:val="none"/>
        </w:rPr>
      </w:pPr>
    </w:p>
    <w:p>
      <w:pPr>
        <w:keepNext/>
        <w:keepLines/>
        <w:spacing w:before="120" w:beforeLines="50" w:line="360" w:lineRule="auto"/>
        <w:jc w:val="center"/>
        <w:outlineLvl w:val="1"/>
        <w:rPr>
          <w:rFonts w:hint="eastAsia" w:ascii="黑体" w:hAnsi="黑体" w:eastAsia="黑体" w:cs="黑体"/>
          <w:b/>
          <w:color w:val="000000"/>
          <w:sz w:val="28"/>
          <w:szCs w:val="28"/>
          <w:highlight w:val="none"/>
        </w:rPr>
      </w:pPr>
      <w:bookmarkStart w:id="495" w:name="_Toc20814"/>
      <w:bookmarkStart w:id="496" w:name="_Toc22413"/>
      <w:r>
        <w:rPr>
          <w:rFonts w:hint="eastAsia" w:ascii="黑体" w:hAnsi="黑体" w:eastAsia="黑体" w:cs="黑体"/>
          <w:b/>
          <w:color w:val="000000"/>
          <w:sz w:val="28"/>
          <w:szCs w:val="28"/>
          <w:highlight w:val="none"/>
        </w:rPr>
        <w:br w:type="page"/>
      </w:r>
      <w:bookmarkStart w:id="497" w:name="_Toc19222"/>
      <w:bookmarkStart w:id="498" w:name="_Toc815"/>
      <w:r>
        <w:rPr>
          <w:rFonts w:hint="eastAsia" w:ascii="黑体" w:hAnsi="黑体" w:eastAsia="黑体" w:cs="黑体"/>
          <w:b/>
          <w:color w:val="000000"/>
          <w:sz w:val="28"/>
          <w:szCs w:val="28"/>
          <w:highlight w:val="none"/>
        </w:rPr>
        <w:t>二、评标办法（综合评分法）</w:t>
      </w:r>
      <w:bookmarkEnd w:id="495"/>
      <w:bookmarkEnd w:id="496"/>
      <w:bookmarkEnd w:id="497"/>
      <w:bookmarkEnd w:id="498"/>
    </w:p>
    <w:p>
      <w:pPr>
        <w:keepNext/>
        <w:keepLines/>
        <w:spacing w:before="120" w:beforeLines="50" w:line="360" w:lineRule="auto"/>
        <w:jc w:val="center"/>
        <w:outlineLvl w:val="1"/>
        <w:rPr>
          <w:rFonts w:hint="eastAsia" w:ascii="黑体" w:hAnsi="黑体" w:eastAsia="黑体"/>
          <w:b/>
          <w:color w:val="000000"/>
          <w:spacing w:val="40"/>
          <w:sz w:val="28"/>
          <w:szCs w:val="28"/>
          <w:highlight w:val="none"/>
        </w:rPr>
      </w:pPr>
      <w:bookmarkStart w:id="499" w:name="_Toc19337"/>
      <w:bookmarkStart w:id="500" w:name="_Toc4670"/>
      <w:bookmarkStart w:id="501" w:name="_Toc8572"/>
      <w:bookmarkStart w:id="502" w:name="_Toc32256"/>
      <w:r>
        <w:rPr>
          <w:rFonts w:hint="eastAsia" w:ascii="黑体" w:hAnsi="黑体" w:eastAsia="黑体" w:cs="黑体"/>
          <w:b/>
          <w:color w:val="000000"/>
          <w:sz w:val="28"/>
          <w:szCs w:val="28"/>
          <w:highlight w:val="none"/>
        </w:rPr>
        <w:t>评标办法前附表</w:t>
      </w:r>
      <w:bookmarkEnd w:id="476"/>
      <w:bookmarkEnd w:id="477"/>
      <w:bookmarkEnd w:id="478"/>
      <w:bookmarkEnd w:id="479"/>
      <w:bookmarkEnd w:id="480"/>
      <w:bookmarkEnd w:id="481"/>
      <w:bookmarkEnd w:id="482"/>
      <w:bookmarkEnd w:id="483"/>
      <w:bookmarkEnd w:id="499"/>
      <w:bookmarkEnd w:id="500"/>
      <w:bookmarkEnd w:id="501"/>
      <w:bookmarkEnd w:id="502"/>
    </w:p>
    <w:tbl>
      <w:tblPr>
        <w:tblStyle w:val="3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0"/>
        <w:gridCol w:w="549"/>
        <w:gridCol w:w="1433"/>
        <w:gridCol w:w="61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jc w:val="center"/>
        </w:trPr>
        <w:tc>
          <w:tcPr>
            <w:tcW w:w="1299" w:type="dxa"/>
            <w:gridSpan w:val="2"/>
            <w:vAlign w:val="center"/>
          </w:tcPr>
          <w:p>
            <w:pPr>
              <w:adjustRightInd w:val="0"/>
              <w:snapToGrid w:val="0"/>
              <w:jc w:val="center"/>
              <w:rPr>
                <w:rFonts w:hint="eastAsia" w:ascii="宋体" w:hAnsi="宋体" w:cs="宋体"/>
                <w:b/>
                <w:sz w:val="24"/>
                <w:highlight w:val="none"/>
              </w:rPr>
            </w:pPr>
            <w:r>
              <w:rPr>
                <w:rFonts w:hint="eastAsia" w:ascii="宋体" w:hAnsi="宋体" w:cs="宋体"/>
                <w:b/>
                <w:sz w:val="24"/>
                <w:highlight w:val="none"/>
              </w:rPr>
              <w:t>条款号</w:t>
            </w:r>
          </w:p>
        </w:tc>
        <w:tc>
          <w:tcPr>
            <w:tcW w:w="1433" w:type="dxa"/>
            <w:vAlign w:val="center"/>
          </w:tcPr>
          <w:p>
            <w:pPr>
              <w:adjustRightInd w:val="0"/>
              <w:snapToGrid w:val="0"/>
              <w:jc w:val="center"/>
              <w:rPr>
                <w:rFonts w:hint="eastAsia" w:ascii="宋体" w:hAnsi="宋体" w:cs="宋体"/>
                <w:b/>
                <w:sz w:val="24"/>
                <w:highlight w:val="none"/>
              </w:rPr>
            </w:pPr>
            <w:r>
              <w:rPr>
                <w:rFonts w:hint="eastAsia" w:ascii="宋体" w:hAnsi="宋体" w:cs="宋体"/>
                <w:b/>
                <w:sz w:val="24"/>
                <w:highlight w:val="none"/>
              </w:rPr>
              <w:t>评审因素</w:t>
            </w:r>
          </w:p>
        </w:tc>
        <w:tc>
          <w:tcPr>
            <w:tcW w:w="6190" w:type="dxa"/>
            <w:vAlign w:val="center"/>
          </w:tcPr>
          <w:p>
            <w:pPr>
              <w:adjustRightInd w:val="0"/>
              <w:snapToGrid w:val="0"/>
              <w:jc w:val="center"/>
              <w:rPr>
                <w:rFonts w:hint="eastAsia" w:ascii="宋体" w:hAnsi="宋体" w:cs="宋体"/>
                <w:b/>
                <w:sz w:val="24"/>
                <w:highlight w:val="none"/>
              </w:rPr>
            </w:pPr>
            <w:r>
              <w:rPr>
                <w:rFonts w:hint="eastAsia" w:ascii="宋体" w:hAnsi="宋体" w:cs="宋体"/>
                <w:b/>
                <w:sz w:val="24"/>
                <w:highlight w:val="none"/>
              </w:rPr>
              <w:t>评 审 标 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8" w:hRule="atLeast"/>
          <w:jc w:val="center"/>
        </w:trPr>
        <w:tc>
          <w:tcPr>
            <w:tcW w:w="750" w:type="dxa"/>
            <w:vMerge w:val="restart"/>
            <w:vAlign w:val="center"/>
          </w:tcPr>
          <w:p>
            <w:pPr>
              <w:adjustRightInd w:val="0"/>
              <w:snapToGrid w:val="0"/>
              <w:spacing w:line="312" w:lineRule="auto"/>
              <w:jc w:val="center"/>
              <w:rPr>
                <w:rFonts w:hint="eastAsia" w:ascii="宋体" w:hAnsi="宋体" w:cs="宋体"/>
                <w:szCs w:val="21"/>
                <w:highlight w:val="none"/>
              </w:rPr>
            </w:pPr>
            <w:r>
              <w:rPr>
                <w:szCs w:val="21"/>
                <w:highlight w:val="none"/>
              </w:rPr>
              <w:t>2.1.2</w:t>
            </w:r>
          </w:p>
        </w:tc>
        <w:tc>
          <w:tcPr>
            <w:tcW w:w="549" w:type="dxa"/>
            <w:vMerge w:val="restart"/>
            <w:vAlign w:val="center"/>
          </w:tcPr>
          <w:p>
            <w:pPr>
              <w:spacing w:line="312" w:lineRule="auto"/>
              <w:jc w:val="center"/>
              <w:rPr>
                <w:rFonts w:hint="eastAsia" w:ascii="宋体" w:hAnsi="宋体" w:cs="宋体"/>
                <w:szCs w:val="21"/>
                <w:highlight w:val="none"/>
              </w:rPr>
            </w:pPr>
            <w:r>
              <w:rPr>
                <w:szCs w:val="21"/>
                <w:highlight w:val="none"/>
              </w:rPr>
              <w:t>符合性审查</w:t>
            </w:r>
          </w:p>
        </w:tc>
        <w:tc>
          <w:tcPr>
            <w:tcW w:w="1433" w:type="dxa"/>
            <w:vAlign w:val="center"/>
          </w:tcPr>
          <w:p>
            <w:pPr>
              <w:adjustRightInd w:val="0"/>
              <w:snapToGrid w:val="0"/>
              <w:spacing w:line="312" w:lineRule="auto"/>
              <w:jc w:val="center"/>
              <w:rPr>
                <w:rFonts w:hint="eastAsia" w:ascii="宋体" w:hAnsi="宋体" w:cs="宋体"/>
                <w:szCs w:val="21"/>
                <w:highlight w:val="none"/>
              </w:rPr>
            </w:pPr>
            <w:r>
              <w:rPr>
                <w:rFonts w:hint="eastAsia" w:ascii="宋体" w:hAnsi="宋体" w:cs="宋体"/>
                <w:szCs w:val="21"/>
                <w:highlight w:val="none"/>
              </w:rPr>
              <w:t>投标保证金</w:t>
            </w:r>
          </w:p>
        </w:tc>
        <w:tc>
          <w:tcPr>
            <w:tcW w:w="6190" w:type="dxa"/>
            <w:vAlign w:val="center"/>
          </w:tcPr>
          <w:p>
            <w:pPr>
              <w:adjustRightInd w:val="0"/>
              <w:snapToGrid w:val="0"/>
              <w:spacing w:line="312" w:lineRule="auto"/>
              <w:jc w:val="left"/>
              <w:rPr>
                <w:szCs w:val="21"/>
                <w:highlight w:val="none"/>
              </w:rPr>
            </w:pPr>
            <w:r>
              <w:rPr>
                <w:szCs w:val="21"/>
                <w:highlight w:val="none"/>
              </w:rPr>
              <w:t>符合招标文件第二章“投标人须知”第19.1款规定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6" w:hRule="atLeast"/>
          <w:jc w:val="center"/>
        </w:trPr>
        <w:tc>
          <w:tcPr>
            <w:tcW w:w="750" w:type="dxa"/>
            <w:vMerge w:val="continue"/>
            <w:vAlign w:val="center"/>
          </w:tcPr>
          <w:p>
            <w:pPr>
              <w:adjustRightInd w:val="0"/>
              <w:snapToGrid w:val="0"/>
              <w:spacing w:line="312" w:lineRule="auto"/>
              <w:jc w:val="center"/>
              <w:rPr>
                <w:rFonts w:hint="eastAsia" w:ascii="宋体" w:hAnsi="宋体" w:cs="宋体"/>
                <w:szCs w:val="21"/>
                <w:highlight w:val="none"/>
              </w:rPr>
            </w:pPr>
          </w:p>
        </w:tc>
        <w:tc>
          <w:tcPr>
            <w:tcW w:w="549" w:type="dxa"/>
            <w:vMerge w:val="continue"/>
            <w:vAlign w:val="center"/>
          </w:tcPr>
          <w:p>
            <w:pPr>
              <w:adjustRightInd w:val="0"/>
              <w:snapToGrid w:val="0"/>
              <w:spacing w:line="312" w:lineRule="auto"/>
              <w:jc w:val="center"/>
              <w:rPr>
                <w:rFonts w:hint="eastAsia" w:ascii="宋体" w:hAnsi="宋体" w:cs="宋体"/>
                <w:szCs w:val="21"/>
                <w:highlight w:val="none"/>
              </w:rPr>
            </w:pPr>
          </w:p>
        </w:tc>
        <w:tc>
          <w:tcPr>
            <w:tcW w:w="1433" w:type="dxa"/>
            <w:vAlign w:val="center"/>
          </w:tcPr>
          <w:p>
            <w:pPr>
              <w:adjustRightInd w:val="0"/>
              <w:snapToGrid w:val="0"/>
              <w:spacing w:line="312" w:lineRule="auto"/>
              <w:jc w:val="center"/>
              <w:rPr>
                <w:rFonts w:hint="eastAsia" w:ascii="宋体" w:hAnsi="宋体" w:cs="宋体"/>
                <w:szCs w:val="21"/>
                <w:highlight w:val="none"/>
              </w:rPr>
            </w:pPr>
            <w:r>
              <w:rPr>
                <w:rFonts w:hint="eastAsia" w:ascii="宋体" w:hAnsi="宋体" w:cs="宋体"/>
                <w:szCs w:val="21"/>
                <w:highlight w:val="none"/>
              </w:rPr>
              <w:t>投标有效期</w:t>
            </w:r>
          </w:p>
        </w:tc>
        <w:tc>
          <w:tcPr>
            <w:tcW w:w="6190" w:type="dxa"/>
            <w:vAlign w:val="center"/>
          </w:tcPr>
          <w:p>
            <w:pPr>
              <w:adjustRightInd w:val="0"/>
              <w:snapToGrid w:val="0"/>
              <w:spacing w:line="312" w:lineRule="auto"/>
              <w:jc w:val="left"/>
              <w:rPr>
                <w:szCs w:val="21"/>
                <w:highlight w:val="none"/>
              </w:rPr>
            </w:pPr>
            <w:r>
              <w:rPr>
                <w:szCs w:val="21"/>
                <w:highlight w:val="none"/>
              </w:rPr>
              <w:t>符合第二章“投标人须知前附表”第18.1款规定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50" w:type="dxa"/>
            <w:vMerge w:val="continue"/>
            <w:vAlign w:val="center"/>
          </w:tcPr>
          <w:p>
            <w:pPr>
              <w:adjustRightInd w:val="0"/>
              <w:snapToGrid w:val="0"/>
              <w:spacing w:line="312" w:lineRule="auto"/>
              <w:rPr>
                <w:rFonts w:hint="eastAsia" w:ascii="宋体" w:hAnsi="宋体" w:cs="宋体"/>
                <w:szCs w:val="21"/>
                <w:highlight w:val="none"/>
              </w:rPr>
            </w:pPr>
          </w:p>
        </w:tc>
        <w:tc>
          <w:tcPr>
            <w:tcW w:w="549" w:type="dxa"/>
            <w:vMerge w:val="continue"/>
            <w:vAlign w:val="center"/>
          </w:tcPr>
          <w:p>
            <w:pPr>
              <w:adjustRightInd w:val="0"/>
              <w:snapToGrid w:val="0"/>
              <w:spacing w:line="312" w:lineRule="auto"/>
              <w:rPr>
                <w:rFonts w:hint="eastAsia" w:ascii="宋体" w:hAnsi="宋体" w:cs="宋体"/>
                <w:szCs w:val="21"/>
                <w:highlight w:val="none"/>
              </w:rPr>
            </w:pPr>
          </w:p>
        </w:tc>
        <w:tc>
          <w:tcPr>
            <w:tcW w:w="1433" w:type="dxa"/>
            <w:vAlign w:val="center"/>
          </w:tcPr>
          <w:p>
            <w:pPr>
              <w:adjustRightInd w:val="0"/>
              <w:snapToGrid w:val="0"/>
              <w:spacing w:line="312" w:lineRule="auto"/>
              <w:jc w:val="center"/>
              <w:rPr>
                <w:rFonts w:hint="eastAsia" w:ascii="宋体" w:hAnsi="宋体" w:cs="宋体"/>
                <w:szCs w:val="21"/>
                <w:highlight w:val="none"/>
              </w:rPr>
            </w:pPr>
            <w:r>
              <w:rPr>
                <w:rFonts w:hint="eastAsia" w:ascii="宋体" w:hAnsi="宋体" w:cs="宋体"/>
                <w:szCs w:val="21"/>
                <w:highlight w:val="none"/>
              </w:rPr>
              <w:t>投标文件格式</w:t>
            </w:r>
          </w:p>
        </w:tc>
        <w:tc>
          <w:tcPr>
            <w:tcW w:w="6190" w:type="dxa"/>
            <w:vAlign w:val="center"/>
          </w:tcPr>
          <w:p>
            <w:pPr>
              <w:adjustRightInd w:val="0"/>
              <w:snapToGrid w:val="0"/>
              <w:spacing w:line="312" w:lineRule="auto"/>
              <w:jc w:val="left"/>
              <w:rPr>
                <w:szCs w:val="21"/>
                <w:highlight w:val="none"/>
              </w:rPr>
            </w:pPr>
            <w:r>
              <w:rPr>
                <w:szCs w:val="21"/>
                <w:highlight w:val="none"/>
              </w:rPr>
              <w:t>符合第</w:t>
            </w:r>
            <w:r>
              <w:rPr>
                <w:rFonts w:hint="eastAsia"/>
                <w:szCs w:val="21"/>
                <w:highlight w:val="none"/>
              </w:rPr>
              <w:t>四</w:t>
            </w:r>
            <w:r>
              <w:rPr>
                <w:szCs w:val="21"/>
                <w:highlight w:val="none"/>
              </w:rPr>
              <w:t>章“投标文件格式”中规定的格式及内容。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50" w:type="dxa"/>
            <w:vMerge w:val="continue"/>
            <w:vAlign w:val="center"/>
          </w:tcPr>
          <w:p>
            <w:pPr>
              <w:adjustRightInd w:val="0"/>
              <w:snapToGrid w:val="0"/>
              <w:spacing w:line="312" w:lineRule="auto"/>
              <w:rPr>
                <w:rFonts w:hint="eastAsia" w:ascii="宋体" w:hAnsi="宋体" w:cs="宋体"/>
                <w:szCs w:val="21"/>
                <w:highlight w:val="none"/>
              </w:rPr>
            </w:pPr>
          </w:p>
        </w:tc>
        <w:tc>
          <w:tcPr>
            <w:tcW w:w="549" w:type="dxa"/>
            <w:vMerge w:val="continue"/>
            <w:vAlign w:val="center"/>
          </w:tcPr>
          <w:p>
            <w:pPr>
              <w:adjustRightInd w:val="0"/>
              <w:snapToGrid w:val="0"/>
              <w:spacing w:line="312" w:lineRule="auto"/>
              <w:rPr>
                <w:rFonts w:hint="eastAsia" w:ascii="宋体" w:hAnsi="宋体" w:cs="宋体"/>
                <w:szCs w:val="21"/>
                <w:highlight w:val="none"/>
              </w:rPr>
            </w:pPr>
          </w:p>
        </w:tc>
        <w:tc>
          <w:tcPr>
            <w:tcW w:w="1433" w:type="dxa"/>
            <w:vAlign w:val="center"/>
          </w:tcPr>
          <w:p>
            <w:pPr>
              <w:adjustRightInd w:val="0"/>
              <w:snapToGrid w:val="0"/>
              <w:spacing w:line="312" w:lineRule="auto"/>
              <w:jc w:val="center"/>
              <w:rPr>
                <w:rFonts w:hint="eastAsia" w:ascii="宋体" w:hAnsi="宋体" w:cs="宋体"/>
                <w:szCs w:val="21"/>
                <w:highlight w:val="none"/>
              </w:rPr>
            </w:pPr>
            <w:r>
              <w:rPr>
                <w:rFonts w:hint="eastAsia" w:ascii="宋体" w:hAnsi="宋体" w:cs="宋体"/>
                <w:szCs w:val="21"/>
                <w:highlight w:val="none"/>
              </w:rPr>
              <w:t>法定代表人身份证明书</w:t>
            </w:r>
          </w:p>
        </w:tc>
        <w:tc>
          <w:tcPr>
            <w:tcW w:w="6190" w:type="dxa"/>
            <w:vAlign w:val="center"/>
          </w:tcPr>
          <w:p>
            <w:pPr>
              <w:adjustRightInd w:val="0"/>
              <w:snapToGrid w:val="0"/>
              <w:spacing w:line="312" w:lineRule="auto"/>
              <w:jc w:val="left"/>
              <w:rPr>
                <w:szCs w:val="21"/>
                <w:highlight w:val="none"/>
              </w:rPr>
            </w:pPr>
            <w:r>
              <w:rPr>
                <w:szCs w:val="21"/>
                <w:highlight w:val="none"/>
              </w:rPr>
              <w:t>符合招标文件规定的格式及内容，并加盖</w:t>
            </w:r>
            <w:r>
              <w:rPr>
                <w:rFonts w:hint="eastAsia"/>
                <w:szCs w:val="21"/>
                <w:highlight w:val="none"/>
                <w:lang w:val="en-US" w:eastAsia="zh-CN"/>
              </w:rPr>
              <w:t>单位</w:t>
            </w:r>
            <w:r>
              <w:rPr>
                <w:szCs w:val="21"/>
                <w:highlight w:val="none"/>
              </w:rPr>
              <w:t>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72" w:hRule="atLeast"/>
          <w:jc w:val="center"/>
        </w:trPr>
        <w:tc>
          <w:tcPr>
            <w:tcW w:w="750" w:type="dxa"/>
            <w:vMerge w:val="continue"/>
            <w:vAlign w:val="center"/>
          </w:tcPr>
          <w:p>
            <w:pPr>
              <w:adjustRightInd w:val="0"/>
              <w:snapToGrid w:val="0"/>
              <w:spacing w:line="312" w:lineRule="auto"/>
              <w:rPr>
                <w:rFonts w:hint="eastAsia" w:ascii="宋体" w:hAnsi="宋体" w:cs="宋体"/>
                <w:szCs w:val="21"/>
                <w:highlight w:val="none"/>
              </w:rPr>
            </w:pPr>
          </w:p>
        </w:tc>
        <w:tc>
          <w:tcPr>
            <w:tcW w:w="549" w:type="dxa"/>
            <w:vMerge w:val="continue"/>
            <w:vAlign w:val="center"/>
          </w:tcPr>
          <w:p>
            <w:pPr>
              <w:adjustRightInd w:val="0"/>
              <w:snapToGrid w:val="0"/>
              <w:spacing w:line="312" w:lineRule="auto"/>
              <w:rPr>
                <w:rFonts w:hint="eastAsia" w:ascii="宋体" w:hAnsi="宋体" w:cs="宋体"/>
                <w:szCs w:val="21"/>
                <w:highlight w:val="none"/>
              </w:rPr>
            </w:pPr>
          </w:p>
        </w:tc>
        <w:tc>
          <w:tcPr>
            <w:tcW w:w="1433" w:type="dxa"/>
            <w:vAlign w:val="center"/>
          </w:tcPr>
          <w:p>
            <w:pPr>
              <w:adjustRightInd w:val="0"/>
              <w:snapToGrid w:val="0"/>
              <w:spacing w:line="312" w:lineRule="auto"/>
              <w:jc w:val="center"/>
              <w:rPr>
                <w:rFonts w:hint="eastAsia" w:ascii="宋体" w:hAnsi="宋体" w:cs="宋体"/>
                <w:szCs w:val="21"/>
                <w:highlight w:val="none"/>
              </w:rPr>
            </w:pPr>
            <w:r>
              <w:rPr>
                <w:rFonts w:hint="eastAsia" w:ascii="宋体" w:hAnsi="宋体" w:cs="宋体"/>
                <w:szCs w:val="21"/>
                <w:highlight w:val="none"/>
              </w:rPr>
              <w:t>法定代表人授权委托书</w:t>
            </w:r>
          </w:p>
        </w:tc>
        <w:tc>
          <w:tcPr>
            <w:tcW w:w="6190" w:type="dxa"/>
            <w:vAlign w:val="center"/>
          </w:tcPr>
          <w:p>
            <w:pPr>
              <w:adjustRightInd w:val="0"/>
              <w:snapToGrid w:val="0"/>
              <w:spacing w:line="312" w:lineRule="auto"/>
              <w:rPr>
                <w:rFonts w:hint="eastAsia" w:ascii="宋体" w:hAnsi="宋体" w:cs="宋体"/>
                <w:szCs w:val="21"/>
                <w:highlight w:val="none"/>
              </w:rPr>
            </w:pPr>
            <w:r>
              <w:rPr>
                <w:rFonts w:hint="eastAsia" w:ascii="宋体" w:hAnsi="宋体" w:cs="宋体"/>
                <w:szCs w:val="21"/>
                <w:highlight w:val="none"/>
              </w:rPr>
              <w:t>有法定代表人及其委托代理人签字，并加盖</w:t>
            </w:r>
            <w:r>
              <w:rPr>
                <w:rFonts w:hint="eastAsia" w:ascii="宋体" w:hAnsi="宋体" w:cs="宋体"/>
                <w:szCs w:val="21"/>
                <w:highlight w:val="none"/>
                <w:lang w:val="en-US" w:eastAsia="zh-CN"/>
              </w:rPr>
              <w:t>单位</w:t>
            </w:r>
            <w:r>
              <w:rPr>
                <w:rFonts w:hint="eastAsia" w:ascii="宋体" w:hAnsi="宋体" w:cs="宋体"/>
                <w:szCs w:val="21"/>
                <w:highlight w:val="none"/>
              </w:rPr>
              <w:t>公章；符合招标文件规定的格式及内容。</w:t>
            </w:r>
          </w:p>
          <w:p>
            <w:pPr>
              <w:adjustRightInd w:val="0"/>
              <w:snapToGrid w:val="0"/>
              <w:spacing w:line="312" w:lineRule="auto"/>
              <w:rPr>
                <w:szCs w:val="21"/>
                <w:highlight w:val="none"/>
              </w:rPr>
            </w:pPr>
            <w:r>
              <w:rPr>
                <w:rFonts w:hint="eastAsia" w:ascii="宋体" w:hAnsi="宋体" w:cs="宋体"/>
                <w:color w:val="000000"/>
                <w:szCs w:val="21"/>
                <w:highlight w:val="none"/>
              </w:rPr>
              <w:t>注：投标文件（包括评标过程中的澄清、说明或者补正）由法定代表人签署的，不审查该项。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50" w:type="dxa"/>
            <w:vMerge w:val="continue"/>
            <w:vAlign w:val="center"/>
          </w:tcPr>
          <w:p>
            <w:pPr>
              <w:adjustRightInd w:val="0"/>
              <w:snapToGrid w:val="0"/>
              <w:spacing w:line="312" w:lineRule="auto"/>
              <w:rPr>
                <w:rFonts w:hint="eastAsia" w:ascii="宋体" w:hAnsi="宋体" w:cs="宋体"/>
                <w:szCs w:val="21"/>
                <w:highlight w:val="none"/>
              </w:rPr>
            </w:pPr>
          </w:p>
        </w:tc>
        <w:tc>
          <w:tcPr>
            <w:tcW w:w="549" w:type="dxa"/>
            <w:vMerge w:val="continue"/>
            <w:vAlign w:val="center"/>
          </w:tcPr>
          <w:p>
            <w:pPr>
              <w:adjustRightInd w:val="0"/>
              <w:snapToGrid w:val="0"/>
              <w:spacing w:line="312" w:lineRule="auto"/>
              <w:rPr>
                <w:rFonts w:hint="eastAsia" w:ascii="宋体" w:hAnsi="宋体" w:cs="宋体"/>
                <w:szCs w:val="21"/>
                <w:highlight w:val="none"/>
              </w:rPr>
            </w:pPr>
          </w:p>
        </w:tc>
        <w:tc>
          <w:tcPr>
            <w:tcW w:w="1433" w:type="dxa"/>
            <w:vAlign w:val="center"/>
          </w:tcPr>
          <w:p>
            <w:pPr>
              <w:adjustRightInd w:val="0"/>
              <w:snapToGrid w:val="0"/>
              <w:spacing w:line="312" w:lineRule="auto"/>
              <w:jc w:val="center"/>
              <w:rPr>
                <w:rFonts w:hint="eastAsia" w:ascii="宋体" w:hAnsi="宋体" w:cs="宋体"/>
                <w:szCs w:val="21"/>
                <w:highlight w:val="none"/>
              </w:rPr>
            </w:pPr>
            <w:r>
              <w:rPr>
                <w:rFonts w:hint="eastAsia" w:ascii="宋体" w:hAnsi="宋体" w:cs="宋体"/>
                <w:szCs w:val="21"/>
                <w:highlight w:val="none"/>
              </w:rPr>
              <w:t>投标报价</w:t>
            </w:r>
          </w:p>
        </w:tc>
        <w:tc>
          <w:tcPr>
            <w:tcW w:w="6190" w:type="dxa"/>
            <w:vAlign w:val="center"/>
          </w:tcPr>
          <w:p>
            <w:pPr>
              <w:adjustRightInd w:val="0"/>
              <w:snapToGrid w:val="0"/>
              <w:spacing w:line="312" w:lineRule="auto"/>
              <w:jc w:val="left"/>
              <w:rPr>
                <w:rFonts w:hint="eastAsia" w:ascii="宋体" w:hAnsi="宋体" w:cs="宋体"/>
                <w:szCs w:val="21"/>
                <w:highlight w:val="none"/>
              </w:rPr>
            </w:pPr>
            <w:r>
              <w:rPr>
                <w:rFonts w:hint="eastAsia" w:ascii="宋体" w:hAnsi="宋体" w:cs="宋体"/>
                <w:szCs w:val="21"/>
                <w:highlight w:val="none"/>
              </w:rPr>
              <w:t>未超过采购预算或最高限价，未出现缺项、漏项，对所投标段内所有内容作出完整唯一的投标报价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50" w:type="dxa"/>
            <w:vMerge w:val="continue"/>
            <w:vAlign w:val="center"/>
          </w:tcPr>
          <w:p>
            <w:pPr>
              <w:adjustRightInd w:val="0"/>
              <w:snapToGrid w:val="0"/>
              <w:spacing w:line="312" w:lineRule="auto"/>
              <w:rPr>
                <w:rFonts w:hint="eastAsia" w:ascii="宋体" w:hAnsi="宋体" w:cs="宋体"/>
                <w:szCs w:val="21"/>
                <w:highlight w:val="none"/>
              </w:rPr>
            </w:pPr>
          </w:p>
        </w:tc>
        <w:tc>
          <w:tcPr>
            <w:tcW w:w="549" w:type="dxa"/>
            <w:vMerge w:val="continue"/>
            <w:vAlign w:val="center"/>
          </w:tcPr>
          <w:p>
            <w:pPr>
              <w:adjustRightInd w:val="0"/>
              <w:snapToGrid w:val="0"/>
              <w:spacing w:line="312" w:lineRule="auto"/>
              <w:rPr>
                <w:rFonts w:hint="eastAsia" w:ascii="宋体" w:hAnsi="宋体" w:cs="宋体"/>
                <w:szCs w:val="21"/>
                <w:highlight w:val="none"/>
              </w:rPr>
            </w:pPr>
          </w:p>
        </w:tc>
        <w:tc>
          <w:tcPr>
            <w:tcW w:w="1433" w:type="dxa"/>
            <w:vAlign w:val="center"/>
          </w:tcPr>
          <w:p>
            <w:pPr>
              <w:adjustRightInd w:val="0"/>
              <w:snapToGrid w:val="0"/>
              <w:spacing w:line="312" w:lineRule="auto"/>
              <w:jc w:val="center"/>
              <w:rPr>
                <w:rFonts w:hint="eastAsia" w:ascii="宋体" w:hAnsi="宋体" w:cs="宋体"/>
                <w:szCs w:val="21"/>
                <w:highlight w:val="none"/>
              </w:rPr>
            </w:pPr>
            <w:r>
              <w:rPr>
                <w:rFonts w:hint="eastAsia" w:ascii="宋体" w:hAnsi="宋体" w:cs="宋体"/>
                <w:szCs w:val="21"/>
                <w:highlight w:val="none"/>
              </w:rPr>
              <w:t>投标文件</w:t>
            </w:r>
          </w:p>
        </w:tc>
        <w:tc>
          <w:tcPr>
            <w:tcW w:w="6190" w:type="dxa"/>
            <w:vAlign w:val="center"/>
          </w:tcPr>
          <w:p>
            <w:pPr>
              <w:adjustRightInd w:val="0"/>
              <w:snapToGrid w:val="0"/>
              <w:spacing w:line="312" w:lineRule="auto"/>
              <w:rPr>
                <w:rFonts w:hint="eastAsia" w:ascii="宋体" w:hAnsi="宋体" w:cs="宋体"/>
                <w:szCs w:val="21"/>
                <w:highlight w:val="none"/>
              </w:rPr>
            </w:pPr>
            <w:r>
              <w:rPr>
                <w:rFonts w:hint="eastAsia" w:ascii="宋体" w:hAnsi="宋体" w:cs="宋体"/>
                <w:szCs w:val="21"/>
                <w:highlight w:val="none"/>
              </w:rPr>
              <w:t>按招标文件规定的格式填写，内容齐全，关键字迹、材料清晰能辨认；投标文件未附有采购人不能接受的</w:t>
            </w:r>
            <w:r>
              <w:rPr>
                <w:rFonts w:ascii="宋体" w:hAnsi="宋体" w:cs="宋体"/>
                <w:szCs w:val="21"/>
                <w:highlight w:val="none"/>
              </w:rPr>
              <w:t>附加</w:t>
            </w:r>
            <w:r>
              <w:rPr>
                <w:rFonts w:hint="eastAsia" w:ascii="宋体" w:hAnsi="宋体" w:cs="宋体"/>
                <w:szCs w:val="21"/>
                <w:highlight w:val="none"/>
              </w:rPr>
              <w:t>条件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50" w:type="dxa"/>
            <w:vMerge w:val="continue"/>
            <w:vAlign w:val="center"/>
          </w:tcPr>
          <w:p>
            <w:pPr>
              <w:adjustRightInd w:val="0"/>
              <w:snapToGrid w:val="0"/>
              <w:spacing w:line="312" w:lineRule="auto"/>
              <w:rPr>
                <w:rFonts w:hint="eastAsia" w:ascii="宋体" w:hAnsi="宋体" w:cs="宋体"/>
                <w:szCs w:val="21"/>
                <w:highlight w:val="none"/>
              </w:rPr>
            </w:pPr>
          </w:p>
        </w:tc>
        <w:tc>
          <w:tcPr>
            <w:tcW w:w="549" w:type="dxa"/>
            <w:vMerge w:val="continue"/>
            <w:vAlign w:val="center"/>
          </w:tcPr>
          <w:p>
            <w:pPr>
              <w:adjustRightInd w:val="0"/>
              <w:snapToGrid w:val="0"/>
              <w:spacing w:line="312" w:lineRule="auto"/>
              <w:rPr>
                <w:rFonts w:hint="eastAsia" w:ascii="宋体" w:hAnsi="宋体" w:cs="宋体"/>
                <w:szCs w:val="21"/>
                <w:highlight w:val="none"/>
              </w:rPr>
            </w:pPr>
          </w:p>
        </w:tc>
        <w:tc>
          <w:tcPr>
            <w:tcW w:w="1433" w:type="dxa"/>
            <w:vAlign w:val="center"/>
          </w:tcPr>
          <w:p>
            <w:pPr>
              <w:spacing w:line="312" w:lineRule="auto"/>
              <w:jc w:val="center"/>
              <w:rPr>
                <w:rFonts w:hint="eastAsia" w:ascii="宋体"/>
                <w:szCs w:val="21"/>
                <w:highlight w:val="none"/>
              </w:rPr>
            </w:pPr>
            <w:r>
              <w:rPr>
                <w:rFonts w:hAnsi="宋体"/>
                <w:szCs w:val="21"/>
                <w:highlight w:val="none"/>
              </w:rPr>
              <w:t>投标文件的签署</w:t>
            </w:r>
          </w:p>
        </w:tc>
        <w:tc>
          <w:tcPr>
            <w:tcW w:w="6190" w:type="dxa"/>
            <w:vAlign w:val="center"/>
          </w:tcPr>
          <w:p>
            <w:pPr>
              <w:spacing w:line="312" w:lineRule="auto"/>
              <w:jc w:val="left"/>
              <w:rPr>
                <w:rFonts w:hint="eastAsia" w:ascii="宋体"/>
                <w:szCs w:val="21"/>
                <w:highlight w:val="none"/>
              </w:rPr>
            </w:pPr>
            <w:r>
              <w:rPr>
                <w:rFonts w:ascii="宋体" w:hAnsi="宋体" w:eastAsia="宋体" w:cs="宋体"/>
                <w:spacing w:val="0"/>
                <w:position w:val="0"/>
                <w:sz w:val="21"/>
                <w:szCs w:val="21"/>
              </w:rPr>
              <w:t>符合第二章</w:t>
            </w:r>
            <w:r>
              <w:rPr>
                <w:rFonts w:hint="eastAsia" w:ascii="宋体" w:hAnsi="宋体" w:eastAsia="宋体" w:cs="宋体"/>
                <w:spacing w:val="0"/>
                <w:position w:val="0"/>
                <w:sz w:val="21"/>
                <w:szCs w:val="21"/>
                <w:lang w:eastAsia="zh-CN"/>
              </w:rPr>
              <w:t>“</w:t>
            </w:r>
            <w:r>
              <w:rPr>
                <w:rFonts w:ascii="宋体" w:hAnsi="宋体" w:eastAsia="宋体" w:cs="宋体"/>
                <w:spacing w:val="0"/>
                <w:position w:val="0"/>
                <w:sz w:val="21"/>
                <w:szCs w:val="21"/>
              </w:rPr>
              <w:t>投标人须知</w:t>
            </w:r>
            <w:r>
              <w:rPr>
                <w:rFonts w:hint="eastAsia" w:ascii="宋体" w:hAnsi="宋体" w:eastAsia="宋体" w:cs="宋体"/>
                <w:spacing w:val="0"/>
                <w:position w:val="0"/>
                <w:sz w:val="21"/>
                <w:szCs w:val="21"/>
                <w:lang w:eastAsia="zh-CN"/>
              </w:rPr>
              <w:t>”</w:t>
            </w:r>
            <w:r>
              <w:rPr>
                <w:rFonts w:ascii="宋体" w:hAnsi="宋体" w:eastAsia="宋体" w:cs="宋体"/>
                <w:spacing w:val="0"/>
                <w:position w:val="0"/>
                <w:sz w:val="21"/>
                <w:szCs w:val="21"/>
              </w:rPr>
              <w:t xml:space="preserve">第 </w:t>
            </w:r>
            <w:r>
              <w:rPr>
                <w:rFonts w:hint="eastAsia" w:ascii="Times New Roman" w:hAnsi="Times New Roman" w:eastAsia="宋体" w:cs="Times New Roman"/>
                <w:spacing w:val="0"/>
                <w:position w:val="0"/>
                <w:sz w:val="21"/>
                <w:szCs w:val="21"/>
                <w:lang w:val="en-US" w:eastAsia="zh-CN"/>
              </w:rPr>
              <w:t>20</w:t>
            </w:r>
            <w:r>
              <w:rPr>
                <w:rFonts w:ascii="Times New Roman" w:hAnsi="Times New Roman" w:eastAsia="Times New Roman" w:cs="Times New Roman"/>
                <w:spacing w:val="0"/>
                <w:position w:val="0"/>
                <w:sz w:val="21"/>
                <w:szCs w:val="21"/>
              </w:rPr>
              <w:t>.</w:t>
            </w:r>
            <w:r>
              <w:rPr>
                <w:rFonts w:hint="eastAsia" w:ascii="Times New Roman" w:hAnsi="Times New Roman" w:eastAsia="宋体" w:cs="Times New Roman"/>
                <w:spacing w:val="0"/>
                <w:position w:val="0"/>
                <w:sz w:val="21"/>
                <w:szCs w:val="21"/>
                <w:lang w:val="en-US" w:eastAsia="zh-CN"/>
              </w:rPr>
              <w:t>3</w:t>
            </w:r>
            <w:r>
              <w:rPr>
                <w:rFonts w:hint="eastAsia" w:ascii="Times New Roman" w:hAnsi="Times New Roman" w:eastAsia="宋体" w:cs="Times New Roman"/>
                <w:spacing w:val="0"/>
                <w:position w:val="0"/>
                <w:sz w:val="21"/>
                <w:szCs w:val="21"/>
                <w:lang w:eastAsia="zh-CN"/>
              </w:rPr>
              <w:t>（</w:t>
            </w:r>
            <w:r>
              <w:rPr>
                <w:rFonts w:hint="eastAsia" w:ascii="Times New Roman" w:hAnsi="Times New Roman" w:eastAsia="宋体" w:cs="Times New Roman"/>
                <w:spacing w:val="0"/>
                <w:position w:val="0"/>
                <w:sz w:val="21"/>
                <w:szCs w:val="21"/>
                <w:lang w:val="en-US" w:eastAsia="zh-CN"/>
              </w:rPr>
              <w:t>4</w:t>
            </w:r>
            <w:r>
              <w:rPr>
                <w:rFonts w:hint="eastAsia" w:ascii="Times New Roman" w:hAnsi="Times New Roman" w:eastAsia="宋体" w:cs="Times New Roman"/>
                <w:spacing w:val="0"/>
                <w:position w:val="0"/>
                <w:sz w:val="21"/>
                <w:szCs w:val="21"/>
                <w:lang w:eastAsia="zh-CN"/>
              </w:rPr>
              <w:t>）</w:t>
            </w:r>
            <w:r>
              <w:rPr>
                <w:rFonts w:ascii="宋体" w:hAnsi="宋体" w:eastAsia="宋体" w:cs="宋体"/>
                <w:spacing w:val="0"/>
                <w:position w:val="0"/>
                <w:sz w:val="21"/>
                <w:szCs w:val="21"/>
              </w:rPr>
              <w:t>项规定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50" w:type="dxa"/>
            <w:vMerge w:val="continue"/>
            <w:vAlign w:val="center"/>
          </w:tcPr>
          <w:p>
            <w:pPr>
              <w:adjustRightInd w:val="0"/>
              <w:snapToGrid w:val="0"/>
              <w:spacing w:line="312" w:lineRule="auto"/>
              <w:rPr>
                <w:rFonts w:hint="eastAsia" w:ascii="宋体" w:hAnsi="宋体" w:cs="宋体"/>
                <w:szCs w:val="21"/>
                <w:highlight w:val="none"/>
              </w:rPr>
            </w:pPr>
          </w:p>
        </w:tc>
        <w:tc>
          <w:tcPr>
            <w:tcW w:w="549" w:type="dxa"/>
            <w:vMerge w:val="continue"/>
            <w:vAlign w:val="center"/>
          </w:tcPr>
          <w:p>
            <w:pPr>
              <w:adjustRightInd w:val="0"/>
              <w:snapToGrid w:val="0"/>
              <w:spacing w:line="312" w:lineRule="auto"/>
              <w:rPr>
                <w:rFonts w:hint="eastAsia" w:ascii="宋体" w:hAnsi="宋体" w:cs="宋体"/>
                <w:szCs w:val="21"/>
                <w:highlight w:val="none"/>
              </w:rPr>
            </w:pPr>
          </w:p>
        </w:tc>
        <w:tc>
          <w:tcPr>
            <w:tcW w:w="1433" w:type="dxa"/>
            <w:vAlign w:val="center"/>
          </w:tcPr>
          <w:p>
            <w:pPr>
              <w:adjustRightInd w:val="0"/>
              <w:snapToGrid w:val="0"/>
              <w:spacing w:line="312" w:lineRule="auto"/>
              <w:jc w:val="center"/>
              <w:rPr>
                <w:rFonts w:hint="eastAsia" w:ascii="宋体" w:hAnsi="宋体" w:cs="宋体"/>
                <w:szCs w:val="21"/>
                <w:highlight w:val="none"/>
              </w:rPr>
            </w:pPr>
            <w:r>
              <w:rPr>
                <w:rFonts w:hint="eastAsia" w:ascii="宋体" w:hAnsi="宋体" w:cs="宋体"/>
                <w:szCs w:val="21"/>
                <w:highlight w:val="none"/>
              </w:rPr>
              <w:t>其它实质性要求</w:t>
            </w:r>
          </w:p>
        </w:tc>
        <w:tc>
          <w:tcPr>
            <w:tcW w:w="6190" w:type="dxa"/>
            <w:vAlign w:val="center"/>
          </w:tcPr>
          <w:p>
            <w:pPr>
              <w:adjustRightInd w:val="0"/>
              <w:snapToGrid w:val="0"/>
              <w:spacing w:line="312" w:lineRule="auto"/>
              <w:jc w:val="left"/>
              <w:rPr>
                <w:rFonts w:hint="eastAsia" w:ascii="宋体" w:hAnsi="宋体" w:cs="宋体"/>
                <w:szCs w:val="21"/>
                <w:highlight w:val="none"/>
              </w:rPr>
            </w:pPr>
            <w:r>
              <w:rPr>
                <w:rFonts w:hint="eastAsia" w:ascii="宋体" w:hAnsi="宋体" w:cs="宋体"/>
                <w:szCs w:val="21"/>
                <w:highlight w:val="none"/>
              </w:rPr>
              <w:t>投标文件未出现其他不满足招标文件中标注</w:t>
            </w:r>
            <w:r>
              <w:rPr>
                <w:rFonts w:hint="eastAsia" w:ascii="宋体"/>
                <w:color w:val="000000"/>
                <w:szCs w:val="21"/>
                <w:highlight w:val="none"/>
              </w:rPr>
              <w:t>★</w:t>
            </w:r>
            <w:r>
              <w:rPr>
                <w:rFonts w:hint="eastAsia" w:ascii="宋体" w:hAnsi="宋体" w:cs="宋体"/>
                <w:szCs w:val="21"/>
                <w:highlight w:val="none"/>
              </w:rPr>
              <w:t>条款内容，</w:t>
            </w:r>
            <w:r>
              <w:rPr>
                <w:rFonts w:hint="eastAsia" w:ascii="宋体"/>
                <w:szCs w:val="21"/>
                <w:highlight w:val="none"/>
              </w:rPr>
              <w:t>未出现招标文件明确规定可以废标的其他情形</w:t>
            </w:r>
            <w:r>
              <w:rPr>
                <w:rFonts w:hint="eastAsia" w:ascii="宋体" w:hAnsi="宋体" w:cs="宋体"/>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1299" w:type="dxa"/>
            <w:gridSpan w:val="2"/>
            <w:vAlign w:val="center"/>
          </w:tcPr>
          <w:p>
            <w:pPr>
              <w:adjustRightInd w:val="0"/>
              <w:snapToGrid w:val="0"/>
              <w:jc w:val="center"/>
              <w:rPr>
                <w:rFonts w:hint="eastAsia" w:ascii="宋体" w:hAnsi="宋体" w:cs="宋体"/>
                <w:sz w:val="24"/>
                <w:highlight w:val="none"/>
              </w:rPr>
            </w:pPr>
            <w:r>
              <w:rPr>
                <w:rFonts w:hint="eastAsia" w:ascii="宋体" w:hAnsi="宋体" w:cs="宋体"/>
                <w:b/>
                <w:sz w:val="24"/>
                <w:highlight w:val="none"/>
              </w:rPr>
              <w:t>条款号</w:t>
            </w:r>
          </w:p>
        </w:tc>
        <w:tc>
          <w:tcPr>
            <w:tcW w:w="1433" w:type="dxa"/>
            <w:vAlign w:val="center"/>
          </w:tcPr>
          <w:p>
            <w:pPr>
              <w:adjustRightInd w:val="0"/>
              <w:snapToGrid w:val="0"/>
              <w:jc w:val="center"/>
              <w:rPr>
                <w:rFonts w:hint="eastAsia" w:ascii="宋体" w:hAnsi="宋体" w:cs="宋体"/>
                <w:b/>
                <w:sz w:val="24"/>
                <w:highlight w:val="none"/>
              </w:rPr>
            </w:pPr>
            <w:r>
              <w:rPr>
                <w:rFonts w:hint="eastAsia" w:ascii="宋体" w:hAnsi="宋体" w:cs="宋体"/>
                <w:b/>
                <w:sz w:val="24"/>
                <w:highlight w:val="none"/>
              </w:rPr>
              <w:t>条款内容</w:t>
            </w:r>
          </w:p>
        </w:tc>
        <w:tc>
          <w:tcPr>
            <w:tcW w:w="6190" w:type="dxa"/>
            <w:vAlign w:val="center"/>
          </w:tcPr>
          <w:p>
            <w:pPr>
              <w:adjustRightInd w:val="0"/>
              <w:snapToGrid w:val="0"/>
              <w:jc w:val="center"/>
              <w:rPr>
                <w:rFonts w:hint="eastAsia" w:ascii="宋体" w:hAnsi="宋体" w:cs="宋体"/>
                <w:b/>
                <w:sz w:val="24"/>
                <w:highlight w:val="none"/>
              </w:rPr>
            </w:pPr>
            <w:r>
              <w:rPr>
                <w:rFonts w:hint="eastAsia" w:ascii="宋体" w:hAnsi="宋体" w:cs="宋体"/>
                <w:b/>
                <w:sz w:val="24"/>
                <w:highlight w:val="none"/>
              </w:rPr>
              <w:t>编列内容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09" w:hRule="atLeast"/>
          <w:jc w:val="center"/>
        </w:trPr>
        <w:tc>
          <w:tcPr>
            <w:tcW w:w="1299" w:type="dxa"/>
            <w:gridSpan w:val="2"/>
            <w:vAlign w:val="center"/>
          </w:tcPr>
          <w:p>
            <w:pPr>
              <w:adjustRightInd w:val="0"/>
              <w:snapToGrid w:val="0"/>
              <w:jc w:val="center"/>
              <w:rPr>
                <w:rFonts w:hint="eastAsia" w:ascii="宋体" w:hAnsi="宋体" w:cs="宋体"/>
                <w:szCs w:val="21"/>
                <w:highlight w:val="none"/>
              </w:rPr>
            </w:pPr>
            <w:r>
              <w:rPr>
                <w:rFonts w:hint="eastAsia" w:ascii="宋体" w:hAnsi="宋体" w:cs="宋体"/>
                <w:szCs w:val="21"/>
                <w:highlight w:val="none"/>
              </w:rPr>
              <w:t>2.2</w:t>
            </w:r>
          </w:p>
        </w:tc>
        <w:tc>
          <w:tcPr>
            <w:tcW w:w="1433" w:type="dxa"/>
            <w:vAlign w:val="center"/>
          </w:tcPr>
          <w:p>
            <w:pPr>
              <w:adjustRightInd w:val="0"/>
              <w:snapToGrid w:val="0"/>
              <w:jc w:val="center"/>
              <w:rPr>
                <w:rFonts w:hint="eastAsia" w:ascii="宋体" w:hAnsi="宋体" w:cs="宋体"/>
                <w:szCs w:val="21"/>
                <w:highlight w:val="none"/>
              </w:rPr>
            </w:pPr>
            <w:r>
              <w:rPr>
                <w:rFonts w:hint="eastAsia" w:ascii="宋体" w:hAnsi="宋体" w:cs="宋体"/>
                <w:szCs w:val="21"/>
                <w:highlight w:val="none"/>
              </w:rPr>
              <w:t>分值构成（满分100分）</w:t>
            </w:r>
          </w:p>
        </w:tc>
        <w:tc>
          <w:tcPr>
            <w:tcW w:w="6190" w:type="dxa"/>
            <w:vAlign w:val="center"/>
          </w:tcPr>
          <w:p>
            <w:pPr>
              <w:adjustRightInd w:val="0"/>
              <w:snapToGrid w:val="0"/>
              <w:spacing w:line="312" w:lineRule="auto"/>
              <w:rPr>
                <w:rFonts w:hint="eastAsia" w:ascii="宋体" w:hAnsi="宋体" w:cs="宋体"/>
                <w:szCs w:val="21"/>
                <w:highlight w:val="none"/>
              </w:rPr>
            </w:pPr>
            <w:r>
              <w:rPr>
                <w:rFonts w:hint="eastAsia" w:ascii="宋体" w:hAnsi="宋体" w:cs="宋体"/>
                <w:szCs w:val="21"/>
                <w:highlight w:val="none"/>
              </w:rPr>
              <w:t>技术部分：</w:t>
            </w:r>
            <w:r>
              <w:rPr>
                <w:rFonts w:hint="eastAsia" w:ascii="宋体" w:hAnsi="宋体" w:cs="宋体"/>
                <w:szCs w:val="21"/>
                <w:highlight w:val="none"/>
                <w:lang w:val="en-US" w:eastAsia="zh-CN"/>
              </w:rPr>
              <w:t>65</w:t>
            </w:r>
            <w:r>
              <w:rPr>
                <w:rFonts w:hint="eastAsia" w:ascii="宋体" w:hAnsi="宋体" w:cs="宋体"/>
                <w:szCs w:val="21"/>
                <w:highlight w:val="none"/>
              </w:rPr>
              <w:t>分。</w:t>
            </w:r>
          </w:p>
          <w:p>
            <w:pPr>
              <w:adjustRightInd w:val="0"/>
              <w:snapToGrid w:val="0"/>
              <w:spacing w:line="312" w:lineRule="auto"/>
              <w:rPr>
                <w:rFonts w:hint="eastAsia" w:ascii="宋体" w:hAnsi="宋体" w:cs="宋体"/>
                <w:szCs w:val="21"/>
                <w:highlight w:val="none"/>
              </w:rPr>
            </w:pPr>
            <w:r>
              <w:rPr>
                <w:rFonts w:hint="eastAsia" w:ascii="宋体" w:hAnsi="宋体" w:cs="宋体"/>
                <w:szCs w:val="21"/>
                <w:highlight w:val="none"/>
              </w:rPr>
              <w:t>商务部分：</w:t>
            </w:r>
            <w:r>
              <w:rPr>
                <w:rFonts w:hint="eastAsia" w:ascii="宋体" w:hAnsi="宋体" w:cs="宋体"/>
                <w:szCs w:val="21"/>
                <w:highlight w:val="none"/>
                <w:lang w:val="en-US" w:eastAsia="zh-CN"/>
              </w:rPr>
              <w:t>35</w:t>
            </w:r>
            <w:r>
              <w:rPr>
                <w:rFonts w:hint="eastAsia" w:ascii="宋体" w:hAnsi="宋体" w:cs="宋体"/>
                <w:szCs w:val="21"/>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299" w:type="dxa"/>
            <w:gridSpan w:val="2"/>
            <w:vAlign w:val="center"/>
          </w:tcPr>
          <w:p>
            <w:pPr>
              <w:snapToGrid w:val="0"/>
              <w:jc w:val="center"/>
              <w:rPr>
                <w:rFonts w:hint="eastAsia" w:ascii="宋体" w:hAnsi="宋体" w:cs="宋体"/>
                <w:sz w:val="24"/>
                <w:highlight w:val="none"/>
              </w:rPr>
            </w:pPr>
            <w:r>
              <w:rPr>
                <w:rFonts w:hint="eastAsia" w:ascii="宋体" w:hAnsi="宋体" w:cs="宋体"/>
                <w:b/>
                <w:sz w:val="24"/>
                <w:highlight w:val="none"/>
              </w:rPr>
              <w:t>条款号</w:t>
            </w:r>
          </w:p>
        </w:tc>
        <w:tc>
          <w:tcPr>
            <w:tcW w:w="1433" w:type="dxa"/>
            <w:vAlign w:val="center"/>
          </w:tcPr>
          <w:p>
            <w:pPr>
              <w:snapToGrid w:val="0"/>
              <w:jc w:val="center"/>
              <w:rPr>
                <w:rFonts w:hint="eastAsia" w:ascii="宋体" w:hAnsi="宋体" w:cs="宋体"/>
                <w:b/>
                <w:sz w:val="24"/>
                <w:highlight w:val="none"/>
              </w:rPr>
            </w:pPr>
            <w:r>
              <w:rPr>
                <w:rFonts w:hint="eastAsia" w:ascii="宋体" w:hAnsi="宋体" w:cs="宋体"/>
                <w:b/>
                <w:sz w:val="24"/>
                <w:highlight w:val="none"/>
              </w:rPr>
              <w:t>评分因素</w:t>
            </w:r>
          </w:p>
        </w:tc>
        <w:tc>
          <w:tcPr>
            <w:tcW w:w="6190" w:type="dxa"/>
            <w:vAlign w:val="center"/>
          </w:tcPr>
          <w:p>
            <w:pPr>
              <w:snapToGrid w:val="0"/>
              <w:jc w:val="center"/>
              <w:rPr>
                <w:rFonts w:hint="eastAsia" w:ascii="宋体" w:hAnsi="宋体" w:cs="宋体"/>
                <w:b/>
                <w:sz w:val="24"/>
                <w:highlight w:val="none"/>
              </w:rPr>
            </w:pPr>
            <w:r>
              <w:rPr>
                <w:rFonts w:hint="eastAsia" w:ascii="宋体" w:hAnsi="宋体" w:cs="宋体"/>
                <w:b/>
                <w:sz w:val="24"/>
                <w:highlight w:val="none"/>
              </w:rPr>
              <w:t>评分标准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33" w:hRule="atLeast"/>
          <w:jc w:val="center"/>
        </w:trPr>
        <w:tc>
          <w:tcPr>
            <w:tcW w:w="1299" w:type="dxa"/>
            <w:gridSpan w:val="2"/>
            <w:vMerge w:val="restart"/>
            <w:vAlign w:val="center"/>
          </w:tcPr>
          <w:p>
            <w:pPr>
              <w:snapToGrid w:val="0"/>
              <w:spacing w:line="312" w:lineRule="auto"/>
              <w:jc w:val="center"/>
              <w:rPr>
                <w:rFonts w:hint="eastAsia" w:ascii="宋体" w:hAnsi="宋体" w:eastAsia="宋体" w:cs="宋体"/>
                <w:szCs w:val="21"/>
                <w:highlight w:val="none"/>
                <w:lang w:eastAsia="zh-CN"/>
              </w:rPr>
            </w:pPr>
            <w:r>
              <w:rPr>
                <w:rFonts w:hint="eastAsia" w:ascii="宋体" w:hAnsi="宋体" w:cs="宋体"/>
                <w:szCs w:val="21"/>
                <w:highlight w:val="none"/>
              </w:rPr>
              <w:t>2.2.</w:t>
            </w:r>
            <w:r>
              <w:rPr>
                <w:rFonts w:hint="eastAsia" w:ascii="宋体" w:hAnsi="宋体" w:cs="宋体"/>
                <w:szCs w:val="21"/>
                <w:highlight w:val="none"/>
                <w:lang w:val="en-US" w:eastAsia="zh-CN"/>
              </w:rPr>
              <w:t>1</w:t>
            </w:r>
          </w:p>
        </w:tc>
        <w:tc>
          <w:tcPr>
            <w:tcW w:w="1433" w:type="dxa"/>
            <w:vMerge w:val="restart"/>
            <w:vAlign w:val="center"/>
          </w:tcPr>
          <w:p>
            <w:pPr>
              <w:snapToGrid w:val="0"/>
              <w:spacing w:line="312" w:lineRule="auto"/>
              <w:jc w:val="center"/>
              <w:rPr>
                <w:rFonts w:hint="eastAsia" w:ascii="宋体" w:hAnsi="宋体" w:cs="宋体"/>
                <w:szCs w:val="21"/>
                <w:highlight w:val="none"/>
              </w:rPr>
            </w:pPr>
            <w:r>
              <w:rPr>
                <w:rFonts w:hint="eastAsia" w:ascii="宋体" w:hAnsi="宋体" w:cs="宋体"/>
                <w:szCs w:val="21"/>
                <w:highlight w:val="none"/>
              </w:rPr>
              <w:t>技术部分评分标准</w:t>
            </w:r>
          </w:p>
        </w:tc>
        <w:tc>
          <w:tcPr>
            <w:tcW w:w="6190" w:type="dxa"/>
            <w:vAlign w:val="center"/>
          </w:tcPr>
          <w:p>
            <w:pPr>
              <w:keepNext w:val="0"/>
              <w:keepLines w:val="0"/>
              <w:widowControl/>
              <w:suppressLineNumbers w:val="0"/>
              <w:spacing w:line="360" w:lineRule="auto"/>
              <w:jc w:val="left"/>
              <w:rPr>
                <w:rFonts w:hint="eastAsia" w:ascii="宋体" w:hAnsi="宋体" w:eastAsia="宋体" w:cs="宋体"/>
                <w:sz w:val="21"/>
                <w:szCs w:val="21"/>
              </w:rPr>
            </w:pPr>
            <w:r>
              <w:rPr>
                <w:rFonts w:hint="eastAsia" w:ascii="宋体" w:hAnsi="宋体" w:eastAsia="宋体" w:cs="宋体"/>
                <w:b/>
                <w:bCs/>
                <w:color w:val="000000"/>
                <w:kern w:val="0"/>
                <w:sz w:val="21"/>
                <w:szCs w:val="21"/>
                <w:lang w:val="en-US" w:eastAsia="zh-CN" w:bidi="ar"/>
              </w:rPr>
              <w:t xml:space="preserve">1）项目需求分析评审评分（满分 </w:t>
            </w:r>
            <w:r>
              <w:rPr>
                <w:rFonts w:hint="eastAsia" w:ascii="宋体" w:hAnsi="宋体" w:cs="宋体"/>
                <w:b/>
                <w:bCs/>
                <w:color w:val="000000"/>
                <w:kern w:val="0"/>
                <w:sz w:val="21"/>
                <w:szCs w:val="21"/>
                <w:lang w:val="en-US" w:eastAsia="zh-CN" w:bidi="ar"/>
              </w:rPr>
              <w:t>10</w:t>
            </w:r>
            <w:r>
              <w:rPr>
                <w:rFonts w:hint="eastAsia" w:ascii="宋体" w:hAnsi="宋体" w:eastAsia="宋体" w:cs="宋体"/>
                <w:b/>
                <w:bCs/>
                <w:color w:val="000000"/>
                <w:kern w:val="0"/>
                <w:sz w:val="21"/>
                <w:szCs w:val="21"/>
                <w:lang w:val="en-US" w:eastAsia="zh-CN" w:bidi="ar"/>
              </w:rPr>
              <w:t xml:space="preserve">分） </w:t>
            </w:r>
          </w:p>
          <w:p>
            <w:pPr>
              <w:adjustRightInd w:val="0"/>
              <w:snapToGrid w:val="0"/>
              <w:spacing w:line="360" w:lineRule="auto"/>
              <w:rPr>
                <w:rFonts w:hint="eastAsia" w:ascii="宋体" w:hAnsi="宋体" w:cs="宋体"/>
                <w:b w:val="0"/>
                <w:bCs w:val="0"/>
                <w:color w:val="auto"/>
                <w:szCs w:val="21"/>
                <w:lang w:eastAsia="zh-CN"/>
              </w:rPr>
            </w:pPr>
            <w:r>
              <w:rPr>
                <w:rFonts w:hint="eastAsia" w:ascii="宋体" w:hAnsi="宋体" w:cs="宋体"/>
                <w:b w:val="0"/>
                <w:bCs w:val="0"/>
                <w:color w:val="auto"/>
                <w:szCs w:val="21"/>
                <w:lang w:eastAsia="zh-CN"/>
              </w:rPr>
              <w:t>第一个档次（10分）对项目背景理解透彻、熟悉相关政策、对本项目的任务目标明确、分析深刻、考虑全面、科学合理、切实可行的；</w:t>
            </w:r>
          </w:p>
          <w:p>
            <w:pPr>
              <w:adjustRightInd w:val="0"/>
              <w:snapToGrid w:val="0"/>
              <w:spacing w:line="360" w:lineRule="auto"/>
              <w:rPr>
                <w:rFonts w:hint="eastAsia" w:ascii="宋体" w:hAnsi="宋体" w:cs="宋体"/>
                <w:b w:val="0"/>
                <w:bCs w:val="0"/>
                <w:color w:val="auto"/>
                <w:szCs w:val="21"/>
                <w:lang w:eastAsia="zh-CN"/>
              </w:rPr>
            </w:pPr>
            <w:r>
              <w:rPr>
                <w:rFonts w:hint="eastAsia" w:ascii="宋体" w:hAnsi="宋体" w:cs="宋体"/>
                <w:b w:val="0"/>
                <w:bCs w:val="0"/>
                <w:color w:val="auto"/>
                <w:szCs w:val="21"/>
                <w:lang w:eastAsia="zh-CN"/>
              </w:rPr>
              <w:t>第二个档次（8分）对项目背景理解较为透彻、比较熟悉相关政策、对本项目的任务目标理解到位、分析系统仔细、科学合理的；</w:t>
            </w:r>
          </w:p>
          <w:p>
            <w:pPr>
              <w:adjustRightInd w:val="0"/>
              <w:snapToGrid w:val="0"/>
              <w:spacing w:line="360" w:lineRule="auto"/>
              <w:rPr>
                <w:rFonts w:hint="eastAsia" w:ascii="宋体" w:hAnsi="宋体" w:cs="宋体"/>
                <w:b w:val="0"/>
                <w:bCs w:val="0"/>
                <w:color w:val="auto"/>
                <w:szCs w:val="21"/>
                <w:lang w:eastAsia="zh-CN"/>
              </w:rPr>
            </w:pPr>
            <w:r>
              <w:rPr>
                <w:rFonts w:hint="eastAsia" w:ascii="宋体" w:hAnsi="宋体" w:cs="宋体"/>
                <w:b w:val="0"/>
                <w:bCs w:val="0"/>
                <w:color w:val="auto"/>
                <w:szCs w:val="21"/>
                <w:lang w:eastAsia="zh-CN"/>
              </w:rPr>
              <w:t>第三个档次（6分）对项目背景理解较为透彻、熟悉相关政策、对本划项目的任务目标理解到位、系统性稍差，考虑存在一定的瑕疵的；</w:t>
            </w:r>
          </w:p>
          <w:p>
            <w:pPr>
              <w:adjustRightInd w:val="0"/>
              <w:snapToGrid w:val="0"/>
              <w:spacing w:line="360" w:lineRule="auto"/>
              <w:rPr>
                <w:rFonts w:hint="eastAsia" w:ascii="宋体" w:hAnsi="宋体" w:cs="宋体"/>
                <w:b w:val="0"/>
                <w:bCs w:val="0"/>
                <w:color w:val="auto"/>
                <w:szCs w:val="21"/>
                <w:lang w:eastAsia="zh-CN"/>
              </w:rPr>
            </w:pPr>
            <w:r>
              <w:rPr>
                <w:rFonts w:hint="eastAsia" w:ascii="宋体" w:hAnsi="宋体" w:cs="宋体"/>
                <w:b w:val="0"/>
                <w:bCs w:val="0"/>
                <w:color w:val="auto"/>
                <w:szCs w:val="21"/>
                <w:lang w:eastAsia="zh-CN"/>
              </w:rPr>
              <w:t>第四个档次（4分）对项目背景、相关政策理解不充分，对本项目的任务目标不够清晰、分析理解不够深刻的；</w:t>
            </w:r>
          </w:p>
          <w:p>
            <w:pPr>
              <w:adjustRightInd w:val="0"/>
              <w:snapToGrid w:val="0"/>
              <w:spacing w:line="360" w:lineRule="auto"/>
              <w:rPr>
                <w:rFonts w:hint="eastAsia" w:ascii="宋体" w:hAnsi="宋体" w:cs="宋体"/>
                <w:b w:val="0"/>
                <w:bCs w:val="0"/>
                <w:color w:val="auto"/>
                <w:szCs w:val="21"/>
                <w:lang w:eastAsia="zh-CN"/>
              </w:rPr>
            </w:pPr>
            <w:r>
              <w:rPr>
                <w:rFonts w:hint="eastAsia" w:ascii="宋体" w:hAnsi="宋体" w:cs="宋体"/>
                <w:b w:val="0"/>
                <w:bCs w:val="0"/>
                <w:color w:val="auto"/>
                <w:szCs w:val="21"/>
                <w:lang w:eastAsia="zh-CN"/>
              </w:rPr>
              <w:t>第五个档次（2分）对项目背景、相关政策理解不充分，对本项目的理解和认识思路不清晰，系统性差，考虑存在较大的瑕疵的。</w:t>
            </w:r>
          </w:p>
          <w:p>
            <w:pPr>
              <w:keepNext w:val="0"/>
              <w:keepLines w:val="0"/>
              <w:widowControl/>
              <w:suppressLineNumbers w:val="0"/>
              <w:spacing w:line="360" w:lineRule="auto"/>
              <w:jc w:val="left"/>
              <w:rPr>
                <w:rFonts w:hint="eastAsia" w:ascii="宋体" w:hAnsi="宋体" w:eastAsia="宋体" w:cs="宋体"/>
                <w:sz w:val="21"/>
                <w:szCs w:val="21"/>
                <w:highlight w:val="none"/>
              </w:rPr>
            </w:pPr>
            <w:r>
              <w:rPr>
                <w:rFonts w:hint="eastAsia" w:ascii="宋体" w:hAnsi="宋体" w:cs="宋体"/>
                <w:b w:val="0"/>
                <w:bCs w:val="0"/>
                <w:color w:val="auto"/>
                <w:szCs w:val="21"/>
                <w:lang w:eastAsia="zh-CN"/>
              </w:rPr>
              <w:t>第六个档次（0分）未阐述对本项目的理解和认识或阐述明显错误的。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99" w:type="dxa"/>
            <w:gridSpan w:val="2"/>
            <w:vMerge w:val="continue"/>
            <w:vAlign w:val="center"/>
          </w:tcPr>
          <w:p>
            <w:pPr>
              <w:snapToGrid w:val="0"/>
              <w:spacing w:line="312" w:lineRule="auto"/>
              <w:rPr>
                <w:rFonts w:hint="eastAsia" w:ascii="宋体" w:hAnsi="宋体" w:cs="宋体"/>
                <w:szCs w:val="21"/>
                <w:highlight w:val="none"/>
              </w:rPr>
            </w:pPr>
          </w:p>
        </w:tc>
        <w:tc>
          <w:tcPr>
            <w:tcW w:w="1433" w:type="dxa"/>
            <w:vMerge w:val="continue"/>
            <w:vAlign w:val="center"/>
          </w:tcPr>
          <w:p>
            <w:pPr>
              <w:snapToGrid w:val="0"/>
              <w:spacing w:line="312" w:lineRule="auto"/>
              <w:jc w:val="center"/>
              <w:rPr>
                <w:rFonts w:hint="eastAsia" w:ascii="宋体" w:hAnsi="宋体" w:cs="宋体"/>
                <w:szCs w:val="21"/>
                <w:highlight w:val="none"/>
              </w:rPr>
            </w:pPr>
          </w:p>
        </w:tc>
        <w:tc>
          <w:tcPr>
            <w:tcW w:w="6190" w:type="dxa"/>
            <w:vAlign w:val="center"/>
          </w:tcPr>
          <w:p>
            <w:pPr>
              <w:keepNext w:val="0"/>
              <w:keepLines w:val="0"/>
              <w:pageBreakBefore w:val="0"/>
              <w:widowControl w:val="0"/>
              <w:kinsoku/>
              <w:wordWrap/>
              <w:overflowPunct/>
              <w:topLinePunct w:val="0"/>
              <w:autoSpaceDE/>
              <w:autoSpaceDN/>
              <w:bidi w:val="0"/>
              <w:snapToGrid/>
              <w:spacing w:beforeAutospacing="0" w:after="0" w:afterAutospacing="0" w:line="440" w:lineRule="exact"/>
              <w:textAlignment w:val="auto"/>
              <w:rPr>
                <w:rFonts w:hint="eastAsia" w:ascii="宋体" w:hAnsi="宋体" w:cs="宋体"/>
                <w:b/>
                <w:bCs/>
                <w:szCs w:val="21"/>
              </w:rPr>
            </w:pPr>
            <w:r>
              <w:rPr>
                <w:rFonts w:hint="eastAsia" w:ascii="宋体" w:hAnsi="宋体" w:cs="宋体"/>
                <w:b/>
                <w:bCs/>
                <w:szCs w:val="21"/>
                <w:lang w:val="en-US" w:eastAsia="zh-CN"/>
              </w:rPr>
              <w:t>2</w:t>
            </w:r>
            <w:r>
              <w:rPr>
                <w:rFonts w:hint="eastAsia" w:ascii="宋体" w:hAnsi="宋体" w:cs="宋体"/>
                <w:b/>
                <w:bCs/>
                <w:szCs w:val="21"/>
              </w:rPr>
              <w:t>）工作思路及重点难点特点分析(满分</w:t>
            </w:r>
            <w:r>
              <w:rPr>
                <w:rFonts w:hint="eastAsia" w:ascii="宋体" w:hAnsi="宋体" w:cs="宋体"/>
                <w:b/>
                <w:bCs/>
                <w:szCs w:val="21"/>
                <w:lang w:val="en-US" w:eastAsia="zh-CN"/>
              </w:rPr>
              <w:t>15</w:t>
            </w:r>
            <w:r>
              <w:rPr>
                <w:rFonts w:hint="eastAsia" w:ascii="宋体" w:hAnsi="宋体" w:cs="宋体"/>
                <w:b/>
                <w:bCs/>
                <w:szCs w:val="21"/>
              </w:rPr>
              <w:t>分)</w:t>
            </w:r>
          </w:p>
          <w:p>
            <w:pPr>
              <w:keepNext w:val="0"/>
              <w:keepLines w:val="0"/>
              <w:pageBreakBefore w:val="0"/>
              <w:widowControl w:val="0"/>
              <w:kinsoku/>
              <w:wordWrap/>
              <w:overflowPunct/>
              <w:topLinePunct w:val="0"/>
              <w:autoSpaceDE/>
              <w:autoSpaceDN/>
              <w:bidi w:val="0"/>
              <w:snapToGrid/>
              <w:spacing w:beforeAutospacing="0" w:after="0" w:afterAutospacing="0" w:line="440" w:lineRule="exact"/>
              <w:textAlignment w:val="auto"/>
              <w:rPr>
                <w:rFonts w:hint="eastAsia" w:ascii="宋体" w:hAnsi="宋体" w:cs="宋体"/>
                <w:szCs w:val="21"/>
              </w:rPr>
            </w:pPr>
            <w:r>
              <w:rPr>
                <w:rFonts w:hint="eastAsia" w:ascii="宋体" w:hAnsi="宋体" w:cs="宋体"/>
                <w:szCs w:val="21"/>
              </w:rPr>
              <w:t>第一个档次（</w:t>
            </w:r>
            <w:r>
              <w:rPr>
                <w:rFonts w:hint="eastAsia" w:ascii="宋体" w:hAnsi="宋体" w:cs="宋体"/>
                <w:szCs w:val="21"/>
                <w:lang w:val="en-US" w:eastAsia="zh-CN"/>
              </w:rPr>
              <w:t>15</w:t>
            </w:r>
            <w:r>
              <w:rPr>
                <w:rFonts w:hint="eastAsia" w:ascii="宋体" w:hAnsi="宋体" w:cs="宋体"/>
                <w:szCs w:val="21"/>
              </w:rPr>
              <w:t>分）能够全面认识</w:t>
            </w:r>
            <w:r>
              <w:rPr>
                <w:rFonts w:hint="eastAsia" w:ascii="宋体" w:hAnsi="宋体" w:cs="宋体"/>
                <w:szCs w:val="21"/>
                <w:lang w:val="en-US" w:eastAsia="zh-CN"/>
              </w:rPr>
              <w:t>自治区对</w:t>
            </w:r>
            <w:r>
              <w:rPr>
                <w:rFonts w:hint="eastAsia" w:ascii="宋体" w:hAnsi="宋体" w:cs="宋体"/>
                <w:szCs w:val="21"/>
              </w:rPr>
              <w:t>“十三五”政府投资项目</w:t>
            </w:r>
            <w:r>
              <w:rPr>
                <w:rFonts w:hint="eastAsia" w:ascii="宋体" w:hAnsi="宋体" w:cs="宋体"/>
                <w:szCs w:val="21"/>
                <w:lang w:val="en-US" w:eastAsia="zh-CN"/>
              </w:rPr>
              <w:t>实施审计工作的</w:t>
            </w:r>
            <w:r>
              <w:rPr>
                <w:rFonts w:hint="eastAsia" w:ascii="宋体" w:hAnsi="宋体" w:cs="宋体"/>
                <w:szCs w:val="21"/>
              </w:rPr>
              <w:t>指导精神，能够清晰认识</w:t>
            </w:r>
            <w:r>
              <w:rPr>
                <w:rFonts w:hint="eastAsia" w:ascii="宋体" w:hAnsi="宋体" w:cs="宋体"/>
                <w:szCs w:val="21"/>
                <w:lang w:val="en-US" w:eastAsia="zh-CN"/>
              </w:rPr>
              <w:t>本次审计</w:t>
            </w:r>
            <w:r>
              <w:rPr>
                <w:rFonts w:hint="eastAsia" w:ascii="宋体" w:hAnsi="宋体" w:cs="宋体"/>
                <w:szCs w:val="21"/>
              </w:rPr>
              <w:t>工作的重点和难点，并针对性</w:t>
            </w:r>
            <w:r>
              <w:rPr>
                <w:rFonts w:hint="eastAsia" w:ascii="宋体" w:hAnsi="宋体" w:cs="宋体"/>
                <w:szCs w:val="21"/>
                <w:lang w:eastAsia="zh-CN"/>
              </w:rPr>
              <w:t>、</w:t>
            </w:r>
            <w:r>
              <w:rPr>
                <w:rFonts w:hint="eastAsia" w:ascii="宋体" w:hAnsi="宋体" w:cs="宋体"/>
                <w:szCs w:val="21"/>
                <w:lang w:val="en-US" w:eastAsia="zh-CN"/>
              </w:rPr>
              <w:t>系统性</w:t>
            </w:r>
            <w:r>
              <w:rPr>
                <w:rFonts w:hint="eastAsia" w:ascii="宋体" w:hAnsi="宋体" w:cs="宋体"/>
                <w:szCs w:val="21"/>
              </w:rPr>
              <w:t>地提出工作思路的；</w:t>
            </w:r>
          </w:p>
          <w:p>
            <w:pPr>
              <w:keepNext w:val="0"/>
              <w:keepLines w:val="0"/>
              <w:pageBreakBefore w:val="0"/>
              <w:widowControl w:val="0"/>
              <w:kinsoku/>
              <w:wordWrap/>
              <w:overflowPunct/>
              <w:topLinePunct w:val="0"/>
              <w:autoSpaceDE/>
              <w:autoSpaceDN/>
              <w:bidi w:val="0"/>
              <w:snapToGrid/>
              <w:spacing w:beforeAutospacing="0" w:after="0" w:afterAutospacing="0" w:line="440" w:lineRule="exact"/>
              <w:textAlignment w:val="auto"/>
              <w:rPr>
                <w:rFonts w:hint="eastAsia" w:ascii="宋体" w:hAnsi="宋体" w:cs="宋体"/>
                <w:szCs w:val="21"/>
              </w:rPr>
            </w:pPr>
            <w:r>
              <w:rPr>
                <w:rFonts w:hint="eastAsia" w:ascii="宋体" w:hAnsi="宋体" w:cs="宋体"/>
                <w:szCs w:val="21"/>
              </w:rPr>
              <w:t>第二个档次（</w:t>
            </w:r>
            <w:r>
              <w:rPr>
                <w:rFonts w:hint="eastAsia" w:ascii="宋体" w:hAnsi="宋体" w:cs="宋体"/>
                <w:szCs w:val="21"/>
                <w:lang w:val="en-US" w:eastAsia="zh-CN"/>
              </w:rPr>
              <w:t>12</w:t>
            </w:r>
            <w:r>
              <w:rPr>
                <w:rFonts w:hint="eastAsia" w:ascii="宋体" w:hAnsi="宋体" w:cs="宋体"/>
                <w:szCs w:val="21"/>
              </w:rPr>
              <w:t>分）能够认识</w:t>
            </w:r>
            <w:r>
              <w:rPr>
                <w:rFonts w:hint="eastAsia" w:ascii="宋体" w:hAnsi="宋体" w:cs="宋体"/>
                <w:szCs w:val="21"/>
                <w:lang w:val="en-US" w:eastAsia="zh-CN"/>
              </w:rPr>
              <w:t>自治区对</w:t>
            </w:r>
            <w:r>
              <w:rPr>
                <w:rFonts w:hint="eastAsia" w:ascii="宋体" w:hAnsi="宋体" w:cs="宋体"/>
                <w:szCs w:val="21"/>
              </w:rPr>
              <w:t>“十三五”政府投资项目</w:t>
            </w:r>
            <w:r>
              <w:rPr>
                <w:rFonts w:hint="eastAsia" w:ascii="宋体" w:hAnsi="宋体" w:cs="宋体"/>
                <w:szCs w:val="21"/>
                <w:lang w:val="en-US" w:eastAsia="zh-CN"/>
              </w:rPr>
              <w:t>实施审计工作</w:t>
            </w:r>
            <w:r>
              <w:rPr>
                <w:rFonts w:hint="eastAsia" w:ascii="宋体" w:hAnsi="宋体" w:cs="宋体"/>
                <w:szCs w:val="21"/>
              </w:rPr>
              <w:t>的指导精神，能够清晰认识</w:t>
            </w:r>
            <w:r>
              <w:rPr>
                <w:rFonts w:hint="eastAsia" w:ascii="宋体" w:hAnsi="宋体" w:cs="宋体"/>
                <w:szCs w:val="21"/>
                <w:lang w:val="en-US" w:eastAsia="zh-CN"/>
              </w:rPr>
              <w:t>本次审计</w:t>
            </w:r>
            <w:r>
              <w:rPr>
                <w:rFonts w:hint="eastAsia" w:ascii="宋体" w:hAnsi="宋体" w:cs="宋体"/>
                <w:szCs w:val="21"/>
              </w:rPr>
              <w:t>工作的重点和难点，</w:t>
            </w:r>
            <w:r>
              <w:rPr>
                <w:rFonts w:hint="eastAsia" w:ascii="宋体" w:hAnsi="宋体" w:cs="宋体"/>
                <w:szCs w:val="21"/>
                <w:lang w:val="en-US" w:eastAsia="zh-CN"/>
              </w:rPr>
              <w:t>能</w:t>
            </w:r>
            <w:r>
              <w:rPr>
                <w:rFonts w:hint="eastAsia" w:ascii="宋体" w:hAnsi="宋体" w:cs="宋体"/>
                <w:szCs w:val="21"/>
              </w:rPr>
              <w:t>针对性提出工作思路的；</w:t>
            </w:r>
          </w:p>
          <w:p>
            <w:pPr>
              <w:keepNext w:val="0"/>
              <w:keepLines w:val="0"/>
              <w:pageBreakBefore w:val="0"/>
              <w:widowControl w:val="0"/>
              <w:kinsoku/>
              <w:wordWrap/>
              <w:overflowPunct/>
              <w:topLinePunct w:val="0"/>
              <w:autoSpaceDE/>
              <w:autoSpaceDN/>
              <w:bidi w:val="0"/>
              <w:snapToGrid/>
              <w:spacing w:beforeAutospacing="0" w:after="0" w:afterAutospacing="0" w:line="440" w:lineRule="exact"/>
              <w:textAlignment w:val="auto"/>
              <w:rPr>
                <w:rFonts w:hint="eastAsia" w:ascii="宋体" w:hAnsi="宋体" w:cs="宋体"/>
                <w:szCs w:val="21"/>
              </w:rPr>
            </w:pPr>
            <w:r>
              <w:rPr>
                <w:rFonts w:hint="eastAsia" w:ascii="宋体" w:hAnsi="宋体" w:cs="宋体"/>
                <w:szCs w:val="21"/>
              </w:rPr>
              <w:t>第三个档次（</w:t>
            </w:r>
            <w:r>
              <w:rPr>
                <w:rFonts w:hint="eastAsia" w:ascii="宋体" w:hAnsi="宋体" w:cs="宋体"/>
                <w:szCs w:val="21"/>
                <w:lang w:val="en-US" w:eastAsia="zh-CN"/>
              </w:rPr>
              <w:t>9</w:t>
            </w:r>
            <w:r>
              <w:rPr>
                <w:rFonts w:hint="eastAsia" w:ascii="宋体" w:hAnsi="宋体" w:cs="宋体"/>
                <w:szCs w:val="21"/>
              </w:rPr>
              <w:t>分）能够</w:t>
            </w:r>
            <w:r>
              <w:rPr>
                <w:rFonts w:hint="eastAsia" w:ascii="宋体" w:hAnsi="宋体" w:cs="宋体"/>
                <w:szCs w:val="21"/>
                <w:lang w:val="en-US" w:eastAsia="zh-CN"/>
              </w:rPr>
              <w:t>基本</w:t>
            </w:r>
            <w:r>
              <w:rPr>
                <w:rFonts w:hint="eastAsia" w:ascii="宋体" w:hAnsi="宋体" w:cs="宋体"/>
                <w:szCs w:val="21"/>
              </w:rPr>
              <w:t>认识</w:t>
            </w:r>
            <w:r>
              <w:rPr>
                <w:rFonts w:hint="eastAsia" w:ascii="宋体" w:hAnsi="宋体" w:cs="宋体"/>
                <w:szCs w:val="21"/>
                <w:lang w:val="en-US" w:eastAsia="zh-CN"/>
              </w:rPr>
              <w:t>自治区对</w:t>
            </w:r>
            <w:r>
              <w:rPr>
                <w:rFonts w:hint="eastAsia" w:ascii="宋体" w:hAnsi="宋体" w:cs="宋体"/>
                <w:szCs w:val="21"/>
              </w:rPr>
              <w:t>“十三五”政府投资项目</w:t>
            </w:r>
            <w:r>
              <w:rPr>
                <w:rFonts w:hint="eastAsia" w:ascii="宋体" w:hAnsi="宋体" w:cs="宋体"/>
                <w:szCs w:val="21"/>
                <w:lang w:val="en-US" w:eastAsia="zh-CN"/>
              </w:rPr>
              <w:t>实施审计工作</w:t>
            </w:r>
            <w:r>
              <w:rPr>
                <w:rFonts w:hint="eastAsia" w:ascii="宋体" w:hAnsi="宋体" w:cs="宋体"/>
                <w:szCs w:val="21"/>
              </w:rPr>
              <w:t>的指导精神，能够认识</w:t>
            </w:r>
            <w:r>
              <w:rPr>
                <w:rFonts w:hint="eastAsia" w:ascii="宋体" w:hAnsi="宋体" w:cs="宋体"/>
                <w:szCs w:val="21"/>
                <w:lang w:val="en-US" w:eastAsia="zh-CN"/>
              </w:rPr>
              <w:t>本次审计</w:t>
            </w:r>
            <w:r>
              <w:rPr>
                <w:rFonts w:hint="eastAsia" w:ascii="宋体" w:hAnsi="宋体" w:cs="宋体"/>
                <w:szCs w:val="21"/>
              </w:rPr>
              <w:t>工作的重点和难点，并提出</w:t>
            </w:r>
            <w:r>
              <w:rPr>
                <w:rFonts w:hint="eastAsia" w:ascii="宋体" w:hAnsi="宋体" w:cs="宋体"/>
                <w:szCs w:val="21"/>
                <w:lang w:val="en-US" w:eastAsia="zh-CN"/>
              </w:rPr>
              <w:t>基本</w:t>
            </w:r>
            <w:r>
              <w:rPr>
                <w:rFonts w:hint="eastAsia" w:ascii="宋体" w:hAnsi="宋体" w:cs="宋体"/>
                <w:szCs w:val="21"/>
              </w:rPr>
              <w:t>工作思路的；</w:t>
            </w:r>
          </w:p>
          <w:p>
            <w:pPr>
              <w:keepNext w:val="0"/>
              <w:keepLines w:val="0"/>
              <w:pageBreakBefore w:val="0"/>
              <w:widowControl w:val="0"/>
              <w:kinsoku/>
              <w:wordWrap/>
              <w:overflowPunct/>
              <w:topLinePunct w:val="0"/>
              <w:autoSpaceDE/>
              <w:autoSpaceDN/>
              <w:bidi w:val="0"/>
              <w:snapToGrid/>
              <w:spacing w:beforeAutospacing="0" w:after="0" w:afterAutospacing="0" w:line="440" w:lineRule="exact"/>
              <w:textAlignment w:val="auto"/>
              <w:rPr>
                <w:rFonts w:hint="eastAsia" w:ascii="宋体" w:hAnsi="宋体" w:cs="宋体"/>
                <w:szCs w:val="21"/>
              </w:rPr>
            </w:pPr>
            <w:r>
              <w:rPr>
                <w:rFonts w:hint="eastAsia" w:ascii="宋体" w:hAnsi="宋体" w:cs="宋体"/>
                <w:szCs w:val="21"/>
              </w:rPr>
              <w:t>第四个档次（</w:t>
            </w:r>
            <w:r>
              <w:rPr>
                <w:rFonts w:hint="eastAsia" w:ascii="宋体" w:hAnsi="宋体" w:cs="宋体"/>
                <w:szCs w:val="21"/>
                <w:lang w:val="en-US" w:eastAsia="zh-CN"/>
              </w:rPr>
              <w:t>6</w:t>
            </w:r>
            <w:r>
              <w:rPr>
                <w:rFonts w:hint="eastAsia" w:ascii="宋体" w:hAnsi="宋体" w:cs="宋体"/>
                <w:szCs w:val="21"/>
              </w:rPr>
              <w:t>分）</w:t>
            </w:r>
            <w:r>
              <w:rPr>
                <w:rFonts w:hint="eastAsia" w:ascii="宋体" w:hAnsi="宋体" w:cs="宋体"/>
                <w:szCs w:val="21"/>
                <w:lang w:val="en-US" w:eastAsia="zh-CN"/>
              </w:rPr>
              <w:t>对自治区对</w:t>
            </w:r>
            <w:r>
              <w:rPr>
                <w:rFonts w:hint="eastAsia" w:ascii="宋体" w:hAnsi="宋体" w:cs="宋体"/>
                <w:szCs w:val="21"/>
              </w:rPr>
              <w:t>“十三五”政府投资项目</w:t>
            </w:r>
            <w:r>
              <w:rPr>
                <w:rFonts w:hint="eastAsia" w:ascii="宋体" w:hAnsi="宋体" w:cs="宋体"/>
                <w:szCs w:val="21"/>
                <w:lang w:val="en-US" w:eastAsia="zh-CN"/>
              </w:rPr>
              <w:t>实施审计工作</w:t>
            </w:r>
            <w:r>
              <w:rPr>
                <w:rFonts w:hint="eastAsia" w:ascii="宋体" w:hAnsi="宋体" w:cs="宋体"/>
                <w:szCs w:val="21"/>
              </w:rPr>
              <w:t>的指导精神</w:t>
            </w:r>
            <w:r>
              <w:rPr>
                <w:rFonts w:hint="eastAsia" w:ascii="宋体" w:hAnsi="宋体" w:cs="宋体"/>
                <w:szCs w:val="21"/>
                <w:lang w:val="en-US" w:eastAsia="zh-CN"/>
              </w:rPr>
              <w:t>理解不到位，</w:t>
            </w:r>
            <w:r>
              <w:rPr>
                <w:rFonts w:hint="eastAsia" w:ascii="宋体" w:hAnsi="宋体" w:cs="宋体"/>
                <w:szCs w:val="21"/>
              </w:rPr>
              <w:t>对</w:t>
            </w:r>
            <w:r>
              <w:rPr>
                <w:rFonts w:hint="eastAsia" w:ascii="宋体" w:hAnsi="宋体" w:cs="宋体"/>
                <w:szCs w:val="21"/>
                <w:lang w:val="en-US" w:eastAsia="zh-CN"/>
              </w:rPr>
              <w:t>本次审计</w:t>
            </w:r>
            <w:r>
              <w:rPr>
                <w:rFonts w:hint="eastAsia" w:ascii="宋体" w:hAnsi="宋体" w:cs="宋体"/>
                <w:szCs w:val="21"/>
              </w:rPr>
              <w:t>工作重点难点把握不到位，没有针对性，开展思路不清晰；提出的工作思路缺乏针对性、系统性；</w:t>
            </w:r>
          </w:p>
          <w:p>
            <w:pPr>
              <w:keepNext w:val="0"/>
              <w:keepLines w:val="0"/>
              <w:pageBreakBefore w:val="0"/>
              <w:widowControl w:val="0"/>
              <w:kinsoku/>
              <w:wordWrap/>
              <w:overflowPunct/>
              <w:topLinePunct w:val="0"/>
              <w:autoSpaceDE/>
              <w:autoSpaceDN/>
              <w:bidi w:val="0"/>
              <w:adjustRightInd/>
              <w:snapToGrid/>
              <w:spacing w:beforeAutospacing="0" w:after="0" w:afterAutospacing="0" w:line="440" w:lineRule="exact"/>
              <w:textAlignment w:val="auto"/>
              <w:rPr>
                <w:rFonts w:hint="eastAsia" w:ascii="宋体" w:hAnsi="宋体" w:cs="宋体"/>
                <w:szCs w:val="21"/>
              </w:rPr>
            </w:pPr>
            <w:r>
              <w:rPr>
                <w:rFonts w:hint="eastAsia" w:ascii="宋体" w:hAnsi="宋体" w:cs="宋体"/>
                <w:szCs w:val="21"/>
              </w:rPr>
              <w:t>第五个档次（</w:t>
            </w:r>
            <w:r>
              <w:rPr>
                <w:rFonts w:hint="eastAsia" w:ascii="宋体" w:hAnsi="宋体" w:cs="宋体"/>
                <w:szCs w:val="21"/>
                <w:lang w:val="en-US" w:eastAsia="zh-CN"/>
              </w:rPr>
              <w:t>3</w:t>
            </w:r>
            <w:r>
              <w:rPr>
                <w:rFonts w:hint="eastAsia" w:ascii="宋体" w:hAnsi="宋体" w:cs="宋体"/>
                <w:szCs w:val="21"/>
              </w:rPr>
              <w:t>分）对</w:t>
            </w:r>
            <w:r>
              <w:rPr>
                <w:rFonts w:hint="eastAsia" w:ascii="宋体" w:hAnsi="宋体" w:cs="宋体"/>
                <w:szCs w:val="21"/>
                <w:lang w:val="en-US" w:eastAsia="zh-CN"/>
              </w:rPr>
              <w:t>本项目</w:t>
            </w:r>
            <w:r>
              <w:rPr>
                <w:rFonts w:hint="eastAsia" w:ascii="宋体" w:hAnsi="宋体" w:cs="宋体"/>
                <w:szCs w:val="21"/>
              </w:rPr>
              <w:t>各个工作阶段中的重点、难点、特点仅泛泛而谈，无法针对性地提出工作思路的；</w:t>
            </w:r>
          </w:p>
          <w:p>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auto"/>
              <w:rPr>
                <w:rFonts w:hint="eastAsia" w:ascii="宋体" w:hAnsi="宋体" w:eastAsia="宋体" w:cs="宋体"/>
                <w:kern w:val="2"/>
                <w:sz w:val="21"/>
                <w:szCs w:val="21"/>
                <w:lang w:val="en-US" w:eastAsia="zh-CN" w:bidi="ar-SA"/>
              </w:rPr>
            </w:pPr>
            <w:r>
              <w:rPr>
                <w:rFonts w:hint="eastAsia" w:ascii="宋体" w:hAnsi="宋体" w:cs="宋体"/>
                <w:szCs w:val="21"/>
              </w:rPr>
              <w:t>第六个档次（0分）无工作思路及重点难点特点分析的</w:t>
            </w:r>
            <w:r>
              <w:rPr>
                <w:rFonts w:hint="eastAsia" w:ascii="宋体" w:hAnsi="宋体" w:cs="宋体"/>
                <w:szCs w:val="21"/>
                <w:lang w:eastAsia="zh-CN"/>
              </w:rPr>
              <w:t>，</w:t>
            </w:r>
            <w:r>
              <w:rPr>
                <w:rFonts w:hint="eastAsia" w:ascii="宋体" w:hAnsi="宋体" w:cs="宋体"/>
                <w:szCs w:val="21"/>
                <w:lang w:val="en-US" w:eastAsia="zh-CN"/>
              </w:rPr>
              <w:t>或分析明显错误的</w:t>
            </w:r>
            <w:r>
              <w:rPr>
                <w:rFonts w:hint="eastAsia" w:ascii="宋体" w:hAnsi="宋体" w:cs="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99" w:type="dxa"/>
            <w:gridSpan w:val="2"/>
            <w:vMerge w:val="continue"/>
            <w:vAlign w:val="center"/>
          </w:tcPr>
          <w:p>
            <w:pPr>
              <w:snapToGrid w:val="0"/>
              <w:spacing w:line="312" w:lineRule="auto"/>
              <w:rPr>
                <w:rFonts w:hint="eastAsia" w:ascii="宋体" w:hAnsi="宋体" w:cs="宋体"/>
                <w:szCs w:val="21"/>
                <w:highlight w:val="none"/>
              </w:rPr>
            </w:pPr>
          </w:p>
        </w:tc>
        <w:tc>
          <w:tcPr>
            <w:tcW w:w="1433" w:type="dxa"/>
            <w:vMerge w:val="continue"/>
            <w:vAlign w:val="center"/>
          </w:tcPr>
          <w:p>
            <w:pPr>
              <w:snapToGrid w:val="0"/>
              <w:spacing w:line="312" w:lineRule="auto"/>
              <w:jc w:val="center"/>
              <w:rPr>
                <w:rFonts w:hint="eastAsia" w:ascii="宋体" w:hAnsi="宋体" w:cs="宋体"/>
                <w:szCs w:val="21"/>
                <w:highlight w:val="none"/>
              </w:rPr>
            </w:pPr>
          </w:p>
        </w:tc>
        <w:tc>
          <w:tcPr>
            <w:tcW w:w="6190" w:type="dxa"/>
            <w:vAlign w:val="center"/>
          </w:tcPr>
          <w:p>
            <w:pPr>
              <w:keepNext w:val="0"/>
              <w:keepLines w:val="0"/>
              <w:widowControl/>
              <w:suppressLineNumbers w:val="0"/>
              <w:spacing w:line="360" w:lineRule="auto"/>
              <w:jc w:val="left"/>
              <w:rPr>
                <w:rFonts w:hint="eastAsia" w:ascii="宋体" w:hAnsi="宋体" w:eastAsia="宋体" w:cs="宋体"/>
                <w:b/>
                <w:bCs/>
                <w:kern w:val="2"/>
                <w:sz w:val="21"/>
                <w:szCs w:val="21"/>
                <w:lang w:val="en-US" w:eastAsia="zh-CN" w:bidi="ar-SA"/>
              </w:rPr>
            </w:pPr>
            <w:r>
              <w:rPr>
                <w:rFonts w:hint="eastAsia" w:ascii="宋体" w:hAnsi="宋体" w:eastAsia="宋体" w:cs="宋体"/>
                <w:b/>
                <w:bCs/>
                <w:kern w:val="2"/>
                <w:sz w:val="21"/>
                <w:szCs w:val="21"/>
                <w:lang w:val="en-US" w:eastAsia="zh-CN" w:bidi="ar-SA"/>
              </w:rPr>
              <w:t>3) 项目时间进度计划评分（满分10分）</w:t>
            </w:r>
          </w:p>
          <w:p>
            <w:pPr>
              <w:keepNext w:val="0"/>
              <w:keepLines w:val="0"/>
              <w:widowControl/>
              <w:suppressLineNumbers w:val="0"/>
              <w:spacing w:line="360" w:lineRule="auto"/>
              <w:jc w:val="left"/>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第一个档次（10分）：项目时间进度计划、组织计划安排优于</w:t>
            </w:r>
            <w:r>
              <w:rPr>
                <w:rFonts w:hint="eastAsia" w:ascii="宋体" w:hAnsi="宋体" w:cs="宋体"/>
                <w:kern w:val="2"/>
                <w:sz w:val="21"/>
                <w:szCs w:val="21"/>
                <w:lang w:val="en-US" w:eastAsia="zh-CN" w:bidi="ar-SA"/>
              </w:rPr>
              <w:t>招标</w:t>
            </w:r>
            <w:r>
              <w:rPr>
                <w:rFonts w:hint="eastAsia" w:ascii="宋体" w:hAnsi="宋体" w:eastAsia="宋体" w:cs="宋体"/>
                <w:kern w:val="2"/>
                <w:sz w:val="21"/>
                <w:szCs w:val="21"/>
                <w:lang w:val="en-US" w:eastAsia="zh-CN" w:bidi="ar-SA"/>
              </w:rPr>
              <w:t>文件要求，安排具体、切实可行、科学规范、针对性较强，项目管理的进度计划较详细、重要项目里程碑说明规范；</w:t>
            </w:r>
          </w:p>
          <w:p>
            <w:pPr>
              <w:keepNext w:val="0"/>
              <w:keepLines w:val="0"/>
              <w:widowControl/>
              <w:suppressLineNumbers w:val="0"/>
              <w:spacing w:line="360" w:lineRule="auto"/>
              <w:jc w:val="left"/>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第二个档次（8分）：项目时间进度计划、组织计划安排完全满足</w:t>
            </w:r>
            <w:r>
              <w:rPr>
                <w:rFonts w:hint="eastAsia" w:ascii="宋体" w:hAnsi="宋体" w:cs="宋体"/>
                <w:kern w:val="2"/>
                <w:sz w:val="21"/>
                <w:szCs w:val="21"/>
                <w:lang w:val="en-US" w:eastAsia="zh-CN" w:bidi="ar-SA"/>
              </w:rPr>
              <w:t>招标</w:t>
            </w:r>
            <w:r>
              <w:rPr>
                <w:rFonts w:hint="eastAsia" w:ascii="宋体" w:hAnsi="宋体" w:eastAsia="宋体" w:cs="宋体"/>
                <w:kern w:val="2"/>
                <w:sz w:val="21"/>
                <w:szCs w:val="21"/>
                <w:lang w:val="en-US" w:eastAsia="zh-CN" w:bidi="ar-SA"/>
              </w:rPr>
              <w:t>文件要求，内容完整、安排较合理、切实可行、科学规范、针对性强；项目管理的进度计划完整、详细、有重要项目里程碑说明；</w:t>
            </w:r>
          </w:p>
          <w:p>
            <w:pPr>
              <w:keepNext w:val="0"/>
              <w:keepLines w:val="0"/>
              <w:widowControl/>
              <w:suppressLineNumbers w:val="0"/>
              <w:spacing w:line="360" w:lineRule="auto"/>
              <w:jc w:val="left"/>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第三个档次（6分）：项目工期时间进度计划、组织计划安排基本满足</w:t>
            </w:r>
            <w:r>
              <w:rPr>
                <w:rFonts w:hint="eastAsia" w:ascii="宋体" w:hAnsi="宋体" w:cs="宋体"/>
                <w:kern w:val="2"/>
                <w:sz w:val="21"/>
                <w:szCs w:val="21"/>
                <w:lang w:val="en-US" w:eastAsia="zh-CN" w:bidi="ar-SA"/>
              </w:rPr>
              <w:t>招标</w:t>
            </w:r>
            <w:r>
              <w:rPr>
                <w:rFonts w:hint="eastAsia" w:ascii="宋体" w:hAnsi="宋体" w:eastAsia="宋体" w:cs="宋体"/>
                <w:kern w:val="2"/>
                <w:sz w:val="21"/>
                <w:szCs w:val="21"/>
                <w:lang w:val="en-US" w:eastAsia="zh-CN" w:bidi="ar-SA"/>
              </w:rPr>
              <w:t>文件要求，安排合理、针对性较好，项目管理的进度计划一般；</w:t>
            </w:r>
          </w:p>
          <w:p>
            <w:pPr>
              <w:keepNext w:val="0"/>
              <w:keepLines w:val="0"/>
              <w:widowControl/>
              <w:suppressLineNumbers w:val="0"/>
              <w:spacing w:line="360" w:lineRule="auto"/>
              <w:jc w:val="left"/>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第四个档次（4分）：项目时间进度计划、组织计划安排欠缺，针对性一般，项目管理的进度计划较差；</w:t>
            </w:r>
          </w:p>
          <w:p>
            <w:pPr>
              <w:keepNext w:val="0"/>
              <w:keepLines w:val="0"/>
              <w:widowControl/>
              <w:suppressLineNumbers w:val="0"/>
              <w:spacing w:line="360" w:lineRule="auto"/>
              <w:jc w:val="left"/>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第五个档次（2分）：项目时间进度计划、组织计划安排基本满足</w:t>
            </w:r>
            <w:r>
              <w:rPr>
                <w:rFonts w:hint="eastAsia" w:ascii="宋体" w:hAnsi="宋体" w:cs="宋体"/>
                <w:kern w:val="2"/>
                <w:sz w:val="21"/>
                <w:szCs w:val="21"/>
                <w:lang w:val="en-US" w:eastAsia="zh-CN" w:bidi="ar-SA"/>
              </w:rPr>
              <w:t>招标</w:t>
            </w:r>
            <w:r>
              <w:rPr>
                <w:rFonts w:hint="eastAsia" w:ascii="宋体" w:hAnsi="宋体" w:eastAsia="宋体" w:cs="宋体"/>
                <w:kern w:val="2"/>
                <w:sz w:val="21"/>
                <w:szCs w:val="21"/>
                <w:lang w:val="en-US" w:eastAsia="zh-CN" w:bidi="ar-SA"/>
              </w:rPr>
              <w:t>文件要求，内容一般、无项目管理的进度计划。</w:t>
            </w:r>
          </w:p>
          <w:p>
            <w:pPr>
              <w:keepNext w:val="0"/>
              <w:keepLines w:val="0"/>
              <w:widowControl/>
              <w:suppressLineNumbers w:val="0"/>
              <w:spacing w:line="360" w:lineRule="auto"/>
              <w:jc w:val="left"/>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第六个档次（0分）：项目时间进度计划、组织计划安排内容有误，或无时间进度计划安排。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99" w:type="dxa"/>
            <w:gridSpan w:val="2"/>
            <w:vMerge w:val="continue"/>
            <w:vAlign w:val="center"/>
          </w:tcPr>
          <w:p>
            <w:pPr>
              <w:snapToGrid w:val="0"/>
              <w:spacing w:line="312" w:lineRule="auto"/>
              <w:rPr>
                <w:rFonts w:hint="eastAsia" w:ascii="宋体" w:hAnsi="宋体" w:cs="宋体"/>
                <w:szCs w:val="21"/>
                <w:highlight w:val="none"/>
              </w:rPr>
            </w:pPr>
          </w:p>
        </w:tc>
        <w:tc>
          <w:tcPr>
            <w:tcW w:w="1433" w:type="dxa"/>
            <w:vMerge w:val="continue"/>
            <w:vAlign w:val="center"/>
          </w:tcPr>
          <w:p>
            <w:pPr>
              <w:snapToGrid w:val="0"/>
              <w:spacing w:line="312" w:lineRule="auto"/>
              <w:jc w:val="center"/>
              <w:rPr>
                <w:rFonts w:hint="eastAsia" w:ascii="宋体" w:hAnsi="宋体" w:cs="宋体"/>
                <w:szCs w:val="21"/>
                <w:highlight w:val="none"/>
              </w:rPr>
            </w:pPr>
          </w:p>
        </w:tc>
        <w:tc>
          <w:tcPr>
            <w:tcW w:w="6190" w:type="dxa"/>
            <w:vAlign w:val="center"/>
          </w:tcPr>
          <w:p>
            <w:pPr>
              <w:keepNext w:val="0"/>
              <w:keepLines w:val="0"/>
              <w:widowControl/>
              <w:suppressLineNumbers w:val="0"/>
              <w:spacing w:line="360" w:lineRule="auto"/>
              <w:jc w:val="left"/>
              <w:rPr>
                <w:rFonts w:hint="eastAsia" w:ascii="宋体" w:hAnsi="宋体" w:eastAsia="宋体" w:cs="宋体"/>
                <w:b/>
                <w:bCs/>
                <w:sz w:val="21"/>
                <w:szCs w:val="21"/>
              </w:rPr>
            </w:pPr>
            <w:r>
              <w:rPr>
                <w:rFonts w:hint="eastAsia" w:ascii="宋体" w:hAnsi="宋体" w:eastAsia="宋体" w:cs="宋体"/>
                <w:b/>
                <w:bCs/>
                <w:sz w:val="21"/>
                <w:szCs w:val="21"/>
                <w:lang w:val="en-US" w:eastAsia="zh-CN"/>
              </w:rPr>
              <w:t>4）成果质量</w:t>
            </w:r>
            <w:r>
              <w:rPr>
                <w:rFonts w:hint="eastAsia" w:ascii="宋体" w:hAnsi="宋体" w:eastAsia="宋体" w:cs="宋体"/>
                <w:b/>
                <w:bCs/>
                <w:sz w:val="21"/>
                <w:szCs w:val="21"/>
              </w:rPr>
              <w:t>保证措施</w:t>
            </w:r>
            <w:r>
              <w:rPr>
                <w:rFonts w:hint="eastAsia" w:ascii="宋体" w:hAnsi="宋体" w:eastAsia="宋体" w:cs="宋体"/>
                <w:b/>
                <w:bCs/>
                <w:sz w:val="21"/>
                <w:szCs w:val="21"/>
                <w:lang w:val="en-US" w:eastAsia="zh-CN"/>
              </w:rPr>
              <w:t>及承诺</w:t>
            </w:r>
            <w:r>
              <w:rPr>
                <w:rFonts w:hint="eastAsia" w:ascii="宋体" w:hAnsi="宋体" w:eastAsia="宋体" w:cs="宋体"/>
                <w:b/>
                <w:bCs/>
                <w:sz w:val="21"/>
                <w:szCs w:val="21"/>
              </w:rPr>
              <w:t>评审评分（满分</w:t>
            </w:r>
            <w:r>
              <w:rPr>
                <w:rFonts w:hint="eastAsia" w:ascii="宋体" w:hAnsi="宋体" w:eastAsia="宋体" w:cs="宋体"/>
                <w:b/>
                <w:bCs/>
                <w:sz w:val="21"/>
                <w:szCs w:val="21"/>
                <w:lang w:val="en-US" w:eastAsia="zh-CN"/>
              </w:rPr>
              <w:t>1</w:t>
            </w:r>
            <w:r>
              <w:rPr>
                <w:rFonts w:hint="eastAsia" w:ascii="宋体" w:hAnsi="宋体" w:cs="宋体"/>
                <w:b/>
                <w:bCs/>
                <w:sz w:val="21"/>
                <w:szCs w:val="21"/>
                <w:lang w:val="en-US" w:eastAsia="zh-CN"/>
              </w:rPr>
              <w:t>0</w:t>
            </w:r>
            <w:r>
              <w:rPr>
                <w:rFonts w:hint="eastAsia" w:ascii="宋体" w:hAnsi="宋体" w:eastAsia="宋体" w:cs="宋体"/>
                <w:b/>
                <w:bCs/>
                <w:sz w:val="21"/>
                <w:szCs w:val="21"/>
              </w:rPr>
              <w:t>分）</w:t>
            </w:r>
          </w:p>
          <w:p>
            <w:pPr>
              <w:keepNext w:val="0"/>
              <w:keepLines w:val="0"/>
              <w:widowControl/>
              <w:suppressLineNumbers w:val="0"/>
              <w:spacing w:line="360" w:lineRule="auto"/>
              <w:jc w:val="left"/>
              <w:rPr>
                <w:rFonts w:hint="eastAsia" w:ascii="宋体" w:hAnsi="宋体" w:eastAsia="宋体" w:cs="宋体"/>
                <w:sz w:val="21"/>
                <w:szCs w:val="21"/>
              </w:rPr>
            </w:pPr>
            <w:r>
              <w:rPr>
                <w:rFonts w:hint="eastAsia" w:ascii="宋体" w:hAnsi="宋体" w:eastAsia="宋体" w:cs="宋体"/>
                <w:sz w:val="21"/>
                <w:szCs w:val="21"/>
              </w:rPr>
              <w:t>第一个档次（</w:t>
            </w:r>
            <w:r>
              <w:rPr>
                <w:rFonts w:hint="eastAsia" w:ascii="宋体" w:hAnsi="宋体" w:eastAsia="宋体" w:cs="宋体"/>
                <w:sz w:val="21"/>
                <w:szCs w:val="21"/>
                <w:lang w:val="en-US" w:eastAsia="zh-CN"/>
              </w:rPr>
              <w:t>1</w:t>
            </w:r>
            <w:r>
              <w:rPr>
                <w:rFonts w:hint="eastAsia" w:ascii="宋体" w:hAnsi="宋体" w:cs="宋体"/>
                <w:sz w:val="21"/>
                <w:szCs w:val="21"/>
                <w:lang w:val="en-US" w:eastAsia="zh-CN"/>
              </w:rPr>
              <w:t>0</w:t>
            </w:r>
            <w:r>
              <w:rPr>
                <w:rFonts w:hint="eastAsia" w:ascii="宋体" w:hAnsi="宋体" w:eastAsia="宋体" w:cs="宋体"/>
                <w:sz w:val="21"/>
                <w:szCs w:val="21"/>
              </w:rPr>
              <w:t>分）：质量保证措施及承诺优于</w:t>
            </w:r>
            <w:r>
              <w:rPr>
                <w:rFonts w:hint="eastAsia" w:ascii="宋体" w:hAnsi="宋体" w:cs="宋体"/>
                <w:sz w:val="21"/>
                <w:szCs w:val="21"/>
                <w:lang w:eastAsia="zh-CN"/>
              </w:rPr>
              <w:t>招标文件</w:t>
            </w:r>
            <w:r>
              <w:rPr>
                <w:rFonts w:hint="eastAsia" w:ascii="宋体" w:hAnsi="宋体" w:eastAsia="宋体" w:cs="宋体"/>
                <w:sz w:val="21"/>
                <w:szCs w:val="21"/>
              </w:rPr>
              <w:t>要求，质量保证措施阐述详细、有针对性</w:t>
            </w: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切实可行</w:t>
            </w:r>
            <w:r>
              <w:rPr>
                <w:rFonts w:hint="eastAsia" w:ascii="宋体" w:hAnsi="宋体" w:eastAsia="宋体" w:cs="宋体"/>
                <w:sz w:val="21"/>
                <w:szCs w:val="21"/>
              </w:rPr>
              <w:t>，且有具体的违约责任承诺的；</w:t>
            </w:r>
          </w:p>
          <w:p>
            <w:pPr>
              <w:keepNext w:val="0"/>
              <w:keepLines w:val="0"/>
              <w:widowControl/>
              <w:suppressLineNumbers w:val="0"/>
              <w:spacing w:line="360" w:lineRule="auto"/>
              <w:jc w:val="left"/>
              <w:rPr>
                <w:rFonts w:hint="eastAsia" w:ascii="宋体" w:hAnsi="宋体" w:eastAsia="宋体" w:cs="宋体"/>
                <w:sz w:val="21"/>
                <w:szCs w:val="21"/>
              </w:rPr>
            </w:pPr>
            <w:r>
              <w:rPr>
                <w:rFonts w:hint="eastAsia" w:ascii="宋体" w:hAnsi="宋体" w:eastAsia="宋体" w:cs="宋体"/>
                <w:sz w:val="21"/>
                <w:szCs w:val="21"/>
              </w:rPr>
              <w:t>第二个档次（</w:t>
            </w:r>
            <w:r>
              <w:rPr>
                <w:rFonts w:hint="eastAsia" w:ascii="宋体" w:hAnsi="宋体" w:cs="宋体"/>
                <w:sz w:val="21"/>
                <w:szCs w:val="21"/>
                <w:lang w:val="en-US" w:eastAsia="zh-CN"/>
              </w:rPr>
              <w:t>8</w:t>
            </w:r>
            <w:r>
              <w:rPr>
                <w:rFonts w:hint="eastAsia" w:ascii="宋体" w:hAnsi="宋体" w:eastAsia="宋体" w:cs="宋体"/>
                <w:sz w:val="21"/>
                <w:szCs w:val="21"/>
              </w:rPr>
              <w:t>分）：质量保证措施及承诺满足</w:t>
            </w:r>
            <w:r>
              <w:rPr>
                <w:rFonts w:hint="eastAsia" w:ascii="宋体" w:hAnsi="宋体" w:cs="宋体"/>
                <w:sz w:val="21"/>
                <w:szCs w:val="21"/>
                <w:lang w:eastAsia="zh-CN"/>
              </w:rPr>
              <w:t>招标文件</w:t>
            </w:r>
            <w:r>
              <w:rPr>
                <w:rFonts w:hint="eastAsia" w:ascii="宋体" w:hAnsi="宋体" w:eastAsia="宋体" w:cs="宋体"/>
                <w:sz w:val="21"/>
                <w:szCs w:val="21"/>
              </w:rPr>
              <w:t>要求，质量保证措施阐述详细，有针对性、有具体违约责任承诺的；</w:t>
            </w:r>
          </w:p>
          <w:p>
            <w:pPr>
              <w:keepNext w:val="0"/>
              <w:keepLines w:val="0"/>
              <w:widowControl/>
              <w:suppressLineNumbers w:val="0"/>
              <w:spacing w:line="360" w:lineRule="auto"/>
              <w:jc w:val="left"/>
              <w:rPr>
                <w:rFonts w:hint="eastAsia" w:ascii="宋体" w:hAnsi="宋体" w:eastAsia="宋体" w:cs="宋体"/>
                <w:sz w:val="21"/>
                <w:szCs w:val="21"/>
              </w:rPr>
            </w:pPr>
            <w:r>
              <w:rPr>
                <w:rFonts w:hint="eastAsia" w:ascii="宋体" w:hAnsi="宋体" w:eastAsia="宋体" w:cs="宋体"/>
                <w:sz w:val="21"/>
                <w:szCs w:val="21"/>
              </w:rPr>
              <w:t>第三个档次（</w:t>
            </w:r>
            <w:r>
              <w:rPr>
                <w:rFonts w:hint="eastAsia" w:ascii="宋体" w:hAnsi="宋体" w:cs="宋体"/>
                <w:sz w:val="21"/>
                <w:szCs w:val="21"/>
                <w:lang w:val="en-US" w:eastAsia="zh-CN"/>
              </w:rPr>
              <w:t>6</w:t>
            </w:r>
            <w:r>
              <w:rPr>
                <w:rFonts w:hint="eastAsia" w:ascii="宋体" w:hAnsi="宋体" w:eastAsia="宋体" w:cs="宋体"/>
                <w:sz w:val="21"/>
                <w:szCs w:val="21"/>
              </w:rPr>
              <w:t>分）：质量保证措施及承诺满足</w:t>
            </w:r>
            <w:r>
              <w:rPr>
                <w:rFonts w:hint="eastAsia" w:ascii="宋体" w:hAnsi="宋体" w:cs="宋体"/>
                <w:sz w:val="21"/>
                <w:szCs w:val="21"/>
                <w:lang w:eastAsia="zh-CN"/>
              </w:rPr>
              <w:t>招标文件</w:t>
            </w:r>
            <w:r>
              <w:rPr>
                <w:rFonts w:hint="eastAsia" w:ascii="宋体" w:hAnsi="宋体" w:eastAsia="宋体" w:cs="宋体"/>
                <w:sz w:val="21"/>
                <w:szCs w:val="21"/>
              </w:rPr>
              <w:t>要求，质量保证措施阐述不够详细，但有具体的违约责任承诺的；</w:t>
            </w:r>
          </w:p>
          <w:p>
            <w:pPr>
              <w:keepNext w:val="0"/>
              <w:keepLines w:val="0"/>
              <w:widowControl/>
              <w:suppressLineNumbers w:val="0"/>
              <w:spacing w:line="360" w:lineRule="auto"/>
              <w:jc w:val="left"/>
              <w:rPr>
                <w:rFonts w:hint="eastAsia" w:ascii="宋体" w:hAnsi="宋体" w:eastAsia="宋体" w:cs="宋体"/>
                <w:sz w:val="21"/>
                <w:szCs w:val="21"/>
              </w:rPr>
            </w:pPr>
            <w:r>
              <w:rPr>
                <w:rFonts w:hint="eastAsia" w:ascii="宋体" w:hAnsi="宋体" w:eastAsia="宋体" w:cs="宋体"/>
                <w:sz w:val="21"/>
                <w:szCs w:val="21"/>
              </w:rPr>
              <w:t>第四个档次（</w:t>
            </w:r>
            <w:r>
              <w:rPr>
                <w:rFonts w:hint="eastAsia" w:ascii="宋体" w:hAnsi="宋体" w:cs="宋体"/>
                <w:sz w:val="21"/>
                <w:szCs w:val="21"/>
                <w:lang w:val="en-US" w:eastAsia="zh-CN"/>
              </w:rPr>
              <w:t>4</w:t>
            </w:r>
            <w:r>
              <w:rPr>
                <w:rFonts w:hint="eastAsia" w:ascii="宋体" w:hAnsi="宋体" w:eastAsia="宋体" w:cs="宋体"/>
                <w:sz w:val="21"/>
                <w:szCs w:val="21"/>
              </w:rPr>
              <w:t>分）：质量保证措施及承诺基本满足</w:t>
            </w:r>
            <w:r>
              <w:rPr>
                <w:rFonts w:hint="eastAsia" w:ascii="宋体" w:hAnsi="宋体" w:cs="宋体"/>
                <w:sz w:val="21"/>
                <w:szCs w:val="21"/>
                <w:lang w:eastAsia="zh-CN"/>
              </w:rPr>
              <w:t>招标文件</w:t>
            </w:r>
            <w:r>
              <w:rPr>
                <w:rFonts w:hint="eastAsia" w:ascii="宋体" w:hAnsi="宋体" w:eastAsia="宋体" w:cs="宋体"/>
                <w:sz w:val="21"/>
                <w:szCs w:val="21"/>
              </w:rPr>
              <w:t>要求，质量保证措施阐述不够详细，无具体的违约责任承诺的；</w:t>
            </w:r>
          </w:p>
          <w:p>
            <w:pPr>
              <w:keepNext w:val="0"/>
              <w:keepLines w:val="0"/>
              <w:widowControl/>
              <w:suppressLineNumbers w:val="0"/>
              <w:spacing w:line="360" w:lineRule="auto"/>
              <w:jc w:val="left"/>
              <w:rPr>
                <w:rFonts w:hint="eastAsia" w:ascii="宋体" w:hAnsi="宋体" w:eastAsia="宋体" w:cs="宋体"/>
                <w:sz w:val="21"/>
                <w:szCs w:val="21"/>
              </w:rPr>
            </w:pPr>
            <w:r>
              <w:rPr>
                <w:rFonts w:hint="eastAsia" w:ascii="宋体" w:hAnsi="宋体" w:eastAsia="宋体" w:cs="宋体"/>
                <w:sz w:val="21"/>
                <w:szCs w:val="21"/>
              </w:rPr>
              <w:t>第五个档次（</w:t>
            </w:r>
            <w:r>
              <w:rPr>
                <w:rFonts w:hint="eastAsia" w:ascii="宋体" w:hAnsi="宋体" w:cs="宋体"/>
                <w:sz w:val="21"/>
                <w:szCs w:val="21"/>
                <w:lang w:val="en-US" w:eastAsia="zh-CN"/>
              </w:rPr>
              <w:t>2</w:t>
            </w:r>
            <w:r>
              <w:rPr>
                <w:rFonts w:hint="eastAsia" w:ascii="宋体" w:hAnsi="宋体" w:eastAsia="宋体" w:cs="宋体"/>
                <w:sz w:val="21"/>
                <w:szCs w:val="21"/>
              </w:rPr>
              <w:t>分）：有质量保证措施及承诺，但内容有瑕疵。</w:t>
            </w:r>
          </w:p>
          <w:p>
            <w:pPr>
              <w:keepNext w:val="0"/>
              <w:keepLines w:val="0"/>
              <w:widowControl/>
              <w:suppressLineNumbers w:val="0"/>
              <w:spacing w:line="360" w:lineRule="auto"/>
              <w:jc w:val="left"/>
              <w:rPr>
                <w:rFonts w:hint="eastAsia" w:ascii="宋体" w:hAnsi="宋体" w:eastAsia="宋体" w:cs="宋体"/>
                <w:sz w:val="21"/>
                <w:szCs w:val="21"/>
              </w:rPr>
            </w:pPr>
            <w:r>
              <w:rPr>
                <w:rFonts w:hint="eastAsia" w:ascii="宋体" w:hAnsi="宋体" w:eastAsia="宋体" w:cs="宋体"/>
                <w:sz w:val="21"/>
                <w:szCs w:val="21"/>
              </w:rPr>
              <w:t>第六个档次（0分）：无质量保证措施及承诺，或质量承诺及保证措施明显有误的。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299" w:type="dxa"/>
            <w:gridSpan w:val="2"/>
            <w:vMerge w:val="continue"/>
            <w:vAlign w:val="center"/>
          </w:tcPr>
          <w:p>
            <w:pPr>
              <w:snapToGrid w:val="0"/>
              <w:spacing w:line="312" w:lineRule="auto"/>
              <w:rPr>
                <w:rFonts w:hint="eastAsia" w:ascii="宋体" w:hAnsi="宋体" w:cs="宋体"/>
                <w:szCs w:val="21"/>
                <w:highlight w:val="none"/>
              </w:rPr>
            </w:pPr>
          </w:p>
        </w:tc>
        <w:tc>
          <w:tcPr>
            <w:tcW w:w="1433" w:type="dxa"/>
            <w:vMerge w:val="continue"/>
            <w:vAlign w:val="center"/>
          </w:tcPr>
          <w:p>
            <w:pPr>
              <w:snapToGrid w:val="0"/>
              <w:spacing w:line="312" w:lineRule="auto"/>
              <w:jc w:val="center"/>
              <w:rPr>
                <w:rFonts w:hint="eastAsia" w:ascii="宋体" w:hAnsi="宋体" w:cs="宋体"/>
                <w:szCs w:val="21"/>
                <w:highlight w:val="none"/>
              </w:rPr>
            </w:pPr>
          </w:p>
        </w:tc>
        <w:tc>
          <w:tcPr>
            <w:tcW w:w="6190" w:type="dxa"/>
            <w:vAlign w:val="center"/>
          </w:tcPr>
          <w:p>
            <w:pPr>
              <w:snapToGrid w:val="0"/>
              <w:spacing w:line="360" w:lineRule="auto"/>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5）人员配置评审评分（满分</w:t>
            </w:r>
            <w:r>
              <w:rPr>
                <w:rFonts w:hint="eastAsia" w:ascii="宋体" w:hAnsi="宋体" w:cs="宋体"/>
                <w:b/>
                <w:bCs/>
                <w:sz w:val="21"/>
                <w:szCs w:val="21"/>
                <w:lang w:val="en-US" w:eastAsia="zh-CN"/>
              </w:rPr>
              <w:t>20</w:t>
            </w:r>
            <w:r>
              <w:rPr>
                <w:rFonts w:hint="eastAsia" w:ascii="宋体" w:hAnsi="宋体" w:eastAsia="宋体" w:cs="宋体"/>
                <w:b/>
                <w:bCs/>
                <w:sz w:val="21"/>
                <w:szCs w:val="21"/>
                <w:lang w:val="en-US" w:eastAsia="zh-CN"/>
              </w:rPr>
              <w:t>分）：</w:t>
            </w:r>
          </w:p>
          <w:p>
            <w:pPr>
              <w:snapToGrid w:val="0"/>
              <w:spacing w:line="360" w:lineRule="auto"/>
              <w:rPr>
                <w:rFonts w:hint="eastAsia" w:ascii="宋体" w:hAnsi="宋体" w:eastAsia="宋体" w:cs="宋体"/>
                <w:sz w:val="21"/>
                <w:szCs w:val="21"/>
                <w:lang w:val="en-US" w:eastAsia="zh-CN"/>
              </w:rPr>
            </w:pP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1</w:t>
            </w: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项目负责人评审得分（满分</w:t>
            </w:r>
            <w:r>
              <w:rPr>
                <w:rFonts w:hint="eastAsia" w:ascii="宋体" w:hAnsi="宋体" w:cs="宋体"/>
                <w:sz w:val="21"/>
                <w:szCs w:val="21"/>
                <w:lang w:val="en-US" w:eastAsia="zh-CN"/>
              </w:rPr>
              <w:t>10</w:t>
            </w:r>
            <w:r>
              <w:rPr>
                <w:rFonts w:hint="eastAsia" w:ascii="宋体" w:hAnsi="宋体" w:eastAsia="宋体" w:cs="宋体"/>
                <w:sz w:val="21"/>
                <w:szCs w:val="21"/>
                <w:lang w:val="en-US" w:eastAsia="zh-CN"/>
              </w:rPr>
              <w:t>分）</w:t>
            </w:r>
          </w:p>
          <w:p>
            <w:pPr>
              <w:snapToGrid w:val="0"/>
              <w:spacing w:line="360" w:lineRule="auto"/>
              <w:rPr>
                <w:rFonts w:hint="eastAsia" w:ascii="宋体" w:hAnsi="宋体" w:eastAsia="宋体" w:cs="宋体"/>
                <w:sz w:val="21"/>
                <w:szCs w:val="21"/>
                <w:lang w:val="en-US" w:eastAsia="zh-CN"/>
              </w:rPr>
            </w:pPr>
            <w:r>
              <w:rPr>
                <w:rFonts w:hint="eastAsia" w:ascii="宋体" w:hAnsi="宋体" w:cs="宋体"/>
                <w:sz w:val="21"/>
                <w:szCs w:val="21"/>
                <w:lang w:val="en-US" w:eastAsia="zh-CN"/>
              </w:rPr>
              <w:t>①</w:t>
            </w:r>
            <w:r>
              <w:rPr>
                <w:rFonts w:hint="eastAsia" w:ascii="宋体" w:hAnsi="宋体" w:eastAsia="宋体" w:cs="宋体"/>
                <w:sz w:val="21"/>
                <w:szCs w:val="21"/>
                <w:lang w:val="en-US" w:eastAsia="zh-CN"/>
              </w:rPr>
              <w:t>项目负责人具备相关专业</w:t>
            </w:r>
            <w:r>
              <w:rPr>
                <w:rFonts w:hint="eastAsia" w:ascii="宋体" w:hAnsi="宋体" w:cs="宋体"/>
                <w:sz w:val="21"/>
                <w:szCs w:val="21"/>
                <w:lang w:val="en-US" w:eastAsia="zh-CN"/>
              </w:rPr>
              <w:t>中级</w:t>
            </w:r>
            <w:r>
              <w:rPr>
                <w:rFonts w:hint="eastAsia" w:ascii="宋体" w:hAnsi="宋体" w:eastAsia="宋体" w:cs="宋体"/>
                <w:sz w:val="21"/>
                <w:szCs w:val="21"/>
                <w:lang w:val="en-US" w:eastAsia="zh-CN"/>
              </w:rPr>
              <w:t>技术职称的得</w:t>
            </w:r>
            <w:r>
              <w:rPr>
                <w:rFonts w:hint="eastAsia" w:ascii="宋体" w:hAnsi="宋体" w:cs="宋体"/>
                <w:sz w:val="21"/>
                <w:szCs w:val="21"/>
                <w:lang w:val="en-US" w:eastAsia="zh-CN"/>
              </w:rPr>
              <w:t>2</w:t>
            </w:r>
            <w:r>
              <w:rPr>
                <w:rFonts w:hint="eastAsia" w:ascii="宋体" w:hAnsi="宋体" w:eastAsia="宋体" w:cs="宋体"/>
                <w:sz w:val="21"/>
                <w:szCs w:val="21"/>
                <w:lang w:val="en-US" w:eastAsia="zh-CN"/>
              </w:rPr>
              <w:t>分</w:t>
            </w:r>
            <w:r>
              <w:rPr>
                <w:rFonts w:hint="eastAsia" w:ascii="宋体" w:hAnsi="宋体" w:cs="宋体"/>
                <w:sz w:val="21"/>
                <w:szCs w:val="21"/>
                <w:lang w:val="en-US" w:eastAsia="zh-CN"/>
              </w:rPr>
              <w:t>，</w:t>
            </w:r>
            <w:r>
              <w:rPr>
                <w:rFonts w:hint="eastAsia" w:ascii="宋体" w:hAnsi="宋体" w:eastAsia="宋体" w:cs="宋体"/>
                <w:sz w:val="21"/>
                <w:szCs w:val="21"/>
                <w:lang w:val="en-US" w:eastAsia="zh-CN"/>
              </w:rPr>
              <w:t>具备相关专业技术高级或高级以上职称的得</w:t>
            </w:r>
            <w:r>
              <w:rPr>
                <w:rFonts w:hint="eastAsia" w:ascii="宋体" w:hAnsi="宋体" w:cs="宋体"/>
                <w:sz w:val="21"/>
                <w:szCs w:val="21"/>
                <w:lang w:val="en-US" w:eastAsia="zh-CN"/>
              </w:rPr>
              <w:t>4</w:t>
            </w:r>
            <w:r>
              <w:rPr>
                <w:rFonts w:hint="eastAsia" w:ascii="宋体" w:hAnsi="宋体" w:eastAsia="宋体" w:cs="宋体"/>
                <w:sz w:val="21"/>
                <w:szCs w:val="21"/>
                <w:lang w:val="en-US" w:eastAsia="zh-CN"/>
              </w:rPr>
              <w:t>分；</w:t>
            </w:r>
          </w:p>
          <w:p>
            <w:pPr>
              <w:snapToGrid w:val="0"/>
              <w:spacing w:line="360" w:lineRule="auto"/>
              <w:rPr>
                <w:rFonts w:hint="default" w:ascii="宋体" w:hAnsi="宋体" w:eastAsia="宋体" w:cs="宋体"/>
                <w:sz w:val="21"/>
                <w:szCs w:val="21"/>
                <w:lang w:val="en-US" w:eastAsia="zh-CN"/>
              </w:rPr>
            </w:pPr>
            <w:r>
              <w:rPr>
                <w:rFonts w:hint="eastAsia" w:ascii="宋体" w:hAnsi="宋体" w:cs="宋体"/>
                <w:sz w:val="21"/>
                <w:szCs w:val="21"/>
                <w:lang w:val="en-US" w:eastAsia="zh-CN"/>
              </w:rPr>
              <w:t>②自2019年1月1日至今承担过类似审计项目业绩的，每提供一项业绩证明材料得2分，本项最多得6分。</w:t>
            </w:r>
          </w:p>
          <w:p>
            <w:pPr>
              <w:snapToGrid w:val="0"/>
              <w:spacing w:line="360" w:lineRule="auto"/>
              <w:rPr>
                <w:rFonts w:hint="eastAsia" w:ascii="宋体" w:hAnsi="宋体" w:eastAsia="宋体" w:cs="宋体"/>
                <w:sz w:val="21"/>
                <w:szCs w:val="21"/>
                <w:lang w:val="en-US" w:eastAsia="zh-CN"/>
              </w:rPr>
            </w:pP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2</w:t>
            </w: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项目团队人员评审得分（满分10分）</w:t>
            </w:r>
          </w:p>
          <w:p>
            <w:pPr>
              <w:snapToGrid w:val="0"/>
              <w:spacing w:line="360" w:lineRule="auto"/>
              <w:rPr>
                <w:rFonts w:hint="default" w:ascii="宋体" w:hAnsi="宋体" w:eastAsia="宋体" w:cs="宋体"/>
                <w:sz w:val="21"/>
                <w:szCs w:val="21"/>
                <w:lang w:val="en-US" w:eastAsia="zh-CN"/>
              </w:rPr>
            </w:pPr>
            <w:r>
              <w:rPr>
                <w:rFonts w:hint="eastAsia" w:ascii="宋体" w:hAnsi="宋体" w:cs="宋体"/>
                <w:sz w:val="21"/>
                <w:szCs w:val="21"/>
                <w:lang w:val="en-US" w:eastAsia="zh-CN"/>
              </w:rPr>
              <w:t>拟派往本项目团队人员中，除项目负责人外，每</w:t>
            </w:r>
            <w:r>
              <w:rPr>
                <w:rFonts w:hint="eastAsia" w:ascii="宋体" w:hAnsi="宋体" w:eastAsia="宋体" w:cs="宋体"/>
                <w:sz w:val="21"/>
                <w:szCs w:val="21"/>
              </w:rPr>
              <w:t>具备</w:t>
            </w:r>
            <w:r>
              <w:rPr>
                <w:rFonts w:hint="eastAsia" w:ascii="宋体" w:hAnsi="宋体" w:cs="宋体"/>
                <w:sz w:val="21"/>
                <w:szCs w:val="21"/>
                <w:lang w:val="en-US" w:eastAsia="zh-CN"/>
              </w:rPr>
              <w:t>1名</w:t>
            </w:r>
            <w:r>
              <w:rPr>
                <w:rFonts w:hint="eastAsia" w:ascii="宋体" w:hAnsi="宋体" w:eastAsia="宋体" w:cs="宋体"/>
                <w:sz w:val="21"/>
                <w:szCs w:val="21"/>
              </w:rPr>
              <w:t>一级造价工程师</w:t>
            </w:r>
            <w:r>
              <w:rPr>
                <w:rFonts w:hint="eastAsia" w:ascii="宋体" w:hAnsi="宋体" w:cs="宋体"/>
                <w:sz w:val="21"/>
                <w:szCs w:val="21"/>
                <w:lang w:val="en-US" w:eastAsia="zh-CN"/>
              </w:rPr>
              <w:t>得2分，本项最多得10分。</w:t>
            </w:r>
          </w:p>
          <w:p>
            <w:pPr>
              <w:snapToGrid w:val="0"/>
              <w:spacing w:line="360" w:lineRule="auto"/>
              <w:rPr>
                <w:rFonts w:hint="eastAsia" w:ascii="宋体" w:hAnsi="宋体" w:eastAsia="宋体" w:cs="宋体"/>
                <w:sz w:val="21"/>
                <w:szCs w:val="21"/>
              </w:rPr>
            </w:pPr>
            <w:r>
              <w:rPr>
                <w:rFonts w:hint="eastAsia" w:ascii="宋体" w:hAnsi="宋体" w:eastAsia="宋体" w:cs="宋体"/>
                <w:sz w:val="21"/>
                <w:szCs w:val="21"/>
              </w:rPr>
              <w:t>注：投标文件中须提供《</w:t>
            </w:r>
            <w:r>
              <w:rPr>
                <w:rFonts w:hint="eastAsia" w:ascii="宋体" w:hAnsi="宋体" w:cs="宋体"/>
                <w:sz w:val="21"/>
                <w:szCs w:val="21"/>
                <w:lang w:val="en-US" w:eastAsia="zh-CN"/>
              </w:rPr>
              <w:t>项目</w:t>
            </w:r>
            <w:r>
              <w:rPr>
                <w:rFonts w:hint="eastAsia" w:ascii="宋体" w:hAnsi="宋体" w:eastAsia="宋体" w:cs="宋体"/>
                <w:sz w:val="21"/>
                <w:szCs w:val="21"/>
              </w:rPr>
              <w:t>团队人员配备表》及相对应的人员证明材料（复印件加盖公章），人员证明材料为身份证、职称证（如有）或专业技术职业资格（资质）证书（如有）及社保缴纳证明材料。无证明材料或未按要求提供证明材料或证明材料无法体现相应内容的，不予认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299" w:type="dxa"/>
            <w:gridSpan w:val="2"/>
            <w:vMerge w:val="restart"/>
            <w:vAlign w:val="center"/>
          </w:tcPr>
          <w:p>
            <w:pPr>
              <w:snapToGrid w:val="0"/>
              <w:spacing w:line="312" w:lineRule="auto"/>
              <w:jc w:val="center"/>
              <w:rPr>
                <w:rFonts w:hint="eastAsia" w:ascii="宋体" w:hAnsi="宋体" w:eastAsia="宋体" w:cs="宋体"/>
                <w:szCs w:val="21"/>
                <w:highlight w:val="none"/>
                <w:lang w:eastAsia="zh-CN"/>
              </w:rPr>
            </w:pPr>
            <w:r>
              <w:rPr>
                <w:rFonts w:hint="eastAsia" w:ascii="宋体" w:hAnsi="宋体" w:cs="宋体"/>
                <w:szCs w:val="21"/>
                <w:highlight w:val="none"/>
              </w:rPr>
              <w:t>2.2.</w:t>
            </w:r>
            <w:r>
              <w:rPr>
                <w:rFonts w:hint="eastAsia" w:ascii="宋体" w:hAnsi="宋体" w:cs="宋体"/>
                <w:szCs w:val="21"/>
                <w:highlight w:val="none"/>
                <w:lang w:val="en-US" w:eastAsia="zh-CN"/>
              </w:rPr>
              <w:t>2</w:t>
            </w:r>
          </w:p>
        </w:tc>
        <w:tc>
          <w:tcPr>
            <w:tcW w:w="1433" w:type="dxa"/>
            <w:vMerge w:val="restart"/>
            <w:vAlign w:val="center"/>
          </w:tcPr>
          <w:p>
            <w:pPr>
              <w:snapToGrid w:val="0"/>
              <w:spacing w:line="312" w:lineRule="auto"/>
              <w:jc w:val="center"/>
              <w:rPr>
                <w:rFonts w:hint="eastAsia" w:ascii="宋体" w:hAnsi="宋体" w:cs="宋体"/>
                <w:szCs w:val="21"/>
                <w:highlight w:val="none"/>
              </w:rPr>
            </w:pPr>
          </w:p>
          <w:p>
            <w:pPr>
              <w:snapToGrid w:val="0"/>
              <w:spacing w:line="312" w:lineRule="auto"/>
              <w:jc w:val="center"/>
              <w:rPr>
                <w:rFonts w:hint="eastAsia" w:ascii="宋体" w:hAnsi="宋体" w:cs="宋体"/>
                <w:szCs w:val="21"/>
                <w:highlight w:val="none"/>
              </w:rPr>
            </w:pPr>
            <w:r>
              <w:rPr>
                <w:rFonts w:hint="eastAsia" w:ascii="宋体" w:hAnsi="宋体" w:cs="宋体"/>
                <w:szCs w:val="21"/>
                <w:highlight w:val="none"/>
              </w:rPr>
              <w:t>商务部分</w:t>
            </w:r>
          </w:p>
          <w:p>
            <w:pPr>
              <w:snapToGrid w:val="0"/>
              <w:spacing w:line="312" w:lineRule="auto"/>
              <w:jc w:val="center"/>
              <w:rPr>
                <w:rFonts w:hint="eastAsia" w:ascii="宋体" w:hAnsi="宋体" w:cs="宋体"/>
                <w:szCs w:val="21"/>
                <w:highlight w:val="none"/>
              </w:rPr>
            </w:pPr>
            <w:r>
              <w:rPr>
                <w:rFonts w:hint="eastAsia" w:ascii="宋体" w:hAnsi="宋体" w:cs="宋体"/>
                <w:szCs w:val="21"/>
                <w:highlight w:val="none"/>
              </w:rPr>
              <w:t>评分标准</w:t>
            </w:r>
          </w:p>
        </w:tc>
        <w:tc>
          <w:tcPr>
            <w:tcW w:w="6190" w:type="dxa"/>
            <w:vAlign w:val="center"/>
          </w:tcPr>
          <w:p>
            <w:pPr>
              <w:keepNext w:val="0"/>
              <w:keepLines w:val="0"/>
              <w:pageBreakBefore w:val="0"/>
              <w:widowControl w:val="0"/>
              <w:tabs>
                <w:tab w:val="left" w:pos="540"/>
              </w:tabs>
              <w:kinsoku/>
              <w:wordWrap/>
              <w:overflowPunct/>
              <w:topLinePunct w:val="0"/>
              <w:autoSpaceDE/>
              <w:autoSpaceDN/>
              <w:bidi w:val="0"/>
              <w:adjustRightInd w:val="0"/>
              <w:snapToGrid/>
              <w:spacing w:beforeAutospacing="0" w:after="0" w:afterAutospacing="0" w:line="440" w:lineRule="exact"/>
              <w:jc w:val="left"/>
              <w:textAlignment w:val="auto"/>
              <w:rPr>
                <w:rFonts w:hint="eastAsia" w:asciiTheme="minorEastAsia" w:hAnsiTheme="minorEastAsia" w:eastAsiaTheme="minorEastAsia"/>
                <w:b/>
                <w:bCs w:val="0"/>
                <w:szCs w:val="21"/>
              </w:rPr>
            </w:pPr>
            <w:r>
              <w:rPr>
                <w:rFonts w:hint="eastAsia" w:asciiTheme="minorEastAsia" w:hAnsiTheme="minorEastAsia" w:eastAsiaTheme="minorEastAsia"/>
                <w:b/>
                <w:bCs w:val="0"/>
                <w:szCs w:val="21"/>
                <w:lang w:val="en-US" w:eastAsia="zh-CN"/>
              </w:rPr>
              <w:t>1）技术和质量管理制度</w:t>
            </w:r>
            <w:r>
              <w:rPr>
                <w:rFonts w:hint="eastAsia" w:asciiTheme="minorEastAsia" w:hAnsiTheme="minorEastAsia" w:eastAsiaTheme="minorEastAsia"/>
                <w:b/>
                <w:bCs w:val="0"/>
                <w:szCs w:val="21"/>
              </w:rPr>
              <w:t>评审评分（满分</w:t>
            </w:r>
            <w:r>
              <w:rPr>
                <w:rFonts w:hint="eastAsia" w:asciiTheme="minorEastAsia" w:hAnsiTheme="minorEastAsia" w:eastAsiaTheme="minorEastAsia"/>
                <w:b/>
                <w:bCs w:val="0"/>
                <w:szCs w:val="21"/>
                <w:lang w:val="en-US" w:eastAsia="zh-CN"/>
              </w:rPr>
              <w:t>10</w:t>
            </w:r>
            <w:r>
              <w:rPr>
                <w:rFonts w:hint="eastAsia" w:asciiTheme="minorEastAsia" w:hAnsiTheme="minorEastAsia" w:eastAsiaTheme="minorEastAsia"/>
                <w:b/>
                <w:bCs w:val="0"/>
                <w:szCs w:val="21"/>
              </w:rPr>
              <w:t>分）</w:t>
            </w:r>
          </w:p>
          <w:p>
            <w:pPr>
              <w:keepNext w:val="0"/>
              <w:keepLines w:val="0"/>
              <w:pageBreakBefore w:val="0"/>
              <w:widowControl w:val="0"/>
              <w:kinsoku/>
              <w:wordWrap/>
              <w:overflowPunct/>
              <w:topLinePunct w:val="0"/>
              <w:autoSpaceDE/>
              <w:autoSpaceDN/>
              <w:bidi w:val="0"/>
              <w:snapToGrid/>
              <w:spacing w:beforeAutospacing="0" w:after="0" w:afterAutospacing="0" w:line="440" w:lineRule="exact"/>
              <w:jc w:val="left"/>
              <w:textAlignment w:val="auto"/>
              <w:rPr>
                <w:rFonts w:hint="eastAsia" w:asciiTheme="minorEastAsia" w:hAnsiTheme="minorEastAsia" w:eastAsiaTheme="minorEastAsia"/>
                <w:bCs/>
                <w:szCs w:val="21"/>
              </w:rPr>
            </w:pPr>
            <w:r>
              <w:rPr>
                <w:rFonts w:hint="eastAsia" w:asciiTheme="minorEastAsia" w:hAnsiTheme="minorEastAsia" w:eastAsiaTheme="minorEastAsia"/>
                <w:bCs/>
                <w:szCs w:val="21"/>
              </w:rPr>
              <w:t>第一个档次（</w:t>
            </w:r>
            <w:r>
              <w:rPr>
                <w:rFonts w:hint="eastAsia" w:asciiTheme="minorEastAsia" w:hAnsiTheme="minorEastAsia" w:eastAsiaTheme="minorEastAsia"/>
                <w:bCs/>
                <w:szCs w:val="21"/>
                <w:lang w:val="en-US" w:eastAsia="zh-CN"/>
              </w:rPr>
              <w:t>10</w:t>
            </w:r>
            <w:r>
              <w:rPr>
                <w:rFonts w:hint="eastAsia" w:asciiTheme="minorEastAsia" w:hAnsiTheme="minorEastAsia" w:eastAsiaTheme="minorEastAsia"/>
                <w:bCs/>
                <w:szCs w:val="21"/>
              </w:rPr>
              <w:t>分）：供应商</w:t>
            </w:r>
            <w:r>
              <w:rPr>
                <w:rFonts w:hint="eastAsia" w:asciiTheme="minorEastAsia" w:hAnsiTheme="minorEastAsia" w:eastAsiaTheme="minorEastAsia"/>
                <w:bCs/>
                <w:szCs w:val="21"/>
                <w:lang w:eastAsia="zh-CN"/>
              </w:rPr>
              <w:t>技术和质量管理制度</w:t>
            </w:r>
            <w:r>
              <w:rPr>
                <w:rFonts w:hint="eastAsia" w:asciiTheme="minorEastAsia" w:hAnsiTheme="minorEastAsia" w:eastAsiaTheme="minorEastAsia"/>
                <w:bCs/>
                <w:szCs w:val="21"/>
              </w:rPr>
              <w:t>健全，管理方法规范、严格，各流程管理制度清晰可行；</w:t>
            </w:r>
          </w:p>
          <w:p>
            <w:pPr>
              <w:keepNext w:val="0"/>
              <w:keepLines w:val="0"/>
              <w:pageBreakBefore w:val="0"/>
              <w:widowControl w:val="0"/>
              <w:kinsoku/>
              <w:wordWrap/>
              <w:overflowPunct/>
              <w:topLinePunct w:val="0"/>
              <w:autoSpaceDE/>
              <w:autoSpaceDN/>
              <w:bidi w:val="0"/>
              <w:snapToGrid/>
              <w:spacing w:beforeAutospacing="0" w:after="0" w:afterAutospacing="0" w:line="440" w:lineRule="exact"/>
              <w:jc w:val="left"/>
              <w:textAlignment w:val="auto"/>
              <w:rPr>
                <w:rFonts w:hint="eastAsia" w:asciiTheme="minorEastAsia" w:hAnsiTheme="minorEastAsia" w:eastAsiaTheme="minorEastAsia"/>
                <w:bCs/>
                <w:szCs w:val="21"/>
              </w:rPr>
            </w:pPr>
            <w:r>
              <w:rPr>
                <w:rFonts w:hint="eastAsia" w:asciiTheme="minorEastAsia" w:hAnsiTheme="minorEastAsia" w:eastAsiaTheme="minorEastAsia"/>
                <w:bCs/>
                <w:szCs w:val="21"/>
              </w:rPr>
              <w:t>第二个档次（</w:t>
            </w:r>
            <w:r>
              <w:rPr>
                <w:rFonts w:hint="eastAsia" w:asciiTheme="minorEastAsia" w:hAnsiTheme="minorEastAsia" w:eastAsiaTheme="minorEastAsia"/>
                <w:bCs/>
                <w:szCs w:val="21"/>
                <w:lang w:val="en-US" w:eastAsia="zh-CN"/>
              </w:rPr>
              <w:t>8</w:t>
            </w:r>
            <w:r>
              <w:rPr>
                <w:rFonts w:hint="eastAsia" w:asciiTheme="minorEastAsia" w:hAnsiTheme="minorEastAsia" w:eastAsiaTheme="minorEastAsia"/>
                <w:bCs/>
                <w:szCs w:val="21"/>
              </w:rPr>
              <w:t>分）：供应商</w:t>
            </w:r>
            <w:r>
              <w:rPr>
                <w:rFonts w:hint="eastAsia" w:asciiTheme="minorEastAsia" w:hAnsiTheme="minorEastAsia" w:eastAsiaTheme="minorEastAsia"/>
                <w:bCs/>
                <w:szCs w:val="21"/>
                <w:lang w:eastAsia="zh-CN"/>
              </w:rPr>
              <w:t>技术和质量管理制度</w:t>
            </w:r>
            <w:r>
              <w:rPr>
                <w:rFonts w:hint="eastAsia" w:asciiTheme="minorEastAsia" w:hAnsiTheme="minorEastAsia" w:eastAsiaTheme="minorEastAsia"/>
                <w:bCs/>
                <w:szCs w:val="21"/>
              </w:rPr>
              <w:t>健全，管理方法规范、严格，各流程设有管理制度；</w:t>
            </w:r>
          </w:p>
          <w:p>
            <w:pPr>
              <w:keepNext w:val="0"/>
              <w:keepLines w:val="0"/>
              <w:pageBreakBefore w:val="0"/>
              <w:widowControl w:val="0"/>
              <w:kinsoku/>
              <w:wordWrap/>
              <w:overflowPunct/>
              <w:topLinePunct w:val="0"/>
              <w:autoSpaceDE/>
              <w:autoSpaceDN/>
              <w:bidi w:val="0"/>
              <w:snapToGrid/>
              <w:spacing w:beforeAutospacing="0" w:after="0" w:afterAutospacing="0" w:line="440" w:lineRule="exact"/>
              <w:jc w:val="left"/>
              <w:textAlignment w:val="auto"/>
              <w:rPr>
                <w:rFonts w:hint="eastAsia" w:asciiTheme="minorEastAsia" w:hAnsiTheme="minorEastAsia" w:eastAsiaTheme="minorEastAsia"/>
                <w:bCs/>
                <w:szCs w:val="21"/>
              </w:rPr>
            </w:pPr>
            <w:r>
              <w:rPr>
                <w:rFonts w:hint="eastAsia" w:asciiTheme="minorEastAsia" w:hAnsiTheme="minorEastAsia" w:eastAsiaTheme="minorEastAsia"/>
                <w:bCs/>
                <w:szCs w:val="21"/>
              </w:rPr>
              <w:t>第三个档次（</w:t>
            </w:r>
            <w:r>
              <w:rPr>
                <w:rFonts w:hint="eastAsia" w:asciiTheme="minorEastAsia" w:hAnsiTheme="minorEastAsia" w:eastAsiaTheme="minorEastAsia"/>
                <w:bCs/>
                <w:szCs w:val="21"/>
                <w:lang w:val="en-US" w:eastAsia="zh-CN"/>
              </w:rPr>
              <w:t>6</w:t>
            </w:r>
            <w:r>
              <w:rPr>
                <w:rFonts w:hint="eastAsia" w:asciiTheme="minorEastAsia" w:hAnsiTheme="minorEastAsia" w:eastAsiaTheme="minorEastAsia"/>
                <w:bCs/>
                <w:szCs w:val="21"/>
              </w:rPr>
              <w:t>分）：投标人供应商</w:t>
            </w:r>
            <w:r>
              <w:rPr>
                <w:rFonts w:hint="eastAsia" w:asciiTheme="minorEastAsia" w:hAnsiTheme="minorEastAsia" w:eastAsiaTheme="minorEastAsia"/>
                <w:bCs/>
                <w:szCs w:val="21"/>
                <w:lang w:eastAsia="zh-CN"/>
              </w:rPr>
              <w:t>技术和质量管理制度</w:t>
            </w:r>
            <w:r>
              <w:rPr>
                <w:rFonts w:hint="eastAsia" w:asciiTheme="minorEastAsia" w:hAnsiTheme="minorEastAsia" w:eastAsiaTheme="minorEastAsia"/>
                <w:bCs/>
                <w:szCs w:val="21"/>
              </w:rPr>
              <w:t>基本健全，管理方法规范，各流程设有管理制度；</w:t>
            </w:r>
          </w:p>
          <w:p>
            <w:pPr>
              <w:keepNext w:val="0"/>
              <w:keepLines w:val="0"/>
              <w:pageBreakBefore w:val="0"/>
              <w:widowControl w:val="0"/>
              <w:kinsoku/>
              <w:wordWrap/>
              <w:overflowPunct/>
              <w:topLinePunct w:val="0"/>
              <w:autoSpaceDE/>
              <w:autoSpaceDN/>
              <w:bidi w:val="0"/>
              <w:snapToGrid/>
              <w:spacing w:beforeAutospacing="0" w:after="0" w:afterAutospacing="0" w:line="440" w:lineRule="exact"/>
              <w:jc w:val="left"/>
              <w:textAlignment w:val="auto"/>
              <w:rPr>
                <w:rFonts w:hint="eastAsia" w:asciiTheme="minorEastAsia" w:hAnsiTheme="minorEastAsia" w:eastAsiaTheme="minorEastAsia"/>
                <w:bCs/>
                <w:szCs w:val="21"/>
              </w:rPr>
            </w:pPr>
            <w:r>
              <w:rPr>
                <w:rFonts w:hint="eastAsia" w:asciiTheme="minorEastAsia" w:hAnsiTheme="minorEastAsia" w:eastAsiaTheme="minorEastAsia"/>
                <w:bCs/>
                <w:szCs w:val="21"/>
              </w:rPr>
              <w:t>第四个档次（</w:t>
            </w:r>
            <w:r>
              <w:rPr>
                <w:rFonts w:hint="eastAsia" w:asciiTheme="minorEastAsia" w:hAnsiTheme="minorEastAsia" w:eastAsiaTheme="minorEastAsia"/>
                <w:bCs/>
                <w:szCs w:val="21"/>
                <w:lang w:val="en-US" w:eastAsia="zh-CN"/>
              </w:rPr>
              <w:t>4</w:t>
            </w:r>
            <w:r>
              <w:rPr>
                <w:rFonts w:hint="eastAsia" w:asciiTheme="minorEastAsia" w:hAnsiTheme="minorEastAsia" w:eastAsiaTheme="minorEastAsia"/>
                <w:bCs/>
                <w:szCs w:val="21"/>
              </w:rPr>
              <w:t>分）：供应商</w:t>
            </w:r>
            <w:r>
              <w:rPr>
                <w:rFonts w:hint="eastAsia" w:asciiTheme="minorEastAsia" w:hAnsiTheme="minorEastAsia" w:eastAsiaTheme="minorEastAsia"/>
                <w:bCs/>
                <w:szCs w:val="21"/>
                <w:lang w:eastAsia="zh-CN"/>
              </w:rPr>
              <w:t>技术和质量管理制度</w:t>
            </w:r>
            <w:r>
              <w:rPr>
                <w:rFonts w:hint="eastAsia" w:asciiTheme="minorEastAsia" w:hAnsiTheme="minorEastAsia" w:eastAsiaTheme="minorEastAsia"/>
                <w:bCs/>
                <w:szCs w:val="21"/>
              </w:rPr>
              <w:t>基本健全，但不够规范或部分流程无管理制度；</w:t>
            </w:r>
          </w:p>
          <w:p>
            <w:pPr>
              <w:keepNext w:val="0"/>
              <w:keepLines w:val="0"/>
              <w:pageBreakBefore w:val="0"/>
              <w:widowControl w:val="0"/>
              <w:kinsoku/>
              <w:wordWrap/>
              <w:overflowPunct/>
              <w:topLinePunct w:val="0"/>
              <w:autoSpaceDE/>
              <w:autoSpaceDN/>
              <w:bidi w:val="0"/>
              <w:snapToGrid/>
              <w:spacing w:beforeAutospacing="0" w:after="0" w:afterAutospacing="0" w:line="440" w:lineRule="exact"/>
              <w:jc w:val="left"/>
              <w:textAlignment w:val="auto"/>
              <w:rPr>
                <w:rFonts w:hint="eastAsia" w:asciiTheme="minorEastAsia" w:hAnsiTheme="minorEastAsia" w:eastAsiaTheme="minorEastAsia"/>
                <w:bCs/>
                <w:szCs w:val="21"/>
              </w:rPr>
            </w:pPr>
            <w:r>
              <w:rPr>
                <w:rFonts w:hint="eastAsia" w:asciiTheme="minorEastAsia" w:hAnsiTheme="minorEastAsia" w:eastAsiaTheme="minorEastAsia"/>
                <w:bCs/>
                <w:szCs w:val="21"/>
              </w:rPr>
              <w:t>第五个档次（</w:t>
            </w:r>
            <w:r>
              <w:rPr>
                <w:rFonts w:hint="eastAsia" w:asciiTheme="minorEastAsia" w:hAnsiTheme="minorEastAsia" w:eastAsiaTheme="minorEastAsia"/>
                <w:bCs/>
                <w:szCs w:val="21"/>
                <w:lang w:val="en-US" w:eastAsia="zh-CN"/>
              </w:rPr>
              <w:t>2</w:t>
            </w:r>
            <w:r>
              <w:rPr>
                <w:rFonts w:hint="eastAsia" w:asciiTheme="minorEastAsia" w:hAnsiTheme="minorEastAsia" w:eastAsiaTheme="minorEastAsia"/>
                <w:bCs/>
                <w:szCs w:val="21"/>
              </w:rPr>
              <w:t>分）：供应商</w:t>
            </w:r>
            <w:r>
              <w:rPr>
                <w:rFonts w:hint="eastAsia" w:asciiTheme="minorEastAsia" w:hAnsiTheme="minorEastAsia" w:eastAsiaTheme="minorEastAsia"/>
                <w:bCs/>
                <w:szCs w:val="21"/>
                <w:lang w:eastAsia="zh-CN"/>
              </w:rPr>
              <w:t>技术和质量管理制度</w:t>
            </w:r>
            <w:r>
              <w:rPr>
                <w:rFonts w:hint="eastAsia" w:asciiTheme="minorEastAsia" w:hAnsiTheme="minorEastAsia" w:eastAsiaTheme="minorEastAsia"/>
                <w:bCs/>
                <w:szCs w:val="21"/>
              </w:rPr>
              <w:t>不健全，或管理规范设置较差。</w:t>
            </w:r>
          </w:p>
          <w:p>
            <w:pPr>
              <w:keepNext w:val="0"/>
              <w:keepLines w:val="0"/>
              <w:pageBreakBefore w:val="0"/>
              <w:widowControl w:val="0"/>
              <w:kinsoku/>
              <w:wordWrap/>
              <w:overflowPunct/>
              <w:topLinePunct w:val="0"/>
              <w:autoSpaceDE/>
              <w:autoSpaceDN/>
              <w:bidi w:val="0"/>
              <w:snapToGrid/>
              <w:spacing w:beforeAutospacing="0" w:after="0" w:afterAutospacing="0" w:line="440" w:lineRule="exact"/>
              <w:jc w:val="left"/>
              <w:textAlignment w:val="auto"/>
              <w:rPr>
                <w:rFonts w:hint="eastAsia" w:ascii="宋体" w:hAnsi="宋体" w:eastAsia="宋体" w:cs="宋体"/>
                <w:sz w:val="21"/>
                <w:szCs w:val="21"/>
                <w:highlight w:val="none"/>
              </w:rPr>
            </w:pPr>
            <w:r>
              <w:rPr>
                <w:rFonts w:hint="eastAsia" w:asciiTheme="minorEastAsia" w:hAnsiTheme="minorEastAsia" w:eastAsiaTheme="minorEastAsia"/>
                <w:bCs/>
                <w:szCs w:val="21"/>
              </w:rPr>
              <w:t>第六个档次（0分）：供应商未提供</w:t>
            </w:r>
            <w:r>
              <w:rPr>
                <w:rFonts w:hint="eastAsia" w:asciiTheme="minorEastAsia" w:hAnsiTheme="minorEastAsia" w:eastAsiaTheme="minorEastAsia"/>
                <w:bCs/>
                <w:szCs w:val="21"/>
                <w:lang w:eastAsia="zh-CN"/>
              </w:rPr>
              <w:t>技术和质量管理制度</w:t>
            </w:r>
            <w:r>
              <w:rPr>
                <w:rFonts w:hint="eastAsia" w:asciiTheme="minorEastAsia" w:hAnsiTheme="minorEastAsia" w:eastAsiaTheme="minorEastAsia"/>
                <w:bCs/>
                <w:szCs w:val="21"/>
              </w:rPr>
              <w:t>或提供的管理规则制度明显有误。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299" w:type="dxa"/>
            <w:gridSpan w:val="2"/>
            <w:vMerge w:val="continue"/>
            <w:vAlign w:val="center"/>
          </w:tcPr>
          <w:p>
            <w:pPr>
              <w:snapToGrid w:val="0"/>
              <w:spacing w:line="312" w:lineRule="auto"/>
              <w:jc w:val="center"/>
              <w:rPr>
                <w:rFonts w:hint="eastAsia" w:ascii="宋体" w:hAnsi="宋体" w:cs="宋体"/>
                <w:szCs w:val="21"/>
                <w:highlight w:val="none"/>
              </w:rPr>
            </w:pPr>
          </w:p>
        </w:tc>
        <w:tc>
          <w:tcPr>
            <w:tcW w:w="1433" w:type="dxa"/>
            <w:vMerge w:val="continue"/>
            <w:vAlign w:val="center"/>
          </w:tcPr>
          <w:p>
            <w:pPr>
              <w:snapToGrid w:val="0"/>
              <w:spacing w:line="312" w:lineRule="auto"/>
              <w:jc w:val="center"/>
              <w:rPr>
                <w:rFonts w:hint="eastAsia" w:ascii="宋体" w:hAnsi="宋体" w:cs="宋体"/>
                <w:szCs w:val="21"/>
                <w:highlight w:val="none"/>
              </w:rPr>
            </w:pPr>
          </w:p>
        </w:tc>
        <w:tc>
          <w:tcPr>
            <w:tcW w:w="6190" w:type="dxa"/>
            <w:vAlign w:val="center"/>
          </w:tcPr>
          <w:p>
            <w:pPr>
              <w:keepNext w:val="0"/>
              <w:keepLines w:val="0"/>
              <w:pageBreakBefore w:val="0"/>
              <w:widowControl w:val="0"/>
              <w:tabs>
                <w:tab w:val="left" w:pos="540"/>
              </w:tabs>
              <w:kinsoku/>
              <w:wordWrap/>
              <w:overflowPunct/>
              <w:topLinePunct w:val="0"/>
              <w:autoSpaceDE/>
              <w:autoSpaceDN/>
              <w:bidi w:val="0"/>
              <w:adjustRightInd w:val="0"/>
              <w:snapToGrid/>
              <w:spacing w:beforeAutospacing="0" w:after="0" w:afterAutospacing="0" w:line="440" w:lineRule="exact"/>
              <w:jc w:val="left"/>
              <w:textAlignment w:val="auto"/>
              <w:rPr>
                <w:rFonts w:hint="eastAsia" w:asciiTheme="minorEastAsia" w:hAnsiTheme="minorEastAsia" w:eastAsiaTheme="minorEastAsia"/>
                <w:b/>
                <w:bCs w:val="0"/>
                <w:szCs w:val="21"/>
              </w:rPr>
            </w:pPr>
            <w:r>
              <w:rPr>
                <w:rFonts w:hint="eastAsia" w:asciiTheme="minorEastAsia" w:hAnsiTheme="minorEastAsia" w:eastAsiaTheme="minorEastAsia"/>
                <w:b/>
                <w:bCs w:val="0"/>
                <w:szCs w:val="21"/>
                <w:lang w:val="en-US" w:eastAsia="zh-CN"/>
              </w:rPr>
              <w:t>2）保密措施</w:t>
            </w:r>
            <w:r>
              <w:rPr>
                <w:rFonts w:hint="eastAsia" w:asciiTheme="minorEastAsia" w:hAnsiTheme="minorEastAsia" w:eastAsiaTheme="minorEastAsia"/>
                <w:b/>
                <w:bCs w:val="0"/>
                <w:szCs w:val="21"/>
              </w:rPr>
              <w:t>评审评分（满分</w:t>
            </w:r>
            <w:r>
              <w:rPr>
                <w:rFonts w:hint="eastAsia" w:asciiTheme="minorEastAsia" w:hAnsiTheme="minorEastAsia" w:eastAsiaTheme="minorEastAsia"/>
                <w:b/>
                <w:bCs w:val="0"/>
                <w:szCs w:val="21"/>
                <w:lang w:val="en-US" w:eastAsia="zh-CN"/>
              </w:rPr>
              <w:t>5</w:t>
            </w:r>
            <w:r>
              <w:rPr>
                <w:rFonts w:hint="eastAsia" w:asciiTheme="minorEastAsia" w:hAnsiTheme="minorEastAsia" w:eastAsiaTheme="minorEastAsia"/>
                <w:b/>
                <w:bCs w:val="0"/>
                <w:szCs w:val="21"/>
              </w:rPr>
              <w:t>分）</w:t>
            </w:r>
          </w:p>
          <w:p>
            <w:pPr>
              <w:keepNext w:val="0"/>
              <w:keepLines w:val="0"/>
              <w:pageBreakBefore w:val="0"/>
              <w:widowControl w:val="0"/>
              <w:kinsoku/>
              <w:wordWrap/>
              <w:overflowPunct/>
              <w:topLinePunct w:val="0"/>
              <w:autoSpaceDE/>
              <w:autoSpaceDN/>
              <w:bidi w:val="0"/>
              <w:snapToGrid/>
              <w:spacing w:beforeAutospacing="0" w:after="0" w:afterAutospacing="0" w:line="440" w:lineRule="exact"/>
              <w:textAlignment w:val="auto"/>
              <w:rPr>
                <w:rFonts w:hint="eastAsia" w:eastAsia="宋体"/>
                <w:szCs w:val="21"/>
                <w:lang w:eastAsia="zh-CN"/>
              </w:rPr>
            </w:pPr>
            <w:r>
              <w:rPr>
                <w:rFonts w:hint="eastAsia"/>
                <w:szCs w:val="21"/>
              </w:rPr>
              <w:t>第一个档次（</w:t>
            </w:r>
            <w:r>
              <w:rPr>
                <w:rFonts w:hint="eastAsia"/>
                <w:szCs w:val="21"/>
                <w:lang w:val="en-US" w:eastAsia="zh-CN"/>
              </w:rPr>
              <w:t>5</w:t>
            </w:r>
            <w:r>
              <w:rPr>
                <w:rFonts w:hint="eastAsia"/>
                <w:szCs w:val="21"/>
              </w:rPr>
              <w:t>分）：</w:t>
            </w:r>
            <w:r>
              <w:rPr>
                <w:rFonts w:hint="eastAsia"/>
                <w:szCs w:val="21"/>
                <w:lang w:eastAsia="zh-CN"/>
              </w:rPr>
              <w:t>投标人</w:t>
            </w:r>
            <w:r>
              <w:rPr>
                <w:rFonts w:hint="eastAsia"/>
                <w:szCs w:val="21"/>
              </w:rPr>
              <w:t>对规划编制等工作内容严格遵守相关保密要求及规定，具有相应能力及保障措施，针对本项目提出的保密措施内容完整详细、合理，考虑周全，针对性、可行性强</w:t>
            </w:r>
            <w:r>
              <w:rPr>
                <w:rFonts w:hint="eastAsia"/>
                <w:szCs w:val="21"/>
                <w:lang w:eastAsia="zh-CN"/>
              </w:rPr>
              <w:t>；</w:t>
            </w:r>
          </w:p>
          <w:p>
            <w:pPr>
              <w:keepNext w:val="0"/>
              <w:keepLines w:val="0"/>
              <w:pageBreakBefore w:val="0"/>
              <w:widowControl w:val="0"/>
              <w:kinsoku/>
              <w:wordWrap/>
              <w:overflowPunct/>
              <w:topLinePunct w:val="0"/>
              <w:autoSpaceDE/>
              <w:autoSpaceDN/>
              <w:bidi w:val="0"/>
              <w:snapToGrid/>
              <w:spacing w:beforeAutospacing="0" w:after="0" w:afterAutospacing="0" w:line="440" w:lineRule="exact"/>
              <w:textAlignment w:val="auto"/>
              <w:rPr>
                <w:rFonts w:hint="eastAsia"/>
                <w:szCs w:val="21"/>
              </w:rPr>
            </w:pPr>
            <w:r>
              <w:rPr>
                <w:rFonts w:hint="eastAsia"/>
                <w:szCs w:val="21"/>
              </w:rPr>
              <w:t>第二个档次（</w:t>
            </w:r>
            <w:r>
              <w:rPr>
                <w:rFonts w:hint="eastAsia"/>
                <w:szCs w:val="21"/>
                <w:lang w:val="en-US" w:eastAsia="zh-CN"/>
              </w:rPr>
              <w:t>4</w:t>
            </w:r>
            <w:r>
              <w:rPr>
                <w:rFonts w:hint="eastAsia"/>
                <w:szCs w:val="21"/>
              </w:rPr>
              <w:t>分）：</w:t>
            </w:r>
            <w:r>
              <w:rPr>
                <w:rFonts w:hint="eastAsia"/>
                <w:szCs w:val="21"/>
                <w:lang w:eastAsia="zh-CN"/>
              </w:rPr>
              <w:t>投标人</w:t>
            </w:r>
            <w:r>
              <w:rPr>
                <w:rFonts w:hint="eastAsia"/>
                <w:szCs w:val="21"/>
              </w:rPr>
              <w:t>对规划编制等工作内容严格遵守相关保密要求及规定，具有相应能力及保障措施，针对本项目提出的</w:t>
            </w:r>
            <w:r>
              <w:rPr>
                <w:rFonts w:hint="eastAsia"/>
                <w:szCs w:val="21"/>
                <w:lang w:val="en-US" w:eastAsia="zh-CN"/>
              </w:rPr>
              <w:t>保密措施</w:t>
            </w:r>
            <w:r>
              <w:rPr>
                <w:rFonts w:hint="eastAsia"/>
                <w:szCs w:val="21"/>
              </w:rPr>
              <w:t>内容基本完整，考虑较为周全，有一定针对性、可行性，满足</w:t>
            </w:r>
            <w:r>
              <w:rPr>
                <w:rFonts w:hint="eastAsia"/>
                <w:szCs w:val="21"/>
                <w:lang w:eastAsia="zh-CN"/>
              </w:rPr>
              <w:t>招标人</w:t>
            </w:r>
            <w:r>
              <w:rPr>
                <w:rFonts w:hint="eastAsia"/>
                <w:szCs w:val="21"/>
              </w:rPr>
              <w:t>实际需求；</w:t>
            </w:r>
          </w:p>
          <w:p>
            <w:pPr>
              <w:keepNext w:val="0"/>
              <w:keepLines w:val="0"/>
              <w:pageBreakBefore w:val="0"/>
              <w:widowControl w:val="0"/>
              <w:kinsoku/>
              <w:wordWrap/>
              <w:overflowPunct/>
              <w:topLinePunct w:val="0"/>
              <w:autoSpaceDE/>
              <w:autoSpaceDN/>
              <w:bidi w:val="0"/>
              <w:snapToGrid/>
              <w:spacing w:beforeAutospacing="0" w:after="0" w:afterAutospacing="0" w:line="440" w:lineRule="exact"/>
              <w:textAlignment w:val="auto"/>
              <w:rPr>
                <w:rFonts w:hint="eastAsia"/>
                <w:szCs w:val="21"/>
              </w:rPr>
            </w:pPr>
            <w:r>
              <w:rPr>
                <w:rFonts w:hint="eastAsia"/>
                <w:szCs w:val="21"/>
              </w:rPr>
              <w:t>第三个档次（</w:t>
            </w:r>
            <w:r>
              <w:rPr>
                <w:rFonts w:hint="eastAsia"/>
                <w:szCs w:val="21"/>
                <w:lang w:val="en-US" w:eastAsia="zh-CN"/>
              </w:rPr>
              <w:t>3</w:t>
            </w:r>
            <w:r>
              <w:rPr>
                <w:rFonts w:hint="eastAsia"/>
                <w:szCs w:val="21"/>
              </w:rPr>
              <w:t>分）：</w:t>
            </w:r>
            <w:r>
              <w:rPr>
                <w:rFonts w:hint="eastAsia"/>
                <w:szCs w:val="21"/>
                <w:lang w:eastAsia="zh-CN"/>
              </w:rPr>
              <w:t>投标人</w:t>
            </w:r>
            <w:r>
              <w:rPr>
                <w:rFonts w:hint="eastAsia"/>
                <w:szCs w:val="21"/>
              </w:rPr>
              <w:t>对规划编制等工作内容严格遵守相关保密要求及规定，具有相应能力及保障措施</w:t>
            </w:r>
            <w:r>
              <w:rPr>
                <w:rFonts w:hint="eastAsia"/>
                <w:szCs w:val="21"/>
                <w:lang w:eastAsia="zh-CN"/>
              </w:rPr>
              <w:t>，</w:t>
            </w:r>
            <w:r>
              <w:rPr>
                <w:rFonts w:hint="eastAsia"/>
                <w:szCs w:val="21"/>
              </w:rPr>
              <w:t>针对本项目提出的</w:t>
            </w:r>
            <w:r>
              <w:rPr>
                <w:rFonts w:hint="eastAsia"/>
                <w:szCs w:val="21"/>
                <w:lang w:val="en-US" w:eastAsia="zh-CN"/>
              </w:rPr>
              <w:t>保密措施</w:t>
            </w:r>
            <w:r>
              <w:rPr>
                <w:rFonts w:hint="eastAsia"/>
                <w:szCs w:val="21"/>
              </w:rPr>
              <w:t>内容基本完整，但考虑不全面，针对性、可行性</w:t>
            </w:r>
            <w:r>
              <w:rPr>
                <w:rFonts w:hint="eastAsia"/>
                <w:szCs w:val="21"/>
                <w:lang w:val="en-US" w:eastAsia="zh-CN"/>
              </w:rPr>
              <w:t>不足</w:t>
            </w:r>
            <w:r>
              <w:rPr>
                <w:rFonts w:hint="eastAsia"/>
                <w:szCs w:val="21"/>
              </w:rPr>
              <w:t>，基本满足</w:t>
            </w:r>
            <w:r>
              <w:rPr>
                <w:rFonts w:hint="eastAsia"/>
                <w:szCs w:val="21"/>
                <w:lang w:eastAsia="zh-CN"/>
              </w:rPr>
              <w:t>招标人</w:t>
            </w:r>
            <w:r>
              <w:rPr>
                <w:rFonts w:hint="eastAsia"/>
                <w:szCs w:val="21"/>
              </w:rPr>
              <w:t>实际需求；</w:t>
            </w:r>
          </w:p>
          <w:p>
            <w:pPr>
              <w:keepNext w:val="0"/>
              <w:keepLines w:val="0"/>
              <w:pageBreakBefore w:val="0"/>
              <w:widowControl w:val="0"/>
              <w:kinsoku/>
              <w:wordWrap/>
              <w:overflowPunct/>
              <w:topLinePunct w:val="0"/>
              <w:autoSpaceDE/>
              <w:autoSpaceDN/>
              <w:bidi w:val="0"/>
              <w:snapToGrid/>
              <w:spacing w:beforeAutospacing="0" w:after="0" w:afterAutospacing="0" w:line="440" w:lineRule="exact"/>
              <w:textAlignment w:val="auto"/>
              <w:rPr>
                <w:rFonts w:hint="eastAsia"/>
                <w:szCs w:val="21"/>
              </w:rPr>
            </w:pPr>
            <w:r>
              <w:rPr>
                <w:rFonts w:hint="eastAsia"/>
                <w:szCs w:val="21"/>
              </w:rPr>
              <w:t>第四个档次（</w:t>
            </w:r>
            <w:r>
              <w:rPr>
                <w:rFonts w:hint="eastAsia"/>
                <w:szCs w:val="21"/>
                <w:lang w:val="en-US" w:eastAsia="zh-CN"/>
              </w:rPr>
              <w:t>2</w:t>
            </w:r>
            <w:r>
              <w:rPr>
                <w:rFonts w:hint="eastAsia"/>
                <w:szCs w:val="21"/>
              </w:rPr>
              <w:t>分）：</w:t>
            </w:r>
            <w:r>
              <w:rPr>
                <w:rFonts w:hint="eastAsia"/>
                <w:szCs w:val="21"/>
                <w:lang w:eastAsia="zh-CN"/>
              </w:rPr>
              <w:t>投标人</w:t>
            </w:r>
            <w:r>
              <w:rPr>
                <w:rFonts w:hint="eastAsia"/>
                <w:szCs w:val="21"/>
              </w:rPr>
              <w:t>对规划编制等工作内容严格遵守相关保密要求及规定，具有相应能力及保障措施</w:t>
            </w:r>
            <w:r>
              <w:rPr>
                <w:rFonts w:hint="eastAsia"/>
                <w:szCs w:val="21"/>
                <w:lang w:eastAsia="zh-CN"/>
              </w:rPr>
              <w:t>，</w:t>
            </w:r>
            <w:r>
              <w:rPr>
                <w:rFonts w:hint="eastAsia"/>
                <w:szCs w:val="21"/>
              </w:rPr>
              <w:t>针对本项目提出的</w:t>
            </w:r>
            <w:r>
              <w:rPr>
                <w:rFonts w:hint="eastAsia"/>
                <w:szCs w:val="21"/>
                <w:lang w:val="en-US" w:eastAsia="zh-CN"/>
              </w:rPr>
              <w:t>保密措施</w:t>
            </w:r>
            <w:r>
              <w:rPr>
                <w:rFonts w:hint="eastAsia"/>
                <w:szCs w:val="21"/>
              </w:rPr>
              <w:t>内容缺漏，考虑不全面，针对性、可行性较差，基本满足</w:t>
            </w:r>
            <w:r>
              <w:rPr>
                <w:rFonts w:hint="eastAsia"/>
                <w:szCs w:val="21"/>
                <w:lang w:eastAsia="zh-CN"/>
              </w:rPr>
              <w:t>招标人</w:t>
            </w:r>
            <w:r>
              <w:rPr>
                <w:rFonts w:hint="eastAsia"/>
                <w:szCs w:val="21"/>
              </w:rPr>
              <w:t>实际需求；</w:t>
            </w:r>
          </w:p>
          <w:p>
            <w:pPr>
              <w:keepNext w:val="0"/>
              <w:keepLines w:val="0"/>
              <w:pageBreakBefore w:val="0"/>
              <w:widowControl w:val="0"/>
              <w:kinsoku/>
              <w:wordWrap/>
              <w:overflowPunct/>
              <w:topLinePunct w:val="0"/>
              <w:autoSpaceDE/>
              <w:autoSpaceDN/>
              <w:bidi w:val="0"/>
              <w:snapToGrid/>
              <w:spacing w:beforeAutospacing="0" w:after="0" w:afterAutospacing="0" w:line="440" w:lineRule="exact"/>
              <w:textAlignment w:val="auto"/>
              <w:rPr>
                <w:rFonts w:hint="eastAsia"/>
                <w:szCs w:val="21"/>
              </w:rPr>
            </w:pPr>
            <w:r>
              <w:rPr>
                <w:rFonts w:hint="eastAsia"/>
                <w:szCs w:val="21"/>
              </w:rPr>
              <w:t>第五个档次（</w:t>
            </w:r>
            <w:r>
              <w:rPr>
                <w:rFonts w:hint="eastAsia"/>
                <w:szCs w:val="21"/>
                <w:lang w:val="en-US" w:eastAsia="zh-CN"/>
              </w:rPr>
              <w:t>1</w:t>
            </w:r>
            <w:r>
              <w:rPr>
                <w:rFonts w:hint="eastAsia"/>
                <w:szCs w:val="21"/>
              </w:rPr>
              <w:t>分）：</w:t>
            </w:r>
            <w:r>
              <w:rPr>
                <w:rFonts w:hint="eastAsia"/>
                <w:szCs w:val="21"/>
                <w:lang w:eastAsia="zh-CN"/>
              </w:rPr>
              <w:t>投标人</w:t>
            </w:r>
            <w:r>
              <w:rPr>
                <w:rFonts w:hint="eastAsia"/>
                <w:szCs w:val="21"/>
              </w:rPr>
              <w:t>提出的</w:t>
            </w:r>
            <w:r>
              <w:rPr>
                <w:rFonts w:hint="eastAsia"/>
                <w:szCs w:val="21"/>
                <w:lang w:val="en-US" w:eastAsia="zh-CN"/>
              </w:rPr>
              <w:t>保密措施</w:t>
            </w:r>
            <w:r>
              <w:rPr>
                <w:rFonts w:hint="eastAsia"/>
                <w:szCs w:val="21"/>
              </w:rPr>
              <w:t>无针对性；</w:t>
            </w:r>
          </w:p>
          <w:p>
            <w:pPr>
              <w:keepNext w:val="0"/>
              <w:keepLines w:val="0"/>
              <w:pageBreakBefore w:val="0"/>
              <w:widowControl w:val="0"/>
              <w:kinsoku/>
              <w:wordWrap/>
              <w:overflowPunct/>
              <w:topLinePunct w:val="0"/>
              <w:autoSpaceDE/>
              <w:autoSpaceDN/>
              <w:bidi w:val="0"/>
              <w:snapToGrid/>
              <w:spacing w:beforeAutospacing="0" w:after="0" w:afterAutospacing="0" w:line="440" w:lineRule="exact"/>
              <w:jc w:val="left"/>
              <w:textAlignment w:val="auto"/>
              <w:rPr>
                <w:rFonts w:hint="eastAsia" w:asciiTheme="minorEastAsia" w:hAnsiTheme="minorEastAsia" w:eastAsiaTheme="minorEastAsia"/>
                <w:bCs/>
                <w:szCs w:val="21"/>
              </w:rPr>
            </w:pPr>
            <w:r>
              <w:rPr>
                <w:rFonts w:hint="eastAsia"/>
                <w:szCs w:val="21"/>
              </w:rPr>
              <w:t>第六个档次（0分）：</w:t>
            </w:r>
            <w:r>
              <w:rPr>
                <w:rFonts w:hint="eastAsia"/>
                <w:szCs w:val="21"/>
                <w:lang w:val="en-US" w:eastAsia="zh-CN"/>
              </w:rPr>
              <w:t>投标人</w:t>
            </w:r>
            <w:r>
              <w:rPr>
                <w:rFonts w:hint="eastAsia"/>
                <w:szCs w:val="21"/>
              </w:rPr>
              <w:t>未提出</w:t>
            </w:r>
            <w:r>
              <w:rPr>
                <w:rFonts w:hint="eastAsia"/>
                <w:szCs w:val="21"/>
                <w:lang w:val="en-US" w:eastAsia="zh-CN"/>
              </w:rPr>
              <w:t>保密措施</w:t>
            </w:r>
            <w:r>
              <w:rPr>
                <w:rFonts w:hint="eastAsia"/>
                <w:szCs w:val="21"/>
              </w:rPr>
              <w:t>或提出的</w:t>
            </w:r>
            <w:r>
              <w:rPr>
                <w:rFonts w:hint="eastAsia"/>
                <w:szCs w:val="21"/>
                <w:lang w:val="en-US" w:eastAsia="zh-CN"/>
              </w:rPr>
              <w:t>保密措施</w:t>
            </w:r>
            <w:r>
              <w:rPr>
                <w:rFonts w:hint="eastAsia"/>
                <w:szCs w:val="21"/>
              </w:rPr>
              <w:t>明显错误的。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5" w:hRule="atLeast"/>
          <w:jc w:val="center"/>
        </w:trPr>
        <w:tc>
          <w:tcPr>
            <w:tcW w:w="1299" w:type="dxa"/>
            <w:gridSpan w:val="2"/>
            <w:vMerge w:val="continue"/>
            <w:vAlign w:val="center"/>
          </w:tcPr>
          <w:p>
            <w:pPr>
              <w:snapToGrid w:val="0"/>
              <w:spacing w:line="312" w:lineRule="auto"/>
              <w:jc w:val="center"/>
              <w:rPr>
                <w:rFonts w:hint="eastAsia" w:ascii="宋体" w:hAnsi="宋体" w:cs="宋体"/>
                <w:szCs w:val="21"/>
                <w:highlight w:val="none"/>
              </w:rPr>
            </w:pPr>
          </w:p>
        </w:tc>
        <w:tc>
          <w:tcPr>
            <w:tcW w:w="1433" w:type="dxa"/>
            <w:vMerge w:val="continue"/>
            <w:vAlign w:val="center"/>
          </w:tcPr>
          <w:p>
            <w:pPr>
              <w:snapToGrid w:val="0"/>
              <w:spacing w:line="312" w:lineRule="auto"/>
              <w:jc w:val="center"/>
              <w:rPr>
                <w:rFonts w:hint="eastAsia" w:ascii="宋体" w:hAnsi="宋体" w:cs="宋体"/>
                <w:szCs w:val="21"/>
                <w:highlight w:val="none"/>
              </w:rPr>
            </w:pPr>
          </w:p>
        </w:tc>
        <w:tc>
          <w:tcPr>
            <w:tcW w:w="6190" w:type="dxa"/>
            <w:vAlign w:val="center"/>
          </w:tcPr>
          <w:p>
            <w:pPr>
              <w:keepNext w:val="0"/>
              <w:keepLines w:val="0"/>
              <w:pageBreakBefore w:val="0"/>
              <w:widowControl w:val="0"/>
              <w:kinsoku/>
              <w:wordWrap/>
              <w:overflowPunct/>
              <w:topLinePunct w:val="0"/>
              <w:autoSpaceDE/>
              <w:autoSpaceDN/>
              <w:bidi w:val="0"/>
              <w:snapToGrid/>
              <w:spacing w:beforeAutospacing="0" w:after="0" w:afterAutospacing="0" w:line="440" w:lineRule="exact"/>
              <w:jc w:val="left"/>
              <w:textAlignment w:val="auto"/>
              <w:rPr>
                <w:rFonts w:ascii="宋体" w:hAnsi="宋体"/>
                <w:b/>
                <w:bCs/>
                <w:szCs w:val="21"/>
              </w:rPr>
            </w:pPr>
            <w:r>
              <w:rPr>
                <w:rFonts w:hint="eastAsia" w:ascii="宋体" w:hAnsi="宋体"/>
                <w:b/>
                <w:bCs/>
                <w:szCs w:val="21"/>
                <w:lang w:val="en-US" w:eastAsia="zh-CN"/>
              </w:rPr>
              <w:t>3）</w:t>
            </w:r>
            <w:r>
              <w:rPr>
                <w:rFonts w:hint="eastAsia" w:ascii="宋体" w:hAnsi="宋体"/>
                <w:b/>
                <w:bCs/>
                <w:szCs w:val="21"/>
                <w:lang w:eastAsia="zh-CN"/>
              </w:rPr>
              <w:t>投标人</w:t>
            </w:r>
            <w:r>
              <w:rPr>
                <w:rFonts w:hint="eastAsia" w:ascii="宋体" w:hAnsi="宋体"/>
                <w:b/>
                <w:bCs/>
                <w:szCs w:val="21"/>
              </w:rPr>
              <w:t>企业类似项目业绩评审评分（满分</w:t>
            </w:r>
            <w:r>
              <w:rPr>
                <w:rFonts w:hint="eastAsia" w:ascii="宋体" w:hAnsi="宋体"/>
                <w:b/>
                <w:bCs/>
                <w:szCs w:val="21"/>
                <w:lang w:val="en-US" w:eastAsia="zh-CN"/>
              </w:rPr>
              <w:t>20</w:t>
            </w:r>
            <w:r>
              <w:rPr>
                <w:rFonts w:hint="eastAsia" w:ascii="宋体" w:hAnsi="宋体"/>
                <w:b/>
                <w:bCs/>
                <w:szCs w:val="21"/>
              </w:rPr>
              <w:t>分）：</w:t>
            </w:r>
          </w:p>
          <w:p>
            <w:pPr>
              <w:keepNext w:val="0"/>
              <w:keepLines w:val="0"/>
              <w:pageBreakBefore w:val="0"/>
              <w:widowControl w:val="0"/>
              <w:kinsoku/>
              <w:wordWrap/>
              <w:overflowPunct/>
              <w:topLinePunct w:val="0"/>
              <w:autoSpaceDE/>
              <w:autoSpaceDN/>
              <w:bidi w:val="0"/>
              <w:snapToGrid/>
              <w:spacing w:beforeAutospacing="0" w:after="0" w:afterAutospacing="0" w:line="440" w:lineRule="exact"/>
              <w:jc w:val="left"/>
              <w:textAlignment w:val="auto"/>
              <w:rPr>
                <w:rFonts w:hint="eastAsia" w:ascii="Times New Roman" w:hAnsi="宋体" w:cs="Times New Roman"/>
                <w:szCs w:val="21"/>
              </w:rPr>
            </w:pPr>
            <w:r>
              <w:rPr>
                <w:rFonts w:hint="eastAsia" w:ascii="宋体" w:hAnsi="宋体"/>
                <w:szCs w:val="21"/>
                <w:lang w:val="en-US" w:eastAsia="zh-CN"/>
              </w:rPr>
              <w:t>①</w:t>
            </w:r>
            <w:r>
              <w:rPr>
                <w:rFonts w:hint="eastAsia" w:ascii="宋体" w:hAnsi="宋体"/>
                <w:szCs w:val="21"/>
                <w:lang w:eastAsia="zh-CN"/>
              </w:rPr>
              <w:t>投标人</w:t>
            </w:r>
            <w:r>
              <w:rPr>
                <w:rFonts w:hint="eastAsia" w:ascii="Times New Roman" w:hAnsi="宋体" w:cs="Times New Roman"/>
                <w:szCs w:val="21"/>
              </w:rPr>
              <w:t>自20</w:t>
            </w:r>
            <w:r>
              <w:rPr>
                <w:rFonts w:hint="eastAsia" w:hAnsi="宋体" w:cs="Times New Roman"/>
                <w:szCs w:val="21"/>
                <w:lang w:val="en-US" w:eastAsia="zh-CN"/>
              </w:rPr>
              <w:t>19</w:t>
            </w:r>
            <w:r>
              <w:rPr>
                <w:rFonts w:hint="eastAsia" w:ascii="Times New Roman" w:hAnsi="宋体" w:cs="Times New Roman"/>
                <w:szCs w:val="21"/>
              </w:rPr>
              <w:t>年1月1日至今承担过类似</w:t>
            </w:r>
            <w:r>
              <w:rPr>
                <w:rFonts w:hint="eastAsia" w:ascii="Times New Roman" w:hAnsi="宋体" w:cs="Times New Roman"/>
                <w:szCs w:val="21"/>
                <w:lang w:val="en-US" w:eastAsia="zh-CN"/>
              </w:rPr>
              <w:t>审计</w:t>
            </w:r>
            <w:r>
              <w:rPr>
                <w:rFonts w:hint="eastAsia" w:ascii="Times New Roman" w:hAnsi="宋体" w:cs="Times New Roman"/>
                <w:szCs w:val="21"/>
              </w:rPr>
              <w:t>项目业绩</w:t>
            </w:r>
            <w:r>
              <w:rPr>
                <w:rFonts w:hint="eastAsia" w:ascii="Times New Roman" w:hAnsi="宋体" w:cs="Times New Roman"/>
                <w:szCs w:val="21"/>
                <w:lang w:val="en-US" w:eastAsia="zh-CN"/>
              </w:rPr>
              <w:t>的</w:t>
            </w:r>
            <w:r>
              <w:rPr>
                <w:rFonts w:hint="eastAsia" w:ascii="Times New Roman" w:hAnsi="宋体" w:cs="Times New Roman"/>
                <w:szCs w:val="21"/>
              </w:rPr>
              <w:t>，每提供一项业绩</w:t>
            </w:r>
            <w:r>
              <w:rPr>
                <w:rFonts w:hint="eastAsia" w:ascii="Times New Roman" w:hAnsi="宋体" w:cs="Times New Roman"/>
                <w:szCs w:val="21"/>
                <w:lang w:val="en-US" w:eastAsia="zh-CN"/>
              </w:rPr>
              <w:t>证明材料</w:t>
            </w:r>
            <w:r>
              <w:rPr>
                <w:rFonts w:hint="eastAsia" w:ascii="Times New Roman" w:hAnsi="宋体" w:cs="Times New Roman"/>
                <w:szCs w:val="21"/>
              </w:rPr>
              <w:t>得</w:t>
            </w:r>
            <w:r>
              <w:rPr>
                <w:rFonts w:hint="eastAsia" w:hAnsi="宋体" w:cs="Times New Roman"/>
                <w:szCs w:val="21"/>
                <w:lang w:val="en-US" w:eastAsia="zh-CN"/>
              </w:rPr>
              <w:t>2</w:t>
            </w:r>
            <w:r>
              <w:rPr>
                <w:rFonts w:hint="eastAsia" w:ascii="Times New Roman" w:hAnsi="宋体" w:cs="Times New Roman"/>
                <w:szCs w:val="21"/>
              </w:rPr>
              <w:t>分，最高得</w:t>
            </w:r>
            <w:r>
              <w:rPr>
                <w:rFonts w:hint="eastAsia" w:hAnsi="宋体" w:cs="Times New Roman"/>
                <w:szCs w:val="21"/>
                <w:lang w:val="en-US" w:eastAsia="zh-CN"/>
              </w:rPr>
              <w:t>20</w:t>
            </w:r>
            <w:r>
              <w:rPr>
                <w:rFonts w:hint="eastAsia" w:ascii="Times New Roman" w:hAnsi="宋体" w:cs="Times New Roman"/>
                <w:szCs w:val="21"/>
              </w:rPr>
              <w:t>分。</w:t>
            </w:r>
          </w:p>
          <w:p>
            <w:pPr>
              <w:keepNext w:val="0"/>
              <w:keepLines w:val="0"/>
              <w:pageBreakBefore w:val="0"/>
              <w:widowControl w:val="0"/>
              <w:kinsoku/>
              <w:wordWrap/>
              <w:overflowPunct/>
              <w:topLinePunct w:val="0"/>
              <w:autoSpaceDE/>
              <w:autoSpaceDN/>
              <w:bidi w:val="0"/>
              <w:snapToGrid/>
              <w:spacing w:beforeAutospacing="0" w:after="0" w:afterAutospacing="0" w:line="440" w:lineRule="exact"/>
              <w:jc w:val="left"/>
              <w:textAlignment w:val="auto"/>
              <w:rPr>
                <w:rFonts w:hint="eastAsia" w:ascii="宋体" w:hAnsi="宋体" w:eastAsia="宋体" w:cs="宋体"/>
                <w:sz w:val="21"/>
                <w:szCs w:val="21"/>
                <w:highlight w:val="none"/>
              </w:rPr>
            </w:pPr>
            <w:r>
              <w:rPr>
                <w:rFonts w:hint="eastAsia" w:ascii="Times New Roman" w:hAnsi="宋体" w:cs="Times New Roman"/>
                <w:szCs w:val="21"/>
              </w:rPr>
              <w:t>注：类似项目业绩证明材料为</w:t>
            </w:r>
            <w:r>
              <w:rPr>
                <w:rFonts w:hint="eastAsia" w:ascii="Times New Roman" w:hAnsi="宋体" w:cs="Times New Roman"/>
                <w:szCs w:val="21"/>
                <w:lang w:eastAsia="zh-CN"/>
              </w:rPr>
              <w:t>成交（中标）通知书</w:t>
            </w:r>
            <w:r>
              <w:rPr>
                <w:rFonts w:hint="eastAsia" w:ascii="Times New Roman" w:hAnsi="宋体" w:cs="Times New Roman"/>
                <w:szCs w:val="21"/>
              </w:rPr>
              <w:t>或合同（合同首页、标的及金额所在页及合同签字盖章页的</w:t>
            </w:r>
            <w:r>
              <w:rPr>
                <w:rFonts w:hint="eastAsia" w:hAnsi="宋体" w:cs="Times New Roman"/>
                <w:szCs w:val="21"/>
                <w:lang w:eastAsia="zh-CN"/>
              </w:rPr>
              <w:t>彩色扫描件加盖投标人电子签章</w:t>
            </w:r>
            <w:r>
              <w:rPr>
                <w:rFonts w:hint="eastAsia" w:ascii="Times New Roman" w:hAnsi="宋体" w:cs="Times New Roman"/>
                <w:szCs w:val="21"/>
              </w:rPr>
              <w:t>）。无证明材料或证明材料不明确、无法体现业绩内容的，不予认可。</w:t>
            </w:r>
          </w:p>
        </w:tc>
      </w:tr>
    </w:tbl>
    <w:p>
      <w:pPr>
        <w:tabs>
          <w:tab w:val="left" w:pos="817"/>
          <w:tab w:val="left" w:pos="1634"/>
          <w:tab w:val="left" w:pos="4073"/>
        </w:tabs>
        <w:spacing w:line="360" w:lineRule="auto"/>
        <w:ind w:right="420"/>
        <w:rPr>
          <w:rFonts w:hint="eastAsia" w:ascii="宋体"/>
          <w:szCs w:val="20"/>
          <w:highlight w:val="none"/>
        </w:rPr>
      </w:pPr>
    </w:p>
    <w:p>
      <w:pPr>
        <w:keepNext w:val="0"/>
        <w:keepLines w:val="0"/>
        <w:pageBreakBefore w:val="0"/>
        <w:widowControl w:val="0"/>
        <w:tabs>
          <w:tab w:val="left" w:pos="817"/>
          <w:tab w:val="left" w:pos="1634"/>
          <w:tab w:val="left" w:pos="4073"/>
        </w:tabs>
        <w:kinsoku/>
        <w:wordWrap/>
        <w:overflowPunct/>
        <w:topLinePunct w:val="0"/>
        <w:autoSpaceDE/>
        <w:autoSpaceDN/>
        <w:bidi w:val="0"/>
        <w:adjustRightInd/>
        <w:snapToGrid/>
        <w:spacing w:line="360" w:lineRule="auto"/>
        <w:textAlignment w:val="auto"/>
        <w:outlineLvl w:val="2"/>
        <w:rPr>
          <w:rFonts w:hint="eastAsia" w:ascii="宋体" w:hAnsi="宋体" w:cs="宋体"/>
          <w:szCs w:val="21"/>
          <w:highlight w:val="none"/>
        </w:rPr>
      </w:pPr>
      <w:r>
        <w:rPr>
          <w:rFonts w:hint="eastAsia" w:ascii="宋体"/>
          <w:szCs w:val="20"/>
          <w:highlight w:val="none"/>
        </w:rPr>
        <w:t xml:space="preserve">  </w:t>
      </w:r>
      <w:r>
        <w:rPr>
          <w:rFonts w:hint="eastAsia" w:ascii="宋体" w:hAnsi="宋体" w:cs="宋体"/>
          <w:szCs w:val="21"/>
          <w:highlight w:val="none"/>
        </w:rPr>
        <w:t xml:space="preserve">  </w:t>
      </w:r>
      <w:bookmarkStart w:id="503" w:name="_Toc30933"/>
      <w:r>
        <w:rPr>
          <w:rFonts w:hint="eastAsia" w:ascii="宋体" w:hAnsi="宋体" w:cs="宋体"/>
          <w:b/>
          <w:bCs/>
          <w:szCs w:val="21"/>
          <w:highlight w:val="none"/>
        </w:rPr>
        <w:t>1.评标方法</w:t>
      </w:r>
      <w:bookmarkEnd w:id="503"/>
    </w:p>
    <w:p>
      <w:pPr>
        <w:spacing w:line="360" w:lineRule="auto"/>
        <w:ind w:firstLine="420" w:firstLineChars="200"/>
        <w:jc w:val="left"/>
        <w:rPr>
          <w:rFonts w:hint="eastAsia" w:ascii="宋体" w:hAnsi="宋体" w:cs="宋体"/>
          <w:szCs w:val="21"/>
          <w:highlight w:val="none"/>
        </w:rPr>
      </w:pPr>
      <w:r>
        <w:rPr>
          <w:rFonts w:hint="eastAsia" w:ascii="宋体" w:hAnsi="宋体" w:cs="宋体"/>
          <w:szCs w:val="21"/>
          <w:highlight w:val="none"/>
        </w:rPr>
        <w:t>本次评标采用综合评分法。评标委员会各成员对通过资格审查、符合性审查的投标文件，按照本章第2条规定的评审标准独立进行评审打分，汇总每个投标人的得分。评标结果按评审后得分由高到低顺序排列</w:t>
      </w:r>
      <w:r>
        <w:rPr>
          <w:rFonts w:hint="eastAsia" w:ascii="宋体" w:hAnsi="宋体" w:cs="宋体"/>
          <w:szCs w:val="21"/>
          <w:highlight w:val="none"/>
          <w:lang w:eastAsia="zh-CN"/>
        </w:rPr>
        <w:t>，</w:t>
      </w:r>
      <w:r>
        <w:rPr>
          <w:rFonts w:hint="eastAsia" w:ascii="宋体" w:hAnsi="宋体" w:cs="宋体"/>
          <w:szCs w:val="21"/>
          <w:highlight w:val="none"/>
        </w:rPr>
        <w:t xml:space="preserve">得分相同的并列。投标文件满足招标文件全部实质性要求，且按照评审因素的量化指标评审得分最高的投标人为排名第一的中标候选人。  </w:t>
      </w:r>
    </w:p>
    <w:p>
      <w:pPr>
        <w:keepNext w:val="0"/>
        <w:keepLines w:val="0"/>
        <w:pageBreakBefore w:val="0"/>
        <w:widowControl w:val="0"/>
        <w:tabs>
          <w:tab w:val="left" w:pos="2472"/>
        </w:tabs>
        <w:kinsoku/>
        <w:wordWrap/>
        <w:overflowPunct/>
        <w:topLinePunct w:val="0"/>
        <w:autoSpaceDE/>
        <w:autoSpaceDN/>
        <w:bidi w:val="0"/>
        <w:adjustRightInd/>
        <w:snapToGrid/>
        <w:spacing w:line="360" w:lineRule="auto"/>
        <w:ind w:firstLine="422" w:firstLineChars="200"/>
        <w:textAlignment w:val="auto"/>
        <w:outlineLvl w:val="2"/>
        <w:rPr>
          <w:rFonts w:hint="eastAsia" w:ascii="宋体" w:hAnsi="宋体" w:cs="宋体"/>
          <w:b/>
          <w:bCs/>
          <w:szCs w:val="21"/>
          <w:highlight w:val="none"/>
        </w:rPr>
      </w:pPr>
      <w:bookmarkStart w:id="504" w:name="_Toc9269"/>
      <w:r>
        <w:rPr>
          <w:rFonts w:hint="eastAsia" w:ascii="宋体" w:hAnsi="宋体" w:cs="宋体"/>
          <w:b/>
          <w:bCs/>
          <w:szCs w:val="21"/>
          <w:highlight w:val="none"/>
        </w:rPr>
        <w:t>2. 评审标准及评标程序</w:t>
      </w:r>
      <w:bookmarkEnd w:id="504"/>
    </w:p>
    <w:p>
      <w:pPr>
        <w:tabs>
          <w:tab w:val="left" w:pos="2472"/>
        </w:tabs>
        <w:spacing w:line="360" w:lineRule="auto"/>
        <w:ind w:firstLine="422" w:firstLineChars="200"/>
        <w:rPr>
          <w:rFonts w:hint="eastAsia" w:ascii="宋体" w:hAnsi="宋体" w:cs="宋体"/>
          <w:szCs w:val="21"/>
          <w:highlight w:val="none"/>
        </w:rPr>
      </w:pPr>
      <w:r>
        <w:rPr>
          <w:rFonts w:hint="eastAsia" w:ascii="宋体" w:hAnsi="宋体" w:cs="宋体"/>
          <w:b/>
          <w:bCs/>
          <w:szCs w:val="21"/>
          <w:highlight w:val="none"/>
        </w:rPr>
        <w:t>2.1符合性审查标准</w:t>
      </w:r>
    </w:p>
    <w:p>
      <w:pPr>
        <w:spacing w:line="360" w:lineRule="auto"/>
        <w:ind w:firstLine="420" w:firstLineChars="200"/>
        <w:jc w:val="left"/>
        <w:rPr>
          <w:rFonts w:hint="eastAsia" w:ascii="宋体" w:hAnsi="宋体" w:cs="宋体"/>
          <w:szCs w:val="21"/>
          <w:highlight w:val="none"/>
        </w:rPr>
      </w:pPr>
      <w:r>
        <w:rPr>
          <w:rFonts w:hint="eastAsia" w:ascii="宋体" w:hAnsi="宋体" w:cs="宋体"/>
          <w:szCs w:val="21"/>
          <w:highlight w:val="none"/>
        </w:rPr>
        <w:t>2.1.1符合性审查内容及标准：详见“评标办法前附表”。</w:t>
      </w:r>
    </w:p>
    <w:p>
      <w:pPr>
        <w:tabs>
          <w:tab w:val="left" w:pos="2472"/>
        </w:tabs>
        <w:spacing w:line="360" w:lineRule="auto"/>
        <w:ind w:firstLine="422" w:firstLineChars="200"/>
        <w:rPr>
          <w:rFonts w:hint="eastAsia" w:ascii="宋体" w:hAnsi="宋体" w:cs="宋体"/>
          <w:b/>
          <w:bCs/>
          <w:szCs w:val="21"/>
          <w:highlight w:val="none"/>
        </w:rPr>
      </w:pPr>
      <w:r>
        <w:rPr>
          <w:rFonts w:hint="eastAsia" w:ascii="宋体" w:hAnsi="宋体" w:cs="宋体"/>
          <w:b/>
          <w:bCs/>
          <w:szCs w:val="21"/>
          <w:highlight w:val="none"/>
        </w:rPr>
        <w:t>2.2 分值构成及评审标准</w:t>
      </w:r>
    </w:p>
    <w:p>
      <w:pPr>
        <w:spacing w:line="360" w:lineRule="auto"/>
        <w:ind w:firstLine="420" w:firstLineChars="200"/>
        <w:jc w:val="left"/>
        <w:rPr>
          <w:rFonts w:hint="eastAsia" w:ascii="宋体" w:hAnsi="宋体" w:cs="宋体"/>
          <w:szCs w:val="21"/>
          <w:highlight w:val="none"/>
        </w:rPr>
      </w:pPr>
      <w:r>
        <w:rPr>
          <w:rFonts w:hint="eastAsia" w:ascii="宋体" w:hAnsi="宋体" w:cs="宋体"/>
          <w:szCs w:val="21"/>
          <w:highlight w:val="none"/>
        </w:rPr>
        <w:t>本项目评审的评审因素及其分值构成，评标总得分计算方法，详见“评标办法前附表”。</w:t>
      </w:r>
    </w:p>
    <w:p>
      <w:pPr>
        <w:spacing w:line="360" w:lineRule="auto"/>
        <w:ind w:firstLine="420" w:firstLineChars="200"/>
        <w:jc w:val="left"/>
        <w:rPr>
          <w:rFonts w:hint="eastAsia" w:ascii="宋体" w:hAnsi="宋体" w:cs="宋体"/>
          <w:szCs w:val="21"/>
          <w:highlight w:val="none"/>
        </w:rPr>
      </w:pPr>
      <w:r>
        <w:rPr>
          <w:rFonts w:hint="eastAsia" w:ascii="宋体" w:hAnsi="宋体" w:cs="宋体"/>
          <w:szCs w:val="21"/>
          <w:highlight w:val="none"/>
        </w:rPr>
        <w:t>2.2.</w:t>
      </w:r>
      <w:r>
        <w:rPr>
          <w:rFonts w:hint="eastAsia" w:ascii="宋体" w:hAnsi="宋体" w:cs="宋体"/>
          <w:szCs w:val="21"/>
          <w:highlight w:val="none"/>
          <w:lang w:val="en-US" w:eastAsia="zh-CN"/>
        </w:rPr>
        <w:t>1</w:t>
      </w:r>
      <w:r>
        <w:rPr>
          <w:rFonts w:hint="eastAsia" w:ascii="宋体" w:hAnsi="宋体" w:cs="宋体"/>
          <w:szCs w:val="21"/>
          <w:highlight w:val="none"/>
        </w:rPr>
        <w:t>技术部分评分标准，详见“评标办法前附表”；</w:t>
      </w:r>
    </w:p>
    <w:p>
      <w:pPr>
        <w:spacing w:line="360" w:lineRule="auto"/>
        <w:ind w:firstLine="420" w:firstLineChars="200"/>
        <w:jc w:val="left"/>
        <w:rPr>
          <w:rFonts w:hint="eastAsia" w:ascii="宋体" w:hAnsi="宋体" w:cs="宋体"/>
          <w:szCs w:val="21"/>
          <w:highlight w:val="none"/>
        </w:rPr>
      </w:pPr>
      <w:r>
        <w:rPr>
          <w:rFonts w:hint="eastAsia" w:ascii="宋体" w:hAnsi="宋体" w:cs="宋体"/>
          <w:szCs w:val="21"/>
          <w:highlight w:val="none"/>
        </w:rPr>
        <w:t>2.2.</w:t>
      </w:r>
      <w:r>
        <w:rPr>
          <w:rFonts w:hint="eastAsia" w:ascii="宋体" w:hAnsi="宋体" w:cs="宋体"/>
          <w:szCs w:val="21"/>
          <w:highlight w:val="none"/>
          <w:lang w:val="en-US" w:eastAsia="zh-CN"/>
        </w:rPr>
        <w:t>2</w:t>
      </w:r>
      <w:r>
        <w:rPr>
          <w:rFonts w:hint="eastAsia" w:ascii="宋体" w:hAnsi="宋体" w:cs="宋体"/>
          <w:szCs w:val="21"/>
          <w:highlight w:val="none"/>
        </w:rPr>
        <w:t>商务部分评分标准，详见“评标办法前附表”。</w:t>
      </w:r>
    </w:p>
    <w:p>
      <w:pPr>
        <w:keepNext w:val="0"/>
        <w:keepLines w:val="0"/>
        <w:pageBreakBefore w:val="0"/>
        <w:widowControl w:val="0"/>
        <w:tabs>
          <w:tab w:val="left" w:pos="2472"/>
        </w:tabs>
        <w:kinsoku/>
        <w:wordWrap/>
        <w:overflowPunct/>
        <w:topLinePunct w:val="0"/>
        <w:autoSpaceDE/>
        <w:autoSpaceDN/>
        <w:bidi w:val="0"/>
        <w:adjustRightInd/>
        <w:snapToGrid/>
        <w:spacing w:line="360" w:lineRule="auto"/>
        <w:ind w:firstLine="422" w:firstLineChars="200"/>
        <w:textAlignment w:val="auto"/>
        <w:outlineLvl w:val="2"/>
        <w:rPr>
          <w:rFonts w:hint="eastAsia" w:ascii="宋体" w:hAnsi="宋体" w:cs="宋体"/>
          <w:b/>
          <w:bCs/>
          <w:szCs w:val="21"/>
          <w:highlight w:val="none"/>
        </w:rPr>
      </w:pPr>
      <w:bookmarkStart w:id="505" w:name="_Toc30040"/>
      <w:r>
        <w:rPr>
          <w:rFonts w:hint="eastAsia" w:ascii="宋体" w:hAnsi="宋体" w:cs="宋体"/>
          <w:b/>
          <w:bCs/>
          <w:szCs w:val="21"/>
          <w:highlight w:val="none"/>
        </w:rPr>
        <w:t>3.评标程序</w:t>
      </w:r>
      <w:bookmarkEnd w:id="505"/>
    </w:p>
    <w:p>
      <w:pPr>
        <w:tabs>
          <w:tab w:val="left" w:pos="2472"/>
        </w:tabs>
        <w:spacing w:line="360" w:lineRule="auto"/>
        <w:ind w:firstLine="422" w:firstLineChars="200"/>
        <w:rPr>
          <w:rFonts w:hint="eastAsia" w:ascii="宋体" w:hAnsi="宋体" w:cs="宋体"/>
          <w:szCs w:val="21"/>
          <w:highlight w:val="none"/>
        </w:rPr>
      </w:pPr>
      <w:r>
        <w:rPr>
          <w:rFonts w:hint="eastAsia" w:ascii="宋体" w:hAnsi="宋体" w:cs="宋体"/>
          <w:b/>
          <w:bCs/>
          <w:szCs w:val="21"/>
          <w:highlight w:val="none"/>
        </w:rPr>
        <w:t>3.1符合性审查</w:t>
      </w:r>
    </w:p>
    <w:p>
      <w:pPr>
        <w:tabs>
          <w:tab w:val="left" w:pos="2472"/>
        </w:tabs>
        <w:spacing w:line="360" w:lineRule="auto"/>
        <w:ind w:firstLine="420" w:firstLineChars="200"/>
        <w:rPr>
          <w:rFonts w:hint="eastAsia" w:ascii="宋体" w:hAnsi="宋体" w:eastAsia="宋体" w:cs="宋体"/>
          <w:szCs w:val="21"/>
          <w:highlight w:val="none"/>
          <w:lang w:eastAsia="zh-CN"/>
        </w:rPr>
      </w:pPr>
      <w:r>
        <w:rPr>
          <w:rFonts w:hint="eastAsia" w:ascii="宋体" w:hAnsi="宋体" w:cs="宋体"/>
          <w:szCs w:val="21"/>
          <w:highlight w:val="none"/>
        </w:rPr>
        <w:t>评标委员会依据本章2.1.1规定的内容和标准，对符合资格的投标人的投标文件进行符合性审查，以确定其是否满足招标文件的实质性要求。经审查有一项不符合的，该投标文件按无效投标处理。当通过符合性审查的供应商少于三家时，本项目按废标处理</w:t>
      </w:r>
      <w:r>
        <w:rPr>
          <w:rFonts w:hint="eastAsia" w:ascii="宋体" w:hAnsi="宋体" w:cs="宋体"/>
          <w:szCs w:val="21"/>
          <w:highlight w:val="none"/>
          <w:lang w:eastAsia="zh-CN"/>
        </w:rPr>
        <w:t>。</w:t>
      </w:r>
    </w:p>
    <w:p>
      <w:pPr>
        <w:tabs>
          <w:tab w:val="left" w:pos="2472"/>
        </w:tabs>
        <w:spacing w:line="360" w:lineRule="auto"/>
        <w:ind w:firstLine="422" w:firstLineChars="200"/>
        <w:rPr>
          <w:rFonts w:hint="eastAsia" w:ascii="宋体" w:hAnsi="宋体" w:cs="宋体"/>
          <w:b/>
          <w:bCs/>
          <w:szCs w:val="21"/>
          <w:highlight w:val="none"/>
        </w:rPr>
      </w:pPr>
      <w:r>
        <w:rPr>
          <w:rFonts w:hint="eastAsia" w:ascii="宋体" w:hAnsi="宋体" w:cs="宋体"/>
          <w:b/>
          <w:bCs/>
          <w:szCs w:val="21"/>
          <w:highlight w:val="none"/>
        </w:rPr>
        <w:t xml:space="preserve">3.2投标文件的澄清、说明或者补正 </w:t>
      </w:r>
    </w:p>
    <w:p>
      <w:pPr>
        <w:spacing w:line="360" w:lineRule="auto"/>
        <w:ind w:firstLine="420" w:firstLineChars="200"/>
        <w:jc w:val="left"/>
        <w:rPr>
          <w:rFonts w:hint="eastAsia" w:ascii="宋体" w:hAnsi="宋体" w:cs="宋体"/>
          <w:szCs w:val="21"/>
          <w:highlight w:val="none"/>
        </w:rPr>
      </w:pPr>
      <w:r>
        <w:rPr>
          <w:rFonts w:hint="eastAsia" w:ascii="宋体" w:hAnsi="宋体" w:cs="宋体"/>
          <w:szCs w:val="21"/>
          <w:highlight w:val="none"/>
        </w:rPr>
        <w:t>3.2.1在评标过程中，若投标文件中出现含义不明确、同类问题表述不一致或者有明显文字和计算错误的内容，评标委员会可以书面形式要求投标人作出必要的澄清、说明或者补正。评标委员会不接受投标人主动提出的澄清、说明或者补正。</w:t>
      </w:r>
    </w:p>
    <w:p>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投标人的澄清、说明或者补正应当采用书面形式，并加盖单位公章，或者由法定代表人或其授权的代表签字。投标人的澄清、说明或者补正不得超出投标文件的范围或者改变投标文件的实质性内容。投标人的澄清、说明或者补正应当采用书面形式，并加盖公章，或者由法定代表人或其授权的代表签字。投标人的澄清、说明或者补正不得超出投标文件的范围或者改变投标文件的实质性内容。</w:t>
      </w:r>
    </w:p>
    <w:p>
      <w:pPr>
        <w:spacing w:line="360" w:lineRule="auto"/>
        <w:ind w:firstLine="420" w:firstLineChars="200"/>
        <w:jc w:val="left"/>
        <w:rPr>
          <w:rFonts w:hint="eastAsia" w:ascii="宋体" w:hAnsi="宋体" w:cs="宋体"/>
          <w:szCs w:val="21"/>
          <w:highlight w:val="none"/>
        </w:rPr>
      </w:pPr>
      <w:r>
        <w:rPr>
          <w:rFonts w:hint="eastAsia" w:ascii="宋体" w:hAnsi="宋体" w:cs="宋体"/>
          <w:szCs w:val="21"/>
          <w:highlight w:val="none"/>
        </w:rPr>
        <w:t>评标委员会对投标人提交的澄清、说明或者补正有疑问的，可以要求投标人进一步澄清、说明或者补正。</w:t>
      </w:r>
    </w:p>
    <w:p>
      <w:pPr>
        <w:tabs>
          <w:tab w:val="left" w:pos="2472"/>
        </w:tabs>
        <w:spacing w:line="360" w:lineRule="auto"/>
        <w:ind w:firstLine="422" w:firstLineChars="200"/>
        <w:rPr>
          <w:rFonts w:hint="eastAsia" w:ascii="宋体" w:hAnsi="宋体" w:cs="宋体"/>
          <w:b/>
          <w:bCs/>
          <w:szCs w:val="21"/>
          <w:highlight w:val="none"/>
        </w:rPr>
      </w:pPr>
      <w:r>
        <w:rPr>
          <w:rFonts w:hint="eastAsia" w:ascii="宋体" w:hAnsi="宋体" w:cs="宋体"/>
          <w:b/>
          <w:bCs/>
          <w:szCs w:val="21"/>
          <w:highlight w:val="none"/>
        </w:rPr>
        <w:t>3.3商务和技术评估，综合比较与评价</w:t>
      </w:r>
    </w:p>
    <w:p>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评标委员会按照招标文件规定的评标方法和标准，对符合性审查合格的投标文件进行商务和技术评估，综合比较与评价。</w:t>
      </w:r>
      <w:r>
        <w:rPr>
          <w:rFonts w:hint="eastAsia" w:ascii="宋体" w:hAnsi="宋体" w:cs="宋体"/>
          <w:color w:val="000000"/>
          <w:szCs w:val="21"/>
          <w:highlight w:val="none"/>
        </w:rPr>
        <w:t>评标委员会</w:t>
      </w:r>
      <w:r>
        <w:rPr>
          <w:rFonts w:hint="eastAsia" w:ascii="宋体" w:hAnsi="宋体" w:cs="宋体"/>
          <w:szCs w:val="21"/>
          <w:highlight w:val="none"/>
        </w:rPr>
        <w:t>按本章2.2规定的量化因素和分值进行打分，并计算出投标人的评标总得分。招标文件中没有规定的评标方法和标准，不作为评标依据。</w:t>
      </w:r>
    </w:p>
    <w:p>
      <w:pPr>
        <w:spacing w:line="360" w:lineRule="auto"/>
        <w:ind w:firstLine="420" w:firstLineChars="200"/>
        <w:jc w:val="left"/>
        <w:rPr>
          <w:rFonts w:hint="eastAsia" w:ascii="宋体" w:hAnsi="宋体" w:cs="宋体"/>
          <w:szCs w:val="21"/>
          <w:highlight w:val="none"/>
        </w:rPr>
      </w:pPr>
      <w:r>
        <w:rPr>
          <w:rFonts w:hint="eastAsia" w:ascii="宋体" w:hAnsi="宋体" w:cs="宋体"/>
          <w:szCs w:val="21"/>
          <w:highlight w:val="none"/>
        </w:rPr>
        <w:t>3.3.</w:t>
      </w:r>
      <w:r>
        <w:rPr>
          <w:rFonts w:hint="eastAsia" w:ascii="宋体" w:hAnsi="宋体" w:cs="宋体"/>
          <w:szCs w:val="21"/>
          <w:highlight w:val="none"/>
          <w:lang w:val="en-US" w:eastAsia="zh-CN"/>
        </w:rPr>
        <w:t>1</w:t>
      </w:r>
      <w:r>
        <w:rPr>
          <w:rFonts w:hint="eastAsia" w:ascii="宋体" w:hAnsi="宋体" w:cs="宋体"/>
          <w:szCs w:val="21"/>
          <w:highlight w:val="none"/>
        </w:rPr>
        <w:t>技术部分评审：评标委员会依据本章2.2.</w:t>
      </w:r>
      <w:r>
        <w:rPr>
          <w:rFonts w:hint="eastAsia" w:ascii="宋体" w:hAnsi="宋体" w:cs="宋体"/>
          <w:szCs w:val="21"/>
          <w:highlight w:val="none"/>
          <w:lang w:val="en-US" w:eastAsia="zh-CN"/>
        </w:rPr>
        <w:t>1</w:t>
      </w:r>
      <w:r>
        <w:rPr>
          <w:rFonts w:hint="eastAsia" w:ascii="宋体" w:hAnsi="宋体" w:cs="宋体"/>
          <w:szCs w:val="21"/>
          <w:highlight w:val="none"/>
        </w:rPr>
        <w:t>规定的内容和评分标准，对投标文件的技术部分进行评审打分，汇总计算技术部分得分。</w:t>
      </w:r>
    </w:p>
    <w:p>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3.3.</w:t>
      </w:r>
      <w:r>
        <w:rPr>
          <w:rFonts w:hint="eastAsia" w:ascii="宋体" w:hAnsi="宋体" w:cs="宋体"/>
          <w:szCs w:val="21"/>
          <w:highlight w:val="none"/>
          <w:lang w:val="en-US" w:eastAsia="zh-CN"/>
        </w:rPr>
        <w:t>2</w:t>
      </w:r>
      <w:r>
        <w:rPr>
          <w:rFonts w:hint="eastAsia" w:ascii="宋体" w:hAnsi="宋体" w:cs="宋体"/>
          <w:szCs w:val="21"/>
          <w:highlight w:val="none"/>
        </w:rPr>
        <w:t>商务部分评审：评标委员会依据本章2.2.</w:t>
      </w:r>
      <w:r>
        <w:rPr>
          <w:rFonts w:hint="eastAsia" w:ascii="宋体" w:hAnsi="宋体" w:cs="宋体"/>
          <w:szCs w:val="21"/>
          <w:highlight w:val="none"/>
          <w:lang w:val="en-US" w:eastAsia="zh-CN"/>
        </w:rPr>
        <w:t>2</w:t>
      </w:r>
      <w:r>
        <w:rPr>
          <w:rFonts w:hint="eastAsia" w:ascii="宋体" w:hAnsi="宋体" w:cs="宋体"/>
          <w:szCs w:val="21"/>
          <w:highlight w:val="none"/>
        </w:rPr>
        <w:t>规定的内容和评分标准，对投标文件的商务部分进行评审打分，汇总计算技术部分得分。</w:t>
      </w:r>
    </w:p>
    <w:p>
      <w:pPr>
        <w:spacing w:line="360" w:lineRule="auto"/>
        <w:ind w:firstLine="420" w:firstLineChars="200"/>
        <w:jc w:val="left"/>
        <w:rPr>
          <w:rFonts w:hint="eastAsia" w:ascii="宋体" w:hAnsi="宋体" w:cs="宋体"/>
          <w:szCs w:val="21"/>
          <w:highlight w:val="none"/>
        </w:rPr>
      </w:pPr>
      <w:r>
        <w:rPr>
          <w:rFonts w:hint="eastAsia" w:ascii="宋体" w:hAnsi="宋体" w:cs="宋体"/>
          <w:szCs w:val="21"/>
          <w:highlight w:val="none"/>
        </w:rPr>
        <w:t>3.3.</w:t>
      </w:r>
      <w:r>
        <w:rPr>
          <w:rFonts w:hint="eastAsia" w:ascii="宋体" w:hAnsi="宋体" w:cs="宋体"/>
          <w:szCs w:val="21"/>
          <w:highlight w:val="none"/>
          <w:lang w:val="en-US" w:eastAsia="zh-CN"/>
        </w:rPr>
        <w:t>3</w:t>
      </w:r>
      <w:r>
        <w:rPr>
          <w:rFonts w:hint="eastAsia" w:ascii="宋体" w:hAnsi="宋体" w:cs="宋体"/>
          <w:szCs w:val="21"/>
          <w:highlight w:val="none"/>
        </w:rPr>
        <w:t>评标委员会对投标人的价格分等客观评分项的评分应当一致，对其他需要借助专业知识评判的主观评分项，应当严格按照评分细则公正评分。</w:t>
      </w:r>
    </w:p>
    <w:p>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3.3.</w:t>
      </w:r>
      <w:r>
        <w:rPr>
          <w:rFonts w:hint="eastAsia" w:ascii="宋体" w:hAnsi="宋体" w:cs="宋体"/>
          <w:szCs w:val="21"/>
          <w:highlight w:val="none"/>
          <w:lang w:val="en-US" w:eastAsia="zh-CN"/>
        </w:rPr>
        <w:t>4</w:t>
      </w:r>
      <w:r>
        <w:rPr>
          <w:rFonts w:hint="eastAsia" w:ascii="宋体" w:hAnsi="宋体" w:cs="宋体"/>
          <w:szCs w:val="21"/>
          <w:highlight w:val="none"/>
        </w:rPr>
        <w:t>技术部分和商务部分由评标委员会各成员对每个投标人的投标文件进行评价，并汇总每个投标人的得分。投标人各项评分因素得分为该项因素评标委员会各成员汇总得分的算术平均值（保留小数点后两位），小数点后第三位“四舍五入”。</w:t>
      </w:r>
    </w:p>
    <w:p>
      <w:pPr>
        <w:spacing w:line="360" w:lineRule="auto"/>
        <w:ind w:firstLine="420" w:firstLineChars="200"/>
        <w:jc w:val="left"/>
        <w:rPr>
          <w:rFonts w:hint="eastAsia" w:ascii="宋体" w:hAnsi="宋体" w:cs="宋体"/>
          <w:szCs w:val="21"/>
          <w:highlight w:val="none"/>
        </w:rPr>
      </w:pPr>
      <w:r>
        <w:rPr>
          <w:rFonts w:hint="eastAsia" w:ascii="宋体" w:hAnsi="宋体" w:cs="宋体"/>
          <w:szCs w:val="21"/>
          <w:highlight w:val="none"/>
        </w:rPr>
        <w:t>3.3.</w:t>
      </w:r>
      <w:r>
        <w:rPr>
          <w:rFonts w:hint="eastAsia" w:ascii="宋体" w:hAnsi="宋体" w:cs="宋体"/>
          <w:szCs w:val="21"/>
          <w:highlight w:val="none"/>
          <w:lang w:val="en-US" w:eastAsia="zh-CN"/>
        </w:rPr>
        <w:t>5</w:t>
      </w:r>
      <w:r>
        <w:rPr>
          <w:rFonts w:hint="eastAsia" w:ascii="宋体" w:hAnsi="宋体" w:cs="宋体"/>
          <w:szCs w:val="21"/>
          <w:highlight w:val="none"/>
        </w:rPr>
        <w:t>评标委员会成员要依法独立评审，并对评审意见承担个人责任。</w:t>
      </w:r>
    </w:p>
    <w:p>
      <w:pPr>
        <w:tabs>
          <w:tab w:val="left" w:pos="2472"/>
        </w:tabs>
        <w:spacing w:line="360" w:lineRule="auto"/>
        <w:ind w:firstLine="422" w:firstLineChars="200"/>
        <w:rPr>
          <w:rFonts w:hint="eastAsia" w:ascii="宋体" w:hAnsi="宋体" w:cs="宋体"/>
          <w:b/>
          <w:bCs/>
          <w:szCs w:val="21"/>
          <w:highlight w:val="none"/>
        </w:rPr>
      </w:pPr>
      <w:r>
        <w:rPr>
          <w:rFonts w:hint="eastAsia" w:ascii="宋体" w:hAnsi="宋体" w:cs="宋体"/>
          <w:b/>
          <w:bCs/>
          <w:szCs w:val="21"/>
          <w:highlight w:val="none"/>
        </w:rPr>
        <w:t>3.4投标人有以下情形之一的，其投标无效</w:t>
      </w:r>
    </w:p>
    <w:p>
      <w:pPr>
        <w:spacing w:line="360" w:lineRule="auto"/>
        <w:ind w:firstLine="420" w:firstLineChars="200"/>
        <w:jc w:val="left"/>
        <w:rPr>
          <w:rFonts w:hint="eastAsia" w:ascii="宋体" w:hAnsi="宋体" w:cs="宋体"/>
          <w:szCs w:val="21"/>
          <w:highlight w:val="none"/>
        </w:rPr>
      </w:pPr>
      <w:r>
        <w:rPr>
          <w:rFonts w:hint="eastAsia" w:ascii="宋体" w:hAnsi="宋体" w:cs="宋体"/>
          <w:szCs w:val="21"/>
          <w:highlight w:val="none"/>
        </w:rPr>
        <w:t>（1）串通投标或弄虚作假或有其他违法行为的；</w:t>
      </w:r>
    </w:p>
    <w:p>
      <w:pPr>
        <w:spacing w:line="360" w:lineRule="auto"/>
        <w:ind w:firstLine="420" w:firstLineChars="200"/>
        <w:jc w:val="left"/>
        <w:rPr>
          <w:rFonts w:hint="eastAsia" w:ascii="宋体" w:hAnsi="宋体" w:cs="宋体"/>
          <w:szCs w:val="21"/>
          <w:highlight w:val="none"/>
        </w:rPr>
      </w:pPr>
      <w:r>
        <w:rPr>
          <w:rFonts w:hint="eastAsia" w:ascii="宋体" w:hAnsi="宋体" w:cs="宋体"/>
          <w:szCs w:val="21"/>
          <w:highlight w:val="none"/>
        </w:rPr>
        <w:t>（2）不按评标委员会要求澄清、说明或补正的。</w:t>
      </w:r>
    </w:p>
    <w:p>
      <w:pPr>
        <w:keepNext w:val="0"/>
        <w:keepLines w:val="0"/>
        <w:pageBreakBefore w:val="0"/>
        <w:widowControl w:val="0"/>
        <w:tabs>
          <w:tab w:val="left" w:pos="2472"/>
        </w:tabs>
        <w:kinsoku/>
        <w:wordWrap/>
        <w:overflowPunct/>
        <w:topLinePunct w:val="0"/>
        <w:autoSpaceDE/>
        <w:autoSpaceDN/>
        <w:bidi w:val="0"/>
        <w:adjustRightInd/>
        <w:snapToGrid/>
        <w:spacing w:line="360" w:lineRule="auto"/>
        <w:ind w:firstLine="422" w:firstLineChars="200"/>
        <w:textAlignment w:val="auto"/>
        <w:outlineLvl w:val="2"/>
        <w:rPr>
          <w:rFonts w:hint="eastAsia" w:ascii="宋体" w:hAnsi="宋体" w:cs="宋体"/>
          <w:b/>
          <w:bCs/>
          <w:szCs w:val="21"/>
          <w:highlight w:val="none"/>
        </w:rPr>
      </w:pPr>
      <w:bookmarkStart w:id="506" w:name="_Toc30232"/>
      <w:r>
        <w:rPr>
          <w:rFonts w:hint="eastAsia" w:ascii="宋体" w:hAnsi="宋体" w:cs="宋体"/>
          <w:b/>
          <w:bCs/>
          <w:szCs w:val="21"/>
          <w:highlight w:val="none"/>
        </w:rPr>
        <w:t>4.评标结果</w:t>
      </w:r>
      <w:bookmarkEnd w:id="506"/>
    </w:p>
    <w:p>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4.</w:t>
      </w:r>
      <w:r>
        <w:rPr>
          <w:rFonts w:hint="eastAsia" w:ascii="宋体" w:hAnsi="宋体" w:cs="宋体"/>
          <w:szCs w:val="21"/>
          <w:highlight w:val="none"/>
          <w:lang w:val="en-US" w:eastAsia="zh-CN"/>
        </w:rPr>
        <w:t>1</w:t>
      </w:r>
      <w:r>
        <w:rPr>
          <w:rFonts w:hint="eastAsia" w:ascii="宋体" w:hAnsi="宋体" w:cs="宋体"/>
          <w:szCs w:val="21"/>
          <w:highlight w:val="none"/>
        </w:rPr>
        <w:t>评标委员会根据全体评标成员签字的原始评标记录和评标结果编写评标报告。</w:t>
      </w:r>
    </w:p>
    <w:p>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4.</w:t>
      </w:r>
      <w:r>
        <w:rPr>
          <w:rFonts w:hint="eastAsia" w:ascii="宋体" w:hAnsi="宋体" w:cs="宋体"/>
          <w:szCs w:val="21"/>
          <w:highlight w:val="none"/>
          <w:lang w:val="en-US" w:eastAsia="zh-CN"/>
        </w:rPr>
        <w:t>2</w:t>
      </w:r>
      <w:r>
        <w:rPr>
          <w:rFonts w:hint="eastAsia" w:ascii="宋体" w:hAnsi="宋体" w:cs="宋体"/>
          <w:szCs w:val="21"/>
          <w:highlight w:val="none"/>
        </w:rPr>
        <w:t>评标委员会成员对需要共同认定的事项存在争议的，应当按照少数服从多数的原则作出结论。持不同意见的评标委员会成员应当在评标报告上签署不同意见及理由，否则视为同意评标报告。</w:t>
      </w:r>
    </w:p>
    <w:p>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4.</w:t>
      </w:r>
      <w:r>
        <w:rPr>
          <w:rFonts w:hint="eastAsia" w:ascii="宋体" w:hAnsi="宋体" w:cs="宋体"/>
          <w:szCs w:val="21"/>
          <w:highlight w:val="none"/>
          <w:lang w:val="en-US" w:eastAsia="zh-CN"/>
        </w:rPr>
        <w:t>3</w:t>
      </w:r>
      <w:r>
        <w:rPr>
          <w:rFonts w:hint="eastAsia" w:ascii="宋体" w:hAnsi="宋体" w:cs="宋体"/>
          <w:szCs w:val="21"/>
          <w:highlight w:val="none"/>
        </w:rPr>
        <w:t>评标委员会发现招标文件存在歧义、重大缺陷导致评标工作无法进行，或者招标文件内容违反国家有关强制性规定的，应当停止评标工作，与采购人或者采购代理机构沟通并作书面记录。采购人或者采购代理机构确认后，应当修改招标文件，重新组织采购活动。</w:t>
      </w:r>
    </w:p>
    <w:p>
      <w:pPr>
        <w:spacing w:line="360" w:lineRule="auto"/>
        <w:ind w:firstLine="420" w:firstLineChars="200"/>
        <w:jc w:val="left"/>
        <w:rPr>
          <w:rFonts w:hint="eastAsia" w:ascii="宋体"/>
          <w:sz w:val="24"/>
          <w:highlight w:val="none"/>
        </w:rPr>
      </w:pPr>
      <w:r>
        <w:rPr>
          <w:rFonts w:hint="eastAsia" w:ascii="宋体" w:hAnsi="宋体" w:cs="宋体"/>
          <w:szCs w:val="21"/>
          <w:highlight w:val="none"/>
        </w:rPr>
        <w:t>4.</w:t>
      </w:r>
      <w:r>
        <w:rPr>
          <w:rFonts w:hint="eastAsia" w:ascii="宋体" w:hAnsi="宋体" w:cs="宋体"/>
          <w:szCs w:val="21"/>
          <w:highlight w:val="none"/>
          <w:lang w:val="en-US" w:eastAsia="zh-CN"/>
        </w:rPr>
        <w:t>4</w:t>
      </w:r>
      <w:r>
        <w:rPr>
          <w:rFonts w:hint="eastAsia" w:ascii="宋体" w:hAnsi="宋体" w:cs="宋体"/>
          <w:szCs w:val="21"/>
          <w:highlight w:val="none"/>
        </w:rPr>
        <w:t>评标委员会按得分由高到低顺序推荐三名中标候选人，并提出书面评标报告</w:t>
      </w:r>
      <w:r>
        <w:rPr>
          <w:rFonts w:hint="eastAsia" w:ascii="宋体" w:hAnsi="宋体" w:cs="宋体"/>
          <w:szCs w:val="21"/>
          <w:highlight w:val="none"/>
          <w:lang w:eastAsia="zh-CN"/>
        </w:rPr>
        <w:t>；</w:t>
      </w:r>
      <w:r>
        <w:rPr>
          <w:rFonts w:hint="eastAsia" w:ascii="宋体" w:hAnsi="宋体" w:cs="宋体"/>
          <w:szCs w:val="21"/>
          <w:highlight w:val="none"/>
          <w:lang w:val="en-US" w:eastAsia="zh-CN"/>
        </w:rPr>
        <w:t>得分相同的并列，</w:t>
      </w:r>
      <w:r>
        <w:rPr>
          <w:rFonts w:hint="eastAsia" w:ascii="宋体" w:hAnsi="宋体" w:cs="宋体"/>
          <w:szCs w:val="21"/>
          <w:highlight w:val="none"/>
          <w:lang w:eastAsia="zh-CN"/>
        </w:rPr>
        <w:t>投标文件满足招标文件全部实质性要求，且按照评审因素的量化指标评审得分最高的投标人为排名第一的中标候选人</w:t>
      </w:r>
      <w:r>
        <w:rPr>
          <w:rFonts w:hint="eastAsia" w:ascii="宋体" w:hAnsi="宋体" w:cs="宋体"/>
          <w:szCs w:val="21"/>
          <w:highlight w:val="none"/>
        </w:rPr>
        <w:t>。</w:t>
      </w:r>
    </w:p>
    <w:sectPr>
      <w:pgSz w:w="11850" w:h="16783"/>
      <w:pgMar w:top="1440" w:right="1570" w:bottom="1440" w:left="1570" w:header="720" w:footer="720" w:gutter="0"/>
      <w:cols w:space="708"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金山简黑体">
    <w:altName w:val="宋体"/>
    <w:panose1 w:val="00000000000000000000"/>
    <w:charset w:val="86"/>
    <w:family w:val="auto"/>
    <w:pitch w:val="default"/>
    <w:sig w:usb0="00000000" w:usb1="00000000" w:usb2="00000000" w:usb3="00000000" w:csb0="00040001" w:csb1="00000000"/>
  </w:font>
  <w:font w:name="Arial Unicode MS">
    <w:panose1 w:val="020B0604020202020204"/>
    <w:charset w:val="86"/>
    <w:family w:val="roman"/>
    <w:pitch w:val="default"/>
    <w:sig w:usb0="F7FFAEFF" w:usb1="F9DFFFFF" w:usb2="0000007F" w:usb3="00000000" w:csb0="203F01FF" w:csb1="DFFF0000"/>
  </w:font>
  <w:font w:name="Tahoma">
    <w:panose1 w:val="020B0604030504040204"/>
    <w:charset w:val="00"/>
    <w:family w:val="swiss"/>
    <w:pitch w:val="default"/>
    <w:sig w:usb0="E1002EFF" w:usb1="C000605B" w:usb2="00000029" w:usb3="00000000" w:csb0="200101FF" w:csb1="20280000"/>
  </w:font>
  <w:font w:name="全真簡粗明">
    <w:altName w:val="MingLiU-ExtB"/>
    <w:panose1 w:val="00000000000000000000"/>
    <w:charset w:val="88"/>
    <w:family w:val="modern"/>
    <w:pitch w:val="default"/>
    <w:sig w:usb0="00000000" w:usb1="00000000" w:usb2="00000010" w:usb3="00000000" w:csb0="00100000" w:csb1="00000000"/>
  </w:font>
  <w:font w:name="Verdana">
    <w:panose1 w:val="020B0604030504040204"/>
    <w:charset w:val="00"/>
    <w:family w:val="swiss"/>
    <w:pitch w:val="default"/>
    <w:sig w:usb0="A00006FF" w:usb1="4000205B" w:usb2="0000001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Wingdings 2">
    <w:panose1 w:val="05020102010507070707"/>
    <w:charset w:val="02"/>
    <w:family w:val="roman"/>
    <w:pitch w:val="default"/>
    <w:sig w:usb0="00000000" w:usb1="00000000" w:usb2="00000000" w:usb3="00000000" w:csb0="80000000" w:csb1="00000000"/>
  </w:font>
  <w:font w:name="仿宋">
    <w:panose1 w:val="02010609060101010101"/>
    <w:charset w:val="86"/>
    <w:family w:val="auto"/>
    <w:pitch w:val="default"/>
    <w:sig w:usb0="800002BF" w:usb1="38CF7CFA" w:usb2="00000016" w:usb3="00000000" w:csb0="00040001" w:csb1="00000000"/>
  </w:font>
  <w:font w:name="MingLiU-ExtB">
    <w:panose1 w:val="02020500000000000000"/>
    <w:charset w:val="88"/>
    <w:family w:val="auto"/>
    <w:pitch w:val="default"/>
    <w:sig w:usb0="8000002F" w:usb1="02000008" w:usb2="00000000"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jc w:val="both"/>
    </w:pPr>
    <w:r>
      <mc:AlternateContent>
        <mc:Choice Requires="wps">
          <w:drawing>
            <wp:anchor distT="0" distB="0" distL="0" distR="0" simplePos="0" relativeHeight="251661312" behindDoc="0" locked="0" layoutInCell="1" allowOverlap="1">
              <wp:simplePos x="0" y="0"/>
              <wp:positionH relativeFrom="margin">
                <wp:align>center</wp:align>
              </wp:positionH>
              <wp:positionV relativeFrom="paragraph">
                <wp:posOffset>0</wp:posOffset>
              </wp:positionV>
              <wp:extent cx="57785" cy="147955"/>
              <wp:effectExtent l="0" t="0" r="0" b="0"/>
              <wp:wrapSquare wrapText="bothSides"/>
              <wp:docPr id="7" name="文本框 1"/>
              <wp:cNvGraphicFramePr/>
              <a:graphic xmlns:a="http://schemas.openxmlformats.org/drawingml/2006/main">
                <a:graphicData uri="http://schemas.microsoft.com/office/word/2010/wordprocessingShape">
                  <wps:wsp>
                    <wps:cNvSpPr txBox="1"/>
                    <wps:spPr>
                      <a:xfrm>
                        <a:off x="0" y="0"/>
                        <a:ext cx="57785" cy="147955"/>
                      </a:xfrm>
                      <a:prstGeom prst="rect">
                        <a:avLst/>
                      </a:prstGeom>
                      <a:noFill/>
                      <a:ln>
                        <a:noFill/>
                      </a:ln>
                    </wps:spPr>
                    <wps:txbx>
                      <w:txbxContent>
                        <w:p>
                          <w:pPr>
                            <w:pStyle w:val="22"/>
                            <w:rPr>
                              <w:rStyle w:val="39"/>
                            </w:rPr>
                          </w:pPr>
                          <w:r>
                            <w:fldChar w:fldCharType="begin"/>
                          </w:r>
                          <w:r>
                            <w:rPr>
                              <w:rStyle w:val="39"/>
                            </w:rPr>
                            <w:instrText xml:space="preserve">PAGE  </w:instrText>
                          </w:r>
                          <w:r>
                            <w:fldChar w:fldCharType="separate"/>
                          </w:r>
                          <w:r>
                            <w:rPr>
                              <w:rStyle w:val="39"/>
                            </w:rPr>
                            <w:t>1</w:t>
                          </w:r>
                          <w:r>
                            <w:fldChar w:fldCharType="end"/>
                          </w:r>
                        </w:p>
                      </w:txbxContent>
                    </wps:txbx>
                    <wps:bodyPr wrap="none" lIns="0" tIns="0" rIns="0" bIns="0" upright="1">
                      <a:spAutoFit/>
                    </wps:bodyPr>
                  </wps:wsp>
                </a:graphicData>
              </a:graphic>
            </wp:anchor>
          </w:drawing>
        </mc:Choice>
        <mc:Fallback>
          <w:pict>
            <v:shape id="文本框 1" o:spid="_x0000_s1026" o:spt="202" type="#_x0000_t202" style="position:absolute;left:0pt;margin-top:0pt;height:11.65pt;width:4.55pt;mso-position-horizontal:center;mso-position-horizontal-relative:margin;mso-wrap-distance-bottom:0pt;mso-wrap-distance-left:0pt;mso-wrap-distance-right:0pt;mso-wrap-distance-top:0pt;mso-wrap-style:none;z-index:251661312;mso-width-relative:page;mso-height-relative:page;" filled="f" stroked="f" coordsize="21600,21600" o:gfxdata="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">
              <v:fill on="f" focussize="0,0"/>
              <v:stroke on="f"/>
              <v:imagedata o:title=""/>
              <o:lock v:ext="edit" aspectratio="f"/>
              <v:textbox inset="0mm,0mm,0mm,0mm" style="mso-fit-shape-to-text:t;">
                <w:txbxContent>
                  <w:p>
                    <w:pPr>
                      <w:pStyle w:val="22"/>
                      <w:rPr>
                        <w:rStyle w:val="39"/>
                      </w:rPr>
                    </w:pPr>
                    <w:r>
                      <w:fldChar w:fldCharType="begin"/>
                    </w:r>
                    <w:r>
                      <w:rPr>
                        <w:rStyle w:val="39"/>
                      </w:rPr>
                      <w:instrText xml:space="preserve">PAGE  </w:instrText>
                    </w:r>
                    <w:r>
                      <w:fldChar w:fldCharType="separate"/>
                    </w:r>
                    <w:r>
                      <w:rPr>
                        <w:rStyle w:val="39"/>
                      </w:rPr>
                      <w:t>1</w:t>
                    </w:r>
                    <w:r>
                      <w:fldChar w:fldCharType="end"/>
                    </w:r>
                  </w:p>
                </w:txbxContent>
              </v:textbox>
              <w10:wrap type="square"/>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framePr w:wrap="around" w:vAnchor="text" w:hAnchor="margin" w:xAlign="center" w:y="1"/>
      <w:rPr>
        <w:rStyle w:val="39"/>
      </w:rPr>
    </w:pPr>
    <w:r>
      <w:fldChar w:fldCharType="begin"/>
    </w:r>
    <w:r>
      <w:rPr>
        <w:rStyle w:val="39"/>
      </w:rPr>
      <w:instrText xml:space="preserve">PAGE  </w:instrText>
    </w:r>
    <w:r>
      <w:fldChar w:fldCharType="separate"/>
    </w:r>
    <w:r>
      <w:rPr>
        <w:rStyle w:val="39"/>
      </w:rPr>
      <w:t>2</w:t>
    </w:r>
    <w:r>
      <w:fldChar w:fldCharType="end"/>
    </w:r>
  </w:p>
  <w:p>
    <w:pPr>
      <w:pStyle w:val="22"/>
      <w:ind w:right="360"/>
      <w:rPr>
        <w:sz w:val="21"/>
      </w:rPr>
    </w:pPr>
    <w:r>
      <mc:AlternateContent>
        <mc:Choice Requires="wps">
          <w:drawing>
            <wp:anchor distT="0" distB="0" distL="0" distR="0" simplePos="0" relativeHeight="251660288" behindDoc="0" locked="0" layoutInCell="1" allowOverlap="1">
              <wp:simplePos x="0" y="0"/>
              <wp:positionH relativeFrom="margin">
                <wp:align>center</wp:align>
              </wp:positionH>
              <wp:positionV relativeFrom="paragraph">
                <wp:posOffset>0</wp:posOffset>
              </wp:positionV>
              <wp:extent cx="57150" cy="147955"/>
              <wp:effectExtent l="0" t="0" r="0" b="0"/>
              <wp:wrapSquare wrapText="bothSides"/>
              <wp:docPr id="6" name="文本框 1026"/>
              <wp:cNvGraphicFramePr/>
              <a:graphic xmlns:a="http://schemas.openxmlformats.org/drawingml/2006/main">
                <a:graphicData uri="http://schemas.microsoft.com/office/word/2010/wordprocessingShape">
                  <wps:wsp>
                    <wps:cNvSpPr txBox="1"/>
                    <wps:spPr>
                      <a:xfrm>
                        <a:off x="0" y="0"/>
                        <a:ext cx="57150" cy="147955"/>
                      </a:xfrm>
                      <a:prstGeom prst="rect">
                        <a:avLst/>
                      </a:prstGeom>
                      <a:noFill/>
                      <a:ln>
                        <a:noFill/>
                      </a:ln>
                    </wps:spPr>
                    <wps:txbx>
                      <w:txbxContent>
                        <w:p>
                          <w:pPr>
                            <w:pStyle w:val="22"/>
                            <w:rPr>
                              <w:rStyle w:val="39"/>
                            </w:rPr>
                          </w:pPr>
                          <w:r>
                            <w:fldChar w:fldCharType="begin"/>
                          </w:r>
                          <w:r>
                            <w:rPr>
                              <w:rStyle w:val="39"/>
                            </w:rPr>
                            <w:instrText xml:space="preserve">PAGE  </w:instrText>
                          </w:r>
                          <w:r>
                            <w:fldChar w:fldCharType="separate"/>
                          </w:r>
                          <w:r>
                            <w:rPr>
                              <w:rStyle w:val="39"/>
                            </w:rPr>
                            <w:t>2</w:t>
                          </w:r>
                          <w:r>
                            <w:fldChar w:fldCharType="end"/>
                          </w:r>
                        </w:p>
                      </w:txbxContent>
                    </wps:txbx>
                    <wps:bodyPr wrap="none" lIns="0" tIns="0" rIns="0" bIns="0" upright="1">
                      <a:spAutoFit/>
                    </wps:bodyPr>
                  </wps:wsp>
                </a:graphicData>
              </a:graphic>
            </wp:anchor>
          </w:drawing>
        </mc:Choice>
        <mc:Fallback>
          <w:pict>
            <v:shape id="文本框 1026" o:spid="_x0000_s1026" o:spt="202" type="#_x0000_t202" style="position:absolute;left:0pt;margin-top:0pt;height:11.65pt;width:4.5pt;mso-position-horizontal:center;mso-position-horizontal-relative:margin;mso-wrap-distance-bottom:0pt;mso-wrap-distance-left:0pt;mso-wrap-distance-right:0pt;mso-wrap-distance-top:0pt;mso-wrap-style:none;z-index:251660288;mso-width-relative:page;mso-height-relative:page;" filled="f" stroked="f" coordsize="21600,21600" o:gfxdata="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">
              <v:fill on="f" focussize="0,0"/>
              <v:stroke on="f"/>
              <v:imagedata o:title=""/>
              <o:lock v:ext="edit" aspectratio="f"/>
              <v:textbox inset="0mm,0mm,0mm,0mm" style="mso-fit-shape-to-text:t;">
                <w:txbxContent>
                  <w:p>
                    <w:pPr>
                      <w:pStyle w:val="22"/>
                      <w:rPr>
                        <w:rStyle w:val="39"/>
                      </w:rPr>
                    </w:pPr>
                    <w:r>
                      <w:fldChar w:fldCharType="begin"/>
                    </w:r>
                    <w:r>
                      <w:rPr>
                        <w:rStyle w:val="39"/>
                      </w:rPr>
                      <w:instrText xml:space="preserve">PAGE  </w:instrText>
                    </w:r>
                    <w:r>
                      <w:fldChar w:fldCharType="separate"/>
                    </w:r>
                    <w:r>
                      <w:rPr>
                        <w:rStyle w:val="39"/>
                      </w:rPr>
                      <w:t>2</w:t>
                    </w:r>
                    <w:r>
                      <w:fldChar w:fldCharType="end"/>
                    </w:r>
                  </w:p>
                </w:txbxContent>
              </v:textbox>
              <w10:wrap type="square"/>
            </v:shape>
          </w:pict>
        </mc:Fallback>
      </mc:AlternateContent>
    </w:r>
    <w: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33350" cy="172720"/>
              <wp:effectExtent l="0" t="0" r="0" b="0"/>
              <wp:wrapSquare wrapText="bothSides"/>
              <wp:docPr id="5" name="文本框 1025"/>
              <wp:cNvGraphicFramePr/>
              <a:graphic xmlns:a="http://schemas.openxmlformats.org/drawingml/2006/main">
                <a:graphicData uri="http://schemas.microsoft.com/office/word/2010/wordprocessingShape">
                  <wps:wsp>
                    <wps:cNvSpPr txBox="1"/>
                    <wps:spPr>
                      <a:xfrm>
                        <a:off x="0" y="0"/>
                        <a:ext cx="133350" cy="172720"/>
                      </a:xfrm>
                      <a:prstGeom prst="rect">
                        <a:avLst/>
                      </a:prstGeom>
                      <a:noFill/>
                      <a:ln>
                        <a:noFill/>
                      </a:ln>
                    </wps:spPr>
                    <wps:txbx>
                      <w:txbxContent>
                        <w:p>
                          <w:pPr>
                            <w:pStyle w:val="22"/>
                            <w:rPr>
                              <w:rStyle w:val="39"/>
                              <w:sz w:val="21"/>
                            </w:rPr>
                          </w:pPr>
                          <w:r>
                            <w:rPr>
                              <w:sz w:val="21"/>
                            </w:rPr>
                            <w:fldChar w:fldCharType="begin"/>
                          </w:r>
                          <w:r>
                            <w:rPr>
                              <w:rStyle w:val="39"/>
                              <w:sz w:val="21"/>
                            </w:rPr>
                            <w:instrText xml:space="preserve">PAGE  </w:instrText>
                          </w:r>
                          <w:r>
                            <w:rPr>
                              <w:sz w:val="21"/>
                            </w:rPr>
                            <w:fldChar w:fldCharType="separate"/>
                          </w:r>
                          <w:r>
                            <w:rPr>
                              <w:rStyle w:val="39"/>
                              <w:sz w:val="21"/>
                            </w:rPr>
                            <w:t>2</w:t>
                          </w:r>
                          <w:r>
                            <w:rPr>
                              <w:sz w:val="21"/>
                            </w:rPr>
                            <w:fldChar w:fldCharType="end"/>
                          </w:r>
                        </w:p>
                      </w:txbxContent>
                    </wps:txbx>
                    <wps:bodyPr wrap="none" lIns="0" tIns="0" rIns="0" bIns="0" upright="1">
                      <a:spAutoFit/>
                    </wps:bodyPr>
                  </wps:wsp>
                </a:graphicData>
              </a:graphic>
            </wp:anchor>
          </w:drawing>
        </mc:Choice>
        <mc:Fallback>
          <w:pict>
            <v:shape id="文本框 1025" o:spid="_x0000_s1026" o:spt="202" type="#_x0000_t202" style="position:absolute;left:0pt;margin-top:0pt;height:13.6pt;width:10.5pt;mso-position-horizontal:center;mso-position-horizontal-relative:margin;mso-wrap-distance-bottom:0pt;mso-wrap-distance-left:0pt;mso-wrap-distance-right:0pt;mso-wrap-distance-top:0pt;mso-wrap-style:none;z-index:251659264;mso-width-relative:page;mso-height-relative:page;" filled="f" stroked="f" coordsize="21600,21600" o:gfxdata="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">
              <v:fill on="f" focussize="0,0"/>
              <v:stroke on="f"/>
              <v:imagedata o:title=""/>
              <o:lock v:ext="edit" aspectratio="f"/>
              <v:textbox inset="0mm,0mm,0mm,0mm" style="mso-fit-shape-to-text:t;">
                <w:txbxContent>
                  <w:p>
                    <w:pPr>
                      <w:pStyle w:val="22"/>
                      <w:rPr>
                        <w:rStyle w:val="39"/>
                        <w:sz w:val="21"/>
                      </w:rPr>
                    </w:pPr>
                    <w:r>
                      <w:rPr>
                        <w:sz w:val="21"/>
                      </w:rPr>
                      <w:fldChar w:fldCharType="begin"/>
                    </w:r>
                    <w:r>
                      <w:rPr>
                        <w:rStyle w:val="39"/>
                        <w:sz w:val="21"/>
                      </w:rPr>
                      <w:instrText xml:space="preserve">PAGE  </w:instrText>
                    </w:r>
                    <w:r>
                      <w:rPr>
                        <w:sz w:val="21"/>
                      </w:rPr>
                      <w:fldChar w:fldCharType="separate"/>
                    </w:r>
                    <w:r>
                      <w:rPr>
                        <w:rStyle w:val="39"/>
                        <w:sz w:val="21"/>
                      </w:rPr>
                      <w:t>2</w:t>
                    </w:r>
                    <w:r>
                      <w:rPr>
                        <w:sz w:val="21"/>
                      </w:rPr>
                      <w:fldChar w:fldCharType="end"/>
                    </w:r>
                  </w:p>
                </w:txbxContent>
              </v:textbox>
              <w10:wrap type="square"/>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pPr>
    <w:r>
      <w:drawing>
        <wp:inline distT="0" distB="0" distL="114300" distR="114300">
          <wp:extent cx="2204720" cy="398145"/>
          <wp:effectExtent l="0" t="0" r="5080" b="1905"/>
          <wp:docPr id="8"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1"/>
                  <pic:cNvPicPr>
                    <a:picLocks noChangeAspect="1"/>
                  </pic:cNvPicPr>
                </pic:nvPicPr>
                <pic:blipFill>
                  <a:blip r:embed="rId1"/>
                  <a:srcRect l="7495" t="23669" b="14876"/>
                  <a:stretch>
                    <a:fillRect/>
                  </a:stretch>
                </pic:blipFill>
                <pic:spPr>
                  <a:xfrm>
                    <a:off x="0" y="0"/>
                    <a:ext cx="2204720" cy="398145"/>
                  </a:xfrm>
                  <a:prstGeom prst="rect">
                    <a:avLst/>
                  </a:prstGeom>
                  <a:noFill/>
                  <a:ln>
                    <a:noFill/>
                  </a:ln>
                </pic:spPr>
              </pic:pic>
            </a:graphicData>
          </a:graphic>
        </wp:inline>
      </w:drawing>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napToGrid w:val="0"/>
      <w:jc w:val="center"/>
      <w:rPr>
        <w:rFonts w:ascii="Calibri" w:hAnsi="Calibri"/>
        <w:sz w:val="18"/>
      </w:rPr>
    </w:pPr>
    <w:r>
      <w:rPr>
        <w:rFonts w:ascii="Calibri" w:hAnsi="Calibri"/>
        <w:sz w:val="18"/>
      </w:rPr>
      <w:fldChar w:fldCharType="begin"/>
    </w:r>
    <w:r>
      <w:rPr>
        <w:rFonts w:ascii="Calibri" w:hAnsi="Calibri"/>
        <w:sz w:val="18"/>
      </w:rPr>
      <w:instrText xml:space="preserve"> PAGE   \* MERGEFORMAT </w:instrText>
    </w:r>
    <w:r>
      <w:rPr>
        <w:rFonts w:ascii="Calibri" w:hAnsi="Calibri"/>
        <w:sz w:val="18"/>
      </w:rPr>
      <w:fldChar w:fldCharType="separate"/>
    </w:r>
    <w:r>
      <w:rPr>
        <w:rFonts w:ascii="Calibri" w:hAnsi="Calibri"/>
        <w:sz w:val="18"/>
        <w:lang w:val="zh-CN"/>
      </w:rPr>
      <w:t>67</w:t>
    </w:r>
    <w:r>
      <w:rPr>
        <w:rFonts w:ascii="Calibri" w:hAnsi="Calibri"/>
        <w:sz w:val="18"/>
        <w:lang w:val="zh-CN"/>
      </w:rPr>
      <w:fldChar w:fldCharType="end"/>
    </w:r>
  </w:p>
  <w:p>
    <w:pPr>
      <w:snapToGrid w:val="0"/>
      <w:jc w:val="left"/>
      <w:rPr>
        <w:rFonts w:ascii="Calibri" w:hAnsi="Calibri"/>
        <w:sz w:val="18"/>
      </w:rPr>
    </w:pPr>
    <w:r>
      <w:drawing>
        <wp:inline distT="0" distB="0" distL="114300" distR="114300">
          <wp:extent cx="1784350" cy="322580"/>
          <wp:effectExtent l="0" t="0" r="6350" b="1270"/>
          <wp:docPr id="9"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2"/>
                  <pic:cNvPicPr>
                    <a:picLocks noChangeAspect="1"/>
                  </pic:cNvPicPr>
                </pic:nvPicPr>
                <pic:blipFill>
                  <a:blip r:embed="rId1"/>
                  <a:srcRect l="7495" t="23669" b="14876"/>
                  <a:stretch>
                    <a:fillRect/>
                  </a:stretch>
                </pic:blipFill>
                <pic:spPr>
                  <a:xfrm>
                    <a:off x="0" y="0"/>
                    <a:ext cx="1784350" cy="322580"/>
                  </a:xfrm>
                  <a:prstGeom prst="rect">
                    <a:avLst/>
                  </a:prstGeom>
                  <a:noFill/>
                  <a:ln>
                    <a:noFill/>
                  </a:ln>
                </pic:spPr>
              </pic:pic>
            </a:graphicData>
          </a:graphic>
        </wp:inline>
      </w:drawing>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napToGrid w:val="0"/>
      <w:jc w:val="center"/>
      <w:rPr>
        <w:rFonts w:ascii="Calibri" w:hAnsi="Calibri"/>
        <w:sz w:val="18"/>
        <w:lang w:val="zh-CN"/>
      </w:rPr>
    </w:pPr>
    <w:r>
      <w:rPr>
        <w:rFonts w:ascii="Calibri" w:hAnsi="Calibri"/>
        <w:sz w:val="18"/>
      </w:rPr>
      <w:fldChar w:fldCharType="begin"/>
    </w:r>
    <w:r>
      <w:rPr>
        <w:rFonts w:ascii="Calibri" w:hAnsi="Calibri"/>
        <w:sz w:val="18"/>
      </w:rPr>
      <w:instrText xml:space="preserve"> PAGE   \* MERGEFORMAT </w:instrText>
    </w:r>
    <w:r>
      <w:rPr>
        <w:rFonts w:ascii="Calibri" w:hAnsi="Calibri"/>
        <w:sz w:val="18"/>
      </w:rPr>
      <w:fldChar w:fldCharType="separate"/>
    </w:r>
    <w:r>
      <w:rPr>
        <w:rFonts w:ascii="Calibri" w:hAnsi="Calibri"/>
        <w:sz w:val="18"/>
        <w:lang w:val="zh-CN"/>
      </w:rPr>
      <w:t>67</w:t>
    </w:r>
    <w:r>
      <w:rPr>
        <w:rFonts w:ascii="Calibri" w:hAnsi="Calibri"/>
        <w:sz w:val="18"/>
        <w:lang w:val="zh-CN"/>
      </w:rPr>
      <w:fldChar w:fldCharType="end"/>
    </w:r>
  </w:p>
  <w:p>
    <w:pPr>
      <w:snapToGrid w:val="0"/>
      <w:jc w:val="left"/>
      <w:rPr>
        <w:rFonts w:ascii="Calibri" w:hAnsi="Calibri"/>
        <w:sz w:val="18"/>
        <w:lang w:val="zh-CN"/>
      </w:rPr>
    </w:pPr>
    <w:r>
      <w:drawing>
        <wp:inline distT="0" distB="0" distL="114300" distR="114300">
          <wp:extent cx="1784350" cy="322580"/>
          <wp:effectExtent l="0" t="0" r="6350" b="1270"/>
          <wp:docPr id="10"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3"/>
                  <pic:cNvPicPr>
                    <a:picLocks noChangeAspect="1"/>
                  </pic:cNvPicPr>
                </pic:nvPicPr>
                <pic:blipFill>
                  <a:blip r:embed="rId1"/>
                  <a:srcRect l="7495" t="23669" b="14876"/>
                  <a:stretch>
                    <a:fillRect/>
                  </a:stretch>
                </pic:blipFill>
                <pic:spPr>
                  <a:xfrm>
                    <a:off x="0" y="0"/>
                    <a:ext cx="1784350" cy="322580"/>
                  </a:xfrm>
                  <a:prstGeom prst="rect">
                    <a:avLst/>
                  </a:prstGeom>
                  <a:noFill/>
                  <a:ln>
                    <a:noFill/>
                  </a:ln>
                </pic:spPr>
              </pic:pic>
            </a:graphicData>
          </a:graphic>
        </wp:inline>
      </w:drawing>
    </w:r>
  </w:p>
  <w:p>
    <w:pPr>
      <w:snapToGrid w:val="0"/>
      <w:jc w:val="right"/>
      <w:rPr>
        <w:rFonts w:ascii="Calibri" w:hAnsi="Calibri"/>
        <w:sz w:val="18"/>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napToGrid w:val="0"/>
      <w:jc w:val="center"/>
      <w:rPr>
        <w:rFonts w:ascii="Calibri" w:hAnsi="Calibri"/>
        <w:sz w:val="18"/>
        <w:lang w:val="zh-CN"/>
      </w:rPr>
    </w:pPr>
    <w:r>
      <w:rPr>
        <w:rFonts w:ascii="Calibri" w:hAnsi="Calibri"/>
        <w:sz w:val="18"/>
      </w:rPr>
      <w:fldChar w:fldCharType="begin"/>
    </w:r>
    <w:r>
      <w:rPr>
        <w:rFonts w:ascii="Calibri" w:hAnsi="Calibri"/>
        <w:sz w:val="18"/>
      </w:rPr>
      <w:instrText xml:space="preserve"> PAGE   \* MERGEFORMAT </w:instrText>
    </w:r>
    <w:r>
      <w:rPr>
        <w:rFonts w:ascii="Calibri" w:hAnsi="Calibri"/>
        <w:sz w:val="18"/>
      </w:rPr>
      <w:fldChar w:fldCharType="separate"/>
    </w:r>
    <w:r>
      <w:rPr>
        <w:rFonts w:ascii="Calibri" w:hAnsi="Calibri"/>
        <w:sz w:val="18"/>
        <w:lang w:val="zh-CN"/>
      </w:rPr>
      <w:t>67</w:t>
    </w:r>
    <w:r>
      <w:rPr>
        <w:rFonts w:ascii="Calibri" w:hAnsi="Calibri"/>
        <w:sz w:val="18"/>
        <w:lang w:val="zh-CN"/>
      </w:rPr>
      <w:fldChar w:fldCharType="end"/>
    </w:r>
  </w:p>
  <w:p>
    <w:pPr>
      <w:snapToGrid w:val="0"/>
      <w:jc w:val="left"/>
      <w:rPr>
        <w:rFonts w:ascii="Calibri" w:hAnsi="Calibri"/>
        <w:sz w:val="18"/>
        <w:lang w:val="zh-CN"/>
      </w:rPr>
    </w:pPr>
    <w:r>
      <w:drawing>
        <wp:inline distT="0" distB="0" distL="114300" distR="114300">
          <wp:extent cx="1784350" cy="322580"/>
          <wp:effectExtent l="0" t="0" r="6350" b="1270"/>
          <wp:docPr id="11"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4"/>
                  <pic:cNvPicPr>
                    <a:picLocks noChangeAspect="1"/>
                  </pic:cNvPicPr>
                </pic:nvPicPr>
                <pic:blipFill>
                  <a:blip r:embed="rId1"/>
                  <a:srcRect l="7495" t="23669" b="14876"/>
                  <a:stretch>
                    <a:fillRect/>
                  </a:stretch>
                </pic:blipFill>
                <pic:spPr>
                  <a:xfrm>
                    <a:off x="0" y="0"/>
                    <a:ext cx="1784350" cy="322580"/>
                  </a:xfrm>
                  <a:prstGeom prst="rect">
                    <a:avLst/>
                  </a:prstGeom>
                  <a:noFill/>
                  <a:ln>
                    <a:noFill/>
                  </a:ln>
                </pic:spPr>
              </pic:pic>
            </a:graphicData>
          </a:graphic>
        </wp:inline>
      </w:drawing>
    </w:r>
  </w:p>
  <w:p>
    <w:pPr>
      <w:snapToGrid w:val="0"/>
      <w:jc w:val="right"/>
      <w:rPr>
        <w:rFonts w:ascii="Calibri" w:hAnsi="Calibri"/>
        <w:sz w:val="18"/>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jc w:val="left"/>
      <w:rPr>
        <w:rFonts w:hint="eastAsia"/>
        <w:sz w:val="21"/>
        <w:szCs w:val="21"/>
      </w:rPr>
    </w:pPr>
    <w:r>
      <w:rPr>
        <w:rFonts w:hint="eastAsia" w:ascii="宋体" w:hAnsi="宋体"/>
        <w:sz w:val="21"/>
        <w:szCs w:val="21"/>
      </w:rPr>
      <w:t>迪庆“科技兴安”大数据智能化防控体系建设项目（信息中心机房扩容改造）                              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bottom w:val="single" w:color="auto" w:sz="6" w:space="1"/>
      </w:pBdr>
      <w:snapToGrid w:val="0"/>
      <w:jc w:val="left"/>
      <w:rPr>
        <w:rFonts w:ascii="Calibri" w:hAnsi="Calibri"/>
        <w:sz w:val="18"/>
        <w:szCs w:val="18"/>
      </w:rPr>
    </w:pPr>
    <w:r>
      <w:rPr>
        <w:rFonts w:hint="eastAsia" w:ascii="宋体" w:hAnsi="宋体"/>
        <w:sz w:val="18"/>
        <w:szCs w:val="18"/>
        <w:lang w:eastAsia="zh-CN"/>
      </w:rPr>
      <w:t>2023年曲水县“十三五”期间政府项目（2000万-5000万）审计</w:t>
    </w:r>
    <w:r>
      <w:rPr>
        <w:rFonts w:hint="eastAsia" w:ascii="宋体" w:hAnsi="宋体"/>
        <w:sz w:val="18"/>
        <w:szCs w:val="18"/>
      </w:rPr>
      <w:t xml:space="preserve"> </w:t>
    </w:r>
    <w:r>
      <w:rPr>
        <w:rFonts w:hint="eastAsia" w:ascii="Calibri" w:hAnsi="Calibri"/>
        <w:sz w:val="18"/>
        <w:szCs w:val="18"/>
      </w:rPr>
      <w:t xml:space="preserve">    </w:t>
    </w:r>
    <w:r>
      <w:rPr>
        <w:rFonts w:hint="eastAsia" w:ascii="Calibri" w:hAnsi="Calibri"/>
        <w:sz w:val="18"/>
        <w:szCs w:val="18"/>
        <w:lang w:val="en-US" w:eastAsia="zh-CN"/>
      </w:rPr>
      <w:t xml:space="preserve">                           </w:t>
    </w:r>
    <w:r>
      <w:rPr>
        <w:rFonts w:hint="eastAsia" w:ascii="Calibri" w:hAnsi="Calibri"/>
        <w:sz w:val="18"/>
        <w:szCs w:val="18"/>
      </w:rPr>
      <w:t>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bottom w:val="single" w:color="auto" w:sz="6" w:space="1"/>
      </w:pBdr>
      <w:snapToGrid w:val="0"/>
      <w:jc w:val="left"/>
      <w:rPr>
        <w:rFonts w:ascii="Calibri" w:hAnsi="Calibri"/>
        <w:sz w:val="15"/>
        <w:szCs w:val="15"/>
      </w:rPr>
    </w:pPr>
    <w:r>
      <w:rPr>
        <w:rFonts w:hint="eastAsia" w:ascii="宋体" w:hAnsi="宋体"/>
        <w:sz w:val="15"/>
        <w:szCs w:val="15"/>
        <w:lang w:eastAsia="zh-CN"/>
      </w:rPr>
      <w:t>2023年曲水县“十三五”期间政府项目（2000万-5000万）审计</w:t>
    </w:r>
    <w:r>
      <w:rPr>
        <w:rFonts w:hint="eastAsia" w:ascii="宋体" w:hAnsi="宋体"/>
        <w:sz w:val="15"/>
        <w:szCs w:val="15"/>
      </w:rPr>
      <w:t xml:space="preserve"> </w:t>
    </w:r>
    <w:r>
      <w:rPr>
        <w:rFonts w:hint="eastAsia" w:ascii="Calibri" w:hAnsi="Calibri"/>
        <w:sz w:val="15"/>
        <w:szCs w:val="15"/>
      </w:rPr>
      <w:t xml:space="preserve">                    </w:t>
    </w:r>
    <w:r>
      <w:rPr>
        <w:rFonts w:hint="eastAsia" w:ascii="Calibri" w:hAnsi="Calibri"/>
        <w:sz w:val="15"/>
        <w:szCs w:val="15"/>
        <w:lang w:val="en-US" w:eastAsia="zh-CN"/>
      </w:rPr>
      <w:t xml:space="preserve">                      </w:t>
    </w:r>
    <w:r>
      <w:rPr>
        <w:rFonts w:hint="eastAsia" w:ascii="Calibri" w:hAnsi="Calibri"/>
        <w:sz w:val="15"/>
        <w:szCs w:val="15"/>
      </w:rPr>
      <w:t xml:space="preserve">         招标文件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bottom w:val="single" w:color="auto" w:sz="6" w:space="1"/>
      </w:pBdr>
      <w:snapToGrid w:val="0"/>
      <w:jc w:val="left"/>
      <w:rPr>
        <w:rFonts w:ascii="Calibri" w:hAnsi="Calibri"/>
        <w:sz w:val="15"/>
        <w:szCs w:val="15"/>
      </w:rPr>
    </w:pPr>
    <w:r>
      <w:rPr>
        <w:rFonts w:hint="eastAsia" w:ascii="宋体" w:hAnsi="宋体"/>
        <w:sz w:val="15"/>
        <w:szCs w:val="15"/>
        <w:lang w:eastAsia="zh-CN"/>
      </w:rPr>
      <w:t>2023年曲水县“十三五”期间政府项目（2000万-5000万）审计</w:t>
    </w:r>
    <w:r>
      <w:rPr>
        <w:rFonts w:hint="eastAsia" w:ascii="宋体" w:hAnsi="宋体"/>
        <w:sz w:val="15"/>
        <w:szCs w:val="15"/>
      </w:rPr>
      <w:t xml:space="preserve"> </w:t>
    </w:r>
    <w:r>
      <w:rPr>
        <w:rFonts w:hint="eastAsia" w:ascii="Calibri" w:hAnsi="Calibri"/>
        <w:sz w:val="15"/>
        <w:szCs w:val="15"/>
      </w:rPr>
      <w:t xml:space="preserve">                    </w:t>
    </w:r>
    <w:r>
      <w:rPr>
        <w:rFonts w:hint="eastAsia" w:ascii="Calibri" w:hAnsi="Calibri"/>
        <w:sz w:val="15"/>
        <w:szCs w:val="15"/>
        <w:lang w:val="en-US" w:eastAsia="zh-CN"/>
      </w:rPr>
      <w:t xml:space="preserve">                      </w:t>
    </w:r>
    <w:r>
      <w:rPr>
        <w:rFonts w:hint="eastAsia" w:ascii="Calibri" w:hAnsi="Calibri"/>
        <w:sz w:val="15"/>
        <w:szCs w:val="15"/>
      </w:rPr>
      <w:t xml:space="preserve">         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14D5B86"/>
    <w:multiLevelType w:val="singleLevel"/>
    <w:tmpl w:val="814D5B86"/>
    <w:lvl w:ilvl="0" w:tentative="0">
      <w:start w:val="10"/>
      <w:numFmt w:val="decimal"/>
      <w:suff w:val="space"/>
      <w:lvlText w:val="%1."/>
      <w:lvlJc w:val="left"/>
    </w:lvl>
  </w:abstractNum>
  <w:abstractNum w:abstractNumId="1">
    <w:nsid w:val="9CA112EF"/>
    <w:multiLevelType w:val="singleLevel"/>
    <w:tmpl w:val="9CA112EF"/>
    <w:lvl w:ilvl="0" w:tentative="0">
      <w:start w:val="1"/>
      <w:numFmt w:val="decimal"/>
      <w:suff w:val="space"/>
      <w:lvlText w:val="%1."/>
      <w:lvlJc w:val="left"/>
    </w:lvl>
  </w:abstractNum>
  <w:abstractNum w:abstractNumId="2">
    <w:nsid w:val="0315620E"/>
    <w:multiLevelType w:val="multilevel"/>
    <w:tmpl w:val="0315620E"/>
    <w:lvl w:ilvl="0" w:tentative="0">
      <w:start w:val="1"/>
      <w:numFmt w:val="decimal"/>
      <w:pStyle w:val="3"/>
      <w:lvlText w:val="%1"/>
      <w:lvlJc w:val="left"/>
      <w:pPr>
        <w:tabs>
          <w:tab w:val="left" w:pos="360"/>
        </w:tabs>
        <w:ind w:left="284" w:hanging="284"/>
      </w:pPr>
      <w:rPr>
        <w:rFonts w:hint="default" w:ascii="Times New Roman" w:hAnsi="Times New Roman"/>
        <w:b/>
        <w:i w:val="0"/>
        <w:sz w:val="28"/>
      </w:rPr>
    </w:lvl>
    <w:lvl w:ilvl="1" w:tentative="0">
      <w:start w:val="1"/>
      <w:numFmt w:val="decimal"/>
      <w:pStyle w:val="4"/>
      <w:lvlText w:val="%1.%2"/>
      <w:lvlJc w:val="left"/>
      <w:pPr>
        <w:tabs>
          <w:tab w:val="left" w:pos="1021"/>
        </w:tabs>
        <w:ind w:left="1021" w:hanging="596"/>
      </w:pPr>
      <w:rPr>
        <w:rFonts w:hint="default" w:ascii="Times New Roman" w:hAnsi="Times New Roman"/>
        <w:b/>
        <w:i w:val="0"/>
        <w:sz w:val="28"/>
      </w:rPr>
    </w:lvl>
    <w:lvl w:ilvl="2" w:tentative="0">
      <w:start w:val="1"/>
      <w:numFmt w:val="decimal"/>
      <w:pStyle w:val="5"/>
      <w:lvlText w:val="%1.%2.%3"/>
      <w:lvlJc w:val="left"/>
      <w:pPr>
        <w:tabs>
          <w:tab w:val="left" w:pos="1588"/>
        </w:tabs>
        <w:ind w:left="1588" w:hanging="737"/>
      </w:pPr>
      <w:rPr>
        <w:rFonts w:hint="default" w:ascii="Times New Roman" w:hAnsi="Times New Roman"/>
        <w:b/>
        <w:i w:val="0"/>
        <w:sz w:val="24"/>
      </w:rPr>
    </w:lvl>
    <w:lvl w:ilvl="3" w:tentative="0">
      <w:start w:val="1"/>
      <w:numFmt w:val="decimal"/>
      <w:pStyle w:val="6"/>
      <w:lvlText w:val="%1.%2.%3.%4"/>
      <w:lvlJc w:val="left"/>
      <w:pPr>
        <w:tabs>
          <w:tab w:val="left" w:pos="2155"/>
        </w:tabs>
        <w:ind w:left="2155" w:hanging="1078"/>
      </w:pPr>
      <w:rPr>
        <w:rFonts w:hint="default" w:ascii="Arial" w:hAnsi="Arial"/>
        <w:b w:val="0"/>
        <w:i w:val="0"/>
        <w:sz w:val="24"/>
      </w:rPr>
    </w:lvl>
    <w:lvl w:ilvl="4" w:tentative="0">
      <w:start w:val="1"/>
      <w:numFmt w:val="decimal"/>
      <w:lvlText w:val="%1.%2.%3.%4.%5"/>
      <w:lvlJc w:val="left"/>
      <w:pPr>
        <w:tabs>
          <w:tab w:val="left" w:pos="3141"/>
        </w:tabs>
        <w:ind w:left="2551" w:hanging="850"/>
      </w:pPr>
      <w:rPr>
        <w:rFonts w:hint="eastAsia"/>
      </w:rPr>
    </w:lvl>
    <w:lvl w:ilvl="5" w:tentative="0">
      <w:start w:val="1"/>
      <w:numFmt w:val="decimal"/>
      <w:lvlText w:val="%1.%2.%3.%4.%5.%6"/>
      <w:lvlJc w:val="left"/>
      <w:pPr>
        <w:tabs>
          <w:tab w:val="left" w:pos="3566"/>
        </w:tabs>
        <w:ind w:left="3260" w:hanging="1134"/>
      </w:pPr>
      <w:rPr>
        <w:rFonts w:hint="eastAsia"/>
      </w:rPr>
    </w:lvl>
    <w:lvl w:ilvl="6" w:tentative="0">
      <w:start w:val="1"/>
      <w:numFmt w:val="decimal"/>
      <w:lvlText w:val="%1.%2.%3.%4.%5.%6.%7"/>
      <w:lvlJc w:val="left"/>
      <w:pPr>
        <w:tabs>
          <w:tab w:val="left" w:pos="4351"/>
        </w:tabs>
        <w:ind w:left="3827" w:hanging="1276"/>
      </w:pPr>
      <w:rPr>
        <w:rFonts w:hint="eastAsia"/>
      </w:rPr>
    </w:lvl>
    <w:lvl w:ilvl="7" w:tentative="0">
      <w:start w:val="1"/>
      <w:numFmt w:val="decimal"/>
      <w:lvlText w:val="%1.%2.%3.%4.%5.%6.%7.%8"/>
      <w:lvlJc w:val="left"/>
      <w:pPr>
        <w:tabs>
          <w:tab w:val="left" w:pos="5136"/>
        </w:tabs>
        <w:ind w:left="4394" w:hanging="1418"/>
      </w:pPr>
      <w:rPr>
        <w:rFonts w:hint="eastAsia"/>
      </w:rPr>
    </w:lvl>
    <w:lvl w:ilvl="8" w:tentative="0">
      <w:start w:val="1"/>
      <w:numFmt w:val="decimal"/>
      <w:lvlText w:val="%1.%2.%3.%4.%5.%6.%7.%8.%9"/>
      <w:lvlJc w:val="left"/>
      <w:pPr>
        <w:tabs>
          <w:tab w:val="left" w:pos="5562"/>
        </w:tabs>
        <w:ind w:left="5102" w:hanging="1700"/>
      </w:pPr>
      <w:rPr>
        <w:rFonts w:hint="eastAsia"/>
      </w:rPr>
    </w:lvl>
  </w:abstractNum>
  <w:abstractNum w:abstractNumId="3">
    <w:nsid w:val="5A27FC55"/>
    <w:multiLevelType w:val="singleLevel"/>
    <w:tmpl w:val="5A27FC55"/>
    <w:lvl w:ilvl="0" w:tentative="0">
      <w:start w:val="1"/>
      <w:numFmt w:val="decimal"/>
      <w:suff w:val="nothing"/>
      <w:lvlText w:val="%1、"/>
      <w:lvlJc w:val="left"/>
    </w:lvl>
  </w:abstractNum>
  <w:abstractNum w:abstractNumId="4">
    <w:nsid w:val="5A37A3A9"/>
    <w:multiLevelType w:val="singleLevel"/>
    <w:tmpl w:val="5A37A3A9"/>
    <w:lvl w:ilvl="0" w:tentative="0">
      <w:start w:val="1"/>
      <w:numFmt w:val="decimal"/>
      <w:suff w:val="nothing"/>
      <w:lvlText w:val="%1、"/>
      <w:lvlJc w:val="left"/>
    </w:lvl>
  </w:abstractNum>
  <w:abstractNum w:abstractNumId="5">
    <w:nsid w:val="5DA6945B"/>
    <w:multiLevelType w:val="singleLevel"/>
    <w:tmpl w:val="5DA6945B"/>
    <w:lvl w:ilvl="0" w:tentative="0">
      <w:start w:val="11"/>
      <w:numFmt w:val="chineseCounting"/>
      <w:suff w:val="space"/>
      <w:lvlText w:val="(%1)"/>
      <w:lvlJc w:val="left"/>
    </w:lvl>
  </w:abstractNum>
  <w:abstractNum w:abstractNumId="6">
    <w:nsid w:val="5F0D2B20"/>
    <w:multiLevelType w:val="singleLevel"/>
    <w:tmpl w:val="5F0D2B20"/>
    <w:lvl w:ilvl="0" w:tentative="0">
      <w:start w:val="2"/>
      <w:numFmt w:val="decimal"/>
      <w:suff w:val="nothing"/>
      <w:lvlText w:val="%1."/>
      <w:lvlJc w:val="left"/>
    </w:lvl>
  </w:abstractNum>
  <w:abstractNum w:abstractNumId="7">
    <w:nsid w:val="60BD7D34"/>
    <w:multiLevelType w:val="singleLevel"/>
    <w:tmpl w:val="60BD7D34"/>
    <w:lvl w:ilvl="0" w:tentative="0">
      <w:start w:val="4"/>
      <w:numFmt w:val="chineseCounting"/>
      <w:suff w:val="space"/>
      <w:lvlText w:val="(%1)"/>
      <w:lvlJc w:val="left"/>
    </w:lvl>
  </w:abstractNum>
  <w:abstractNum w:abstractNumId="8">
    <w:nsid w:val="6323771B"/>
    <w:multiLevelType w:val="multilevel"/>
    <w:tmpl w:val="6323771B"/>
    <w:lvl w:ilvl="0" w:tentative="0">
      <w:start w:val="1"/>
      <w:numFmt w:val="decimal"/>
      <w:lvlText w:val="第%1章"/>
      <w:lvlJc w:val="left"/>
      <w:pPr>
        <w:ind w:left="425" w:hanging="425"/>
      </w:pPr>
      <w:rPr>
        <w:rFonts w:hint="eastAsia"/>
        <w:lang w:val="en-US"/>
      </w:rPr>
    </w:lvl>
    <w:lvl w:ilvl="1" w:tentative="0">
      <w:start w:val="1"/>
      <w:numFmt w:val="decimal"/>
      <w:pStyle w:val="78"/>
      <w:lvlText w:val="%1.%2"/>
      <w:lvlJc w:val="left"/>
      <w:pPr>
        <w:ind w:left="4112" w:hanging="425"/>
      </w:pPr>
      <w:rPr>
        <w:rFonts w:hint="eastAsia"/>
        <w:sz w:val="36"/>
        <w:szCs w:val="36"/>
      </w:rPr>
    </w:lvl>
    <w:lvl w:ilvl="2" w:tentative="0">
      <w:start w:val="1"/>
      <w:numFmt w:val="decimal"/>
      <w:lvlText w:val="%1.%2.%3"/>
      <w:lvlJc w:val="left"/>
      <w:pPr>
        <w:ind w:left="425" w:hanging="425"/>
      </w:pPr>
      <w:rPr>
        <w:rFonts w:hint="eastAsia"/>
        <w:b/>
        <w:sz w:val="28"/>
        <w:szCs w:val="32"/>
      </w:rPr>
    </w:lvl>
    <w:lvl w:ilvl="3" w:tentative="0">
      <w:start w:val="1"/>
      <w:numFmt w:val="decimal"/>
      <w:pStyle w:val="72"/>
      <w:lvlText w:val="%1.%2.%3.%4"/>
      <w:lvlJc w:val="left"/>
      <w:pPr>
        <w:ind w:left="993" w:hanging="425"/>
      </w:pPr>
      <w:rPr>
        <w:rFonts w:hint="eastAsia"/>
        <w:b/>
        <w:bCs w:val="0"/>
        <w:sz w:val="28"/>
        <w:szCs w:val="30"/>
        <w:lang w:val="en-US"/>
      </w:rPr>
    </w:lvl>
    <w:lvl w:ilvl="4" w:tentative="0">
      <w:start w:val="1"/>
      <w:numFmt w:val="decimal"/>
      <w:pStyle w:val="86"/>
      <w:lvlText w:val="%1.%2.%3.%4.%5"/>
      <w:lvlJc w:val="left"/>
      <w:pPr>
        <w:ind w:left="851" w:hanging="425"/>
      </w:pPr>
      <w:rPr>
        <w:rFonts w:hint="default" w:ascii="宋体" w:hAnsi="黑体" w:eastAsia="宋体" w:cs="Times New Roman"/>
        <w:b/>
        <w:bCs w:val="0"/>
        <w:i w:val="0"/>
        <w:iCs w:val="0"/>
        <w:caps w:val="0"/>
        <w:smallCaps w:val="0"/>
        <w:strike w:val="0"/>
        <w:dstrike w:val="0"/>
        <w:vanish w:val="0"/>
        <w:color w:val="000000"/>
        <w:spacing w:val="0"/>
        <w:kern w:val="0"/>
        <w:position w:val="0"/>
        <w:sz w:val="24"/>
        <w:szCs w:val="28"/>
        <w:u w:val="none"/>
        <w:vertAlign w:val="baseline"/>
      </w:rPr>
    </w:lvl>
    <w:lvl w:ilvl="5" w:tentative="0">
      <w:start w:val="1"/>
      <w:numFmt w:val="decimal"/>
      <w:lvlText w:val="%1.%2.%3.%4.%5.%6"/>
      <w:lvlJc w:val="left"/>
      <w:pPr>
        <w:ind w:left="425" w:hanging="425"/>
      </w:pPr>
      <w:rPr>
        <w:rFonts w:hint="eastAsia" w:ascii="黑体" w:hAnsi="黑体" w:eastAsia="黑体"/>
      </w:rPr>
    </w:lvl>
    <w:lvl w:ilvl="6" w:tentative="0">
      <w:start w:val="1"/>
      <w:numFmt w:val="decimal"/>
      <w:lvlText w:val="%1.%2.%3.%4.%5.%6.%7"/>
      <w:lvlJc w:val="left"/>
      <w:pPr>
        <w:ind w:left="425" w:hanging="425"/>
      </w:pPr>
      <w:rPr>
        <w:rFonts w:hint="eastAsia"/>
      </w:rPr>
    </w:lvl>
    <w:lvl w:ilvl="7" w:tentative="0">
      <w:start w:val="1"/>
      <w:numFmt w:val="decimal"/>
      <w:lvlText w:val="%1.%2.%3.%4.%5.%6.%7.%8"/>
      <w:lvlJc w:val="left"/>
      <w:pPr>
        <w:ind w:left="425" w:hanging="425"/>
      </w:pPr>
      <w:rPr>
        <w:rFonts w:hint="eastAsia"/>
      </w:rPr>
    </w:lvl>
    <w:lvl w:ilvl="8" w:tentative="0">
      <w:start w:val="1"/>
      <w:numFmt w:val="decimal"/>
      <w:lvlText w:val="%1.%2.%3.%4.%5.%6.%7.%8.%9"/>
      <w:lvlJc w:val="left"/>
      <w:pPr>
        <w:ind w:left="425" w:hanging="425"/>
      </w:pPr>
      <w:rPr>
        <w:rFonts w:hint="eastAsia"/>
      </w:rPr>
    </w:lvl>
  </w:abstractNum>
  <w:num w:numId="1">
    <w:abstractNumId w:val="2"/>
  </w:num>
  <w:num w:numId="2">
    <w:abstractNumId w:val="8"/>
  </w:num>
  <w:num w:numId="3">
    <w:abstractNumId w:val="0"/>
  </w:num>
  <w:num w:numId="4">
    <w:abstractNumId w:val="3"/>
  </w:num>
  <w:num w:numId="5">
    <w:abstractNumId w:val="5"/>
  </w:num>
  <w:num w:numId="6">
    <w:abstractNumId w:val="6"/>
  </w:num>
  <w:num w:numId="7">
    <w:abstractNumId w:val="7"/>
  </w:num>
  <w:num w:numId="8">
    <w:abstractNumId w:val="1"/>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6"/>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ˇˉ―‖’”…∶、。〃々〉》」』】〕〗！＂＇），．：；？］｀｜｝～￠"/>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jI5MWU0YTBkODUxODJjODJiZmVjMjRlNjJjY2YwNjYifQ=="/>
  </w:docVars>
  <w:rsids>
    <w:rsidRoot w:val="00172A27"/>
    <w:rsid w:val="00001446"/>
    <w:rsid w:val="0000496D"/>
    <w:rsid w:val="000079FD"/>
    <w:rsid w:val="00007B20"/>
    <w:rsid w:val="00011302"/>
    <w:rsid w:val="0001197D"/>
    <w:rsid w:val="00011D87"/>
    <w:rsid w:val="00011EAE"/>
    <w:rsid w:val="00012641"/>
    <w:rsid w:val="000126E2"/>
    <w:rsid w:val="0001294D"/>
    <w:rsid w:val="00014CD8"/>
    <w:rsid w:val="00015D2F"/>
    <w:rsid w:val="00016031"/>
    <w:rsid w:val="00016257"/>
    <w:rsid w:val="00017117"/>
    <w:rsid w:val="000209BE"/>
    <w:rsid w:val="00020E3E"/>
    <w:rsid w:val="000223B7"/>
    <w:rsid w:val="00022619"/>
    <w:rsid w:val="00022B2B"/>
    <w:rsid w:val="000230BB"/>
    <w:rsid w:val="0002310E"/>
    <w:rsid w:val="0002378D"/>
    <w:rsid w:val="000246B1"/>
    <w:rsid w:val="00024C98"/>
    <w:rsid w:val="00026185"/>
    <w:rsid w:val="00026EFC"/>
    <w:rsid w:val="00027BB9"/>
    <w:rsid w:val="000302BB"/>
    <w:rsid w:val="00033460"/>
    <w:rsid w:val="000336DE"/>
    <w:rsid w:val="000337E5"/>
    <w:rsid w:val="00033AA0"/>
    <w:rsid w:val="00034CC1"/>
    <w:rsid w:val="00034D47"/>
    <w:rsid w:val="000358B3"/>
    <w:rsid w:val="00037EA8"/>
    <w:rsid w:val="00040A17"/>
    <w:rsid w:val="00042C93"/>
    <w:rsid w:val="00043217"/>
    <w:rsid w:val="00043483"/>
    <w:rsid w:val="0004376D"/>
    <w:rsid w:val="00044925"/>
    <w:rsid w:val="000458C6"/>
    <w:rsid w:val="00046678"/>
    <w:rsid w:val="00047A5D"/>
    <w:rsid w:val="00050786"/>
    <w:rsid w:val="00051987"/>
    <w:rsid w:val="0005200D"/>
    <w:rsid w:val="00052908"/>
    <w:rsid w:val="000535CA"/>
    <w:rsid w:val="00054243"/>
    <w:rsid w:val="0005486C"/>
    <w:rsid w:val="0005507C"/>
    <w:rsid w:val="00055435"/>
    <w:rsid w:val="0005640D"/>
    <w:rsid w:val="00056F10"/>
    <w:rsid w:val="00057CFB"/>
    <w:rsid w:val="00057D9F"/>
    <w:rsid w:val="000612E4"/>
    <w:rsid w:val="00062628"/>
    <w:rsid w:val="00065E27"/>
    <w:rsid w:val="00066854"/>
    <w:rsid w:val="00067256"/>
    <w:rsid w:val="0007007A"/>
    <w:rsid w:val="00071CA6"/>
    <w:rsid w:val="000729AE"/>
    <w:rsid w:val="000743F1"/>
    <w:rsid w:val="0007493C"/>
    <w:rsid w:val="00074FC7"/>
    <w:rsid w:val="00076F83"/>
    <w:rsid w:val="0007779E"/>
    <w:rsid w:val="00077ADD"/>
    <w:rsid w:val="00080516"/>
    <w:rsid w:val="000810B0"/>
    <w:rsid w:val="000829E6"/>
    <w:rsid w:val="000843A1"/>
    <w:rsid w:val="000849A9"/>
    <w:rsid w:val="00084A70"/>
    <w:rsid w:val="00085215"/>
    <w:rsid w:val="000853C9"/>
    <w:rsid w:val="00085EC0"/>
    <w:rsid w:val="00086310"/>
    <w:rsid w:val="0008714E"/>
    <w:rsid w:val="00087383"/>
    <w:rsid w:val="000916D4"/>
    <w:rsid w:val="00091A75"/>
    <w:rsid w:val="00091C4D"/>
    <w:rsid w:val="00092D42"/>
    <w:rsid w:val="00092DA2"/>
    <w:rsid w:val="00095144"/>
    <w:rsid w:val="00095617"/>
    <w:rsid w:val="00096C7D"/>
    <w:rsid w:val="00097074"/>
    <w:rsid w:val="000A0003"/>
    <w:rsid w:val="000A0317"/>
    <w:rsid w:val="000A0784"/>
    <w:rsid w:val="000A0B5B"/>
    <w:rsid w:val="000A227E"/>
    <w:rsid w:val="000A3528"/>
    <w:rsid w:val="000A3742"/>
    <w:rsid w:val="000A4DD1"/>
    <w:rsid w:val="000A59D0"/>
    <w:rsid w:val="000A5E6E"/>
    <w:rsid w:val="000A6686"/>
    <w:rsid w:val="000B0501"/>
    <w:rsid w:val="000B05D4"/>
    <w:rsid w:val="000B0CA7"/>
    <w:rsid w:val="000B0ED3"/>
    <w:rsid w:val="000B1789"/>
    <w:rsid w:val="000B3069"/>
    <w:rsid w:val="000B3993"/>
    <w:rsid w:val="000C161D"/>
    <w:rsid w:val="000C1939"/>
    <w:rsid w:val="000C1A22"/>
    <w:rsid w:val="000C20E8"/>
    <w:rsid w:val="000C3919"/>
    <w:rsid w:val="000C3BBF"/>
    <w:rsid w:val="000C4415"/>
    <w:rsid w:val="000C44A1"/>
    <w:rsid w:val="000C51BC"/>
    <w:rsid w:val="000C5969"/>
    <w:rsid w:val="000C5A62"/>
    <w:rsid w:val="000C64A8"/>
    <w:rsid w:val="000C708A"/>
    <w:rsid w:val="000C74C9"/>
    <w:rsid w:val="000D192A"/>
    <w:rsid w:val="000D26E7"/>
    <w:rsid w:val="000D337B"/>
    <w:rsid w:val="000D426D"/>
    <w:rsid w:val="000D43FD"/>
    <w:rsid w:val="000D5B73"/>
    <w:rsid w:val="000D5E09"/>
    <w:rsid w:val="000D6B16"/>
    <w:rsid w:val="000D79ED"/>
    <w:rsid w:val="000E0C51"/>
    <w:rsid w:val="000E340B"/>
    <w:rsid w:val="000E3D15"/>
    <w:rsid w:val="000E5143"/>
    <w:rsid w:val="000E5530"/>
    <w:rsid w:val="000E64BF"/>
    <w:rsid w:val="000E65B8"/>
    <w:rsid w:val="000E78D0"/>
    <w:rsid w:val="000F0C2E"/>
    <w:rsid w:val="000F150F"/>
    <w:rsid w:val="000F23ED"/>
    <w:rsid w:val="000F3A0F"/>
    <w:rsid w:val="000F3BC7"/>
    <w:rsid w:val="000F3F46"/>
    <w:rsid w:val="000F52A2"/>
    <w:rsid w:val="000F547C"/>
    <w:rsid w:val="000F5867"/>
    <w:rsid w:val="000F6A09"/>
    <w:rsid w:val="000F7E46"/>
    <w:rsid w:val="00101652"/>
    <w:rsid w:val="00101C03"/>
    <w:rsid w:val="00101D65"/>
    <w:rsid w:val="00103F43"/>
    <w:rsid w:val="00105395"/>
    <w:rsid w:val="00105F34"/>
    <w:rsid w:val="001067D5"/>
    <w:rsid w:val="00107558"/>
    <w:rsid w:val="00110158"/>
    <w:rsid w:val="001105E0"/>
    <w:rsid w:val="001107F8"/>
    <w:rsid w:val="0011172D"/>
    <w:rsid w:val="00113888"/>
    <w:rsid w:val="001160C1"/>
    <w:rsid w:val="0011660B"/>
    <w:rsid w:val="00117A18"/>
    <w:rsid w:val="00121A20"/>
    <w:rsid w:val="00121FC3"/>
    <w:rsid w:val="001231F7"/>
    <w:rsid w:val="001246FF"/>
    <w:rsid w:val="00124DBA"/>
    <w:rsid w:val="0012606E"/>
    <w:rsid w:val="001261E8"/>
    <w:rsid w:val="00126405"/>
    <w:rsid w:val="00126520"/>
    <w:rsid w:val="00126E39"/>
    <w:rsid w:val="00130AC9"/>
    <w:rsid w:val="00130EE0"/>
    <w:rsid w:val="00131181"/>
    <w:rsid w:val="0013202C"/>
    <w:rsid w:val="0013599E"/>
    <w:rsid w:val="00137ADA"/>
    <w:rsid w:val="00140851"/>
    <w:rsid w:val="0014147C"/>
    <w:rsid w:val="00141A2E"/>
    <w:rsid w:val="00141CE8"/>
    <w:rsid w:val="00142CFE"/>
    <w:rsid w:val="00143B6E"/>
    <w:rsid w:val="00145A44"/>
    <w:rsid w:val="00146080"/>
    <w:rsid w:val="00147440"/>
    <w:rsid w:val="00147658"/>
    <w:rsid w:val="00150D99"/>
    <w:rsid w:val="0015128E"/>
    <w:rsid w:val="00153336"/>
    <w:rsid w:val="00153366"/>
    <w:rsid w:val="00156D1D"/>
    <w:rsid w:val="00157A81"/>
    <w:rsid w:val="00162EC2"/>
    <w:rsid w:val="00163263"/>
    <w:rsid w:val="001640F6"/>
    <w:rsid w:val="00165C13"/>
    <w:rsid w:val="001664C4"/>
    <w:rsid w:val="00170E3F"/>
    <w:rsid w:val="0017375C"/>
    <w:rsid w:val="00173A5D"/>
    <w:rsid w:val="00173CF6"/>
    <w:rsid w:val="001750BB"/>
    <w:rsid w:val="001750C3"/>
    <w:rsid w:val="001776FC"/>
    <w:rsid w:val="001803EF"/>
    <w:rsid w:val="001809F6"/>
    <w:rsid w:val="00181143"/>
    <w:rsid w:val="0018303B"/>
    <w:rsid w:val="00183B70"/>
    <w:rsid w:val="001840A2"/>
    <w:rsid w:val="001845F5"/>
    <w:rsid w:val="001847DE"/>
    <w:rsid w:val="001848F9"/>
    <w:rsid w:val="00186C38"/>
    <w:rsid w:val="001876E8"/>
    <w:rsid w:val="00190E43"/>
    <w:rsid w:val="00191AA6"/>
    <w:rsid w:val="00191C6A"/>
    <w:rsid w:val="0019249A"/>
    <w:rsid w:val="00192690"/>
    <w:rsid w:val="00192A8C"/>
    <w:rsid w:val="001933DA"/>
    <w:rsid w:val="0019410F"/>
    <w:rsid w:val="00194613"/>
    <w:rsid w:val="0019507D"/>
    <w:rsid w:val="001950CF"/>
    <w:rsid w:val="00195557"/>
    <w:rsid w:val="00196105"/>
    <w:rsid w:val="001A00F0"/>
    <w:rsid w:val="001A1CAC"/>
    <w:rsid w:val="001A1F37"/>
    <w:rsid w:val="001A3512"/>
    <w:rsid w:val="001A3B0A"/>
    <w:rsid w:val="001A4262"/>
    <w:rsid w:val="001A42D3"/>
    <w:rsid w:val="001A5369"/>
    <w:rsid w:val="001A62E2"/>
    <w:rsid w:val="001A7CA3"/>
    <w:rsid w:val="001B0D5C"/>
    <w:rsid w:val="001B111C"/>
    <w:rsid w:val="001B1D60"/>
    <w:rsid w:val="001B2442"/>
    <w:rsid w:val="001B5E3F"/>
    <w:rsid w:val="001B669C"/>
    <w:rsid w:val="001B67E5"/>
    <w:rsid w:val="001B6B77"/>
    <w:rsid w:val="001B6C14"/>
    <w:rsid w:val="001B740E"/>
    <w:rsid w:val="001C29C4"/>
    <w:rsid w:val="001C3049"/>
    <w:rsid w:val="001C30E2"/>
    <w:rsid w:val="001C3E26"/>
    <w:rsid w:val="001C4596"/>
    <w:rsid w:val="001C5BE6"/>
    <w:rsid w:val="001D0303"/>
    <w:rsid w:val="001D0F7A"/>
    <w:rsid w:val="001D141C"/>
    <w:rsid w:val="001D1DEE"/>
    <w:rsid w:val="001D2320"/>
    <w:rsid w:val="001D3B8F"/>
    <w:rsid w:val="001D3EBF"/>
    <w:rsid w:val="001D41A8"/>
    <w:rsid w:val="001D4448"/>
    <w:rsid w:val="001D4623"/>
    <w:rsid w:val="001D46E2"/>
    <w:rsid w:val="001D4CF9"/>
    <w:rsid w:val="001D50AE"/>
    <w:rsid w:val="001D622C"/>
    <w:rsid w:val="001E036C"/>
    <w:rsid w:val="001E0788"/>
    <w:rsid w:val="001E0DC1"/>
    <w:rsid w:val="001E0DDB"/>
    <w:rsid w:val="001E0E28"/>
    <w:rsid w:val="001E0F7C"/>
    <w:rsid w:val="001E213A"/>
    <w:rsid w:val="001E2F5A"/>
    <w:rsid w:val="001E3A06"/>
    <w:rsid w:val="001E4875"/>
    <w:rsid w:val="001E63BE"/>
    <w:rsid w:val="001E64E2"/>
    <w:rsid w:val="001E6692"/>
    <w:rsid w:val="001E6A87"/>
    <w:rsid w:val="001F175B"/>
    <w:rsid w:val="001F387B"/>
    <w:rsid w:val="001F507D"/>
    <w:rsid w:val="001F7686"/>
    <w:rsid w:val="001F76A7"/>
    <w:rsid w:val="002004CE"/>
    <w:rsid w:val="0020105C"/>
    <w:rsid w:val="00201342"/>
    <w:rsid w:val="002026AD"/>
    <w:rsid w:val="0020514A"/>
    <w:rsid w:val="00205174"/>
    <w:rsid w:val="00205D40"/>
    <w:rsid w:val="002062C4"/>
    <w:rsid w:val="002077E2"/>
    <w:rsid w:val="00207B52"/>
    <w:rsid w:val="002112EF"/>
    <w:rsid w:val="00211932"/>
    <w:rsid w:val="00211E1F"/>
    <w:rsid w:val="002142AC"/>
    <w:rsid w:val="002146A1"/>
    <w:rsid w:val="002161B3"/>
    <w:rsid w:val="00216463"/>
    <w:rsid w:val="0021661A"/>
    <w:rsid w:val="00217362"/>
    <w:rsid w:val="00217BD3"/>
    <w:rsid w:val="00220BD7"/>
    <w:rsid w:val="00221ECB"/>
    <w:rsid w:val="00222347"/>
    <w:rsid w:val="0022312C"/>
    <w:rsid w:val="00224133"/>
    <w:rsid w:val="002250CC"/>
    <w:rsid w:val="002255D9"/>
    <w:rsid w:val="00226161"/>
    <w:rsid w:val="00226386"/>
    <w:rsid w:val="002273D0"/>
    <w:rsid w:val="00227870"/>
    <w:rsid w:val="00227CE9"/>
    <w:rsid w:val="0023054D"/>
    <w:rsid w:val="00230BA4"/>
    <w:rsid w:val="00230E81"/>
    <w:rsid w:val="00232159"/>
    <w:rsid w:val="00233265"/>
    <w:rsid w:val="00233A18"/>
    <w:rsid w:val="002348E8"/>
    <w:rsid w:val="002377DF"/>
    <w:rsid w:val="002400F7"/>
    <w:rsid w:val="002409ED"/>
    <w:rsid w:val="00241F2C"/>
    <w:rsid w:val="0024419B"/>
    <w:rsid w:val="0024543C"/>
    <w:rsid w:val="00245544"/>
    <w:rsid w:val="00246307"/>
    <w:rsid w:val="00246A3F"/>
    <w:rsid w:val="00246E29"/>
    <w:rsid w:val="00250746"/>
    <w:rsid w:val="00250D1B"/>
    <w:rsid w:val="00250E06"/>
    <w:rsid w:val="0025139A"/>
    <w:rsid w:val="00251648"/>
    <w:rsid w:val="00254E78"/>
    <w:rsid w:val="0025547B"/>
    <w:rsid w:val="00255502"/>
    <w:rsid w:val="00255863"/>
    <w:rsid w:val="00255D83"/>
    <w:rsid w:val="00257087"/>
    <w:rsid w:val="002570DA"/>
    <w:rsid w:val="00260A61"/>
    <w:rsid w:val="00260C57"/>
    <w:rsid w:val="0026159E"/>
    <w:rsid w:val="00262279"/>
    <w:rsid w:val="0026399D"/>
    <w:rsid w:val="00264241"/>
    <w:rsid w:val="00264DCF"/>
    <w:rsid w:val="00265DDF"/>
    <w:rsid w:val="0026608E"/>
    <w:rsid w:val="00266B09"/>
    <w:rsid w:val="00267921"/>
    <w:rsid w:val="00271374"/>
    <w:rsid w:val="00271536"/>
    <w:rsid w:val="00273914"/>
    <w:rsid w:val="00273D09"/>
    <w:rsid w:val="00275831"/>
    <w:rsid w:val="00277417"/>
    <w:rsid w:val="00277518"/>
    <w:rsid w:val="002821F7"/>
    <w:rsid w:val="0028434F"/>
    <w:rsid w:val="00284A52"/>
    <w:rsid w:val="00284B1A"/>
    <w:rsid w:val="00284F8D"/>
    <w:rsid w:val="00285991"/>
    <w:rsid w:val="00285EED"/>
    <w:rsid w:val="00286107"/>
    <w:rsid w:val="00286762"/>
    <w:rsid w:val="00286A92"/>
    <w:rsid w:val="00286C78"/>
    <w:rsid w:val="00286D32"/>
    <w:rsid w:val="00286DD9"/>
    <w:rsid w:val="00287250"/>
    <w:rsid w:val="002874CA"/>
    <w:rsid w:val="00290F0D"/>
    <w:rsid w:val="00291439"/>
    <w:rsid w:val="00292A6E"/>
    <w:rsid w:val="00292C4D"/>
    <w:rsid w:val="002941F0"/>
    <w:rsid w:val="00295A0A"/>
    <w:rsid w:val="002961FA"/>
    <w:rsid w:val="00296A5A"/>
    <w:rsid w:val="0029793A"/>
    <w:rsid w:val="002A165E"/>
    <w:rsid w:val="002A2489"/>
    <w:rsid w:val="002A24FD"/>
    <w:rsid w:val="002A3F51"/>
    <w:rsid w:val="002A5737"/>
    <w:rsid w:val="002A660F"/>
    <w:rsid w:val="002A6B0D"/>
    <w:rsid w:val="002A7703"/>
    <w:rsid w:val="002A796E"/>
    <w:rsid w:val="002B0D5A"/>
    <w:rsid w:val="002B4108"/>
    <w:rsid w:val="002B46E0"/>
    <w:rsid w:val="002B48CE"/>
    <w:rsid w:val="002B509A"/>
    <w:rsid w:val="002B5992"/>
    <w:rsid w:val="002B5CCA"/>
    <w:rsid w:val="002B6CD0"/>
    <w:rsid w:val="002B79E4"/>
    <w:rsid w:val="002B7E1C"/>
    <w:rsid w:val="002C0974"/>
    <w:rsid w:val="002C0BBB"/>
    <w:rsid w:val="002C28AC"/>
    <w:rsid w:val="002C2C0D"/>
    <w:rsid w:val="002C2EDF"/>
    <w:rsid w:val="002C311B"/>
    <w:rsid w:val="002C4D49"/>
    <w:rsid w:val="002C55A3"/>
    <w:rsid w:val="002C65AC"/>
    <w:rsid w:val="002C6BF9"/>
    <w:rsid w:val="002C6DCE"/>
    <w:rsid w:val="002D10B0"/>
    <w:rsid w:val="002D3744"/>
    <w:rsid w:val="002D4B0B"/>
    <w:rsid w:val="002D7E30"/>
    <w:rsid w:val="002E06A2"/>
    <w:rsid w:val="002E0CC8"/>
    <w:rsid w:val="002E0FB5"/>
    <w:rsid w:val="002E11DD"/>
    <w:rsid w:val="002E1356"/>
    <w:rsid w:val="002E1ECE"/>
    <w:rsid w:val="002E21E7"/>
    <w:rsid w:val="002E2694"/>
    <w:rsid w:val="002E2B4D"/>
    <w:rsid w:val="002E386F"/>
    <w:rsid w:val="002E4148"/>
    <w:rsid w:val="002E672F"/>
    <w:rsid w:val="002F06E5"/>
    <w:rsid w:val="002F0B1A"/>
    <w:rsid w:val="002F10FB"/>
    <w:rsid w:val="002F1943"/>
    <w:rsid w:val="002F2379"/>
    <w:rsid w:val="002F2A82"/>
    <w:rsid w:val="002F2C81"/>
    <w:rsid w:val="002F3467"/>
    <w:rsid w:val="002F47FA"/>
    <w:rsid w:val="002F4919"/>
    <w:rsid w:val="002F604A"/>
    <w:rsid w:val="002F6873"/>
    <w:rsid w:val="002F7659"/>
    <w:rsid w:val="002F7DCC"/>
    <w:rsid w:val="00300280"/>
    <w:rsid w:val="00301DCA"/>
    <w:rsid w:val="00303A3C"/>
    <w:rsid w:val="00304B39"/>
    <w:rsid w:val="00305863"/>
    <w:rsid w:val="00305BF4"/>
    <w:rsid w:val="003070B2"/>
    <w:rsid w:val="00307734"/>
    <w:rsid w:val="003107C1"/>
    <w:rsid w:val="00310986"/>
    <w:rsid w:val="00313AE2"/>
    <w:rsid w:val="0031400C"/>
    <w:rsid w:val="0031480D"/>
    <w:rsid w:val="003158F2"/>
    <w:rsid w:val="00315B04"/>
    <w:rsid w:val="00317C5D"/>
    <w:rsid w:val="0032180F"/>
    <w:rsid w:val="00322DC3"/>
    <w:rsid w:val="0032402D"/>
    <w:rsid w:val="00324CF0"/>
    <w:rsid w:val="003256CE"/>
    <w:rsid w:val="00327166"/>
    <w:rsid w:val="00330B54"/>
    <w:rsid w:val="003316B0"/>
    <w:rsid w:val="00331D7E"/>
    <w:rsid w:val="0033290F"/>
    <w:rsid w:val="00332D2F"/>
    <w:rsid w:val="00333AED"/>
    <w:rsid w:val="00334400"/>
    <w:rsid w:val="0033475B"/>
    <w:rsid w:val="00334C61"/>
    <w:rsid w:val="003357C4"/>
    <w:rsid w:val="00335FC2"/>
    <w:rsid w:val="00336B58"/>
    <w:rsid w:val="00336FA6"/>
    <w:rsid w:val="00337809"/>
    <w:rsid w:val="00344149"/>
    <w:rsid w:val="00345773"/>
    <w:rsid w:val="00345CF5"/>
    <w:rsid w:val="00347377"/>
    <w:rsid w:val="003512B5"/>
    <w:rsid w:val="003561DA"/>
    <w:rsid w:val="003563AF"/>
    <w:rsid w:val="00356A3D"/>
    <w:rsid w:val="00356AC4"/>
    <w:rsid w:val="00357256"/>
    <w:rsid w:val="00357839"/>
    <w:rsid w:val="00357C8A"/>
    <w:rsid w:val="003609AB"/>
    <w:rsid w:val="00361BB7"/>
    <w:rsid w:val="0036266C"/>
    <w:rsid w:val="003632AD"/>
    <w:rsid w:val="00363A81"/>
    <w:rsid w:val="003646D5"/>
    <w:rsid w:val="00364D4B"/>
    <w:rsid w:val="00364E9C"/>
    <w:rsid w:val="0036506F"/>
    <w:rsid w:val="00367982"/>
    <w:rsid w:val="0037100C"/>
    <w:rsid w:val="00373483"/>
    <w:rsid w:val="0037370E"/>
    <w:rsid w:val="00374583"/>
    <w:rsid w:val="00377BA0"/>
    <w:rsid w:val="00381807"/>
    <w:rsid w:val="00381D07"/>
    <w:rsid w:val="00382072"/>
    <w:rsid w:val="003822E9"/>
    <w:rsid w:val="003836AA"/>
    <w:rsid w:val="0038458D"/>
    <w:rsid w:val="0038534C"/>
    <w:rsid w:val="0038607B"/>
    <w:rsid w:val="00386B7A"/>
    <w:rsid w:val="00386C84"/>
    <w:rsid w:val="00386EC4"/>
    <w:rsid w:val="00387338"/>
    <w:rsid w:val="003909B5"/>
    <w:rsid w:val="00392485"/>
    <w:rsid w:val="00392A8B"/>
    <w:rsid w:val="00393AD4"/>
    <w:rsid w:val="0039543D"/>
    <w:rsid w:val="00395642"/>
    <w:rsid w:val="003978BF"/>
    <w:rsid w:val="00397A61"/>
    <w:rsid w:val="003A0E92"/>
    <w:rsid w:val="003A1496"/>
    <w:rsid w:val="003A2242"/>
    <w:rsid w:val="003A2476"/>
    <w:rsid w:val="003A3E99"/>
    <w:rsid w:val="003A471A"/>
    <w:rsid w:val="003A4A65"/>
    <w:rsid w:val="003A5E5D"/>
    <w:rsid w:val="003A67CA"/>
    <w:rsid w:val="003A73FA"/>
    <w:rsid w:val="003A7C60"/>
    <w:rsid w:val="003B23FB"/>
    <w:rsid w:val="003B254C"/>
    <w:rsid w:val="003B3FB3"/>
    <w:rsid w:val="003B4430"/>
    <w:rsid w:val="003B4458"/>
    <w:rsid w:val="003B504F"/>
    <w:rsid w:val="003B518D"/>
    <w:rsid w:val="003B5FB2"/>
    <w:rsid w:val="003B6287"/>
    <w:rsid w:val="003B6CC1"/>
    <w:rsid w:val="003B71E3"/>
    <w:rsid w:val="003C005E"/>
    <w:rsid w:val="003C010A"/>
    <w:rsid w:val="003C0F4C"/>
    <w:rsid w:val="003C166F"/>
    <w:rsid w:val="003C178E"/>
    <w:rsid w:val="003C20DA"/>
    <w:rsid w:val="003C265F"/>
    <w:rsid w:val="003C28AE"/>
    <w:rsid w:val="003C2BA7"/>
    <w:rsid w:val="003C31BF"/>
    <w:rsid w:val="003C5776"/>
    <w:rsid w:val="003C5F6F"/>
    <w:rsid w:val="003C7906"/>
    <w:rsid w:val="003C7EDA"/>
    <w:rsid w:val="003D02F6"/>
    <w:rsid w:val="003D04F7"/>
    <w:rsid w:val="003D06B6"/>
    <w:rsid w:val="003D16C3"/>
    <w:rsid w:val="003D2325"/>
    <w:rsid w:val="003D42C3"/>
    <w:rsid w:val="003D4932"/>
    <w:rsid w:val="003D7E4B"/>
    <w:rsid w:val="003E07F9"/>
    <w:rsid w:val="003E0903"/>
    <w:rsid w:val="003E0964"/>
    <w:rsid w:val="003E35DA"/>
    <w:rsid w:val="003E3C8E"/>
    <w:rsid w:val="003E4CE1"/>
    <w:rsid w:val="003E59E8"/>
    <w:rsid w:val="003F23D9"/>
    <w:rsid w:val="003F2474"/>
    <w:rsid w:val="003F3A54"/>
    <w:rsid w:val="003F3F93"/>
    <w:rsid w:val="003F480E"/>
    <w:rsid w:val="003F4C0E"/>
    <w:rsid w:val="003F6685"/>
    <w:rsid w:val="003F6DF6"/>
    <w:rsid w:val="003F7209"/>
    <w:rsid w:val="00400075"/>
    <w:rsid w:val="004027EC"/>
    <w:rsid w:val="00406396"/>
    <w:rsid w:val="004064AC"/>
    <w:rsid w:val="00406675"/>
    <w:rsid w:val="00406C5F"/>
    <w:rsid w:val="00411625"/>
    <w:rsid w:val="00412EE2"/>
    <w:rsid w:val="00413233"/>
    <w:rsid w:val="00413AD8"/>
    <w:rsid w:val="00413C3A"/>
    <w:rsid w:val="004146E4"/>
    <w:rsid w:val="00414BC5"/>
    <w:rsid w:val="004152B9"/>
    <w:rsid w:val="00415443"/>
    <w:rsid w:val="004165F5"/>
    <w:rsid w:val="0041706F"/>
    <w:rsid w:val="0041775D"/>
    <w:rsid w:val="004212ED"/>
    <w:rsid w:val="004218E7"/>
    <w:rsid w:val="00421A1F"/>
    <w:rsid w:val="004223AC"/>
    <w:rsid w:val="00424369"/>
    <w:rsid w:val="004247B1"/>
    <w:rsid w:val="00424EF5"/>
    <w:rsid w:val="00425747"/>
    <w:rsid w:val="0042636E"/>
    <w:rsid w:val="0042738A"/>
    <w:rsid w:val="00427903"/>
    <w:rsid w:val="00430033"/>
    <w:rsid w:val="004306DE"/>
    <w:rsid w:val="00430A95"/>
    <w:rsid w:val="00430DCA"/>
    <w:rsid w:val="00430EEE"/>
    <w:rsid w:val="004310D1"/>
    <w:rsid w:val="004320B9"/>
    <w:rsid w:val="00432537"/>
    <w:rsid w:val="004330AB"/>
    <w:rsid w:val="00434369"/>
    <w:rsid w:val="0043608A"/>
    <w:rsid w:val="004379F3"/>
    <w:rsid w:val="00440010"/>
    <w:rsid w:val="00441686"/>
    <w:rsid w:val="00441AE9"/>
    <w:rsid w:val="004430AF"/>
    <w:rsid w:val="00443B2D"/>
    <w:rsid w:val="00443FFD"/>
    <w:rsid w:val="00444A27"/>
    <w:rsid w:val="00444D8A"/>
    <w:rsid w:val="004452D3"/>
    <w:rsid w:val="00445509"/>
    <w:rsid w:val="00446EAD"/>
    <w:rsid w:val="00450D9D"/>
    <w:rsid w:val="0045123D"/>
    <w:rsid w:val="00451486"/>
    <w:rsid w:val="004526BE"/>
    <w:rsid w:val="004539B1"/>
    <w:rsid w:val="00454668"/>
    <w:rsid w:val="004575DC"/>
    <w:rsid w:val="00460F3B"/>
    <w:rsid w:val="004619F1"/>
    <w:rsid w:val="0046355A"/>
    <w:rsid w:val="004639A8"/>
    <w:rsid w:val="004650CE"/>
    <w:rsid w:val="004665D0"/>
    <w:rsid w:val="00467C27"/>
    <w:rsid w:val="00467DBF"/>
    <w:rsid w:val="00470FC8"/>
    <w:rsid w:val="00472675"/>
    <w:rsid w:val="00472AC4"/>
    <w:rsid w:val="00473427"/>
    <w:rsid w:val="004734C0"/>
    <w:rsid w:val="00473A8E"/>
    <w:rsid w:val="00474069"/>
    <w:rsid w:val="004747F1"/>
    <w:rsid w:val="00474D50"/>
    <w:rsid w:val="00474E19"/>
    <w:rsid w:val="00476064"/>
    <w:rsid w:val="004772FA"/>
    <w:rsid w:val="004801A8"/>
    <w:rsid w:val="00480989"/>
    <w:rsid w:val="00481B2C"/>
    <w:rsid w:val="00482AF2"/>
    <w:rsid w:val="00482FA5"/>
    <w:rsid w:val="004845F0"/>
    <w:rsid w:val="00485AA2"/>
    <w:rsid w:val="004860BE"/>
    <w:rsid w:val="0048671C"/>
    <w:rsid w:val="004867F7"/>
    <w:rsid w:val="0048707B"/>
    <w:rsid w:val="004870B2"/>
    <w:rsid w:val="004902BE"/>
    <w:rsid w:val="00490B4E"/>
    <w:rsid w:val="0049190A"/>
    <w:rsid w:val="00492591"/>
    <w:rsid w:val="00492841"/>
    <w:rsid w:val="004938FC"/>
    <w:rsid w:val="00494CC3"/>
    <w:rsid w:val="00495092"/>
    <w:rsid w:val="00495381"/>
    <w:rsid w:val="0049688C"/>
    <w:rsid w:val="00496A9F"/>
    <w:rsid w:val="00497E05"/>
    <w:rsid w:val="004A19B9"/>
    <w:rsid w:val="004A3C71"/>
    <w:rsid w:val="004A64FC"/>
    <w:rsid w:val="004A6E18"/>
    <w:rsid w:val="004B0BA7"/>
    <w:rsid w:val="004B0FDA"/>
    <w:rsid w:val="004B149F"/>
    <w:rsid w:val="004B15CD"/>
    <w:rsid w:val="004B3E6F"/>
    <w:rsid w:val="004B4042"/>
    <w:rsid w:val="004B4266"/>
    <w:rsid w:val="004B43BC"/>
    <w:rsid w:val="004B5CBA"/>
    <w:rsid w:val="004B684D"/>
    <w:rsid w:val="004B739E"/>
    <w:rsid w:val="004B782A"/>
    <w:rsid w:val="004B7DB6"/>
    <w:rsid w:val="004B7DFC"/>
    <w:rsid w:val="004C2432"/>
    <w:rsid w:val="004C2AAF"/>
    <w:rsid w:val="004C301F"/>
    <w:rsid w:val="004C3889"/>
    <w:rsid w:val="004C42CA"/>
    <w:rsid w:val="004C6DF0"/>
    <w:rsid w:val="004C73CC"/>
    <w:rsid w:val="004C7C47"/>
    <w:rsid w:val="004D02CD"/>
    <w:rsid w:val="004D08E4"/>
    <w:rsid w:val="004D0E1C"/>
    <w:rsid w:val="004D0E31"/>
    <w:rsid w:val="004D3812"/>
    <w:rsid w:val="004D485E"/>
    <w:rsid w:val="004D4E20"/>
    <w:rsid w:val="004D7671"/>
    <w:rsid w:val="004D7761"/>
    <w:rsid w:val="004D77EC"/>
    <w:rsid w:val="004E048D"/>
    <w:rsid w:val="004E0BE5"/>
    <w:rsid w:val="004E30C7"/>
    <w:rsid w:val="004E333F"/>
    <w:rsid w:val="004E3797"/>
    <w:rsid w:val="004E5864"/>
    <w:rsid w:val="004E5E9D"/>
    <w:rsid w:val="004E6A28"/>
    <w:rsid w:val="004E704B"/>
    <w:rsid w:val="004E70E3"/>
    <w:rsid w:val="004E7D25"/>
    <w:rsid w:val="004F24B1"/>
    <w:rsid w:val="004F384D"/>
    <w:rsid w:val="004F3A31"/>
    <w:rsid w:val="004F5E8E"/>
    <w:rsid w:val="004F66E0"/>
    <w:rsid w:val="004F7697"/>
    <w:rsid w:val="00500ED6"/>
    <w:rsid w:val="0050185A"/>
    <w:rsid w:val="005030D9"/>
    <w:rsid w:val="00505261"/>
    <w:rsid w:val="00505457"/>
    <w:rsid w:val="00507B91"/>
    <w:rsid w:val="00510B42"/>
    <w:rsid w:val="005124C8"/>
    <w:rsid w:val="00513804"/>
    <w:rsid w:val="00514CC5"/>
    <w:rsid w:val="0051550D"/>
    <w:rsid w:val="0051645E"/>
    <w:rsid w:val="00516590"/>
    <w:rsid w:val="00516958"/>
    <w:rsid w:val="00516E4D"/>
    <w:rsid w:val="005172D6"/>
    <w:rsid w:val="005202C2"/>
    <w:rsid w:val="005233A2"/>
    <w:rsid w:val="00524807"/>
    <w:rsid w:val="00524F61"/>
    <w:rsid w:val="0052536F"/>
    <w:rsid w:val="00525CA9"/>
    <w:rsid w:val="00527634"/>
    <w:rsid w:val="00531E18"/>
    <w:rsid w:val="005336D9"/>
    <w:rsid w:val="00533816"/>
    <w:rsid w:val="00533BDE"/>
    <w:rsid w:val="0053465C"/>
    <w:rsid w:val="0053495E"/>
    <w:rsid w:val="00534A75"/>
    <w:rsid w:val="00535319"/>
    <w:rsid w:val="005368B6"/>
    <w:rsid w:val="005406B1"/>
    <w:rsid w:val="005407AE"/>
    <w:rsid w:val="005408AC"/>
    <w:rsid w:val="00541DD0"/>
    <w:rsid w:val="00542568"/>
    <w:rsid w:val="00544F73"/>
    <w:rsid w:val="0054518D"/>
    <w:rsid w:val="00546936"/>
    <w:rsid w:val="00546CD1"/>
    <w:rsid w:val="00547D73"/>
    <w:rsid w:val="00547D91"/>
    <w:rsid w:val="00550509"/>
    <w:rsid w:val="00551BD6"/>
    <w:rsid w:val="00551E7F"/>
    <w:rsid w:val="0055228C"/>
    <w:rsid w:val="005529EB"/>
    <w:rsid w:val="00552A60"/>
    <w:rsid w:val="005539DE"/>
    <w:rsid w:val="00553ABB"/>
    <w:rsid w:val="005554C0"/>
    <w:rsid w:val="00555D15"/>
    <w:rsid w:val="00556718"/>
    <w:rsid w:val="00557D9B"/>
    <w:rsid w:val="00560506"/>
    <w:rsid w:val="00560C88"/>
    <w:rsid w:val="00560D7A"/>
    <w:rsid w:val="005611D1"/>
    <w:rsid w:val="00561B50"/>
    <w:rsid w:val="00562426"/>
    <w:rsid w:val="00562F69"/>
    <w:rsid w:val="005630C3"/>
    <w:rsid w:val="00563390"/>
    <w:rsid w:val="00563799"/>
    <w:rsid w:val="005643C8"/>
    <w:rsid w:val="00564A94"/>
    <w:rsid w:val="00566236"/>
    <w:rsid w:val="0056764B"/>
    <w:rsid w:val="00570541"/>
    <w:rsid w:val="00571921"/>
    <w:rsid w:val="0057233F"/>
    <w:rsid w:val="00572472"/>
    <w:rsid w:val="00572821"/>
    <w:rsid w:val="00572C41"/>
    <w:rsid w:val="0057616C"/>
    <w:rsid w:val="0057648F"/>
    <w:rsid w:val="00577264"/>
    <w:rsid w:val="00577932"/>
    <w:rsid w:val="0058124D"/>
    <w:rsid w:val="00582A50"/>
    <w:rsid w:val="00583188"/>
    <w:rsid w:val="0058373B"/>
    <w:rsid w:val="00584185"/>
    <w:rsid w:val="00584A0E"/>
    <w:rsid w:val="00584EE3"/>
    <w:rsid w:val="00585E20"/>
    <w:rsid w:val="005861F8"/>
    <w:rsid w:val="005900C2"/>
    <w:rsid w:val="005908AC"/>
    <w:rsid w:val="005915F7"/>
    <w:rsid w:val="0059241A"/>
    <w:rsid w:val="00593150"/>
    <w:rsid w:val="00593E6B"/>
    <w:rsid w:val="00594059"/>
    <w:rsid w:val="00594AF6"/>
    <w:rsid w:val="00595DC6"/>
    <w:rsid w:val="00595E79"/>
    <w:rsid w:val="00596BFC"/>
    <w:rsid w:val="00596E52"/>
    <w:rsid w:val="0059720E"/>
    <w:rsid w:val="0059779E"/>
    <w:rsid w:val="00597A3E"/>
    <w:rsid w:val="005A090A"/>
    <w:rsid w:val="005A0C40"/>
    <w:rsid w:val="005A18F0"/>
    <w:rsid w:val="005A6D52"/>
    <w:rsid w:val="005A700D"/>
    <w:rsid w:val="005A71CD"/>
    <w:rsid w:val="005A7E3E"/>
    <w:rsid w:val="005B0010"/>
    <w:rsid w:val="005B015E"/>
    <w:rsid w:val="005B3831"/>
    <w:rsid w:val="005B3E4B"/>
    <w:rsid w:val="005B4BD8"/>
    <w:rsid w:val="005B521E"/>
    <w:rsid w:val="005B5285"/>
    <w:rsid w:val="005B7592"/>
    <w:rsid w:val="005B7B2E"/>
    <w:rsid w:val="005C0518"/>
    <w:rsid w:val="005C1E0E"/>
    <w:rsid w:val="005C2FDF"/>
    <w:rsid w:val="005C3D02"/>
    <w:rsid w:val="005C4C5C"/>
    <w:rsid w:val="005C4DC9"/>
    <w:rsid w:val="005C4F06"/>
    <w:rsid w:val="005C5837"/>
    <w:rsid w:val="005C5E69"/>
    <w:rsid w:val="005C646A"/>
    <w:rsid w:val="005C6F0A"/>
    <w:rsid w:val="005C70C8"/>
    <w:rsid w:val="005C7309"/>
    <w:rsid w:val="005C7500"/>
    <w:rsid w:val="005D0139"/>
    <w:rsid w:val="005D1C31"/>
    <w:rsid w:val="005D30F5"/>
    <w:rsid w:val="005D316E"/>
    <w:rsid w:val="005D32CA"/>
    <w:rsid w:val="005D4980"/>
    <w:rsid w:val="005D69F5"/>
    <w:rsid w:val="005E1063"/>
    <w:rsid w:val="005E14D1"/>
    <w:rsid w:val="005E14DD"/>
    <w:rsid w:val="005E1BB5"/>
    <w:rsid w:val="005E211F"/>
    <w:rsid w:val="005E296C"/>
    <w:rsid w:val="005E58D3"/>
    <w:rsid w:val="005E5B81"/>
    <w:rsid w:val="005E5F53"/>
    <w:rsid w:val="005E79FE"/>
    <w:rsid w:val="005F05F9"/>
    <w:rsid w:val="005F1537"/>
    <w:rsid w:val="005F1548"/>
    <w:rsid w:val="005F206F"/>
    <w:rsid w:val="005F2416"/>
    <w:rsid w:val="005F4ACC"/>
    <w:rsid w:val="005F5854"/>
    <w:rsid w:val="005F779C"/>
    <w:rsid w:val="005F7ED0"/>
    <w:rsid w:val="006004D0"/>
    <w:rsid w:val="00600C56"/>
    <w:rsid w:val="00600D15"/>
    <w:rsid w:val="00600D9B"/>
    <w:rsid w:val="006015BF"/>
    <w:rsid w:val="006019FF"/>
    <w:rsid w:val="006027DD"/>
    <w:rsid w:val="006032D9"/>
    <w:rsid w:val="00603CE8"/>
    <w:rsid w:val="0060508E"/>
    <w:rsid w:val="00605508"/>
    <w:rsid w:val="00605CA9"/>
    <w:rsid w:val="00606032"/>
    <w:rsid w:val="0060787D"/>
    <w:rsid w:val="00611340"/>
    <w:rsid w:val="00611686"/>
    <w:rsid w:val="00612DB2"/>
    <w:rsid w:val="00613353"/>
    <w:rsid w:val="00613A37"/>
    <w:rsid w:val="00614714"/>
    <w:rsid w:val="006147DE"/>
    <w:rsid w:val="006210BA"/>
    <w:rsid w:val="0062125B"/>
    <w:rsid w:val="006214F3"/>
    <w:rsid w:val="00623EAE"/>
    <w:rsid w:val="006242F6"/>
    <w:rsid w:val="0062527F"/>
    <w:rsid w:val="0062658A"/>
    <w:rsid w:val="006274AB"/>
    <w:rsid w:val="006319CB"/>
    <w:rsid w:val="0063200A"/>
    <w:rsid w:val="00632A96"/>
    <w:rsid w:val="00633F49"/>
    <w:rsid w:val="006348C1"/>
    <w:rsid w:val="006350AC"/>
    <w:rsid w:val="0063536F"/>
    <w:rsid w:val="00636857"/>
    <w:rsid w:val="006409C3"/>
    <w:rsid w:val="00640D4E"/>
    <w:rsid w:val="00640F17"/>
    <w:rsid w:val="00641716"/>
    <w:rsid w:val="006422CE"/>
    <w:rsid w:val="00647524"/>
    <w:rsid w:val="00647E18"/>
    <w:rsid w:val="00647F0B"/>
    <w:rsid w:val="00651655"/>
    <w:rsid w:val="00652418"/>
    <w:rsid w:val="00652DB5"/>
    <w:rsid w:val="00655CE2"/>
    <w:rsid w:val="006566D6"/>
    <w:rsid w:val="006568FD"/>
    <w:rsid w:val="0065712A"/>
    <w:rsid w:val="00657D0F"/>
    <w:rsid w:val="00660EDB"/>
    <w:rsid w:val="00661250"/>
    <w:rsid w:val="0066152A"/>
    <w:rsid w:val="006623A0"/>
    <w:rsid w:val="00662A85"/>
    <w:rsid w:val="00665D5E"/>
    <w:rsid w:val="00666726"/>
    <w:rsid w:val="00671A97"/>
    <w:rsid w:val="00671D21"/>
    <w:rsid w:val="00672050"/>
    <w:rsid w:val="006724FA"/>
    <w:rsid w:val="00672903"/>
    <w:rsid w:val="0067357A"/>
    <w:rsid w:val="00674C1B"/>
    <w:rsid w:val="006759E4"/>
    <w:rsid w:val="00675D2A"/>
    <w:rsid w:val="0067641E"/>
    <w:rsid w:val="00676746"/>
    <w:rsid w:val="00683299"/>
    <w:rsid w:val="0068443E"/>
    <w:rsid w:val="00684488"/>
    <w:rsid w:val="00684FE0"/>
    <w:rsid w:val="0068535C"/>
    <w:rsid w:val="00685CF5"/>
    <w:rsid w:val="00687EDB"/>
    <w:rsid w:val="006902B7"/>
    <w:rsid w:val="00690F17"/>
    <w:rsid w:val="00691D2A"/>
    <w:rsid w:val="0069201B"/>
    <w:rsid w:val="006926A3"/>
    <w:rsid w:val="00692BBA"/>
    <w:rsid w:val="00692DD1"/>
    <w:rsid w:val="0069480F"/>
    <w:rsid w:val="00694B0C"/>
    <w:rsid w:val="00694BC5"/>
    <w:rsid w:val="00695EEF"/>
    <w:rsid w:val="006A0CBB"/>
    <w:rsid w:val="006A15D1"/>
    <w:rsid w:val="006A1ADB"/>
    <w:rsid w:val="006A5192"/>
    <w:rsid w:val="006A5544"/>
    <w:rsid w:val="006A56C3"/>
    <w:rsid w:val="006A5962"/>
    <w:rsid w:val="006A5C30"/>
    <w:rsid w:val="006A5CC8"/>
    <w:rsid w:val="006A64AF"/>
    <w:rsid w:val="006A665F"/>
    <w:rsid w:val="006A6B42"/>
    <w:rsid w:val="006A7143"/>
    <w:rsid w:val="006B1AF3"/>
    <w:rsid w:val="006B1C8C"/>
    <w:rsid w:val="006B1EDE"/>
    <w:rsid w:val="006B21E7"/>
    <w:rsid w:val="006B2445"/>
    <w:rsid w:val="006B332E"/>
    <w:rsid w:val="006B39A3"/>
    <w:rsid w:val="006B4189"/>
    <w:rsid w:val="006B43CE"/>
    <w:rsid w:val="006B6B91"/>
    <w:rsid w:val="006B7DE2"/>
    <w:rsid w:val="006C03A8"/>
    <w:rsid w:val="006C05A4"/>
    <w:rsid w:val="006C204A"/>
    <w:rsid w:val="006C20B6"/>
    <w:rsid w:val="006C2BEC"/>
    <w:rsid w:val="006C44B3"/>
    <w:rsid w:val="006C4CAE"/>
    <w:rsid w:val="006C59D8"/>
    <w:rsid w:val="006C637A"/>
    <w:rsid w:val="006C672E"/>
    <w:rsid w:val="006D0195"/>
    <w:rsid w:val="006D13CC"/>
    <w:rsid w:val="006D2394"/>
    <w:rsid w:val="006D23C6"/>
    <w:rsid w:val="006D249A"/>
    <w:rsid w:val="006D2FC4"/>
    <w:rsid w:val="006D51AF"/>
    <w:rsid w:val="006D583C"/>
    <w:rsid w:val="006D5AA9"/>
    <w:rsid w:val="006D5CC3"/>
    <w:rsid w:val="006D659F"/>
    <w:rsid w:val="006D6F1E"/>
    <w:rsid w:val="006E0620"/>
    <w:rsid w:val="006E0A3A"/>
    <w:rsid w:val="006E0C6F"/>
    <w:rsid w:val="006E363D"/>
    <w:rsid w:val="006E3D8B"/>
    <w:rsid w:val="006E45F0"/>
    <w:rsid w:val="006E46F6"/>
    <w:rsid w:val="006E4DBC"/>
    <w:rsid w:val="006E50ED"/>
    <w:rsid w:val="006E5101"/>
    <w:rsid w:val="006E5600"/>
    <w:rsid w:val="006E71EB"/>
    <w:rsid w:val="006E7C06"/>
    <w:rsid w:val="006F05C6"/>
    <w:rsid w:val="006F1288"/>
    <w:rsid w:val="006F4374"/>
    <w:rsid w:val="006F70C0"/>
    <w:rsid w:val="00700D1F"/>
    <w:rsid w:val="00701314"/>
    <w:rsid w:val="00702203"/>
    <w:rsid w:val="007045FB"/>
    <w:rsid w:val="0070490B"/>
    <w:rsid w:val="00705AAA"/>
    <w:rsid w:val="00705DF5"/>
    <w:rsid w:val="00705E0B"/>
    <w:rsid w:val="0070677D"/>
    <w:rsid w:val="007077D5"/>
    <w:rsid w:val="00710240"/>
    <w:rsid w:val="0071183F"/>
    <w:rsid w:val="00711846"/>
    <w:rsid w:val="00715417"/>
    <w:rsid w:val="0071698D"/>
    <w:rsid w:val="00717B30"/>
    <w:rsid w:val="007200C7"/>
    <w:rsid w:val="0072097A"/>
    <w:rsid w:val="00720A95"/>
    <w:rsid w:val="00721958"/>
    <w:rsid w:val="00721DAB"/>
    <w:rsid w:val="007222A3"/>
    <w:rsid w:val="007235C3"/>
    <w:rsid w:val="007243AC"/>
    <w:rsid w:val="0072491B"/>
    <w:rsid w:val="007259C3"/>
    <w:rsid w:val="00726456"/>
    <w:rsid w:val="007303FA"/>
    <w:rsid w:val="007305D0"/>
    <w:rsid w:val="0073138F"/>
    <w:rsid w:val="00731EAC"/>
    <w:rsid w:val="007334C3"/>
    <w:rsid w:val="0073393F"/>
    <w:rsid w:val="00735469"/>
    <w:rsid w:val="007354A5"/>
    <w:rsid w:val="007404B5"/>
    <w:rsid w:val="00740DAD"/>
    <w:rsid w:val="00741D19"/>
    <w:rsid w:val="00741F78"/>
    <w:rsid w:val="0074216E"/>
    <w:rsid w:val="00743879"/>
    <w:rsid w:val="007447F0"/>
    <w:rsid w:val="00744E8F"/>
    <w:rsid w:val="00745636"/>
    <w:rsid w:val="00746666"/>
    <w:rsid w:val="00746B1A"/>
    <w:rsid w:val="0075161E"/>
    <w:rsid w:val="00751707"/>
    <w:rsid w:val="00752182"/>
    <w:rsid w:val="007530D6"/>
    <w:rsid w:val="00755E3C"/>
    <w:rsid w:val="00755F33"/>
    <w:rsid w:val="007572B4"/>
    <w:rsid w:val="00757F9B"/>
    <w:rsid w:val="00760C3F"/>
    <w:rsid w:val="007617B0"/>
    <w:rsid w:val="007626F9"/>
    <w:rsid w:val="00762D25"/>
    <w:rsid w:val="00762FD3"/>
    <w:rsid w:val="007632DB"/>
    <w:rsid w:val="00765531"/>
    <w:rsid w:val="00765875"/>
    <w:rsid w:val="00772223"/>
    <w:rsid w:val="007724C4"/>
    <w:rsid w:val="00772CEF"/>
    <w:rsid w:val="00772CFB"/>
    <w:rsid w:val="00772FDF"/>
    <w:rsid w:val="00775CAC"/>
    <w:rsid w:val="007805AF"/>
    <w:rsid w:val="0078095B"/>
    <w:rsid w:val="007811CF"/>
    <w:rsid w:val="00784B03"/>
    <w:rsid w:val="0078648B"/>
    <w:rsid w:val="00787C50"/>
    <w:rsid w:val="00790543"/>
    <w:rsid w:val="00790E95"/>
    <w:rsid w:val="00791CA2"/>
    <w:rsid w:val="007926C1"/>
    <w:rsid w:val="0079281F"/>
    <w:rsid w:val="00792DAF"/>
    <w:rsid w:val="0079385C"/>
    <w:rsid w:val="00794055"/>
    <w:rsid w:val="007961E0"/>
    <w:rsid w:val="00797894"/>
    <w:rsid w:val="00797A70"/>
    <w:rsid w:val="007A00AD"/>
    <w:rsid w:val="007A0B38"/>
    <w:rsid w:val="007A141F"/>
    <w:rsid w:val="007A2513"/>
    <w:rsid w:val="007A4238"/>
    <w:rsid w:val="007A4F95"/>
    <w:rsid w:val="007A582E"/>
    <w:rsid w:val="007A6DBD"/>
    <w:rsid w:val="007A6DD3"/>
    <w:rsid w:val="007A7B1C"/>
    <w:rsid w:val="007B0D19"/>
    <w:rsid w:val="007B4124"/>
    <w:rsid w:val="007B4DEB"/>
    <w:rsid w:val="007B5264"/>
    <w:rsid w:val="007B5393"/>
    <w:rsid w:val="007B5763"/>
    <w:rsid w:val="007B647E"/>
    <w:rsid w:val="007B69F6"/>
    <w:rsid w:val="007C0909"/>
    <w:rsid w:val="007C0D29"/>
    <w:rsid w:val="007C1042"/>
    <w:rsid w:val="007C19AF"/>
    <w:rsid w:val="007C1A54"/>
    <w:rsid w:val="007C2421"/>
    <w:rsid w:val="007C2B61"/>
    <w:rsid w:val="007C2BCC"/>
    <w:rsid w:val="007C755C"/>
    <w:rsid w:val="007C790A"/>
    <w:rsid w:val="007D0338"/>
    <w:rsid w:val="007D0CCE"/>
    <w:rsid w:val="007D0F74"/>
    <w:rsid w:val="007D1028"/>
    <w:rsid w:val="007D2AB4"/>
    <w:rsid w:val="007D2F7B"/>
    <w:rsid w:val="007D3E44"/>
    <w:rsid w:val="007D4C65"/>
    <w:rsid w:val="007D5FBF"/>
    <w:rsid w:val="007D63BF"/>
    <w:rsid w:val="007E092A"/>
    <w:rsid w:val="007E156E"/>
    <w:rsid w:val="007E2199"/>
    <w:rsid w:val="007E2353"/>
    <w:rsid w:val="007E2FB4"/>
    <w:rsid w:val="007E34F4"/>
    <w:rsid w:val="007E46A9"/>
    <w:rsid w:val="007E510D"/>
    <w:rsid w:val="007E6ED5"/>
    <w:rsid w:val="007E6FD4"/>
    <w:rsid w:val="007E716B"/>
    <w:rsid w:val="007E7271"/>
    <w:rsid w:val="007F060C"/>
    <w:rsid w:val="007F1C21"/>
    <w:rsid w:val="007F3BD7"/>
    <w:rsid w:val="007F5A99"/>
    <w:rsid w:val="007F6093"/>
    <w:rsid w:val="007F6270"/>
    <w:rsid w:val="007F7217"/>
    <w:rsid w:val="007F793C"/>
    <w:rsid w:val="00800680"/>
    <w:rsid w:val="008019E4"/>
    <w:rsid w:val="00801D99"/>
    <w:rsid w:val="008020C0"/>
    <w:rsid w:val="00804618"/>
    <w:rsid w:val="00804972"/>
    <w:rsid w:val="00804D86"/>
    <w:rsid w:val="00805164"/>
    <w:rsid w:val="00806D84"/>
    <w:rsid w:val="008103DB"/>
    <w:rsid w:val="008104E3"/>
    <w:rsid w:val="00810638"/>
    <w:rsid w:val="00811865"/>
    <w:rsid w:val="00812750"/>
    <w:rsid w:val="0081326D"/>
    <w:rsid w:val="00814B64"/>
    <w:rsid w:val="0081536E"/>
    <w:rsid w:val="00815957"/>
    <w:rsid w:val="00816059"/>
    <w:rsid w:val="0081692C"/>
    <w:rsid w:val="00817388"/>
    <w:rsid w:val="00817797"/>
    <w:rsid w:val="00817CAD"/>
    <w:rsid w:val="0082162C"/>
    <w:rsid w:val="00822ACD"/>
    <w:rsid w:val="008237BD"/>
    <w:rsid w:val="0082470C"/>
    <w:rsid w:val="0082585C"/>
    <w:rsid w:val="00825B1A"/>
    <w:rsid w:val="00826864"/>
    <w:rsid w:val="00826EF6"/>
    <w:rsid w:val="00826FDA"/>
    <w:rsid w:val="00827ACE"/>
    <w:rsid w:val="00827B7D"/>
    <w:rsid w:val="00827D2A"/>
    <w:rsid w:val="00827DDC"/>
    <w:rsid w:val="00830261"/>
    <w:rsid w:val="008302AB"/>
    <w:rsid w:val="0083165F"/>
    <w:rsid w:val="00831792"/>
    <w:rsid w:val="00832118"/>
    <w:rsid w:val="0083403E"/>
    <w:rsid w:val="0083455C"/>
    <w:rsid w:val="00835268"/>
    <w:rsid w:val="00835605"/>
    <w:rsid w:val="00835808"/>
    <w:rsid w:val="0083649D"/>
    <w:rsid w:val="008368A4"/>
    <w:rsid w:val="00836F94"/>
    <w:rsid w:val="008371C7"/>
    <w:rsid w:val="00837548"/>
    <w:rsid w:val="00840BCA"/>
    <w:rsid w:val="0084280B"/>
    <w:rsid w:val="00844223"/>
    <w:rsid w:val="00844373"/>
    <w:rsid w:val="00847BBB"/>
    <w:rsid w:val="00847E9B"/>
    <w:rsid w:val="0085011F"/>
    <w:rsid w:val="008501A0"/>
    <w:rsid w:val="00851959"/>
    <w:rsid w:val="0085336E"/>
    <w:rsid w:val="00853EDB"/>
    <w:rsid w:val="008567AE"/>
    <w:rsid w:val="008610C3"/>
    <w:rsid w:val="008617F7"/>
    <w:rsid w:val="0086405C"/>
    <w:rsid w:val="0087045F"/>
    <w:rsid w:val="00871377"/>
    <w:rsid w:val="008713ED"/>
    <w:rsid w:val="0087196C"/>
    <w:rsid w:val="0087247E"/>
    <w:rsid w:val="008730B0"/>
    <w:rsid w:val="00873B92"/>
    <w:rsid w:val="008742FF"/>
    <w:rsid w:val="00874A76"/>
    <w:rsid w:val="00875031"/>
    <w:rsid w:val="0087515A"/>
    <w:rsid w:val="00875DD4"/>
    <w:rsid w:val="008763D1"/>
    <w:rsid w:val="00876583"/>
    <w:rsid w:val="00877677"/>
    <w:rsid w:val="00877815"/>
    <w:rsid w:val="00877B1E"/>
    <w:rsid w:val="00880F68"/>
    <w:rsid w:val="00882247"/>
    <w:rsid w:val="0088255D"/>
    <w:rsid w:val="00882576"/>
    <w:rsid w:val="00882AF4"/>
    <w:rsid w:val="00883E96"/>
    <w:rsid w:val="008844B2"/>
    <w:rsid w:val="00884D41"/>
    <w:rsid w:val="00885B1B"/>
    <w:rsid w:val="0088621C"/>
    <w:rsid w:val="008862D9"/>
    <w:rsid w:val="00886401"/>
    <w:rsid w:val="00886678"/>
    <w:rsid w:val="0088742B"/>
    <w:rsid w:val="00890926"/>
    <w:rsid w:val="00891992"/>
    <w:rsid w:val="00892165"/>
    <w:rsid w:val="00892758"/>
    <w:rsid w:val="00892D34"/>
    <w:rsid w:val="00892F03"/>
    <w:rsid w:val="008935B1"/>
    <w:rsid w:val="0089369F"/>
    <w:rsid w:val="008938D8"/>
    <w:rsid w:val="0089406B"/>
    <w:rsid w:val="008951C8"/>
    <w:rsid w:val="008968BD"/>
    <w:rsid w:val="0089768C"/>
    <w:rsid w:val="008A04F5"/>
    <w:rsid w:val="008A0512"/>
    <w:rsid w:val="008A2217"/>
    <w:rsid w:val="008A3554"/>
    <w:rsid w:val="008A46EF"/>
    <w:rsid w:val="008A6324"/>
    <w:rsid w:val="008A74EC"/>
    <w:rsid w:val="008B0F6F"/>
    <w:rsid w:val="008B1A98"/>
    <w:rsid w:val="008B2231"/>
    <w:rsid w:val="008B28F5"/>
    <w:rsid w:val="008B30B8"/>
    <w:rsid w:val="008B3277"/>
    <w:rsid w:val="008B50EE"/>
    <w:rsid w:val="008C0BFC"/>
    <w:rsid w:val="008C360F"/>
    <w:rsid w:val="008C41BA"/>
    <w:rsid w:val="008C461F"/>
    <w:rsid w:val="008C6026"/>
    <w:rsid w:val="008C617C"/>
    <w:rsid w:val="008C63DD"/>
    <w:rsid w:val="008C65E3"/>
    <w:rsid w:val="008C7301"/>
    <w:rsid w:val="008C736E"/>
    <w:rsid w:val="008C7615"/>
    <w:rsid w:val="008C7AED"/>
    <w:rsid w:val="008D099A"/>
    <w:rsid w:val="008D288A"/>
    <w:rsid w:val="008D38A0"/>
    <w:rsid w:val="008D40FA"/>
    <w:rsid w:val="008D7926"/>
    <w:rsid w:val="008E02AB"/>
    <w:rsid w:val="008E092C"/>
    <w:rsid w:val="008E1220"/>
    <w:rsid w:val="008E15CF"/>
    <w:rsid w:val="008E191A"/>
    <w:rsid w:val="008E1955"/>
    <w:rsid w:val="008E4343"/>
    <w:rsid w:val="008E4576"/>
    <w:rsid w:val="008E47FB"/>
    <w:rsid w:val="008E5DDE"/>
    <w:rsid w:val="008E6606"/>
    <w:rsid w:val="008F0C0B"/>
    <w:rsid w:val="008F27D4"/>
    <w:rsid w:val="008F2882"/>
    <w:rsid w:val="008F28D1"/>
    <w:rsid w:val="008F3634"/>
    <w:rsid w:val="008F5248"/>
    <w:rsid w:val="008F59A8"/>
    <w:rsid w:val="009006DE"/>
    <w:rsid w:val="00901C32"/>
    <w:rsid w:val="00901E22"/>
    <w:rsid w:val="009027D3"/>
    <w:rsid w:val="00902853"/>
    <w:rsid w:val="0090321D"/>
    <w:rsid w:val="0090553C"/>
    <w:rsid w:val="009055C3"/>
    <w:rsid w:val="009063CD"/>
    <w:rsid w:val="00907D7A"/>
    <w:rsid w:val="00910CC2"/>
    <w:rsid w:val="0091133D"/>
    <w:rsid w:val="00914258"/>
    <w:rsid w:val="00915CFF"/>
    <w:rsid w:val="00922241"/>
    <w:rsid w:val="00922286"/>
    <w:rsid w:val="00922DA5"/>
    <w:rsid w:val="00922DF0"/>
    <w:rsid w:val="009232D7"/>
    <w:rsid w:val="00923960"/>
    <w:rsid w:val="00924A14"/>
    <w:rsid w:val="00924AF1"/>
    <w:rsid w:val="00925F5F"/>
    <w:rsid w:val="00926673"/>
    <w:rsid w:val="00927F27"/>
    <w:rsid w:val="009305FF"/>
    <w:rsid w:val="0093234B"/>
    <w:rsid w:val="0093261F"/>
    <w:rsid w:val="009326D4"/>
    <w:rsid w:val="00932800"/>
    <w:rsid w:val="00933010"/>
    <w:rsid w:val="00935384"/>
    <w:rsid w:val="00937485"/>
    <w:rsid w:val="00937C20"/>
    <w:rsid w:val="00941B5C"/>
    <w:rsid w:val="00944A87"/>
    <w:rsid w:val="009461F3"/>
    <w:rsid w:val="00946EE5"/>
    <w:rsid w:val="0094700A"/>
    <w:rsid w:val="00947316"/>
    <w:rsid w:val="00947BE4"/>
    <w:rsid w:val="00950781"/>
    <w:rsid w:val="00950A46"/>
    <w:rsid w:val="00953FF5"/>
    <w:rsid w:val="0096069A"/>
    <w:rsid w:val="009618A4"/>
    <w:rsid w:val="00961975"/>
    <w:rsid w:val="0096309F"/>
    <w:rsid w:val="00963BF7"/>
    <w:rsid w:val="00963C17"/>
    <w:rsid w:val="009644DC"/>
    <w:rsid w:val="009671F1"/>
    <w:rsid w:val="009678C2"/>
    <w:rsid w:val="00970321"/>
    <w:rsid w:val="00970594"/>
    <w:rsid w:val="009716D9"/>
    <w:rsid w:val="0097181D"/>
    <w:rsid w:val="00973F9F"/>
    <w:rsid w:val="0097401A"/>
    <w:rsid w:val="00975728"/>
    <w:rsid w:val="00975A05"/>
    <w:rsid w:val="0097616C"/>
    <w:rsid w:val="0097654D"/>
    <w:rsid w:val="00976C78"/>
    <w:rsid w:val="009808EA"/>
    <w:rsid w:val="00980E9D"/>
    <w:rsid w:val="00981524"/>
    <w:rsid w:val="009818B0"/>
    <w:rsid w:val="00982C4C"/>
    <w:rsid w:val="00982CF3"/>
    <w:rsid w:val="00983FE3"/>
    <w:rsid w:val="00984AA2"/>
    <w:rsid w:val="00985021"/>
    <w:rsid w:val="00985538"/>
    <w:rsid w:val="0098670B"/>
    <w:rsid w:val="00991512"/>
    <w:rsid w:val="00991CC0"/>
    <w:rsid w:val="00992218"/>
    <w:rsid w:val="00993AF8"/>
    <w:rsid w:val="00996071"/>
    <w:rsid w:val="00996702"/>
    <w:rsid w:val="009A063E"/>
    <w:rsid w:val="009A08CB"/>
    <w:rsid w:val="009A121E"/>
    <w:rsid w:val="009A169D"/>
    <w:rsid w:val="009A3A73"/>
    <w:rsid w:val="009A3D97"/>
    <w:rsid w:val="009A410F"/>
    <w:rsid w:val="009A6E5E"/>
    <w:rsid w:val="009A7272"/>
    <w:rsid w:val="009A7ADB"/>
    <w:rsid w:val="009B174F"/>
    <w:rsid w:val="009B28E4"/>
    <w:rsid w:val="009B3ECB"/>
    <w:rsid w:val="009B4147"/>
    <w:rsid w:val="009B41BE"/>
    <w:rsid w:val="009B4C1D"/>
    <w:rsid w:val="009B5EA5"/>
    <w:rsid w:val="009B6227"/>
    <w:rsid w:val="009B704F"/>
    <w:rsid w:val="009B7516"/>
    <w:rsid w:val="009C1067"/>
    <w:rsid w:val="009C1578"/>
    <w:rsid w:val="009C187F"/>
    <w:rsid w:val="009C22D0"/>
    <w:rsid w:val="009C325E"/>
    <w:rsid w:val="009C3613"/>
    <w:rsid w:val="009C3F20"/>
    <w:rsid w:val="009C5195"/>
    <w:rsid w:val="009C5A81"/>
    <w:rsid w:val="009C63FB"/>
    <w:rsid w:val="009C7CA2"/>
    <w:rsid w:val="009D031D"/>
    <w:rsid w:val="009D0627"/>
    <w:rsid w:val="009D2048"/>
    <w:rsid w:val="009D2B18"/>
    <w:rsid w:val="009D51D5"/>
    <w:rsid w:val="009E1E05"/>
    <w:rsid w:val="009E2982"/>
    <w:rsid w:val="009E31B1"/>
    <w:rsid w:val="009E3BBC"/>
    <w:rsid w:val="009E3D30"/>
    <w:rsid w:val="009E5A22"/>
    <w:rsid w:val="009E6EA8"/>
    <w:rsid w:val="009E78C6"/>
    <w:rsid w:val="009F1F67"/>
    <w:rsid w:val="009F29C6"/>
    <w:rsid w:val="009F3161"/>
    <w:rsid w:val="009F3431"/>
    <w:rsid w:val="009F4B7B"/>
    <w:rsid w:val="009F5310"/>
    <w:rsid w:val="009F70B8"/>
    <w:rsid w:val="00A0039B"/>
    <w:rsid w:val="00A0114D"/>
    <w:rsid w:val="00A016C5"/>
    <w:rsid w:val="00A01B1A"/>
    <w:rsid w:val="00A0309F"/>
    <w:rsid w:val="00A032E7"/>
    <w:rsid w:val="00A045F2"/>
    <w:rsid w:val="00A046A0"/>
    <w:rsid w:val="00A04BA1"/>
    <w:rsid w:val="00A05210"/>
    <w:rsid w:val="00A054D6"/>
    <w:rsid w:val="00A05CD1"/>
    <w:rsid w:val="00A0609D"/>
    <w:rsid w:val="00A079BB"/>
    <w:rsid w:val="00A07A75"/>
    <w:rsid w:val="00A10970"/>
    <w:rsid w:val="00A10AF7"/>
    <w:rsid w:val="00A11E6B"/>
    <w:rsid w:val="00A12312"/>
    <w:rsid w:val="00A14C05"/>
    <w:rsid w:val="00A15C48"/>
    <w:rsid w:val="00A16F8B"/>
    <w:rsid w:val="00A175E9"/>
    <w:rsid w:val="00A21665"/>
    <w:rsid w:val="00A22CDD"/>
    <w:rsid w:val="00A242BE"/>
    <w:rsid w:val="00A24FA5"/>
    <w:rsid w:val="00A275DD"/>
    <w:rsid w:val="00A30204"/>
    <w:rsid w:val="00A3021B"/>
    <w:rsid w:val="00A302F3"/>
    <w:rsid w:val="00A3125F"/>
    <w:rsid w:val="00A31C49"/>
    <w:rsid w:val="00A32419"/>
    <w:rsid w:val="00A32C87"/>
    <w:rsid w:val="00A36BDA"/>
    <w:rsid w:val="00A36C81"/>
    <w:rsid w:val="00A373E6"/>
    <w:rsid w:val="00A37BE0"/>
    <w:rsid w:val="00A4045E"/>
    <w:rsid w:val="00A4458E"/>
    <w:rsid w:val="00A46594"/>
    <w:rsid w:val="00A46D38"/>
    <w:rsid w:val="00A47106"/>
    <w:rsid w:val="00A477AF"/>
    <w:rsid w:val="00A52312"/>
    <w:rsid w:val="00A52323"/>
    <w:rsid w:val="00A539A7"/>
    <w:rsid w:val="00A53C16"/>
    <w:rsid w:val="00A5562D"/>
    <w:rsid w:val="00A56236"/>
    <w:rsid w:val="00A60FC9"/>
    <w:rsid w:val="00A61647"/>
    <w:rsid w:val="00A618B7"/>
    <w:rsid w:val="00A61BE7"/>
    <w:rsid w:val="00A62269"/>
    <w:rsid w:val="00A62858"/>
    <w:rsid w:val="00A62BFD"/>
    <w:rsid w:val="00A62E2A"/>
    <w:rsid w:val="00A66C64"/>
    <w:rsid w:val="00A66C90"/>
    <w:rsid w:val="00A6779F"/>
    <w:rsid w:val="00A67DF5"/>
    <w:rsid w:val="00A70289"/>
    <w:rsid w:val="00A70666"/>
    <w:rsid w:val="00A70D39"/>
    <w:rsid w:val="00A70EC3"/>
    <w:rsid w:val="00A70F4D"/>
    <w:rsid w:val="00A712BF"/>
    <w:rsid w:val="00A726E7"/>
    <w:rsid w:val="00A7376B"/>
    <w:rsid w:val="00A73F72"/>
    <w:rsid w:val="00A74D72"/>
    <w:rsid w:val="00A75B3D"/>
    <w:rsid w:val="00A76267"/>
    <w:rsid w:val="00A7648B"/>
    <w:rsid w:val="00A764BC"/>
    <w:rsid w:val="00A774A6"/>
    <w:rsid w:val="00A81B90"/>
    <w:rsid w:val="00A8352A"/>
    <w:rsid w:val="00A84769"/>
    <w:rsid w:val="00A84DFA"/>
    <w:rsid w:val="00A85533"/>
    <w:rsid w:val="00A863A3"/>
    <w:rsid w:val="00A87085"/>
    <w:rsid w:val="00A90224"/>
    <w:rsid w:val="00A90295"/>
    <w:rsid w:val="00A907B6"/>
    <w:rsid w:val="00A90951"/>
    <w:rsid w:val="00A90AEE"/>
    <w:rsid w:val="00A90E1E"/>
    <w:rsid w:val="00A91A89"/>
    <w:rsid w:val="00A91C59"/>
    <w:rsid w:val="00A924DD"/>
    <w:rsid w:val="00A92558"/>
    <w:rsid w:val="00A93166"/>
    <w:rsid w:val="00A942ED"/>
    <w:rsid w:val="00A959EE"/>
    <w:rsid w:val="00A96288"/>
    <w:rsid w:val="00A96373"/>
    <w:rsid w:val="00A963F9"/>
    <w:rsid w:val="00A97161"/>
    <w:rsid w:val="00AA03D5"/>
    <w:rsid w:val="00AA161E"/>
    <w:rsid w:val="00AA217C"/>
    <w:rsid w:val="00AA22AE"/>
    <w:rsid w:val="00AA285F"/>
    <w:rsid w:val="00AA2DC6"/>
    <w:rsid w:val="00AA3758"/>
    <w:rsid w:val="00AA3F6A"/>
    <w:rsid w:val="00AA40F5"/>
    <w:rsid w:val="00AA4741"/>
    <w:rsid w:val="00AA4CD4"/>
    <w:rsid w:val="00AA64D7"/>
    <w:rsid w:val="00AA66B6"/>
    <w:rsid w:val="00AA6B66"/>
    <w:rsid w:val="00AB027F"/>
    <w:rsid w:val="00AB02BC"/>
    <w:rsid w:val="00AB1CD5"/>
    <w:rsid w:val="00AB24FB"/>
    <w:rsid w:val="00AB2801"/>
    <w:rsid w:val="00AB4596"/>
    <w:rsid w:val="00AB4C7B"/>
    <w:rsid w:val="00AB4D57"/>
    <w:rsid w:val="00AB71ED"/>
    <w:rsid w:val="00AB7C1A"/>
    <w:rsid w:val="00AB7F00"/>
    <w:rsid w:val="00AC0C38"/>
    <w:rsid w:val="00AC0CFE"/>
    <w:rsid w:val="00AC1570"/>
    <w:rsid w:val="00AC2757"/>
    <w:rsid w:val="00AC4710"/>
    <w:rsid w:val="00AC49D7"/>
    <w:rsid w:val="00AC547D"/>
    <w:rsid w:val="00AC5D93"/>
    <w:rsid w:val="00AC61A4"/>
    <w:rsid w:val="00AD0633"/>
    <w:rsid w:val="00AD11D7"/>
    <w:rsid w:val="00AD1E99"/>
    <w:rsid w:val="00AD3435"/>
    <w:rsid w:val="00AD3F33"/>
    <w:rsid w:val="00AD440D"/>
    <w:rsid w:val="00AD4EFF"/>
    <w:rsid w:val="00AD6E3C"/>
    <w:rsid w:val="00AD7AAA"/>
    <w:rsid w:val="00AD7AD0"/>
    <w:rsid w:val="00AE197B"/>
    <w:rsid w:val="00AE3D33"/>
    <w:rsid w:val="00AE402C"/>
    <w:rsid w:val="00AE426A"/>
    <w:rsid w:val="00AE4305"/>
    <w:rsid w:val="00AE495C"/>
    <w:rsid w:val="00AE4A60"/>
    <w:rsid w:val="00AE79D4"/>
    <w:rsid w:val="00AF05F5"/>
    <w:rsid w:val="00AF1AFD"/>
    <w:rsid w:val="00AF276C"/>
    <w:rsid w:val="00AF3B92"/>
    <w:rsid w:val="00AF41E6"/>
    <w:rsid w:val="00AF42E4"/>
    <w:rsid w:val="00AF42FC"/>
    <w:rsid w:val="00AF4BD0"/>
    <w:rsid w:val="00AF4C04"/>
    <w:rsid w:val="00AF53E0"/>
    <w:rsid w:val="00AF5478"/>
    <w:rsid w:val="00AF55E1"/>
    <w:rsid w:val="00AF77A9"/>
    <w:rsid w:val="00B00C30"/>
    <w:rsid w:val="00B012B1"/>
    <w:rsid w:val="00B015BA"/>
    <w:rsid w:val="00B02099"/>
    <w:rsid w:val="00B025B2"/>
    <w:rsid w:val="00B02630"/>
    <w:rsid w:val="00B03272"/>
    <w:rsid w:val="00B03616"/>
    <w:rsid w:val="00B0389B"/>
    <w:rsid w:val="00B04E09"/>
    <w:rsid w:val="00B058EA"/>
    <w:rsid w:val="00B05C44"/>
    <w:rsid w:val="00B06538"/>
    <w:rsid w:val="00B07B49"/>
    <w:rsid w:val="00B07C7B"/>
    <w:rsid w:val="00B1009A"/>
    <w:rsid w:val="00B1046C"/>
    <w:rsid w:val="00B11D07"/>
    <w:rsid w:val="00B127AD"/>
    <w:rsid w:val="00B141D9"/>
    <w:rsid w:val="00B1655A"/>
    <w:rsid w:val="00B16974"/>
    <w:rsid w:val="00B21CCB"/>
    <w:rsid w:val="00B21DC0"/>
    <w:rsid w:val="00B227C6"/>
    <w:rsid w:val="00B23619"/>
    <w:rsid w:val="00B23C36"/>
    <w:rsid w:val="00B26FE7"/>
    <w:rsid w:val="00B27873"/>
    <w:rsid w:val="00B3022F"/>
    <w:rsid w:val="00B30758"/>
    <w:rsid w:val="00B3349D"/>
    <w:rsid w:val="00B347AA"/>
    <w:rsid w:val="00B366F8"/>
    <w:rsid w:val="00B36938"/>
    <w:rsid w:val="00B3730C"/>
    <w:rsid w:val="00B4115F"/>
    <w:rsid w:val="00B42FBD"/>
    <w:rsid w:val="00B4361E"/>
    <w:rsid w:val="00B43F00"/>
    <w:rsid w:val="00B44786"/>
    <w:rsid w:val="00B448A6"/>
    <w:rsid w:val="00B44BBF"/>
    <w:rsid w:val="00B454C9"/>
    <w:rsid w:val="00B45777"/>
    <w:rsid w:val="00B47C78"/>
    <w:rsid w:val="00B50CFA"/>
    <w:rsid w:val="00B51AD4"/>
    <w:rsid w:val="00B523CB"/>
    <w:rsid w:val="00B53ECE"/>
    <w:rsid w:val="00B540D4"/>
    <w:rsid w:val="00B54231"/>
    <w:rsid w:val="00B54864"/>
    <w:rsid w:val="00B54A9A"/>
    <w:rsid w:val="00B54D7E"/>
    <w:rsid w:val="00B552FB"/>
    <w:rsid w:val="00B576A3"/>
    <w:rsid w:val="00B57FA3"/>
    <w:rsid w:val="00B602CA"/>
    <w:rsid w:val="00B60893"/>
    <w:rsid w:val="00B615FB"/>
    <w:rsid w:val="00B63505"/>
    <w:rsid w:val="00B6359C"/>
    <w:rsid w:val="00B635F7"/>
    <w:rsid w:val="00B63704"/>
    <w:rsid w:val="00B640CC"/>
    <w:rsid w:val="00B64D32"/>
    <w:rsid w:val="00B65712"/>
    <w:rsid w:val="00B66A92"/>
    <w:rsid w:val="00B6719C"/>
    <w:rsid w:val="00B70005"/>
    <w:rsid w:val="00B71D88"/>
    <w:rsid w:val="00B71E96"/>
    <w:rsid w:val="00B71FAA"/>
    <w:rsid w:val="00B7220B"/>
    <w:rsid w:val="00B7268B"/>
    <w:rsid w:val="00B72979"/>
    <w:rsid w:val="00B74180"/>
    <w:rsid w:val="00B759F6"/>
    <w:rsid w:val="00B7649D"/>
    <w:rsid w:val="00B768C7"/>
    <w:rsid w:val="00B77587"/>
    <w:rsid w:val="00B77902"/>
    <w:rsid w:val="00B80549"/>
    <w:rsid w:val="00B8111F"/>
    <w:rsid w:val="00B81F43"/>
    <w:rsid w:val="00B82423"/>
    <w:rsid w:val="00B83C42"/>
    <w:rsid w:val="00B8401A"/>
    <w:rsid w:val="00B84688"/>
    <w:rsid w:val="00B86877"/>
    <w:rsid w:val="00B86E2D"/>
    <w:rsid w:val="00B91C3C"/>
    <w:rsid w:val="00B92CC1"/>
    <w:rsid w:val="00B93339"/>
    <w:rsid w:val="00B94B17"/>
    <w:rsid w:val="00B96FBB"/>
    <w:rsid w:val="00B977A7"/>
    <w:rsid w:val="00BA04D5"/>
    <w:rsid w:val="00BA174A"/>
    <w:rsid w:val="00BA2186"/>
    <w:rsid w:val="00BA23F9"/>
    <w:rsid w:val="00BA27EC"/>
    <w:rsid w:val="00BA64A4"/>
    <w:rsid w:val="00BA6F48"/>
    <w:rsid w:val="00BA7536"/>
    <w:rsid w:val="00BA772A"/>
    <w:rsid w:val="00BA7E6F"/>
    <w:rsid w:val="00BB013F"/>
    <w:rsid w:val="00BB2092"/>
    <w:rsid w:val="00BB2094"/>
    <w:rsid w:val="00BB223D"/>
    <w:rsid w:val="00BB39C2"/>
    <w:rsid w:val="00BB5AE0"/>
    <w:rsid w:val="00BB6A92"/>
    <w:rsid w:val="00BB6F5A"/>
    <w:rsid w:val="00BB72A0"/>
    <w:rsid w:val="00BB7D01"/>
    <w:rsid w:val="00BB7D02"/>
    <w:rsid w:val="00BC174C"/>
    <w:rsid w:val="00BC1C56"/>
    <w:rsid w:val="00BC2545"/>
    <w:rsid w:val="00BC34F7"/>
    <w:rsid w:val="00BC3A10"/>
    <w:rsid w:val="00BC498E"/>
    <w:rsid w:val="00BC4D55"/>
    <w:rsid w:val="00BC64AD"/>
    <w:rsid w:val="00BC74EC"/>
    <w:rsid w:val="00BD06A4"/>
    <w:rsid w:val="00BD12D8"/>
    <w:rsid w:val="00BD1DB0"/>
    <w:rsid w:val="00BD2CF7"/>
    <w:rsid w:val="00BD32AD"/>
    <w:rsid w:val="00BD4CAD"/>
    <w:rsid w:val="00BD579E"/>
    <w:rsid w:val="00BD5D0D"/>
    <w:rsid w:val="00BD6474"/>
    <w:rsid w:val="00BD7002"/>
    <w:rsid w:val="00BE0B8D"/>
    <w:rsid w:val="00BE1343"/>
    <w:rsid w:val="00BE141A"/>
    <w:rsid w:val="00BE146E"/>
    <w:rsid w:val="00BE17C2"/>
    <w:rsid w:val="00BE31EF"/>
    <w:rsid w:val="00BE39D4"/>
    <w:rsid w:val="00BE3E9F"/>
    <w:rsid w:val="00BE4CFA"/>
    <w:rsid w:val="00BE52B4"/>
    <w:rsid w:val="00BE5D28"/>
    <w:rsid w:val="00BE6F8B"/>
    <w:rsid w:val="00BE702F"/>
    <w:rsid w:val="00BE72E1"/>
    <w:rsid w:val="00BF1DB6"/>
    <w:rsid w:val="00BF240E"/>
    <w:rsid w:val="00BF3BCB"/>
    <w:rsid w:val="00BF41E4"/>
    <w:rsid w:val="00BF4EF9"/>
    <w:rsid w:val="00BF55A3"/>
    <w:rsid w:val="00BF779B"/>
    <w:rsid w:val="00C00362"/>
    <w:rsid w:val="00C050DE"/>
    <w:rsid w:val="00C069BF"/>
    <w:rsid w:val="00C079BE"/>
    <w:rsid w:val="00C10F77"/>
    <w:rsid w:val="00C12825"/>
    <w:rsid w:val="00C12FBD"/>
    <w:rsid w:val="00C1362A"/>
    <w:rsid w:val="00C14936"/>
    <w:rsid w:val="00C16550"/>
    <w:rsid w:val="00C17EFB"/>
    <w:rsid w:val="00C2352A"/>
    <w:rsid w:val="00C26115"/>
    <w:rsid w:val="00C269DB"/>
    <w:rsid w:val="00C26B98"/>
    <w:rsid w:val="00C26F47"/>
    <w:rsid w:val="00C27268"/>
    <w:rsid w:val="00C3013B"/>
    <w:rsid w:val="00C3092C"/>
    <w:rsid w:val="00C31A6B"/>
    <w:rsid w:val="00C3364F"/>
    <w:rsid w:val="00C3444B"/>
    <w:rsid w:val="00C34939"/>
    <w:rsid w:val="00C36697"/>
    <w:rsid w:val="00C36AFE"/>
    <w:rsid w:val="00C37C3B"/>
    <w:rsid w:val="00C40685"/>
    <w:rsid w:val="00C4095D"/>
    <w:rsid w:val="00C40DF1"/>
    <w:rsid w:val="00C422E4"/>
    <w:rsid w:val="00C42D25"/>
    <w:rsid w:val="00C431C3"/>
    <w:rsid w:val="00C446DC"/>
    <w:rsid w:val="00C4498C"/>
    <w:rsid w:val="00C4519D"/>
    <w:rsid w:val="00C4626E"/>
    <w:rsid w:val="00C464CE"/>
    <w:rsid w:val="00C46FB7"/>
    <w:rsid w:val="00C47420"/>
    <w:rsid w:val="00C50516"/>
    <w:rsid w:val="00C506A6"/>
    <w:rsid w:val="00C53446"/>
    <w:rsid w:val="00C53ECA"/>
    <w:rsid w:val="00C54EC7"/>
    <w:rsid w:val="00C54FE6"/>
    <w:rsid w:val="00C552C4"/>
    <w:rsid w:val="00C5596D"/>
    <w:rsid w:val="00C56299"/>
    <w:rsid w:val="00C56F3C"/>
    <w:rsid w:val="00C60503"/>
    <w:rsid w:val="00C62E5C"/>
    <w:rsid w:val="00C6320C"/>
    <w:rsid w:val="00C63C98"/>
    <w:rsid w:val="00C6452C"/>
    <w:rsid w:val="00C654E6"/>
    <w:rsid w:val="00C662B0"/>
    <w:rsid w:val="00C67243"/>
    <w:rsid w:val="00C67413"/>
    <w:rsid w:val="00C67F7F"/>
    <w:rsid w:val="00C70AB2"/>
    <w:rsid w:val="00C72BAB"/>
    <w:rsid w:val="00C74082"/>
    <w:rsid w:val="00C74A68"/>
    <w:rsid w:val="00C74C13"/>
    <w:rsid w:val="00C74DE9"/>
    <w:rsid w:val="00C754CA"/>
    <w:rsid w:val="00C7609A"/>
    <w:rsid w:val="00C76317"/>
    <w:rsid w:val="00C76D72"/>
    <w:rsid w:val="00C77207"/>
    <w:rsid w:val="00C77B3E"/>
    <w:rsid w:val="00C805C2"/>
    <w:rsid w:val="00C81E33"/>
    <w:rsid w:val="00C83290"/>
    <w:rsid w:val="00C8496A"/>
    <w:rsid w:val="00C85FFC"/>
    <w:rsid w:val="00C871AC"/>
    <w:rsid w:val="00C918FF"/>
    <w:rsid w:val="00C9257D"/>
    <w:rsid w:val="00C93646"/>
    <w:rsid w:val="00C939B9"/>
    <w:rsid w:val="00C94D86"/>
    <w:rsid w:val="00C96FA8"/>
    <w:rsid w:val="00C97691"/>
    <w:rsid w:val="00C97789"/>
    <w:rsid w:val="00CA0815"/>
    <w:rsid w:val="00CA17B3"/>
    <w:rsid w:val="00CA3C40"/>
    <w:rsid w:val="00CA59EE"/>
    <w:rsid w:val="00CA63EE"/>
    <w:rsid w:val="00CA698A"/>
    <w:rsid w:val="00CA6C78"/>
    <w:rsid w:val="00CB0D60"/>
    <w:rsid w:val="00CB1411"/>
    <w:rsid w:val="00CB1EB7"/>
    <w:rsid w:val="00CB2F0E"/>
    <w:rsid w:val="00CB30C9"/>
    <w:rsid w:val="00CB38DB"/>
    <w:rsid w:val="00CB3AC2"/>
    <w:rsid w:val="00CB42D6"/>
    <w:rsid w:val="00CB571D"/>
    <w:rsid w:val="00CB65DF"/>
    <w:rsid w:val="00CB6952"/>
    <w:rsid w:val="00CB7797"/>
    <w:rsid w:val="00CB7B65"/>
    <w:rsid w:val="00CB7F50"/>
    <w:rsid w:val="00CC1893"/>
    <w:rsid w:val="00CC1FDF"/>
    <w:rsid w:val="00CC5710"/>
    <w:rsid w:val="00CC593D"/>
    <w:rsid w:val="00CC5A18"/>
    <w:rsid w:val="00CC69C0"/>
    <w:rsid w:val="00CC69E5"/>
    <w:rsid w:val="00CC767C"/>
    <w:rsid w:val="00CD0BDA"/>
    <w:rsid w:val="00CD1FFC"/>
    <w:rsid w:val="00CD34A8"/>
    <w:rsid w:val="00CD4ABC"/>
    <w:rsid w:val="00CD4EFC"/>
    <w:rsid w:val="00CD60B6"/>
    <w:rsid w:val="00CD755D"/>
    <w:rsid w:val="00CD7B22"/>
    <w:rsid w:val="00CD7CDA"/>
    <w:rsid w:val="00CE07E4"/>
    <w:rsid w:val="00CE28B5"/>
    <w:rsid w:val="00CE305F"/>
    <w:rsid w:val="00CE380C"/>
    <w:rsid w:val="00CE421F"/>
    <w:rsid w:val="00CE4626"/>
    <w:rsid w:val="00CE46BB"/>
    <w:rsid w:val="00CE50B0"/>
    <w:rsid w:val="00CE57FD"/>
    <w:rsid w:val="00CE61D0"/>
    <w:rsid w:val="00CE6D5F"/>
    <w:rsid w:val="00CE7297"/>
    <w:rsid w:val="00CF3DD6"/>
    <w:rsid w:val="00CF5082"/>
    <w:rsid w:val="00CF647F"/>
    <w:rsid w:val="00CF7F81"/>
    <w:rsid w:val="00D018DE"/>
    <w:rsid w:val="00D02689"/>
    <w:rsid w:val="00D02F46"/>
    <w:rsid w:val="00D034E1"/>
    <w:rsid w:val="00D034E5"/>
    <w:rsid w:val="00D0376A"/>
    <w:rsid w:val="00D03DC9"/>
    <w:rsid w:val="00D05DFF"/>
    <w:rsid w:val="00D111FC"/>
    <w:rsid w:val="00D11806"/>
    <w:rsid w:val="00D122A4"/>
    <w:rsid w:val="00D1266A"/>
    <w:rsid w:val="00D13F34"/>
    <w:rsid w:val="00D1411D"/>
    <w:rsid w:val="00D158FC"/>
    <w:rsid w:val="00D161EF"/>
    <w:rsid w:val="00D16AD3"/>
    <w:rsid w:val="00D20993"/>
    <w:rsid w:val="00D220BD"/>
    <w:rsid w:val="00D22468"/>
    <w:rsid w:val="00D2343E"/>
    <w:rsid w:val="00D238F2"/>
    <w:rsid w:val="00D26175"/>
    <w:rsid w:val="00D273DF"/>
    <w:rsid w:val="00D30974"/>
    <w:rsid w:val="00D30FB5"/>
    <w:rsid w:val="00D33068"/>
    <w:rsid w:val="00D33174"/>
    <w:rsid w:val="00D34105"/>
    <w:rsid w:val="00D3438F"/>
    <w:rsid w:val="00D346BB"/>
    <w:rsid w:val="00D3472C"/>
    <w:rsid w:val="00D34B04"/>
    <w:rsid w:val="00D34C13"/>
    <w:rsid w:val="00D350D5"/>
    <w:rsid w:val="00D35B88"/>
    <w:rsid w:val="00D36518"/>
    <w:rsid w:val="00D41229"/>
    <w:rsid w:val="00D4141B"/>
    <w:rsid w:val="00D41A55"/>
    <w:rsid w:val="00D4217B"/>
    <w:rsid w:val="00D42276"/>
    <w:rsid w:val="00D46FF2"/>
    <w:rsid w:val="00D4743F"/>
    <w:rsid w:val="00D47967"/>
    <w:rsid w:val="00D5094E"/>
    <w:rsid w:val="00D515DF"/>
    <w:rsid w:val="00D5171A"/>
    <w:rsid w:val="00D51A3C"/>
    <w:rsid w:val="00D52526"/>
    <w:rsid w:val="00D52FC3"/>
    <w:rsid w:val="00D5468C"/>
    <w:rsid w:val="00D54DF7"/>
    <w:rsid w:val="00D5589F"/>
    <w:rsid w:val="00D55B19"/>
    <w:rsid w:val="00D56906"/>
    <w:rsid w:val="00D56B9E"/>
    <w:rsid w:val="00D6114C"/>
    <w:rsid w:val="00D619C6"/>
    <w:rsid w:val="00D626AF"/>
    <w:rsid w:val="00D6299E"/>
    <w:rsid w:val="00D63C6B"/>
    <w:rsid w:val="00D63E35"/>
    <w:rsid w:val="00D647F4"/>
    <w:rsid w:val="00D65169"/>
    <w:rsid w:val="00D65475"/>
    <w:rsid w:val="00D65838"/>
    <w:rsid w:val="00D65FC2"/>
    <w:rsid w:val="00D67242"/>
    <w:rsid w:val="00D67330"/>
    <w:rsid w:val="00D676E3"/>
    <w:rsid w:val="00D704A9"/>
    <w:rsid w:val="00D724EB"/>
    <w:rsid w:val="00D73035"/>
    <w:rsid w:val="00D73160"/>
    <w:rsid w:val="00D74D2F"/>
    <w:rsid w:val="00D758F1"/>
    <w:rsid w:val="00D77984"/>
    <w:rsid w:val="00D80A78"/>
    <w:rsid w:val="00D80DEE"/>
    <w:rsid w:val="00D8150E"/>
    <w:rsid w:val="00D82101"/>
    <w:rsid w:val="00D823F8"/>
    <w:rsid w:val="00D8279E"/>
    <w:rsid w:val="00D83459"/>
    <w:rsid w:val="00D844EF"/>
    <w:rsid w:val="00D84AD8"/>
    <w:rsid w:val="00D87964"/>
    <w:rsid w:val="00D879DF"/>
    <w:rsid w:val="00D91CA6"/>
    <w:rsid w:val="00D92B36"/>
    <w:rsid w:val="00D93CBC"/>
    <w:rsid w:val="00D940BA"/>
    <w:rsid w:val="00D94861"/>
    <w:rsid w:val="00D96136"/>
    <w:rsid w:val="00D9703C"/>
    <w:rsid w:val="00D975DA"/>
    <w:rsid w:val="00DA0D17"/>
    <w:rsid w:val="00DA0F58"/>
    <w:rsid w:val="00DA1176"/>
    <w:rsid w:val="00DA1F32"/>
    <w:rsid w:val="00DA2556"/>
    <w:rsid w:val="00DA3001"/>
    <w:rsid w:val="00DA31CB"/>
    <w:rsid w:val="00DA3265"/>
    <w:rsid w:val="00DA5E69"/>
    <w:rsid w:val="00DA71E6"/>
    <w:rsid w:val="00DB1FA5"/>
    <w:rsid w:val="00DB2A24"/>
    <w:rsid w:val="00DB4177"/>
    <w:rsid w:val="00DB43B4"/>
    <w:rsid w:val="00DB47C8"/>
    <w:rsid w:val="00DB4C00"/>
    <w:rsid w:val="00DB5FC7"/>
    <w:rsid w:val="00DB7078"/>
    <w:rsid w:val="00DB77CA"/>
    <w:rsid w:val="00DC1F96"/>
    <w:rsid w:val="00DC2D38"/>
    <w:rsid w:val="00DC3E9D"/>
    <w:rsid w:val="00DC3F34"/>
    <w:rsid w:val="00DC4602"/>
    <w:rsid w:val="00DC59C8"/>
    <w:rsid w:val="00DC6762"/>
    <w:rsid w:val="00DD195C"/>
    <w:rsid w:val="00DD2861"/>
    <w:rsid w:val="00DD439C"/>
    <w:rsid w:val="00DD4B46"/>
    <w:rsid w:val="00DD4C06"/>
    <w:rsid w:val="00DD5CBA"/>
    <w:rsid w:val="00DD65CD"/>
    <w:rsid w:val="00DD6711"/>
    <w:rsid w:val="00DE23D2"/>
    <w:rsid w:val="00DE280A"/>
    <w:rsid w:val="00DE28A8"/>
    <w:rsid w:val="00DE35DF"/>
    <w:rsid w:val="00DE35EF"/>
    <w:rsid w:val="00DE40DB"/>
    <w:rsid w:val="00DE44B2"/>
    <w:rsid w:val="00DE594C"/>
    <w:rsid w:val="00DE59D6"/>
    <w:rsid w:val="00DE64A1"/>
    <w:rsid w:val="00DF01CA"/>
    <w:rsid w:val="00DF0DC8"/>
    <w:rsid w:val="00DF1231"/>
    <w:rsid w:val="00DF2B7D"/>
    <w:rsid w:val="00DF32B3"/>
    <w:rsid w:val="00DF35B4"/>
    <w:rsid w:val="00DF37B9"/>
    <w:rsid w:val="00DF3EA9"/>
    <w:rsid w:val="00DF4BE0"/>
    <w:rsid w:val="00DF594B"/>
    <w:rsid w:val="00DF5C7A"/>
    <w:rsid w:val="00DF6B46"/>
    <w:rsid w:val="00DF6FC5"/>
    <w:rsid w:val="00DF7751"/>
    <w:rsid w:val="00E002EE"/>
    <w:rsid w:val="00E01032"/>
    <w:rsid w:val="00E02A84"/>
    <w:rsid w:val="00E03B1B"/>
    <w:rsid w:val="00E04E2A"/>
    <w:rsid w:val="00E0561A"/>
    <w:rsid w:val="00E05A9B"/>
    <w:rsid w:val="00E05F6B"/>
    <w:rsid w:val="00E06038"/>
    <w:rsid w:val="00E06B89"/>
    <w:rsid w:val="00E06CB4"/>
    <w:rsid w:val="00E079E4"/>
    <w:rsid w:val="00E07C2E"/>
    <w:rsid w:val="00E103AB"/>
    <w:rsid w:val="00E109EA"/>
    <w:rsid w:val="00E11C53"/>
    <w:rsid w:val="00E14225"/>
    <w:rsid w:val="00E1437C"/>
    <w:rsid w:val="00E1453D"/>
    <w:rsid w:val="00E15395"/>
    <w:rsid w:val="00E167AC"/>
    <w:rsid w:val="00E16E7E"/>
    <w:rsid w:val="00E1715D"/>
    <w:rsid w:val="00E20067"/>
    <w:rsid w:val="00E20320"/>
    <w:rsid w:val="00E21284"/>
    <w:rsid w:val="00E221F8"/>
    <w:rsid w:val="00E223BC"/>
    <w:rsid w:val="00E22A14"/>
    <w:rsid w:val="00E23F73"/>
    <w:rsid w:val="00E23FB5"/>
    <w:rsid w:val="00E25B19"/>
    <w:rsid w:val="00E2776A"/>
    <w:rsid w:val="00E277FA"/>
    <w:rsid w:val="00E30C88"/>
    <w:rsid w:val="00E325CF"/>
    <w:rsid w:val="00E331B2"/>
    <w:rsid w:val="00E33EBA"/>
    <w:rsid w:val="00E35099"/>
    <w:rsid w:val="00E363C2"/>
    <w:rsid w:val="00E3767D"/>
    <w:rsid w:val="00E40750"/>
    <w:rsid w:val="00E41855"/>
    <w:rsid w:val="00E41E61"/>
    <w:rsid w:val="00E41F18"/>
    <w:rsid w:val="00E423CE"/>
    <w:rsid w:val="00E431FC"/>
    <w:rsid w:val="00E4334F"/>
    <w:rsid w:val="00E4503F"/>
    <w:rsid w:val="00E45649"/>
    <w:rsid w:val="00E46F51"/>
    <w:rsid w:val="00E503D1"/>
    <w:rsid w:val="00E50860"/>
    <w:rsid w:val="00E5111E"/>
    <w:rsid w:val="00E532A1"/>
    <w:rsid w:val="00E5347F"/>
    <w:rsid w:val="00E54D50"/>
    <w:rsid w:val="00E55702"/>
    <w:rsid w:val="00E55EF1"/>
    <w:rsid w:val="00E5658E"/>
    <w:rsid w:val="00E60035"/>
    <w:rsid w:val="00E60917"/>
    <w:rsid w:val="00E60B5C"/>
    <w:rsid w:val="00E60D3F"/>
    <w:rsid w:val="00E618D6"/>
    <w:rsid w:val="00E61B38"/>
    <w:rsid w:val="00E61F2D"/>
    <w:rsid w:val="00E62A9F"/>
    <w:rsid w:val="00E63AF8"/>
    <w:rsid w:val="00E63DD2"/>
    <w:rsid w:val="00E643D6"/>
    <w:rsid w:val="00E65D10"/>
    <w:rsid w:val="00E660B4"/>
    <w:rsid w:val="00E66264"/>
    <w:rsid w:val="00E67690"/>
    <w:rsid w:val="00E703D3"/>
    <w:rsid w:val="00E714EC"/>
    <w:rsid w:val="00E71D57"/>
    <w:rsid w:val="00E72C9F"/>
    <w:rsid w:val="00E72D12"/>
    <w:rsid w:val="00E73B44"/>
    <w:rsid w:val="00E75127"/>
    <w:rsid w:val="00E75622"/>
    <w:rsid w:val="00E757A7"/>
    <w:rsid w:val="00E76AF5"/>
    <w:rsid w:val="00E80339"/>
    <w:rsid w:val="00E806DB"/>
    <w:rsid w:val="00E80880"/>
    <w:rsid w:val="00E80CF3"/>
    <w:rsid w:val="00E80EDD"/>
    <w:rsid w:val="00E8358C"/>
    <w:rsid w:val="00E85B53"/>
    <w:rsid w:val="00E8607C"/>
    <w:rsid w:val="00E87336"/>
    <w:rsid w:val="00E87D27"/>
    <w:rsid w:val="00E91FD6"/>
    <w:rsid w:val="00E92FC3"/>
    <w:rsid w:val="00E93CB4"/>
    <w:rsid w:val="00E947AE"/>
    <w:rsid w:val="00E957A9"/>
    <w:rsid w:val="00E95A74"/>
    <w:rsid w:val="00E96323"/>
    <w:rsid w:val="00E96B69"/>
    <w:rsid w:val="00E973C4"/>
    <w:rsid w:val="00E9775E"/>
    <w:rsid w:val="00E97E0F"/>
    <w:rsid w:val="00EA0C71"/>
    <w:rsid w:val="00EA19DC"/>
    <w:rsid w:val="00EA3153"/>
    <w:rsid w:val="00EA3209"/>
    <w:rsid w:val="00EA3437"/>
    <w:rsid w:val="00EA404A"/>
    <w:rsid w:val="00EA432C"/>
    <w:rsid w:val="00EA4685"/>
    <w:rsid w:val="00EA4A5B"/>
    <w:rsid w:val="00EA5BAA"/>
    <w:rsid w:val="00EA6F6B"/>
    <w:rsid w:val="00EA7F03"/>
    <w:rsid w:val="00EB0332"/>
    <w:rsid w:val="00EB071F"/>
    <w:rsid w:val="00EB388C"/>
    <w:rsid w:val="00EB4E9C"/>
    <w:rsid w:val="00EB50CF"/>
    <w:rsid w:val="00EB5C4C"/>
    <w:rsid w:val="00EC02B7"/>
    <w:rsid w:val="00EC1BE0"/>
    <w:rsid w:val="00EC1C91"/>
    <w:rsid w:val="00EC296A"/>
    <w:rsid w:val="00EC2B49"/>
    <w:rsid w:val="00EC3A89"/>
    <w:rsid w:val="00EC3B33"/>
    <w:rsid w:val="00EC5613"/>
    <w:rsid w:val="00EC77FF"/>
    <w:rsid w:val="00EC7A8C"/>
    <w:rsid w:val="00EC7C27"/>
    <w:rsid w:val="00ED0B67"/>
    <w:rsid w:val="00ED2D34"/>
    <w:rsid w:val="00ED41A5"/>
    <w:rsid w:val="00ED4694"/>
    <w:rsid w:val="00ED57A7"/>
    <w:rsid w:val="00ED7FCD"/>
    <w:rsid w:val="00EE099E"/>
    <w:rsid w:val="00EE140F"/>
    <w:rsid w:val="00EE195E"/>
    <w:rsid w:val="00EE2680"/>
    <w:rsid w:val="00EE3B37"/>
    <w:rsid w:val="00EE55CD"/>
    <w:rsid w:val="00EE5772"/>
    <w:rsid w:val="00EE76D0"/>
    <w:rsid w:val="00EF0DE5"/>
    <w:rsid w:val="00EF1902"/>
    <w:rsid w:val="00EF20FF"/>
    <w:rsid w:val="00EF24D7"/>
    <w:rsid w:val="00EF2C47"/>
    <w:rsid w:val="00EF33A2"/>
    <w:rsid w:val="00EF34F4"/>
    <w:rsid w:val="00EF482A"/>
    <w:rsid w:val="00EF48AA"/>
    <w:rsid w:val="00EF55C9"/>
    <w:rsid w:val="00EF55FE"/>
    <w:rsid w:val="00EF5C94"/>
    <w:rsid w:val="00EF6E93"/>
    <w:rsid w:val="00EF7762"/>
    <w:rsid w:val="00EF7AC5"/>
    <w:rsid w:val="00F00844"/>
    <w:rsid w:val="00F034F2"/>
    <w:rsid w:val="00F03D53"/>
    <w:rsid w:val="00F03DBD"/>
    <w:rsid w:val="00F04056"/>
    <w:rsid w:val="00F0434D"/>
    <w:rsid w:val="00F044E2"/>
    <w:rsid w:val="00F05A17"/>
    <w:rsid w:val="00F06A25"/>
    <w:rsid w:val="00F06EF2"/>
    <w:rsid w:val="00F10D07"/>
    <w:rsid w:val="00F10DE6"/>
    <w:rsid w:val="00F11100"/>
    <w:rsid w:val="00F11E19"/>
    <w:rsid w:val="00F12BCE"/>
    <w:rsid w:val="00F12F67"/>
    <w:rsid w:val="00F138F4"/>
    <w:rsid w:val="00F13B16"/>
    <w:rsid w:val="00F13EBA"/>
    <w:rsid w:val="00F1418A"/>
    <w:rsid w:val="00F16A29"/>
    <w:rsid w:val="00F16DF5"/>
    <w:rsid w:val="00F17700"/>
    <w:rsid w:val="00F20604"/>
    <w:rsid w:val="00F22EC0"/>
    <w:rsid w:val="00F232DF"/>
    <w:rsid w:val="00F2478B"/>
    <w:rsid w:val="00F24B2D"/>
    <w:rsid w:val="00F25532"/>
    <w:rsid w:val="00F25820"/>
    <w:rsid w:val="00F266AA"/>
    <w:rsid w:val="00F30128"/>
    <w:rsid w:val="00F31FF9"/>
    <w:rsid w:val="00F32406"/>
    <w:rsid w:val="00F33E42"/>
    <w:rsid w:val="00F36262"/>
    <w:rsid w:val="00F375F2"/>
    <w:rsid w:val="00F409B7"/>
    <w:rsid w:val="00F40C27"/>
    <w:rsid w:val="00F41A86"/>
    <w:rsid w:val="00F4246A"/>
    <w:rsid w:val="00F4333B"/>
    <w:rsid w:val="00F43AC8"/>
    <w:rsid w:val="00F43BB8"/>
    <w:rsid w:val="00F445DD"/>
    <w:rsid w:val="00F459B6"/>
    <w:rsid w:val="00F45EAC"/>
    <w:rsid w:val="00F469D9"/>
    <w:rsid w:val="00F4716F"/>
    <w:rsid w:val="00F47812"/>
    <w:rsid w:val="00F514BD"/>
    <w:rsid w:val="00F5189E"/>
    <w:rsid w:val="00F51E72"/>
    <w:rsid w:val="00F52208"/>
    <w:rsid w:val="00F5240C"/>
    <w:rsid w:val="00F52430"/>
    <w:rsid w:val="00F552AF"/>
    <w:rsid w:val="00F56987"/>
    <w:rsid w:val="00F57409"/>
    <w:rsid w:val="00F574B4"/>
    <w:rsid w:val="00F60475"/>
    <w:rsid w:val="00F6087E"/>
    <w:rsid w:val="00F60919"/>
    <w:rsid w:val="00F60A17"/>
    <w:rsid w:val="00F63A08"/>
    <w:rsid w:val="00F640F9"/>
    <w:rsid w:val="00F64277"/>
    <w:rsid w:val="00F642A5"/>
    <w:rsid w:val="00F6699B"/>
    <w:rsid w:val="00F673D8"/>
    <w:rsid w:val="00F715FB"/>
    <w:rsid w:val="00F7200B"/>
    <w:rsid w:val="00F7228A"/>
    <w:rsid w:val="00F73974"/>
    <w:rsid w:val="00F748C8"/>
    <w:rsid w:val="00F74E92"/>
    <w:rsid w:val="00F75661"/>
    <w:rsid w:val="00F76268"/>
    <w:rsid w:val="00F776C0"/>
    <w:rsid w:val="00F8059F"/>
    <w:rsid w:val="00F818E3"/>
    <w:rsid w:val="00F82AB0"/>
    <w:rsid w:val="00F839BE"/>
    <w:rsid w:val="00F841BD"/>
    <w:rsid w:val="00F8426E"/>
    <w:rsid w:val="00F848E6"/>
    <w:rsid w:val="00F849AD"/>
    <w:rsid w:val="00F85034"/>
    <w:rsid w:val="00F85425"/>
    <w:rsid w:val="00F85437"/>
    <w:rsid w:val="00F85784"/>
    <w:rsid w:val="00F9046C"/>
    <w:rsid w:val="00F91475"/>
    <w:rsid w:val="00F91DC0"/>
    <w:rsid w:val="00F925AC"/>
    <w:rsid w:val="00F934B4"/>
    <w:rsid w:val="00F93C66"/>
    <w:rsid w:val="00F940F9"/>
    <w:rsid w:val="00F945AD"/>
    <w:rsid w:val="00F95F83"/>
    <w:rsid w:val="00F9656A"/>
    <w:rsid w:val="00F96A97"/>
    <w:rsid w:val="00FA1588"/>
    <w:rsid w:val="00FA195B"/>
    <w:rsid w:val="00FA32D7"/>
    <w:rsid w:val="00FA32F6"/>
    <w:rsid w:val="00FA43E4"/>
    <w:rsid w:val="00FA5BE8"/>
    <w:rsid w:val="00FA5C4D"/>
    <w:rsid w:val="00FA6923"/>
    <w:rsid w:val="00FA719C"/>
    <w:rsid w:val="00FB2196"/>
    <w:rsid w:val="00FB27F5"/>
    <w:rsid w:val="00FB2B1E"/>
    <w:rsid w:val="00FB32BA"/>
    <w:rsid w:val="00FB39C9"/>
    <w:rsid w:val="00FB3F37"/>
    <w:rsid w:val="00FB4056"/>
    <w:rsid w:val="00FB4DEF"/>
    <w:rsid w:val="00FB4E0C"/>
    <w:rsid w:val="00FB6D82"/>
    <w:rsid w:val="00FB7C9C"/>
    <w:rsid w:val="00FC0B02"/>
    <w:rsid w:val="00FC1760"/>
    <w:rsid w:val="00FC24DF"/>
    <w:rsid w:val="00FC414A"/>
    <w:rsid w:val="00FC4DC9"/>
    <w:rsid w:val="00FC5301"/>
    <w:rsid w:val="00FC5B0C"/>
    <w:rsid w:val="00FC62C6"/>
    <w:rsid w:val="00FC655F"/>
    <w:rsid w:val="00FC7A92"/>
    <w:rsid w:val="00FD1D71"/>
    <w:rsid w:val="00FD2392"/>
    <w:rsid w:val="00FD2A66"/>
    <w:rsid w:val="00FD3034"/>
    <w:rsid w:val="00FD3B5A"/>
    <w:rsid w:val="00FD4748"/>
    <w:rsid w:val="00FD4F1B"/>
    <w:rsid w:val="00FD5717"/>
    <w:rsid w:val="00FD7721"/>
    <w:rsid w:val="00FD7840"/>
    <w:rsid w:val="00FD7EEC"/>
    <w:rsid w:val="00FE0482"/>
    <w:rsid w:val="00FE05DE"/>
    <w:rsid w:val="00FE18A0"/>
    <w:rsid w:val="00FE24F0"/>
    <w:rsid w:val="00FE2648"/>
    <w:rsid w:val="00FE3A12"/>
    <w:rsid w:val="00FE3A13"/>
    <w:rsid w:val="00FE4467"/>
    <w:rsid w:val="00FE48FE"/>
    <w:rsid w:val="00FE6341"/>
    <w:rsid w:val="00FE7A45"/>
    <w:rsid w:val="00FE7E7B"/>
    <w:rsid w:val="00FF04FF"/>
    <w:rsid w:val="00FF1404"/>
    <w:rsid w:val="00FF150E"/>
    <w:rsid w:val="00FF16FF"/>
    <w:rsid w:val="00FF3D60"/>
    <w:rsid w:val="00FF417B"/>
    <w:rsid w:val="00FF4783"/>
    <w:rsid w:val="00FF4984"/>
    <w:rsid w:val="00FF4992"/>
    <w:rsid w:val="00FF4BDB"/>
    <w:rsid w:val="00FF5D6A"/>
    <w:rsid w:val="00FF620E"/>
    <w:rsid w:val="00FF643D"/>
    <w:rsid w:val="00FF669E"/>
    <w:rsid w:val="00FF6FA9"/>
    <w:rsid w:val="00FF7CD4"/>
    <w:rsid w:val="01462A1D"/>
    <w:rsid w:val="017E433B"/>
    <w:rsid w:val="01BD2FEA"/>
    <w:rsid w:val="020B5EF8"/>
    <w:rsid w:val="020C4532"/>
    <w:rsid w:val="032651BC"/>
    <w:rsid w:val="03847C36"/>
    <w:rsid w:val="03AC2672"/>
    <w:rsid w:val="04857DE7"/>
    <w:rsid w:val="049A1044"/>
    <w:rsid w:val="04BD1B14"/>
    <w:rsid w:val="05076841"/>
    <w:rsid w:val="051756C8"/>
    <w:rsid w:val="056D429E"/>
    <w:rsid w:val="05703633"/>
    <w:rsid w:val="05B161E7"/>
    <w:rsid w:val="05BD412A"/>
    <w:rsid w:val="060817AE"/>
    <w:rsid w:val="06791B38"/>
    <w:rsid w:val="06994943"/>
    <w:rsid w:val="069F5933"/>
    <w:rsid w:val="06CA5CC7"/>
    <w:rsid w:val="070A0CA9"/>
    <w:rsid w:val="07143142"/>
    <w:rsid w:val="074B67D6"/>
    <w:rsid w:val="075F2CA4"/>
    <w:rsid w:val="07721980"/>
    <w:rsid w:val="07D6551C"/>
    <w:rsid w:val="07F50F33"/>
    <w:rsid w:val="09CA74BE"/>
    <w:rsid w:val="09D654AB"/>
    <w:rsid w:val="0A9156BD"/>
    <w:rsid w:val="0AA11BEA"/>
    <w:rsid w:val="0AA220FB"/>
    <w:rsid w:val="0B9A2859"/>
    <w:rsid w:val="0C350BD2"/>
    <w:rsid w:val="0D8633EB"/>
    <w:rsid w:val="0E11485F"/>
    <w:rsid w:val="0E5878EC"/>
    <w:rsid w:val="0E7C6B7B"/>
    <w:rsid w:val="0E940F57"/>
    <w:rsid w:val="0ECF0104"/>
    <w:rsid w:val="0FBB59BF"/>
    <w:rsid w:val="0FC56CEC"/>
    <w:rsid w:val="0FF20A08"/>
    <w:rsid w:val="0FF744E1"/>
    <w:rsid w:val="0FFC4E79"/>
    <w:rsid w:val="102D0222"/>
    <w:rsid w:val="112B395B"/>
    <w:rsid w:val="119E0830"/>
    <w:rsid w:val="1283622D"/>
    <w:rsid w:val="12CE66C3"/>
    <w:rsid w:val="136F1744"/>
    <w:rsid w:val="13955775"/>
    <w:rsid w:val="14B54F9F"/>
    <w:rsid w:val="15411F49"/>
    <w:rsid w:val="15D64E2A"/>
    <w:rsid w:val="15DF5149"/>
    <w:rsid w:val="16474B29"/>
    <w:rsid w:val="1658121A"/>
    <w:rsid w:val="165D30E9"/>
    <w:rsid w:val="166E17C6"/>
    <w:rsid w:val="16CE7642"/>
    <w:rsid w:val="17C663E8"/>
    <w:rsid w:val="190854FB"/>
    <w:rsid w:val="192660E7"/>
    <w:rsid w:val="195C520F"/>
    <w:rsid w:val="19621C6B"/>
    <w:rsid w:val="19CB332B"/>
    <w:rsid w:val="19F569AC"/>
    <w:rsid w:val="1A3B1A8D"/>
    <w:rsid w:val="1A3E00FA"/>
    <w:rsid w:val="1B17636D"/>
    <w:rsid w:val="1BAB7F4D"/>
    <w:rsid w:val="1BEE2A3E"/>
    <w:rsid w:val="1C1D1B69"/>
    <w:rsid w:val="1C45597C"/>
    <w:rsid w:val="1C5F7E3D"/>
    <w:rsid w:val="1CC62071"/>
    <w:rsid w:val="1D492763"/>
    <w:rsid w:val="1D7B1C75"/>
    <w:rsid w:val="1DE2201E"/>
    <w:rsid w:val="1E201D84"/>
    <w:rsid w:val="1E420CCB"/>
    <w:rsid w:val="20077B1A"/>
    <w:rsid w:val="20754E6F"/>
    <w:rsid w:val="207E5937"/>
    <w:rsid w:val="208F27BA"/>
    <w:rsid w:val="20BE46C3"/>
    <w:rsid w:val="20E74D72"/>
    <w:rsid w:val="20EF5B27"/>
    <w:rsid w:val="20F71B23"/>
    <w:rsid w:val="213E4862"/>
    <w:rsid w:val="21447D04"/>
    <w:rsid w:val="22317444"/>
    <w:rsid w:val="22614A5E"/>
    <w:rsid w:val="22643492"/>
    <w:rsid w:val="22787BFB"/>
    <w:rsid w:val="22F2296B"/>
    <w:rsid w:val="23262D48"/>
    <w:rsid w:val="23B45FAD"/>
    <w:rsid w:val="23E36ED5"/>
    <w:rsid w:val="240B355E"/>
    <w:rsid w:val="24DD59E2"/>
    <w:rsid w:val="25505E5C"/>
    <w:rsid w:val="25706C50"/>
    <w:rsid w:val="25F834C8"/>
    <w:rsid w:val="26273D4A"/>
    <w:rsid w:val="264E7591"/>
    <w:rsid w:val="267D026D"/>
    <w:rsid w:val="26AC7897"/>
    <w:rsid w:val="27BC70B6"/>
    <w:rsid w:val="284C3915"/>
    <w:rsid w:val="289A5C9D"/>
    <w:rsid w:val="28A12423"/>
    <w:rsid w:val="28AF6230"/>
    <w:rsid w:val="28D3667E"/>
    <w:rsid w:val="28DA1432"/>
    <w:rsid w:val="28E16807"/>
    <w:rsid w:val="28FD71A7"/>
    <w:rsid w:val="291F61ED"/>
    <w:rsid w:val="299552D5"/>
    <w:rsid w:val="29B87B25"/>
    <w:rsid w:val="2A836498"/>
    <w:rsid w:val="2A9F08C1"/>
    <w:rsid w:val="2B290783"/>
    <w:rsid w:val="2BD47772"/>
    <w:rsid w:val="2C970E0E"/>
    <w:rsid w:val="2CA07C80"/>
    <w:rsid w:val="2CDE5381"/>
    <w:rsid w:val="2D2A017F"/>
    <w:rsid w:val="2DD501ED"/>
    <w:rsid w:val="2DD71B93"/>
    <w:rsid w:val="2DF96D77"/>
    <w:rsid w:val="2E246ADE"/>
    <w:rsid w:val="2E5A09CB"/>
    <w:rsid w:val="2EAB57FB"/>
    <w:rsid w:val="2EBB5F7D"/>
    <w:rsid w:val="2F536A88"/>
    <w:rsid w:val="2F627C66"/>
    <w:rsid w:val="2FF92384"/>
    <w:rsid w:val="3027168F"/>
    <w:rsid w:val="3050764C"/>
    <w:rsid w:val="3086321B"/>
    <w:rsid w:val="310A5CBF"/>
    <w:rsid w:val="310D335B"/>
    <w:rsid w:val="310E6B83"/>
    <w:rsid w:val="320D154F"/>
    <w:rsid w:val="325C5326"/>
    <w:rsid w:val="32A91E1F"/>
    <w:rsid w:val="33180F62"/>
    <w:rsid w:val="33C04082"/>
    <w:rsid w:val="33C1732B"/>
    <w:rsid w:val="33F41150"/>
    <w:rsid w:val="34022978"/>
    <w:rsid w:val="349129E1"/>
    <w:rsid w:val="34AF2CD2"/>
    <w:rsid w:val="34B43442"/>
    <w:rsid w:val="3569363F"/>
    <w:rsid w:val="35D23830"/>
    <w:rsid w:val="36853308"/>
    <w:rsid w:val="36A810A4"/>
    <w:rsid w:val="36A858D0"/>
    <w:rsid w:val="36BD137C"/>
    <w:rsid w:val="37BA6019"/>
    <w:rsid w:val="38B23B52"/>
    <w:rsid w:val="38CB1838"/>
    <w:rsid w:val="39654867"/>
    <w:rsid w:val="39664E96"/>
    <w:rsid w:val="396A2BB4"/>
    <w:rsid w:val="3985643A"/>
    <w:rsid w:val="39A844EF"/>
    <w:rsid w:val="39F77C8F"/>
    <w:rsid w:val="39F81638"/>
    <w:rsid w:val="3A3F590D"/>
    <w:rsid w:val="3AC07D99"/>
    <w:rsid w:val="3AE31AD2"/>
    <w:rsid w:val="3AEF2781"/>
    <w:rsid w:val="3B104879"/>
    <w:rsid w:val="3B1919C4"/>
    <w:rsid w:val="3B1A0C50"/>
    <w:rsid w:val="3B854432"/>
    <w:rsid w:val="3CB16E3E"/>
    <w:rsid w:val="3CCB7FFC"/>
    <w:rsid w:val="3DF86F68"/>
    <w:rsid w:val="3E2B4101"/>
    <w:rsid w:val="3E8B09F4"/>
    <w:rsid w:val="401119A3"/>
    <w:rsid w:val="4044122C"/>
    <w:rsid w:val="407B3AD1"/>
    <w:rsid w:val="40B4693C"/>
    <w:rsid w:val="40B75F3B"/>
    <w:rsid w:val="41260371"/>
    <w:rsid w:val="416246F0"/>
    <w:rsid w:val="42286415"/>
    <w:rsid w:val="42464A4E"/>
    <w:rsid w:val="42550670"/>
    <w:rsid w:val="42BC7A2B"/>
    <w:rsid w:val="42DD246A"/>
    <w:rsid w:val="4317379F"/>
    <w:rsid w:val="433B464B"/>
    <w:rsid w:val="44906114"/>
    <w:rsid w:val="44D757AF"/>
    <w:rsid w:val="44EF3FD1"/>
    <w:rsid w:val="45A90CE6"/>
    <w:rsid w:val="463C1E8C"/>
    <w:rsid w:val="46532DDB"/>
    <w:rsid w:val="46677D56"/>
    <w:rsid w:val="46804A37"/>
    <w:rsid w:val="46817D46"/>
    <w:rsid w:val="472C4F7A"/>
    <w:rsid w:val="4803794D"/>
    <w:rsid w:val="48362D17"/>
    <w:rsid w:val="48492FFC"/>
    <w:rsid w:val="48C60D50"/>
    <w:rsid w:val="498648FC"/>
    <w:rsid w:val="49C83128"/>
    <w:rsid w:val="4A127F05"/>
    <w:rsid w:val="4A1775B4"/>
    <w:rsid w:val="4A294DC7"/>
    <w:rsid w:val="4A5B1180"/>
    <w:rsid w:val="4A81256B"/>
    <w:rsid w:val="4A904B75"/>
    <w:rsid w:val="4A912F66"/>
    <w:rsid w:val="4A99531F"/>
    <w:rsid w:val="4AF84B9A"/>
    <w:rsid w:val="4B317AB5"/>
    <w:rsid w:val="4B5A18C3"/>
    <w:rsid w:val="4CEA732F"/>
    <w:rsid w:val="4D7E3C63"/>
    <w:rsid w:val="4D89031B"/>
    <w:rsid w:val="4E3D4A2A"/>
    <w:rsid w:val="4EB51228"/>
    <w:rsid w:val="4F134BA2"/>
    <w:rsid w:val="4FFD6C06"/>
    <w:rsid w:val="50436361"/>
    <w:rsid w:val="504F7B5F"/>
    <w:rsid w:val="512F69C7"/>
    <w:rsid w:val="51836FDD"/>
    <w:rsid w:val="51C709D6"/>
    <w:rsid w:val="51EB3696"/>
    <w:rsid w:val="528A29BE"/>
    <w:rsid w:val="52A90E73"/>
    <w:rsid w:val="52AB6A62"/>
    <w:rsid w:val="52DF5777"/>
    <w:rsid w:val="532515F2"/>
    <w:rsid w:val="53271AAD"/>
    <w:rsid w:val="53363FF5"/>
    <w:rsid w:val="54136B34"/>
    <w:rsid w:val="546D3F89"/>
    <w:rsid w:val="54B12975"/>
    <w:rsid w:val="54B5072D"/>
    <w:rsid w:val="54C9133C"/>
    <w:rsid w:val="54D333B0"/>
    <w:rsid w:val="54F20AA2"/>
    <w:rsid w:val="55024FC2"/>
    <w:rsid w:val="553E25B8"/>
    <w:rsid w:val="55F953C6"/>
    <w:rsid w:val="56210C1C"/>
    <w:rsid w:val="56E80999"/>
    <w:rsid w:val="56F85676"/>
    <w:rsid w:val="573451E6"/>
    <w:rsid w:val="57BD6FD6"/>
    <w:rsid w:val="58283F61"/>
    <w:rsid w:val="586E0F84"/>
    <w:rsid w:val="58E37FE6"/>
    <w:rsid w:val="594B1ED2"/>
    <w:rsid w:val="59980475"/>
    <w:rsid w:val="599E70AA"/>
    <w:rsid w:val="59B03D00"/>
    <w:rsid w:val="59C108F0"/>
    <w:rsid w:val="5A1B7CA5"/>
    <w:rsid w:val="5A2D1FBA"/>
    <w:rsid w:val="5A67091C"/>
    <w:rsid w:val="5A9F0387"/>
    <w:rsid w:val="5B4C52C3"/>
    <w:rsid w:val="5B874316"/>
    <w:rsid w:val="5BB45617"/>
    <w:rsid w:val="5C184957"/>
    <w:rsid w:val="5C2878E4"/>
    <w:rsid w:val="5C3D6CC7"/>
    <w:rsid w:val="5C73483B"/>
    <w:rsid w:val="5C9E6D7D"/>
    <w:rsid w:val="5CCD55A6"/>
    <w:rsid w:val="5D2A6606"/>
    <w:rsid w:val="5D9235AE"/>
    <w:rsid w:val="5DBD379F"/>
    <w:rsid w:val="5DC718AA"/>
    <w:rsid w:val="5E0D06DC"/>
    <w:rsid w:val="5E760E8A"/>
    <w:rsid w:val="5EFE3B3A"/>
    <w:rsid w:val="5F476E32"/>
    <w:rsid w:val="5FE749DA"/>
    <w:rsid w:val="5FEF1CF6"/>
    <w:rsid w:val="60073114"/>
    <w:rsid w:val="60814997"/>
    <w:rsid w:val="609E56C7"/>
    <w:rsid w:val="60CD7593"/>
    <w:rsid w:val="60FA7C01"/>
    <w:rsid w:val="61103BF2"/>
    <w:rsid w:val="612058F0"/>
    <w:rsid w:val="61356E03"/>
    <w:rsid w:val="617F5B35"/>
    <w:rsid w:val="624B7FF9"/>
    <w:rsid w:val="62622423"/>
    <w:rsid w:val="62816E52"/>
    <w:rsid w:val="628B4AAF"/>
    <w:rsid w:val="63097033"/>
    <w:rsid w:val="634B50D9"/>
    <w:rsid w:val="63785072"/>
    <w:rsid w:val="63D20142"/>
    <w:rsid w:val="644710F6"/>
    <w:rsid w:val="646A70B1"/>
    <w:rsid w:val="655527B7"/>
    <w:rsid w:val="65806AAA"/>
    <w:rsid w:val="65C4726D"/>
    <w:rsid w:val="65FF7393"/>
    <w:rsid w:val="669A1429"/>
    <w:rsid w:val="66FA4BB5"/>
    <w:rsid w:val="66FD1766"/>
    <w:rsid w:val="679D7077"/>
    <w:rsid w:val="67C32BF2"/>
    <w:rsid w:val="6808177F"/>
    <w:rsid w:val="6851393F"/>
    <w:rsid w:val="68A51B83"/>
    <w:rsid w:val="68C77BAA"/>
    <w:rsid w:val="68F8548F"/>
    <w:rsid w:val="692D7868"/>
    <w:rsid w:val="69300D86"/>
    <w:rsid w:val="693B08E4"/>
    <w:rsid w:val="69620E4B"/>
    <w:rsid w:val="69DA5BAF"/>
    <w:rsid w:val="6A3F15E2"/>
    <w:rsid w:val="6A821E68"/>
    <w:rsid w:val="6AF52CE5"/>
    <w:rsid w:val="6B3764B6"/>
    <w:rsid w:val="6BD94F65"/>
    <w:rsid w:val="6BFB05CA"/>
    <w:rsid w:val="6C044F8B"/>
    <w:rsid w:val="6C251286"/>
    <w:rsid w:val="6C6E1DCF"/>
    <w:rsid w:val="6D0401A0"/>
    <w:rsid w:val="6D74379D"/>
    <w:rsid w:val="6D820B7A"/>
    <w:rsid w:val="6DFD70CF"/>
    <w:rsid w:val="6E484F83"/>
    <w:rsid w:val="6E6F4C9B"/>
    <w:rsid w:val="6E93036D"/>
    <w:rsid w:val="6ECC4A62"/>
    <w:rsid w:val="6FBE0976"/>
    <w:rsid w:val="6FD5646A"/>
    <w:rsid w:val="702053F9"/>
    <w:rsid w:val="70297CF5"/>
    <w:rsid w:val="706C27D2"/>
    <w:rsid w:val="70D254FE"/>
    <w:rsid w:val="70F4006E"/>
    <w:rsid w:val="72A746B3"/>
    <w:rsid w:val="72B504E8"/>
    <w:rsid w:val="72D51220"/>
    <w:rsid w:val="73944E73"/>
    <w:rsid w:val="73A70725"/>
    <w:rsid w:val="73CA7313"/>
    <w:rsid w:val="74177EDB"/>
    <w:rsid w:val="746F233D"/>
    <w:rsid w:val="747D269A"/>
    <w:rsid w:val="749444F4"/>
    <w:rsid w:val="749C5FE3"/>
    <w:rsid w:val="74B06D0D"/>
    <w:rsid w:val="74B64B47"/>
    <w:rsid w:val="74E15D19"/>
    <w:rsid w:val="75D119B5"/>
    <w:rsid w:val="75D4110D"/>
    <w:rsid w:val="77320DCD"/>
    <w:rsid w:val="775632CF"/>
    <w:rsid w:val="776B7D3A"/>
    <w:rsid w:val="77947D6F"/>
    <w:rsid w:val="77AD58A3"/>
    <w:rsid w:val="77B770F1"/>
    <w:rsid w:val="784E2FCE"/>
    <w:rsid w:val="784E7B7A"/>
    <w:rsid w:val="78AB652A"/>
    <w:rsid w:val="78CD5082"/>
    <w:rsid w:val="799A5799"/>
    <w:rsid w:val="79E74C8F"/>
    <w:rsid w:val="7AC30879"/>
    <w:rsid w:val="7AC64769"/>
    <w:rsid w:val="7B046266"/>
    <w:rsid w:val="7B344E8E"/>
    <w:rsid w:val="7B4300FD"/>
    <w:rsid w:val="7BA934EB"/>
    <w:rsid w:val="7C7A0EC9"/>
    <w:rsid w:val="7CD636FC"/>
    <w:rsid w:val="7CEB4702"/>
    <w:rsid w:val="7D14274B"/>
    <w:rsid w:val="7D1D1587"/>
    <w:rsid w:val="7DDA291B"/>
    <w:rsid w:val="7E271FE9"/>
    <w:rsid w:val="7E7772F3"/>
    <w:rsid w:val="7EB76781"/>
    <w:rsid w:val="7F051893"/>
    <w:rsid w:val="7F1272AD"/>
    <w:rsid w:val="7F1957ED"/>
    <w:rsid w:val="7F637BB3"/>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doNotEmbedSmartTag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nhideWhenUsed="0" w:uiPriority="0" w:semiHidden="0" w:name="heading 7"/>
    <w:lsdException w:qFormat="1" w:uiPriority="0" w:name="heading 8"/>
    <w:lsdException w:qFormat="1" w:uiPriority="0" w:name="heading 9"/>
    <w:lsdException w:qFormat="1" w:unhideWhenUsed="0" w:uiPriority="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unhideWhenUsed="0" w:uiPriority="0" w:semiHidden="0" w:name="footnote text"/>
    <w:lsdException w:qFormat="1" w:unhideWhenUsed="0" w:uiPriority="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qFormat="1"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name="Balloon Text"/>
    <w:lsdException w:qFormat="1" w:unhideWhenUsed="0" w:uiPriority="0" w:semiHidden="0" w:name="Table Grid"/>
    <w:lsdException w:unhideWhenUsed="0" w:uiPriority="0"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0"/>
    <w:pPr>
      <w:keepNext/>
      <w:keepLines/>
      <w:numPr>
        <w:ilvl w:val="0"/>
        <w:numId w:val="1"/>
      </w:numPr>
      <w:adjustRightInd w:val="0"/>
      <w:spacing w:before="120" w:line="360" w:lineRule="auto"/>
      <w:textAlignment w:val="baseline"/>
      <w:outlineLvl w:val="0"/>
    </w:pPr>
    <w:rPr>
      <w:rFonts w:eastAsia="黑体"/>
      <w:b/>
      <w:kern w:val="44"/>
      <w:sz w:val="28"/>
      <w:szCs w:val="20"/>
    </w:rPr>
  </w:style>
  <w:style w:type="paragraph" w:styleId="4">
    <w:name w:val="heading 2"/>
    <w:basedOn w:val="1"/>
    <w:next w:val="1"/>
    <w:link w:val="44"/>
    <w:qFormat/>
    <w:uiPriority w:val="0"/>
    <w:pPr>
      <w:keepNext/>
      <w:numPr>
        <w:ilvl w:val="1"/>
        <w:numId w:val="1"/>
      </w:numPr>
      <w:adjustRightInd w:val="0"/>
      <w:spacing w:before="120" w:line="360" w:lineRule="auto"/>
      <w:textAlignment w:val="baseline"/>
      <w:outlineLvl w:val="1"/>
    </w:pPr>
    <w:rPr>
      <w:rFonts w:eastAsia="黑体"/>
      <w:b/>
      <w:kern w:val="0"/>
      <w:sz w:val="28"/>
      <w:szCs w:val="20"/>
    </w:rPr>
  </w:style>
  <w:style w:type="paragraph" w:styleId="5">
    <w:name w:val="heading 3"/>
    <w:basedOn w:val="1"/>
    <w:next w:val="1"/>
    <w:qFormat/>
    <w:uiPriority w:val="0"/>
    <w:pPr>
      <w:numPr>
        <w:ilvl w:val="2"/>
        <w:numId w:val="1"/>
      </w:numPr>
      <w:tabs>
        <w:tab w:val="left" w:pos="900"/>
      </w:tabs>
      <w:adjustRightInd w:val="0"/>
      <w:spacing w:before="120" w:line="360" w:lineRule="auto"/>
      <w:textAlignment w:val="baseline"/>
      <w:outlineLvl w:val="2"/>
    </w:pPr>
    <w:rPr>
      <w:rFonts w:eastAsia="黑体"/>
      <w:b/>
      <w:kern w:val="0"/>
      <w:sz w:val="28"/>
      <w:szCs w:val="20"/>
    </w:rPr>
  </w:style>
  <w:style w:type="paragraph" w:styleId="6">
    <w:name w:val="heading 4"/>
    <w:basedOn w:val="1"/>
    <w:next w:val="1"/>
    <w:qFormat/>
    <w:uiPriority w:val="0"/>
    <w:pPr>
      <w:numPr>
        <w:ilvl w:val="3"/>
        <w:numId w:val="1"/>
      </w:numPr>
      <w:adjustRightInd w:val="0"/>
      <w:spacing w:before="120" w:line="360" w:lineRule="auto"/>
      <w:textAlignment w:val="baseline"/>
      <w:outlineLvl w:val="3"/>
    </w:pPr>
    <w:rPr>
      <w:rFonts w:ascii="Arial" w:hAnsi="Arial" w:eastAsia="黑体"/>
      <w:kern w:val="0"/>
      <w:sz w:val="28"/>
      <w:szCs w:val="20"/>
    </w:rPr>
  </w:style>
  <w:style w:type="paragraph" w:styleId="7">
    <w:name w:val="heading 7"/>
    <w:basedOn w:val="1"/>
    <w:next w:val="1"/>
    <w:qFormat/>
    <w:uiPriority w:val="0"/>
    <w:pPr>
      <w:keepNext/>
      <w:keepLines/>
      <w:spacing w:before="240" w:after="64" w:line="320" w:lineRule="auto"/>
      <w:ind w:left="1526"/>
      <w:outlineLvl w:val="6"/>
    </w:pPr>
    <w:rPr>
      <w:rFonts w:ascii="Calibri" w:hAnsi="Calibri" w:eastAsia="宋体" w:cs="Times New Roman"/>
      <w:b/>
      <w:bCs/>
      <w:sz w:val="28"/>
      <w:szCs w:val="24"/>
    </w:rPr>
  </w:style>
  <w:style w:type="character" w:default="1" w:styleId="37">
    <w:name w:val="Default Paragraph Font"/>
    <w:qFormat/>
    <w:uiPriority w:val="0"/>
  </w:style>
  <w:style w:type="table" w:default="1" w:styleId="34">
    <w:name w:val="Normal Table"/>
    <w:semiHidden/>
    <w:qFormat/>
    <w:uiPriority w:val="0"/>
    <w:tblPr>
      <w:tblCellMar>
        <w:top w:w="0" w:type="dxa"/>
        <w:left w:w="108" w:type="dxa"/>
        <w:bottom w:w="0" w:type="dxa"/>
        <w:right w:w="108" w:type="dxa"/>
      </w:tblCellMar>
    </w:tblPr>
  </w:style>
  <w:style w:type="paragraph" w:styleId="2">
    <w:name w:val="Body Text 2"/>
    <w:basedOn w:val="1"/>
    <w:qFormat/>
    <w:uiPriority w:val="0"/>
    <w:rPr>
      <w:rFonts w:ascii="宋体"/>
      <w:sz w:val="13"/>
      <w:szCs w:val="20"/>
    </w:rPr>
  </w:style>
  <w:style w:type="paragraph" w:styleId="8">
    <w:name w:val="toc 7"/>
    <w:basedOn w:val="1"/>
    <w:next w:val="1"/>
    <w:qFormat/>
    <w:uiPriority w:val="0"/>
    <w:pPr>
      <w:ind w:left="1260"/>
      <w:jc w:val="left"/>
    </w:pPr>
    <w:rPr>
      <w:sz w:val="18"/>
      <w:szCs w:val="18"/>
    </w:rPr>
  </w:style>
  <w:style w:type="paragraph" w:styleId="9">
    <w:name w:val="table of authorities"/>
    <w:basedOn w:val="1"/>
    <w:next w:val="1"/>
    <w:qFormat/>
    <w:uiPriority w:val="0"/>
    <w:pPr>
      <w:spacing w:line="500" w:lineRule="exact"/>
      <w:ind w:left="420" w:leftChars="200" w:firstLine="200" w:firstLineChars="200"/>
    </w:pPr>
    <w:rPr>
      <w:rFonts w:ascii="Times New Roman" w:hAnsi="Times New Roman" w:cs="Times New Roman"/>
    </w:rPr>
  </w:style>
  <w:style w:type="paragraph" w:styleId="10">
    <w:name w:val="Normal Indent"/>
    <w:basedOn w:val="1"/>
    <w:next w:val="1"/>
    <w:link w:val="45"/>
    <w:qFormat/>
    <w:uiPriority w:val="0"/>
    <w:pPr>
      <w:ind w:firstLine="420"/>
    </w:pPr>
    <w:rPr>
      <w:szCs w:val="20"/>
    </w:rPr>
  </w:style>
  <w:style w:type="paragraph" w:styleId="11">
    <w:name w:val="Document Map"/>
    <w:basedOn w:val="1"/>
    <w:next w:val="7"/>
    <w:qFormat/>
    <w:uiPriority w:val="0"/>
    <w:pPr>
      <w:shd w:val="clear" w:color="auto" w:fill="000080"/>
    </w:pPr>
  </w:style>
  <w:style w:type="paragraph" w:styleId="12">
    <w:name w:val="annotation text"/>
    <w:basedOn w:val="1"/>
    <w:semiHidden/>
    <w:qFormat/>
    <w:uiPriority w:val="0"/>
    <w:pPr>
      <w:jc w:val="left"/>
    </w:pPr>
  </w:style>
  <w:style w:type="paragraph" w:styleId="13">
    <w:name w:val="Body Text 3"/>
    <w:basedOn w:val="1"/>
    <w:qFormat/>
    <w:uiPriority w:val="0"/>
    <w:rPr>
      <w:sz w:val="24"/>
    </w:rPr>
  </w:style>
  <w:style w:type="paragraph" w:styleId="14">
    <w:name w:val="Body Text"/>
    <w:basedOn w:val="1"/>
    <w:next w:val="15"/>
    <w:link w:val="46"/>
    <w:qFormat/>
    <w:uiPriority w:val="0"/>
    <w:rPr>
      <w:rFonts w:ascii="金山简黑体" w:hAnsi="金山简黑体" w:eastAsia="金山简黑体"/>
      <w:b/>
      <w:spacing w:val="-8"/>
      <w:sz w:val="44"/>
      <w:szCs w:val="20"/>
    </w:rPr>
  </w:style>
  <w:style w:type="paragraph" w:styleId="15">
    <w:name w:val="toc 5"/>
    <w:basedOn w:val="1"/>
    <w:next w:val="1"/>
    <w:qFormat/>
    <w:uiPriority w:val="0"/>
    <w:pPr>
      <w:ind w:left="840"/>
      <w:jc w:val="left"/>
    </w:pPr>
    <w:rPr>
      <w:sz w:val="18"/>
      <w:szCs w:val="18"/>
    </w:rPr>
  </w:style>
  <w:style w:type="paragraph" w:styleId="16">
    <w:name w:val="Body Text Indent"/>
    <w:basedOn w:val="1"/>
    <w:qFormat/>
    <w:uiPriority w:val="0"/>
    <w:pPr>
      <w:spacing w:line="200" w:lineRule="exact"/>
      <w:ind w:firstLine="301"/>
    </w:pPr>
    <w:rPr>
      <w:rFonts w:ascii="宋体"/>
      <w:spacing w:val="-4"/>
      <w:sz w:val="18"/>
      <w:szCs w:val="20"/>
    </w:rPr>
  </w:style>
  <w:style w:type="paragraph" w:styleId="17">
    <w:name w:val="toc 3"/>
    <w:basedOn w:val="1"/>
    <w:next w:val="1"/>
    <w:qFormat/>
    <w:uiPriority w:val="39"/>
    <w:pPr>
      <w:ind w:left="300" w:leftChars="300"/>
      <w:jc w:val="left"/>
    </w:pPr>
    <w:rPr>
      <w:iCs/>
      <w:szCs w:val="20"/>
    </w:rPr>
  </w:style>
  <w:style w:type="paragraph" w:styleId="18">
    <w:name w:val="Plain Text"/>
    <w:basedOn w:val="1"/>
    <w:next w:val="1"/>
    <w:link w:val="47"/>
    <w:qFormat/>
    <w:uiPriority w:val="0"/>
    <w:rPr>
      <w:rFonts w:ascii="宋体"/>
      <w:szCs w:val="20"/>
    </w:rPr>
  </w:style>
  <w:style w:type="paragraph" w:styleId="19">
    <w:name w:val="toc 8"/>
    <w:basedOn w:val="1"/>
    <w:next w:val="1"/>
    <w:qFormat/>
    <w:uiPriority w:val="0"/>
    <w:pPr>
      <w:ind w:left="1470"/>
      <w:jc w:val="left"/>
    </w:pPr>
    <w:rPr>
      <w:sz w:val="18"/>
      <w:szCs w:val="18"/>
    </w:rPr>
  </w:style>
  <w:style w:type="paragraph" w:styleId="20">
    <w:name w:val="Body Text Indent 2"/>
    <w:basedOn w:val="1"/>
    <w:qFormat/>
    <w:uiPriority w:val="0"/>
    <w:pPr>
      <w:spacing w:after="120" w:line="480" w:lineRule="auto"/>
      <w:ind w:left="200" w:leftChars="200"/>
    </w:pPr>
  </w:style>
  <w:style w:type="paragraph" w:styleId="21">
    <w:name w:val="Balloon Text"/>
    <w:basedOn w:val="1"/>
    <w:semiHidden/>
    <w:qFormat/>
    <w:uiPriority w:val="0"/>
    <w:rPr>
      <w:sz w:val="18"/>
      <w:szCs w:val="18"/>
    </w:rPr>
  </w:style>
  <w:style w:type="paragraph" w:styleId="22">
    <w:name w:val="footer"/>
    <w:basedOn w:val="1"/>
    <w:qFormat/>
    <w:uiPriority w:val="0"/>
    <w:pPr>
      <w:tabs>
        <w:tab w:val="center" w:pos="4153"/>
        <w:tab w:val="right" w:pos="8306"/>
      </w:tabs>
      <w:snapToGrid w:val="0"/>
      <w:jc w:val="left"/>
    </w:pPr>
    <w:rPr>
      <w:rFonts w:ascii="宋体"/>
      <w:sz w:val="18"/>
      <w:szCs w:val="20"/>
    </w:rPr>
  </w:style>
  <w:style w:type="paragraph" w:styleId="23">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24">
    <w:name w:val="toc 1"/>
    <w:basedOn w:val="1"/>
    <w:next w:val="1"/>
    <w:qFormat/>
    <w:uiPriority w:val="39"/>
    <w:pPr>
      <w:adjustRightInd w:val="0"/>
      <w:spacing w:before="120" w:after="120"/>
      <w:ind w:firstLine="50" w:firstLineChars="50"/>
      <w:jc w:val="left"/>
      <w:outlineLvl w:val="0"/>
    </w:pPr>
    <w:rPr>
      <w:bCs/>
      <w:caps/>
      <w:szCs w:val="20"/>
    </w:rPr>
  </w:style>
  <w:style w:type="paragraph" w:styleId="25">
    <w:name w:val="toc 4"/>
    <w:basedOn w:val="1"/>
    <w:next w:val="1"/>
    <w:qFormat/>
    <w:uiPriority w:val="0"/>
    <w:pPr>
      <w:ind w:left="630"/>
      <w:jc w:val="left"/>
    </w:pPr>
    <w:rPr>
      <w:sz w:val="18"/>
      <w:szCs w:val="18"/>
    </w:rPr>
  </w:style>
  <w:style w:type="paragraph" w:styleId="26">
    <w:name w:val="toc 6"/>
    <w:basedOn w:val="1"/>
    <w:next w:val="1"/>
    <w:qFormat/>
    <w:uiPriority w:val="0"/>
    <w:pPr>
      <w:ind w:left="1050"/>
      <w:jc w:val="left"/>
    </w:pPr>
    <w:rPr>
      <w:sz w:val="18"/>
      <w:szCs w:val="18"/>
    </w:rPr>
  </w:style>
  <w:style w:type="paragraph" w:styleId="27">
    <w:name w:val="Body Text Indent 3"/>
    <w:basedOn w:val="1"/>
    <w:qFormat/>
    <w:uiPriority w:val="0"/>
    <w:pPr>
      <w:spacing w:line="400" w:lineRule="exact"/>
      <w:ind w:left="360"/>
    </w:pPr>
    <w:rPr>
      <w:sz w:val="24"/>
    </w:rPr>
  </w:style>
  <w:style w:type="paragraph" w:styleId="28">
    <w:name w:val="toc 2"/>
    <w:basedOn w:val="1"/>
    <w:next w:val="1"/>
    <w:qFormat/>
    <w:uiPriority w:val="39"/>
    <w:pPr>
      <w:tabs>
        <w:tab w:val="right" w:leader="dot" w:pos="9344"/>
      </w:tabs>
      <w:ind w:left="200" w:leftChars="200"/>
      <w:jc w:val="left"/>
    </w:pPr>
    <w:rPr>
      <w:smallCaps/>
      <w:szCs w:val="20"/>
    </w:rPr>
  </w:style>
  <w:style w:type="paragraph" w:styleId="29">
    <w:name w:val="toc 9"/>
    <w:basedOn w:val="1"/>
    <w:next w:val="1"/>
    <w:qFormat/>
    <w:uiPriority w:val="0"/>
    <w:pPr>
      <w:ind w:left="1680"/>
      <w:jc w:val="left"/>
    </w:pPr>
    <w:rPr>
      <w:sz w:val="18"/>
      <w:szCs w:val="18"/>
    </w:rPr>
  </w:style>
  <w:style w:type="paragraph" w:styleId="30">
    <w:name w:val="Normal (Web)"/>
    <w:basedOn w:val="1"/>
    <w:qFormat/>
    <w:uiPriority w:val="0"/>
    <w:pPr>
      <w:widowControl/>
      <w:spacing w:before="100" w:beforeAutospacing="1" w:after="100" w:afterAutospacing="1"/>
      <w:jc w:val="left"/>
    </w:pPr>
    <w:rPr>
      <w:rFonts w:ascii="宋体" w:hAnsi="宋体" w:cs="宋体"/>
      <w:kern w:val="0"/>
      <w:sz w:val="24"/>
    </w:rPr>
  </w:style>
  <w:style w:type="paragraph" w:styleId="31">
    <w:name w:val="index 1"/>
    <w:basedOn w:val="1"/>
    <w:next w:val="1"/>
    <w:semiHidden/>
    <w:qFormat/>
    <w:uiPriority w:val="0"/>
  </w:style>
  <w:style w:type="paragraph" w:styleId="32">
    <w:name w:val="annotation subject"/>
    <w:basedOn w:val="12"/>
    <w:next w:val="12"/>
    <w:semiHidden/>
    <w:qFormat/>
    <w:uiPriority w:val="0"/>
    <w:rPr>
      <w:b/>
      <w:bCs/>
    </w:rPr>
  </w:style>
  <w:style w:type="paragraph" w:styleId="33">
    <w:name w:val="Body Text First Indent"/>
    <w:basedOn w:val="14"/>
    <w:link w:val="48"/>
    <w:qFormat/>
    <w:uiPriority w:val="0"/>
    <w:pPr>
      <w:spacing w:after="120"/>
      <w:ind w:firstLine="420" w:firstLineChars="100"/>
    </w:pPr>
    <w:rPr>
      <w:rFonts w:ascii="Times New Roman" w:hAnsi="Times New Roman" w:eastAsia="宋体"/>
      <w:b w:val="0"/>
      <w:spacing w:val="0"/>
      <w:sz w:val="21"/>
      <w:szCs w:val="24"/>
    </w:rPr>
  </w:style>
  <w:style w:type="table" w:styleId="35">
    <w:name w:val="Table Grid"/>
    <w:basedOn w:val="3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36">
    <w:name w:val="Table Grid 5"/>
    <w:basedOn w:val="34"/>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single" w:color="000000" w:sz="12" w:space="0"/>
          <w:bottom w:val="nil"/>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character" w:styleId="38">
    <w:name w:val="Strong"/>
    <w:qFormat/>
    <w:uiPriority w:val="0"/>
    <w:rPr>
      <w:b/>
      <w:bCs/>
    </w:rPr>
  </w:style>
  <w:style w:type="character" w:styleId="39">
    <w:name w:val="page number"/>
    <w:basedOn w:val="37"/>
    <w:qFormat/>
    <w:uiPriority w:val="0"/>
  </w:style>
  <w:style w:type="character" w:styleId="40">
    <w:name w:val="FollowedHyperlink"/>
    <w:basedOn w:val="37"/>
    <w:qFormat/>
    <w:uiPriority w:val="0"/>
    <w:rPr>
      <w:color w:val="000084"/>
      <w:u w:val="none"/>
    </w:rPr>
  </w:style>
  <w:style w:type="character" w:styleId="41">
    <w:name w:val="Hyperlink"/>
    <w:basedOn w:val="37"/>
    <w:qFormat/>
    <w:uiPriority w:val="99"/>
    <w:rPr>
      <w:color w:val="000084"/>
      <w:u w:val="none"/>
    </w:rPr>
  </w:style>
  <w:style w:type="character" w:styleId="42">
    <w:name w:val="annotation reference"/>
    <w:semiHidden/>
    <w:qFormat/>
    <w:uiPriority w:val="0"/>
    <w:rPr>
      <w:sz w:val="21"/>
      <w:szCs w:val="21"/>
    </w:rPr>
  </w:style>
  <w:style w:type="paragraph" w:customStyle="1" w:styleId="43">
    <w:name w:val="NormalIndent"/>
    <w:basedOn w:val="1"/>
    <w:qFormat/>
    <w:uiPriority w:val="0"/>
    <w:pPr>
      <w:spacing w:line="240" w:lineRule="auto"/>
      <w:ind w:firstLine="420"/>
      <w:jc w:val="both"/>
    </w:pPr>
  </w:style>
  <w:style w:type="character" w:customStyle="1" w:styleId="44">
    <w:name w:val="标题 2 字符"/>
    <w:link w:val="4"/>
    <w:qFormat/>
    <w:uiPriority w:val="0"/>
    <w:rPr>
      <w:rFonts w:eastAsia="黑体"/>
      <w:b/>
      <w:sz w:val="28"/>
    </w:rPr>
  </w:style>
  <w:style w:type="character" w:customStyle="1" w:styleId="45">
    <w:name w:val="正文缩进 字符"/>
    <w:link w:val="10"/>
    <w:qFormat/>
    <w:uiPriority w:val="0"/>
    <w:rPr>
      <w:rFonts w:eastAsia="宋体"/>
      <w:kern w:val="2"/>
      <w:sz w:val="21"/>
      <w:lang w:val="en-US" w:eastAsia="zh-CN" w:bidi="ar-SA"/>
    </w:rPr>
  </w:style>
  <w:style w:type="character" w:customStyle="1" w:styleId="46">
    <w:name w:val="正文文本 字符"/>
    <w:link w:val="14"/>
    <w:qFormat/>
    <w:uiPriority w:val="0"/>
    <w:rPr>
      <w:rFonts w:ascii="金山简黑体" w:hAnsi="金山简黑体" w:eastAsia="金山简黑体"/>
      <w:b/>
      <w:spacing w:val="-8"/>
      <w:kern w:val="2"/>
      <w:sz w:val="44"/>
    </w:rPr>
  </w:style>
  <w:style w:type="character" w:customStyle="1" w:styleId="47">
    <w:name w:val="纯文本 字符"/>
    <w:link w:val="18"/>
    <w:qFormat/>
    <w:uiPriority w:val="0"/>
    <w:rPr>
      <w:rFonts w:ascii="宋体" w:eastAsia="宋体"/>
      <w:kern w:val="2"/>
      <w:sz w:val="21"/>
      <w:lang w:val="en-US" w:eastAsia="zh-CN" w:bidi="ar-SA"/>
    </w:rPr>
  </w:style>
  <w:style w:type="character" w:customStyle="1" w:styleId="48">
    <w:name w:val="正文文本首行缩进 字符"/>
    <w:basedOn w:val="46"/>
    <w:link w:val="33"/>
    <w:qFormat/>
    <w:uiPriority w:val="0"/>
  </w:style>
  <w:style w:type="paragraph" w:customStyle="1" w:styleId="49">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character" w:customStyle="1" w:styleId="50">
    <w:name w:val="普通文字1 Char2"/>
    <w:qFormat/>
    <w:uiPriority w:val="0"/>
    <w:rPr>
      <w:rFonts w:ascii="宋体" w:eastAsia="宋体"/>
      <w:kern w:val="2"/>
      <w:sz w:val="21"/>
      <w:lang w:val="en-US" w:eastAsia="zh-CN" w:bidi="ar-SA"/>
    </w:rPr>
  </w:style>
  <w:style w:type="character" w:customStyle="1" w:styleId="51">
    <w:name w:val="font81"/>
    <w:qFormat/>
    <w:uiPriority w:val="0"/>
    <w:rPr>
      <w:rFonts w:hint="eastAsia" w:ascii="宋体" w:hAnsi="宋体" w:eastAsia="宋体" w:cs="宋体"/>
      <w:color w:val="000000"/>
      <w:sz w:val="20"/>
      <w:szCs w:val="20"/>
      <w:u w:val="none"/>
      <w:vertAlign w:val="superscript"/>
    </w:rPr>
  </w:style>
  <w:style w:type="character" w:customStyle="1" w:styleId="52">
    <w:name w:val="图片 Char"/>
    <w:link w:val="53"/>
    <w:qFormat/>
    <w:locked/>
    <w:uiPriority w:val="0"/>
    <w:rPr>
      <w:sz w:val="24"/>
      <w:lang w:bidi="ar-SA"/>
    </w:rPr>
  </w:style>
  <w:style w:type="paragraph" w:customStyle="1" w:styleId="53">
    <w:name w:val="图片"/>
    <w:basedOn w:val="1"/>
    <w:link w:val="52"/>
    <w:qFormat/>
    <w:uiPriority w:val="0"/>
    <w:pPr>
      <w:spacing w:line="360" w:lineRule="auto"/>
      <w:ind w:right="21" w:rightChars="10" w:firstLine="480" w:firstLineChars="200"/>
    </w:pPr>
    <w:rPr>
      <w:rFonts w:eastAsia="Times New Roman"/>
      <w:kern w:val="0"/>
      <w:sz w:val="24"/>
      <w:szCs w:val="20"/>
    </w:rPr>
  </w:style>
  <w:style w:type="character" w:customStyle="1" w:styleId="54">
    <w:name w:val="font71"/>
    <w:qFormat/>
    <w:uiPriority w:val="0"/>
    <w:rPr>
      <w:rFonts w:hint="eastAsia" w:ascii="宋体" w:hAnsi="宋体" w:eastAsia="宋体" w:cs="宋体"/>
      <w:color w:val="FF0000"/>
      <w:sz w:val="20"/>
      <w:szCs w:val="20"/>
      <w:u w:val="none"/>
      <w:vertAlign w:val="superscript"/>
    </w:rPr>
  </w:style>
  <w:style w:type="character" w:customStyle="1" w:styleId="55">
    <w:name w:val="font41"/>
    <w:basedOn w:val="37"/>
    <w:qFormat/>
    <w:uiPriority w:val="0"/>
    <w:rPr>
      <w:rFonts w:hint="eastAsia" w:ascii="宋体" w:hAnsi="宋体" w:eastAsia="宋体" w:cs="宋体"/>
      <w:b/>
      <w:color w:val="000000"/>
      <w:sz w:val="20"/>
      <w:szCs w:val="20"/>
      <w:u w:val="none"/>
    </w:rPr>
  </w:style>
  <w:style w:type="character" w:customStyle="1" w:styleId="56">
    <w:name w:val="标题 3 Char"/>
    <w:qFormat/>
    <w:uiPriority w:val="0"/>
    <w:rPr>
      <w:rFonts w:ascii="Arial" w:hAnsi="Arial" w:eastAsia="黑体"/>
      <w:b/>
      <w:sz w:val="28"/>
      <w:lang w:val="en-US" w:eastAsia="zh-CN" w:bidi="ar-SA"/>
    </w:rPr>
  </w:style>
  <w:style w:type="character" w:customStyle="1" w:styleId="57">
    <w:name w:val="font21"/>
    <w:basedOn w:val="37"/>
    <w:qFormat/>
    <w:uiPriority w:val="0"/>
    <w:rPr>
      <w:rFonts w:hint="eastAsia" w:ascii="宋体" w:hAnsi="宋体" w:eastAsia="宋体"/>
      <w:b/>
      <w:bCs/>
      <w:color w:val="000000"/>
      <w:sz w:val="18"/>
      <w:szCs w:val="18"/>
      <w:u w:val="none"/>
    </w:rPr>
  </w:style>
  <w:style w:type="character" w:customStyle="1" w:styleId="58">
    <w:name w:val="font11"/>
    <w:basedOn w:val="37"/>
    <w:qFormat/>
    <w:uiPriority w:val="0"/>
    <w:rPr>
      <w:rFonts w:hint="eastAsia" w:ascii="宋体" w:hAnsi="宋体" w:eastAsia="宋体" w:cs="宋体"/>
      <w:color w:val="000000"/>
      <w:sz w:val="24"/>
      <w:szCs w:val="24"/>
      <w:u w:val="none"/>
    </w:rPr>
  </w:style>
  <w:style w:type="character" w:customStyle="1" w:styleId="59">
    <w:name w:val="font01"/>
    <w:qFormat/>
    <w:uiPriority w:val="0"/>
    <w:rPr>
      <w:rFonts w:hint="default" w:ascii="Times New Roman" w:hAnsi="Times New Roman" w:cs="Times New Roman"/>
      <w:color w:val="000000"/>
      <w:sz w:val="24"/>
      <w:szCs w:val="24"/>
      <w:u w:val="none"/>
    </w:rPr>
  </w:style>
  <w:style w:type="character" w:customStyle="1" w:styleId="60">
    <w:name w:val="web-item2"/>
    <w:basedOn w:val="37"/>
    <w:qFormat/>
    <w:uiPriority w:val="0"/>
    <w:rPr>
      <w:sz w:val="18"/>
      <w:szCs w:val="18"/>
    </w:rPr>
  </w:style>
  <w:style w:type="character" w:customStyle="1" w:styleId="61">
    <w:name w:val="more"/>
    <w:basedOn w:val="37"/>
    <w:qFormat/>
    <w:uiPriority w:val="0"/>
  </w:style>
  <w:style w:type="character" w:customStyle="1" w:styleId="62">
    <w:name w:val="ft1"/>
    <w:qFormat/>
    <w:uiPriority w:val="0"/>
  </w:style>
  <w:style w:type="character" w:customStyle="1" w:styleId="63">
    <w:name w:val="grame"/>
    <w:basedOn w:val="37"/>
    <w:qFormat/>
    <w:uiPriority w:val="0"/>
  </w:style>
  <w:style w:type="character" w:customStyle="1" w:styleId="64">
    <w:name w:val="font31"/>
    <w:basedOn w:val="37"/>
    <w:qFormat/>
    <w:uiPriority w:val="0"/>
    <w:rPr>
      <w:rFonts w:hint="eastAsia" w:ascii="宋体" w:hAnsi="宋体" w:eastAsia="宋体" w:cs="宋体"/>
      <w:color w:val="000000"/>
      <w:sz w:val="20"/>
      <w:szCs w:val="20"/>
      <w:u w:val="none"/>
    </w:rPr>
  </w:style>
  <w:style w:type="character" w:customStyle="1" w:styleId="65">
    <w:name w:val="纯文本 Char"/>
    <w:qFormat/>
    <w:uiPriority w:val="0"/>
    <w:rPr>
      <w:rFonts w:ascii="宋体" w:eastAsia="宋体"/>
      <w:kern w:val="2"/>
      <w:sz w:val="21"/>
      <w:lang w:val="en-US" w:eastAsia="zh-CN" w:bidi="ar-SA"/>
    </w:rPr>
  </w:style>
  <w:style w:type="character" w:customStyle="1" w:styleId="66">
    <w:name w:val="15"/>
    <w:basedOn w:val="37"/>
    <w:qFormat/>
    <w:uiPriority w:val="0"/>
    <w:rPr>
      <w:rFonts w:hint="eastAsia" w:ascii="宋体" w:hAnsi="宋体" w:eastAsia="宋体"/>
      <w:color w:val="000000"/>
      <w:sz w:val="22"/>
      <w:szCs w:val="22"/>
    </w:rPr>
  </w:style>
  <w:style w:type="character" w:customStyle="1" w:styleId="67">
    <w:name w:val="List Paragraph Char"/>
    <w:link w:val="68"/>
    <w:qFormat/>
    <w:locked/>
    <w:uiPriority w:val="0"/>
    <w:rPr>
      <w:rFonts w:eastAsia="宋体"/>
      <w:sz w:val="24"/>
      <w:szCs w:val="24"/>
      <w:lang w:val="en-US" w:eastAsia="zh-CN" w:bidi="ar-SA"/>
    </w:rPr>
  </w:style>
  <w:style w:type="paragraph" w:customStyle="1" w:styleId="68">
    <w:name w:val="List Paragraph1"/>
    <w:basedOn w:val="1"/>
    <w:link w:val="67"/>
    <w:qFormat/>
    <w:uiPriority w:val="0"/>
    <w:pPr>
      <w:spacing w:before="120" w:line="360" w:lineRule="auto"/>
      <w:ind w:firstLine="420" w:firstLineChars="200"/>
    </w:pPr>
    <w:rPr>
      <w:kern w:val="0"/>
      <w:sz w:val="24"/>
    </w:rPr>
  </w:style>
  <w:style w:type="character" w:customStyle="1" w:styleId="69">
    <w:name w:val="font61"/>
    <w:qFormat/>
    <w:uiPriority w:val="0"/>
    <w:rPr>
      <w:rFonts w:hint="eastAsia" w:ascii="宋体" w:hAnsi="宋体" w:eastAsia="宋体" w:cs="宋体"/>
      <w:color w:val="000000"/>
      <w:sz w:val="20"/>
      <w:szCs w:val="20"/>
      <w:u w:val="none"/>
    </w:rPr>
  </w:style>
  <w:style w:type="paragraph" w:customStyle="1" w:styleId="70">
    <w:name w:val=" Char1"/>
    <w:basedOn w:val="1"/>
    <w:qFormat/>
    <w:uiPriority w:val="0"/>
    <w:pPr>
      <w:widowControl/>
      <w:spacing w:after="160" w:line="240" w:lineRule="exact"/>
      <w:jc w:val="left"/>
    </w:pPr>
  </w:style>
  <w:style w:type="paragraph" w:customStyle="1" w:styleId="71">
    <w:name w:val="FUNO4"/>
    <w:basedOn w:val="72"/>
    <w:qFormat/>
    <w:uiPriority w:val="0"/>
    <w:pPr>
      <w:spacing w:before="156" w:after="156"/>
    </w:pPr>
    <w:rPr>
      <w:lang w:val="zh-CN"/>
    </w:rPr>
  </w:style>
  <w:style w:type="paragraph" w:customStyle="1" w:styleId="72">
    <w:name w:val="FUNO标题4"/>
    <w:next w:val="1"/>
    <w:qFormat/>
    <w:uiPriority w:val="0"/>
    <w:pPr>
      <w:numPr>
        <w:ilvl w:val="3"/>
        <w:numId w:val="2"/>
      </w:numPr>
      <w:spacing w:beforeLines="50" w:afterLines="50"/>
      <w:outlineLvl w:val="3"/>
    </w:pPr>
    <w:rPr>
      <w:rFonts w:ascii="Arial Unicode MS" w:hAnsi="Arial Unicode MS" w:eastAsia="宋体" w:cs="Times New Roman"/>
      <w:b/>
      <w:kern w:val="2"/>
      <w:sz w:val="30"/>
      <w:szCs w:val="22"/>
      <w:lang w:val="en-US" w:eastAsia="zh-CN" w:bidi="ar-SA"/>
    </w:rPr>
  </w:style>
  <w:style w:type="paragraph" w:customStyle="1" w:styleId="73">
    <w:name w:val="正文 New New New New New New New New New New New New New New New New New New New New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4">
    <w:name w:val="para"/>
    <w:basedOn w:val="1"/>
    <w:qFormat/>
    <w:uiPriority w:val="0"/>
    <w:pPr>
      <w:widowControl/>
      <w:adjustRightInd w:val="0"/>
      <w:spacing w:before="160" w:line="360" w:lineRule="auto"/>
      <w:ind w:firstLine="425"/>
      <w:textAlignment w:val="baseline"/>
    </w:pPr>
    <w:rPr>
      <w:kern w:val="0"/>
      <w:sz w:val="24"/>
      <w:szCs w:val="20"/>
      <w:lang w:eastAsia="en-US"/>
    </w:rPr>
  </w:style>
  <w:style w:type="paragraph" w:customStyle="1" w:styleId="75">
    <w:name w:val="Char Char2 Char"/>
    <w:basedOn w:val="1"/>
    <w:qFormat/>
    <w:uiPriority w:val="0"/>
    <w:pPr>
      <w:keepNext/>
      <w:keepLines/>
      <w:pageBreakBefore/>
      <w:tabs>
        <w:tab w:val="left" w:pos="390"/>
      </w:tabs>
      <w:ind w:left="390" w:hanging="390"/>
    </w:pPr>
    <w:rPr>
      <w:rFonts w:ascii="Tahoma" w:hAnsi="Tahoma"/>
      <w:sz w:val="24"/>
      <w:szCs w:val="20"/>
    </w:rPr>
  </w:style>
  <w:style w:type="paragraph" w:customStyle="1" w:styleId="76">
    <w:name w:val="WPSOffice手动目录 1"/>
    <w:qFormat/>
    <w:uiPriority w:val="0"/>
    <w:pPr>
      <w:ind w:leftChars="0"/>
    </w:pPr>
    <w:rPr>
      <w:rFonts w:ascii="Times New Roman" w:hAnsi="Times New Roman" w:eastAsia="宋体" w:cs="Times New Roman"/>
      <w:sz w:val="20"/>
      <w:szCs w:val="20"/>
    </w:rPr>
  </w:style>
  <w:style w:type="paragraph" w:styleId="77">
    <w:name w:val="No Spacing"/>
    <w:qFormat/>
    <w:uiPriority w:val="1"/>
    <w:pPr>
      <w:widowControl w:val="0"/>
      <w:jc w:val="both"/>
    </w:pPr>
    <w:rPr>
      <w:rFonts w:ascii="Times New Roman" w:hAnsi="Times New Roman" w:eastAsia="宋体" w:cs="Times New Roman"/>
      <w:kern w:val="2"/>
      <w:sz w:val="21"/>
      <w:szCs w:val="22"/>
      <w:lang w:val="en-US" w:eastAsia="zh-CN" w:bidi="ar-SA"/>
    </w:rPr>
  </w:style>
  <w:style w:type="paragraph" w:customStyle="1" w:styleId="78">
    <w:name w:val="FUNO2"/>
    <w:next w:val="1"/>
    <w:qFormat/>
    <w:uiPriority w:val="0"/>
    <w:pPr>
      <w:numPr>
        <w:ilvl w:val="1"/>
        <w:numId w:val="2"/>
      </w:numPr>
      <w:spacing w:beforeLines="50" w:afterLines="50"/>
      <w:outlineLvl w:val="1"/>
    </w:pPr>
    <w:rPr>
      <w:rFonts w:ascii="Arial Unicode MS" w:hAnsi="Arial Unicode MS" w:eastAsia="宋体" w:cs="Times New Roman"/>
      <w:b/>
      <w:kern w:val="2"/>
      <w:sz w:val="36"/>
      <w:szCs w:val="22"/>
      <w:lang w:val="en-US" w:eastAsia="zh-CN" w:bidi="ar-SA"/>
    </w:rPr>
  </w:style>
  <w:style w:type="paragraph" w:customStyle="1" w:styleId="79">
    <w:name w:val="正文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0">
    <w:name w:val="Char"/>
    <w:basedOn w:val="1"/>
    <w:qFormat/>
    <w:uiPriority w:val="0"/>
  </w:style>
  <w:style w:type="paragraph" w:customStyle="1" w:styleId="81">
    <w:name w:val="xl23"/>
    <w:basedOn w:val="1"/>
    <w:next w:val="29"/>
    <w:qFormat/>
    <w:uiPriority w:val="0"/>
    <w:pPr>
      <w:widowControl/>
      <w:spacing w:before="100" w:beforeAutospacing="1" w:after="100" w:afterAutospacing="1"/>
      <w:jc w:val="center"/>
    </w:pPr>
    <w:rPr>
      <w:rFonts w:ascii="Arial Unicode MS" w:hAnsi="Arial Unicode MS" w:eastAsia="Arial Unicode MS"/>
      <w:kern w:val="0"/>
      <w:sz w:val="24"/>
      <w:szCs w:val="20"/>
    </w:rPr>
  </w:style>
  <w:style w:type="paragraph" w:customStyle="1" w:styleId="82">
    <w:name w:val="正文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3">
    <w:name w:val="表格"/>
    <w:basedOn w:val="1"/>
    <w:qFormat/>
    <w:uiPriority w:val="0"/>
    <w:pPr>
      <w:tabs>
        <w:tab w:val="left" w:pos="1200"/>
      </w:tabs>
      <w:spacing w:line="500" w:lineRule="exact"/>
      <w:jc w:val="center"/>
    </w:pPr>
    <w:rPr>
      <w:rFonts w:ascii="宋体"/>
      <w:sz w:val="24"/>
      <w:szCs w:val="18"/>
    </w:rPr>
  </w:style>
  <w:style w:type="paragraph" w:customStyle="1" w:styleId="84">
    <w:name w:val="正文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5">
    <w:name w:val="项目书正文"/>
    <w:basedOn w:val="1"/>
    <w:qFormat/>
    <w:uiPriority w:val="0"/>
    <w:pPr>
      <w:widowControl/>
      <w:spacing w:beforeLines="50" w:afterLines="50" w:line="420" w:lineRule="auto"/>
      <w:ind w:firstLine="200" w:firstLineChars="200"/>
      <w:jc w:val="left"/>
    </w:pPr>
    <w:rPr>
      <w:rFonts w:ascii="Calibri" w:hAnsi="Calibri" w:cs="宋体"/>
      <w:kern w:val="0"/>
      <w:sz w:val="24"/>
      <w:szCs w:val="20"/>
    </w:rPr>
  </w:style>
  <w:style w:type="paragraph" w:customStyle="1" w:styleId="86">
    <w:name w:val="FUNO5"/>
    <w:basedOn w:val="71"/>
    <w:qFormat/>
    <w:uiPriority w:val="0"/>
    <w:pPr>
      <w:numPr>
        <w:ilvl w:val="4"/>
      </w:numPr>
    </w:pPr>
  </w:style>
  <w:style w:type="paragraph" w:customStyle="1" w:styleId="87">
    <w:name w:val="样式 首行缩进:  2 字符"/>
    <w:basedOn w:val="1"/>
    <w:qFormat/>
    <w:uiPriority w:val="0"/>
    <w:pPr>
      <w:spacing w:line="400" w:lineRule="exact"/>
      <w:ind w:firstLine="200" w:firstLineChars="200"/>
    </w:pPr>
    <w:rPr>
      <w:rFonts w:cs="宋体"/>
      <w:sz w:val="24"/>
    </w:rPr>
  </w:style>
  <w:style w:type="paragraph" w:customStyle="1" w:styleId="88">
    <w:name w:val="Content"/>
    <w:basedOn w:val="14"/>
    <w:qFormat/>
    <w:uiPriority w:val="0"/>
    <w:pPr>
      <w:spacing w:line="360" w:lineRule="auto"/>
      <w:ind w:firstLine="480"/>
    </w:pPr>
    <w:rPr>
      <w:rFonts w:ascii="Times New Roman" w:hAnsi="Times New Roman" w:eastAsia="全真簡粗明"/>
      <w:b w:val="0"/>
      <w:snapToGrid w:val="0"/>
      <w:spacing w:val="0"/>
      <w:kern w:val="0"/>
      <w:sz w:val="24"/>
      <w:lang w:eastAsia="zh-TW"/>
    </w:rPr>
  </w:style>
  <w:style w:type="paragraph" w:customStyle="1" w:styleId="89">
    <w:name w:val="p2"/>
    <w:basedOn w:val="1"/>
    <w:qFormat/>
    <w:uiPriority w:val="0"/>
    <w:pPr>
      <w:widowControl/>
      <w:spacing w:line="480" w:lineRule="auto"/>
      <w:ind w:firstLine="420"/>
      <w:jc w:val="left"/>
    </w:pPr>
    <w:rPr>
      <w:rFonts w:ascii="宋体" w:hAnsi="宋体" w:cs="宋体"/>
      <w:kern w:val="0"/>
      <w:szCs w:val="21"/>
    </w:rPr>
  </w:style>
  <w:style w:type="paragraph" w:styleId="90">
    <w:name w:val="List Paragraph"/>
    <w:basedOn w:val="1"/>
    <w:qFormat/>
    <w:uiPriority w:val="0"/>
    <w:pPr>
      <w:ind w:firstLine="420" w:firstLineChars="200"/>
    </w:pPr>
    <w:rPr>
      <w:rFonts w:ascii="Calibri" w:hAnsi="Calibri"/>
      <w:szCs w:val="22"/>
    </w:rPr>
  </w:style>
  <w:style w:type="paragraph" w:customStyle="1" w:styleId="91">
    <w:name w:val="Char Char1 Char Char Char Char Char Char Char Char Char Char Char Char Char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92">
    <w:name w:val="Table Paragraph"/>
    <w:basedOn w:val="1"/>
    <w:qFormat/>
    <w:uiPriority w:val="1"/>
  </w:style>
  <w:style w:type="paragraph" w:customStyle="1" w:styleId="93">
    <w:name w:val="Char Char Char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94">
    <w:name w:val="纯文本 New New New"/>
    <w:basedOn w:val="1"/>
    <w:next w:val="1"/>
    <w:qFormat/>
    <w:uiPriority w:val="0"/>
    <w:pPr>
      <w:autoSpaceDE w:val="0"/>
      <w:autoSpaceDN w:val="0"/>
      <w:adjustRightInd w:val="0"/>
      <w:jc w:val="left"/>
    </w:pPr>
    <w:rPr>
      <w:rFonts w:ascii="宋体"/>
    </w:rPr>
  </w:style>
  <w:style w:type="paragraph" w:customStyle="1" w:styleId="95">
    <w:name w:val="纯文本 New New"/>
    <w:basedOn w:val="1"/>
    <w:next w:val="1"/>
    <w:qFormat/>
    <w:uiPriority w:val="0"/>
    <w:pPr>
      <w:autoSpaceDE w:val="0"/>
      <w:autoSpaceDN w:val="0"/>
      <w:adjustRightInd w:val="0"/>
      <w:jc w:val="left"/>
    </w:pPr>
    <w:rPr>
      <w:rFonts w:ascii="宋体"/>
    </w:rPr>
  </w:style>
  <w:style w:type="paragraph" w:customStyle="1" w:styleId="96">
    <w:name w:val="样式2"/>
    <w:basedOn w:val="4"/>
    <w:qFormat/>
    <w:uiPriority w:val="0"/>
    <w:pPr>
      <w:spacing w:line="440" w:lineRule="exact"/>
      <w:jc w:val="center"/>
    </w:pPr>
    <w:rPr>
      <w:rFonts w:ascii="宋体" w:hAnsi="宋体"/>
      <w:b w:val="0"/>
      <w:sz w:val="32"/>
    </w:rPr>
  </w:style>
  <w:style w:type="paragraph" w:customStyle="1" w:styleId="97">
    <w:name w:val="Char Char Char Char Char Char Char Char Char Char Char Char Char Char Char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98">
    <w:name w:val="g3"/>
    <w:basedOn w:val="1"/>
    <w:qFormat/>
    <w:uiPriority w:val="0"/>
    <w:pPr>
      <w:widowControl/>
      <w:spacing w:before="100" w:beforeAutospacing="1" w:after="100" w:afterAutospacing="1" w:line="675" w:lineRule="atLeast"/>
      <w:jc w:val="left"/>
    </w:pPr>
    <w:rPr>
      <w:rFonts w:ascii="华文中宋" w:hAnsi="华文中宋" w:eastAsia="华文中宋"/>
      <w:kern w:val="0"/>
      <w:sz w:val="42"/>
      <w:szCs w:val="42"/>
    </w:rPr>
  </w:style>
  <w:style w:type="paragraph" w:customStyle="1" w:styleId="99">
    <w:name w:val="第四行"/>
    <w:basedOn w:val="1"/>
    <w:qFormat/>
    <w:uiPriority w:val="0"/>
    <w:pPr>
      <w:tabs>
        <w:tab w:val="left" w:pos="1200"/>
      </w:tabs>
      <w:spacing w:line="360" w:lineRule="auto"/>
      <w:jc w:val="center"/>
    </w:pPr>
    <w:rPr>
      <w:rFonts w:ascii="宋体"/>
      <w:b/>
      <w:bCs/>
      <w:spacing w:val="40"/>
      <w:sz w:val="28"/>
      <w:szCs w:val="28"/>
    </w:rPr>
  </w:style>
  <w:style w:type="paragraph" w:customStyle="1" w:styleId="100">
    <w:name w:val="_Style 103"/>
    <w:basedOn w:val="1"/>
    <w:next w:val="1"/>
    <w:qFormat/>
    <w:uiPriority w:val="0"/>
    <w:pPr>
      <w:pBdr>
        <w:bottom w:val="single" w:color="auto" w:sz="6" w:space="1"/>
      </w:pBdr>
      <w:jc w:val="center"/>
    </w:pPr>
    <w:rPr>
      <w:rFonts w:ascii="Arial" w:eastAsia="宋体"/>
      <w:vanish/>
      <w:sz w:val="16"/>
    </w:rPr>
  </w:style>
  <w:style w:type="paragraph" w:customStyle="1" w:styleId="101">
    <w:name w:val="样式1"/>
    <w:basedOn w:val="4"/>
    <w:qFormat/>
    <w:uiPriority w:val="0"/>
  </w:style>
  <w:style w:type="paragraph" w:customStyle="1" w:styleId="102">
    <w:name w:val="WPSOffice手动目录 2"/>
    <w:qFormat/>
    <w:uiPriority w:val="0"/>
    <w:pPr>
      <w:ind w:leftChars="200"/>
    </w:pPr>
    <w:rPr>
      <w:rFonts w:ascii="Times New Roman" w:hAnsi="Times New Roman" w:eastAsia="宋体" w:cs="Times New Roman"/>
      <w:sz w:val="20"/>
      <w:szCs w:val="20"/>
    </w:rPr>
  </w:style>
  <w:style w:type="paragraph" w:customStyle="1" w:styleId="103">
    <w:name w:val="纯文本 New New New New"/>
    <w:basedOn w:val="1"/>
    <w:next w:val="1"/>
    <w:qFormat/>
    <w:uiPriority w:val="0"/>
    <w:pPr>
      <w:autoSpaceDE w:val="0"/>
      <w:autoSpaceDN w:val="0"/>
      <w:adjustRightInd w:val="0"/>
      <w:jc w:val="left"/>
    </w:pPr>
    <w:rPr>
      <w:rFonts w:ascii="宋体"/>
    </w:rPr>
  </w:style>
  <w:style w:type="paragraph" w:customStyle="1" w:styleId="104">
    <w:name w:val="_Style 104"/>
    <w:basedOn w:val="1"/>
    <w:next w:val="1"/>
    <w:qFormat/>
    <w:uiPriority w:val="0"/>
    <w:pPr>
      <w:pBdr>
        <w:top w:val="single" w:color="auto" w:sz="6" w:space="1"/>
      </w:pBdr>
      <w:jc w:val="center"/>
    </w:pPr>
    <w:rPr>
      <w:rFonts w:ascii="Arial" w:eastAsia="宋体"/>
      <w:vanish/>
      <w:sz w:val="16"/>
    </w:rPr>
  </w:style>
  <w:style w:type="paragraph" w:customStyle="1" w:styleId="105">
    <w:name w:val="FUNO3"/>
    <w:next w:val="1"/>
    <w:qFormat/>
    <w:uiPriority w:val="0"/>
    <w:pPr>
      <w:numPr>
        <w:ilvl w:val="2"/>
        <w:numId w:val="3"/>
      </w:numPr>
      <w:spacing w:beforeLines="50" w:afterLines="50"/>
      <w:outlineLvl w:val="2"/>
    </w:pPr>
    <w:rPr>
      <w:rFonts w:ascii="Arial Unicode MS" w:hAnsi="Arial Unicode MS" w:eastAsia="宋体" w:cs="Times New Roman"/>
      <w:b/>
      <w:kern w:val="2"/>
      <w:sz w:val="32"/>
      <w:szCs w:val="22"/>
      <w:lang w:val="en-US" w:eastAsia="zh-CN" w:bidi="ar-SA"/>
    </w:rPr>
  </w:style>
  <w:style w:type="paragraph" w:customStyle="1" w:styleId="106">
    <w:name w:val="正文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07">
    <w:name w:val=" Char"/>
    <w:basedOn w:val="1"/>
    <w:qFormat/>
    <w:uiPriority w:val="0"/>
  </w:style>
  <w:style w:type="paragraph" w:customStyle="1" w:styleId="108">
    <w:name w:val="样式3"/>
    <w:basedOn w:val="5"/>
    <w:qFormat/>
    <w:uiPriority w:val="0"/>
    <w:pPr>
      <w:ind w:left="101" w:hanging="101" w:hangingChars="101"/>
      <w:jc w:val="left"/>
    </w:pPr>
    <w:rPr>
      <w:b w:val="0"/>
      <w:bCs/>
      <w:sz w:val="24"/>
      <w:szCs w:val="24"/>
    </w:rPr>
  </w:style>
  <w:style w:type="paragraph" w:customStyle="1" w:styleId="109">
    <w:name w:val=" Char Char Char"/>
    <w:basedOn w:val="1"/>
    <w:qFormat/>
    <w:uiPriority w:val="0"/>
    <w:pPr>
      <w:ind w:firstLine="200" w:firstLineChars="200"/>
    </w:pPr>
    <w:rPr>
      <w:sz w:val="24"/>
    </w:rPr>
  </w:style>
  <w:style w:type="paragraph" w:customStyle="1" w:styleId="110">
    <w:name w:val="Normal_0"/>
    <w:qFormat/>
    <w:uiPriority w:val="0"/>
    <w:pPr>
      <w:widowControl w:val="0"/>
      <w:jc w:val="both"/>
    </w:pPr>
    <w:rPr>
      <w:rFonts w:ascii="Calibri" w:hAnsi="Calibri" w:eastAsia="宋体" w:cs="Times New Roman"/>
    </w:rPr>
  </w:style>
  <w:style w:type="character" w:customStyle="1" w:styleId="111">
    <w:name w:val="font101"/>
    <w:basedOn w:val="37"/>
    <w:qFormat/>
    <w:uiPriority w:val="0"/>
    <w:rPr>
      <w:rFonts w:hint="eastAsia" w:ascii="宋体" w:hAnsi="宋体" w:eastAsia="宋体" w:cs="宋体"/>
      <w:color w:val="000000"/>
      <w:sz w:val="24"/>
      <w:szCs w:val="24"/>
      <w:u w:val="none"/>
    </w:rPr>
  </w:style>
  <w:style w:type="table" w:customStyle="1" w:styleId="112">
    <w:name w:val="Table Normal"/>
    <w:semiHidden/>
    <w:unhideWhenUsed/>
    <w:qFormat/>
    <w:uiPriority w:val="0"/>
    <w:tblPr>
      <w:tblCellMar>
        <w:top w:w="0" w:type="dxa"/>
        <w:left w:w="0" w:type="dxa"/>
        <w:bottom w:w="0" w:type="dxa"/>
        <w:right w:w="0" w:type="dxa"/>
      </w:tblCellMar>
    </w:tblPr>
  </w:style>
  <w:style w:type="paragraph" w:customStyle="1" w:styleId="113">
    <w:name w:val="纯文本1"/>
    <w:basedOn w:val="1"/>
    <w:qFormat/>
    <w:uiPriority w:val="99"/>
    <w:rPr>
      <w:rFonts w:ascii="宋体" w:hAnsi="Courier New" w:cs="Courier New"/>
      <w:szCs w:val="30"/>
    </w:rPr>
  </w:style>
  <w:style w:type="paragraph" w:customStyle="1" w:styleId="114">
    <w:name w:val="doc-a"/>
    <w:basedOn w:val="84"/>
    <w:qFormat/>
    <w:uiPriority w:val="0"/>
    <w:pPr>
      <w:widowControl/>
      <w:spacing w:before="100" w:beforeLines="0" w:beforeAutospacing="1" w:after="100" w:afterLines="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header" Target="header2.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6.xml"/><Relationship Id="rId11" Type="http://schemas.openxmlformats.org/officeDocument/2006/relationships/header" Target="header4.xml"/><Relationship Id="rId10" Type="http://schemas.openxmlformats.org/officeDocument/2006/relationships/footer" Target="footer5.xml"/><Relationship Id="rId1" Type="http://schemas.openxmlformats.org/officeDocument/2006/relationships/styles" Target="styles.xml"/></Relationships>
</file>

<file path=word/_rels/footer3.xml.rels><?xml version="1.0" encoding="UTF-8" standalone="yes"?>
<Relationships xmlns="http://schemas.openxmlformats.org/package/2006/relationships"><Relationship Id="rId1" Type="http://schemas.openxmlformats.org/officeDocument/2006/relationships/image" Target="media/image1.png"/></Relationships>
</file>

<file path=word/_rels/footer4.xml.rels><?xml version="1.0" encoding="UTF-8" standalone="yes"?>
<Relationships xmlns="http://schemas.openxmlformats.org/package/2006/relationships"><Relationship Id="rId1" Type="http://schemas.openxmlformats.org/officeDocument/2006/relationships/image" Target="media/image1.png"/></Relationships>
</file>

<file path=word/_rels/footer5.xml.rels><?xml version="1.0" encoding="UTF-8" standalone="yes"?>
<Relationships xmlns="http://schemas.openxmlformats.org/package/2006/relationships"><Relationship Id="rId1" Type="http://schemas.openxmlformats.org/officeDocument/2006/relationships/image" Target="media/image1.png"/></Relationships>
</file>

<file path=word/_rels/footer6.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71</Pages>
  <Words>36299</Words>
  <Characters>38285</Characters>
  <Lines>1</Lines>
  <Paragraphs>1</Paragraphs>
  <TotalTime>42</TotalTime>
  <ScaleCrop>false</ScaleCrop>
  <LinksUpToDate>false</LinksUpToDate>
  <CharactersWithSpaces>40682</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2018-06-08T05:12:00Z</dcterms:created>
  <dc:creator>Administrator</dc:creator>
  <cp:lastModifiedBy>独爱小丫头^V^</cp:lastModifiedBy>
  <cp:lastPrinted>2018-08-13T03:57:00Z</cp:lastPrinted>
  <dcterms:modified xsi:type="dcterms:W3CDTF">2023-04-20T05:57:58Z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CV">
    <vt:lpwstr>4F9243D017BA40B89E93DB53C26BB86D_13</vt:lpwstr>
  </property>
  <property fmtid="{D5CDD505-2E9C-101B-9397-08002B2CF9AE}" pid="3" name="KSOProductBuildVer">
    <vt:lpwstr>2052-11.1.0.14036</vt:lpwstr>
  </property>
</Properties>
</file>