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jc w:val="center"/>
        <w:rPr>
          <w:rFonts w:ascii="仿宋" w:hAnsi="仿宋" w:eastAsia="仿宋" w:cs="仿宋"/>
          <w:b/>
          <w:bCs/>
          <w:color w:val="auto"/>
          <w:sz w:val="52"/>
          <w:szCs w:val="52"/>
          <w:highlight w:val="none"/>
        </w:rPr>
      </w:pPr>
      <w:bookmarkStart w:id="0" w:name="_Toc16892"/>
      <w:bookmarkStart w:id="1" w:name="_Toc514253135"/>
      <w:bookmarkStart w:id="2" w:name="_Toc3712"/>
      <w:bookmarkStart w:id="3" w:name="_Toc21866"/>
      <w:bookmarkStart w:id="4" w:name="_Toc27043"/>
      <w:bookmarkStart w:id="5" w:name="_Toc16520"/>
      <w:bookmarkStart w:id="6" w:name="_Toc514253141"/>
      <w:r>
        <w:rPr>
          <w:rFonts w:ascii="仿宋" w:hAnsi="仿宋" w:eastAsia="仿宋" w:cs="仿宋"/>
          <w:b/>
          <w:bCs/>
          <w:color w:val="auto"/>
          <w:sz w:val="52"/>
          <w:szCs w:val="52"/>
          <w:highlight w:val="none"/>
        </w:rPr>
        <w:t>关于采购城市绿化养护队伍项目</w:t>
      </w:r>
    </w:p>
    <w:p>
      <w:pPr>
        <w:pStyle w:val="42"/>
        <w:rPr>
          <w:rFonts w:ascii="仿宋" w:hAnsi="仿宋" w:eastAsia="仿宋" w:cs="仿宋"/>
          <w:b/>
          <w:bCs/>
          <w:color w:val="auto"/>
          <w:sz w:val="52"/>
          <w:szCs w:val="52"/>
          <w:highlight w:val="none"/>
        </w:rPr>
      </w:pPr>
    </w:p>
    <w:p>
      <w:pPr>
        <w:pStyle w:val="42"/>
        <w:rPr>
          <w:rFonts w:ascii="仿宋" w:hAnsi="仿宋" w:eastAsia="仿宋" w:cs="仿宋"/>
          <w:b/>
          <w:bCs/>
          <w:color w:val="auto"/>
          <w:sz w:val="52"/>
          <w:szCs w:val="52"/>
          <w:highlight w:val="none"/>
        </w:rPr>
      </w:pPr>
    </w:p>
    <w:p>
      <w:pPr>
        <w:pStyle w:val="42"/>
        <w:rPr>
          <w:rFonts w:ascii="仿宋" w:hAnsi="仿宋" w:eastAsia="仿宋" w:cs="仿宋"/>
          <w:b/>
          <w:bCs/>
          <w:color w:val="auto"/>
          <w:sz w:val="52"/>
          <w:szCs w:val="52"/>
          <w:highlight w:val="none"/>
        </w:rPr>
      </w:pPr>
    </w:p>
    <w:p>
      <w:pPr>
        <w:rPr>
          <w:rFonts w:ascii="仿宋" w:hAnsi="仿宋" w:eastAsia="仿宋" w:cs="仿宋"/>
          <w:color w:val="auto"/>
          <w:highlight w:val="none"/>
        </w:rPr>
      </w:pPr>
    </w:p>
    <w:p>
      <w:pPr>
        <w:jc w:val="center"/>
        <w:rPr>
          <w:rFonts w:ascii="仿宋" w:hAnsi="仿宋" w:eastAsia="仿宋" w:cs="仿宋"/>
          <w:b/>
          <w:bCs w:val="0"/>
          <w:color w:val="auto"/>
          <w:sz w:val="72"/>
          <w:szCs w:val="72"/>
          <w:highlight w:val="none"/>
        </w:rPr>
      </w:pPr>
      <w:r>
        <w:rPr>
          <w:rFonts w:hint="eastAsia" w:ascii="仿宋" w:hAnsi="仿宋" w:eastAsia="仿宋" w:cs="仿宋"/>
          <w:b/>
          <w:bCs w:val="0"/>
          <w:color w:val="auto"/>
          <w:sz w:val="72"/>
          <w:szCs w:val="72"/>
          <w:highlight w:val="none"/>
        </w:rPr>
        <w:t>招  标  文  件</w:t>
      </w:r>
    </w:p>
    <w:p>
      <w:pPr>
        <w:snapToGrid w:val="0"/>
        <w:spacing w:line="360" w:lineRule="auto"/>
        <w:jc w:val="left"/>
        <w:rPr>
          <w:rFonts w:hint="eastAsia" w:ascii="仿宋" w:hAnsi="仿宋" w:eastAsia="仿宋" w:cs="仿宋"/>
          <w:bCs/>
          <w:color w:val="auto"/>
          <w:sz w:val="32"/>
          <w:highlight w:val="none"/>
          <w:lang w:eastAsia="zh-CN"/>
        </w:rPr>
      </w:pPr>
    </w:p>
    <w:p>
      <w:pPr>
        <w:snapToGrid w:val="0"/>
        <w:spacing w:line="360" w:lineRule="auto"/>
        <w:ind w:firstLine="2160" w:firstLineChars="600"/>
        <w:jc w:val="both"/>
        <w:rPr>
          <w:rFonts w:hint="default" w:ascii="仿宋" w:hAnsi="仿宋" w:eastAsia="仿宋" w:cs="仿宋"/>
          <w:bCs/>
          <w:color w:val="auto"/>
          <w:sz w:val="36"/>
          <w:szCs w:val="28"/>
          <w:highlight w:val="none"/>
          <w:lang w:val="en-US" w:eastAsia="zh-CN"/>
        </w:rPr>
      </w:pPr>
      <w:r>
        <w:rPr>
          <w:rFonts w:hint="eastAsia" w:ascii="仿宋" w:hAnsi="仿宋" w:eastAsia="仿宋" w:cs="仿宋"/>
          <w:bCs/>
          <w:color w:val="auto"/>
          <w:sz w:val="36"/>
          <w:szCs w:val="28"/>
          <w:highlight w:val="none"/>
          <w:lang w:eastAsia="zh-CN"/>
        </w:rPr>
        <w:t>项目编号：HZGJ-XZCG-2023034</w:t>
      </w:r>
      <w:r>
        <w:rPr>
          <w:rFonts w:hint="eastAsia" w:ascii="仿宋" w:hAnsi="仿宋" w:eastAsia="仿宋" w:cs="仿宋"/>
          <w:bCs/>
          <w:color w:val="auto"/>
          <w:sz w:val="36"/>
          <w:szCs w:val="28"/>
          <w:highlight w:val="none"/>
          <w:lang w:val="en-US" w:eastAsia="zh-CN"/>
        </w:rPr>
        <w:t xml:space="preserve">    </w:t>
      </w:r>
    </w:p>
    <w:p>
      <w:pPr>
        <w:ind w:firstLine="480"/>
        <w:jc w:val="center"/>
        <w:rPr>
          <w:rFonts w:ascii="仿宋" w:hAnsi="仿宋" w:eastAsia="仿宋" w:cs="仿宋"/>
          <w:color w:val="auto"/>
          <w:szCs w:val="21"/>
          <w:highlight w:val="none"/>
        </w:rPr>
      </w:pPr>
    </w:p>
    <w:p>
      <w:pPr>
        <w:ind w:firstLine="480"/>
        <w:jc w:val="center"/>
        <w:rPr>
          <w:rFonts w:ascii="仿宋" w:hAnsi="仿宋" w:eastAsia="仿宋" w:cs="仿宋"/>
          <w:color w:val="auto"/>
          <w:szCs w:val="21"/>
          <w:highlight w:val="none"/>
        </w:rPr>
      </w:pPr>
    </w:p>
    <w:p>
      <w:pPr>
        <w:ind w:firstLine="48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 </w:t>
      </w:r>
    </w:p>
    <w:p>
      <w:pPr>
        <w:pStyle w:val="4"/>
        <w:spacing w:line="400" w:lineRule="exact"/>
        <w:jc w:val="both"/>
        <w:rPr>
          <w:rFonts w:ascii="仿宋" w:hAnsi="仿宋" w:eastAsia="仿宋" w:cs="仿宋"/>
          <w:color w:val="auto"/>
          <w:highlight w:val="none"/>
        </w:rPr>
      </w:pPr>
    </w:p>
    <w:p>
      <w:pPr>
        <w:pStyle w:val="4"/>
        <w:spacing w:line="400" w:lineRule="exact"/>
        <w:jc w:val="both"/>
        <w:rPr>
          <w:rFonts w:ascii="仿宋" w:hAnsi="仿宋" w:eastAsia="仿宋" w:cs="仿宋"/>
          <w:color w:val="auto"/>
          <w:highlight w:val="none"/>
        </w:rPr>
      </w:pPr>
    </w:p>
    <w:p>
      <w:pPr>
        <w:rPr>
          <w:rFonts w:ascii="仿宋" w:hAnsi="仿宋" w:eastAsia="仿宋" w:cs="仿宋"/>
          <w:color w:val="auto"/>
          <w:highlight w:val="none"/>
        </w:rPr>
      </w:pPr>
    </w:p>
    <w:p>
      <w:pPr>
        <w:pStyle w:val="2"/>
        <w:rPr>
          <w:rFonts w:ascii="仿宋" w:hAnsi="仿宋" w:eastAsia="仿宋" w:cs="仿宋"/>
          <w:color w:val="auto"/>
          <w:highlight w:val="none"/>
        </w:rPr>
      </w:pPr>
    </w:p>
    <w:p>
      <w:pPr>
        <w:pStyle w:val="42"/>
        <w:rPr>
          <w:rFonts w:ascii="仿宋" w:hAnsi="仿宋" w:eastAsia="仿宋" w:cs="仿宋"/>
          <w:color w:val="auto"/>
          <w:highlight w:val="none"/>
        </w:rPr>
      </w:pPr>
    </w:p>
    <w:p>
      <w:pPr>
        <w:pStyle w:val="42"/>
        <w:rPr>
          <w:rFonts w:ascii="仿宋" w:hAnsi="仿宋" w:eastAsia="仿宋" w:cs="仿宋"/>
          <w:color w:val="auto"/>
          <w:highlight w:val="none"/>
        </w:rPr>
      </w:pPr>
    </w:p>
    <w:p>
      <w:pPr>
        <w:ind w:firstLine="480"/>
        <w:rPr>
          <w:rFonts w:ascii="仿宋" w:hAnsi="仿宋" w:eastAsia="仿宋" w:cs="仿宋"/>
          <w:color w:val="auto"/>
          <w:highlight w:val="none"/>
        </w:rPr>
      </w:pPr>
    </w:p>
    <w:p>
      <w:pPr>
        <w:pStyle w:val="4"/>
        <w:spacing w:line="400" w:lineRule="exact"/>
        <w:jc w:val="both"/>
        <w:rPr>
          <w:rFonts w:ascii="仿宋" w:hAnsi="仿宋" w:eastAsia="仿宋" w:cs="仿宋"/>
          <w:color w:val="auto"/>
          <w:highlight w:val="none"/>
        </w:rPr>
      </w:pPr>
    </w:p>
    <w:p>
      <w:pPr>
        <w:spacing w:line="480" w:lineRule="auto"/>
        <w:ind w:firstLine="993" w:firstLineChars="309"/>
        <w:rPr>
          <w:rFonts w:hint="eastAsia" w:ascii="仿宋" w:hAnsi="仿宋" w:eastAsia="仿宋" w:cs="仿宋"/>
          <w:b/>
          <w:color w:val="auto"/>
          <w:sz w:val="32"/>
          <w:szCs w:val="32"/>
          <w:highlight w:val="none"/>
          <w:u w:val="none"/>
          <w:lang w:eastAsia="zh-CN"/>
        </w:rPr>
      </w:pPr>
      <w:bookmarkStart w:id="7" w:name="_Toc73535376"/>
      <w:r>
        <w:rPr>
          <w:rFonts w:hint="eastAsia" w:ascii="仿宋" w:hAnsi="仿宋" w:eastAsia="仿宋" w:cs="仿宋"/>
          <w:b/>
          <w:color w:val="auto"/>
          <w:sz w:val="32"/>
          <w:szCs w:val="32"/>
          <w:highlight w:val="none"/>
          <w:u w:val="none"/>
        </w:rPr>
        <w:t>招   标   人：堆龙德庆区城市管理和综合执法局</w:t>
      </w:r>
    </w:p>
    <w:bookmarkEnd w:id="7"/>
    <w:p>
      <w:pPr>
        <w:spacing w:line="480" w:lineRule="auto"/>
        <w:ind w:firstLine="993" w:firstLineChars="309"/>
        <w:rPr>
          <w:rFonts w:hint="eastAsia" w:ascii="仿宋" w:hAnsi="仿宋" w:eastAsia="仿宋" w:cs="仿宋"/>
          <w:b/>
          <w:color w:val="auto"/>
          <w:sz w:val="32"/>
          <w:szCs w:val="32"/>
          <w:highlight w:val="none"/>
          <w:u w:val="none"/>
          <w:lang w:eastAsia="zh-CN"/>
        </w:rPr>
      </w:pPr>
      <w:bookmarkStart w:id="8" w:name="_Toc73535377"/>
      <w:r>
        <w:rPr>
          <w:rFonts w:hint="eastAsia" w:ascii="仿宋" w:hAnsi="仿宋" w:eastAsia="仿宋" w:cs="仿宋"/>
          <w:b/>
          <w:color w:val="auto"/>
          <w:sz w:val="32"/>
          <w:szCs w:val="32"/>
          <w:highlight w:val="none"/>
          <w:u w:val="none"/>
        </w:rPr>
        <w:t>招标代理机构：</w:t>
      </w:r>
      <w:bookmarkEnd w:id="8"/>
      <w:r>
        <w:rPr>
          <w:rFonts w:hint="eastAsia" w:ascii="仿宋" w:hAnsi="仿宋" w:eastAsia="仿宋" w:cs="仿宋"/>
          <w:b/>
          <w:color w:val="auto"/>
          <w:sz w:val="32"/>
          <w:szCs w:val="32"/>
          <w:highlight w:val="none"/>
          <w:u w:val="none"/>
          <w:lang w:eastAsia="zh-CN"/>
        </w:rPr>
        <w:t>衡正国际工程咨询有限公司</w:t>
      </w:r>
    </w:p>
    <w:p>
      <w:pPr>
        <w:spacing w:line="480" w:lineRule="auto"/>
        <w:ind w:firstLine="993" w:firstLineChars="309"/>
        <w:rPr>
          <w:rFonts w:hint="default" w:ascii="仿宋" w:hAnsi="仿宋" w:eastAsia="仿宋" w:cs="仿宋"/>
          <w:b/>
          <w:color w:val="auto"/>
          <w:sz w:val="32"/>
          <w:szCs w:val="32"/>
          <w:highlight w:val="none"/>
          <w:u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7" w:h="16839"/>
          <w:pgMar w:top="1418" w:right="1418" w:bottom="1418" w:left="1418" w:header="1903" w:footer="747" w:gutter="0"/>
          <w:pgNumType w:fmt="numberInDash" w:start="1"/>
          <w:cols w:space="720" w:num="1"/>
          <w:titlePg/>
          <w:docGrid w:linePitch="435" w:charSpace="0"/>
        </w:sectPr>
      </w:pPr>
      <w:bookmarkStart w:id="9" w:name="_Toc73535378"/>
      <w:r>
        <w:rPr>
          <w:rFonts w:hint="eastAsia" w:ascii="仿宋" w:hAnsi="仿宋" w:eastAsia="仿宋" w:cs="仿宋"/>
          <w:b/>
          <w:color w:val="auto"/>
          <w:sz w:val="32"/>
          <w:szCs w:val="32"/>
          <w:highlight w:val="none"/>
          <w:u w:val="none"/>
        </w:rPr>
        <w:t>日        期：</w:t>
      </w:r>
      <w:bookmarkEnd w:id="9"/>
      <w:r>
        <w:rPr>
          <w:rFonts w:hint="eastAsia" w:ascii="仿宋" w:hAnsi="仿宋" w:eastAsia="仿宋" w:cs="仿宋"/>
          <w:b/>
          <w:color w:val="auto"/>
          <w:sz w:val="32"/>
          <w:szCs w:val="32"/>
          <w:highlight w:val="none"/>
          <w:u w:val="none"/>
          <w:lang w:val="en-US" w:eastAsia="zh-CN"/>
        </w:rPr>
        <w:t>2023年4月</w:t>
      </w:r>
    </w:p>
    <w:p>
      <w:pPr>
        <w:spacing w:line="480" w:lineRule="auto"/>
        <w:ind w:firstLine="993" w:firstLineChars="309"/>
        <w:rPr>
          <w:rFonts w:ascii="仿宋" w:hAnsi="仿宋" w:eastAsia="仿宋" w:cs="仿宋"/>
          <w:b/>
          <w:bCs/>
          <w:color w:val="auto"/>
          <w:sz w:val="32"/>
          <w:szCs w:val="32"/>
          <w:highlight w:val="none"/>
          <w:u w:val="none"/>
        </w:rPr>
      </w:pPr>
    </w:p>
    <w:p>
      <w:pPr>
        <w:pStyle w:val="33"/>
        <w:tabs>
          <w:tab w:val="right" w:leader="dot" w:pos="9232"/>
        </w:tabs>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目   录</w:t>
      </w:r>
      <w:bookmarkEnd w:id="0"/>
      <w:bookmarkEnd w:id="1"/>
      <w:bookmarkEnd w:id="2"/>
    </w:p>
    <w:p>
      <w:pPr>
        <w:jc w:val="center"/>
        <w:rPr>
          <w:rFonts w:hint="eastAsia" w:ascii="仿宋" w:hAnsi="仿宋" w:eastAsia="仿宋" w:cs="仿宋"/>
          <w:color w:val="auto"/>
          <w:sz w:val="24"/>
          <w:szCs w:val="24"/>
          <w:highlight w:val="none"/>
        </w:rPr>
      </w:pPr>
    </w:p>
    <w:p>
      <w:pPr>
        <w:pStyle w:val="33"/>
        <w:tabs>
          <w:tab w:val="right" w:leader="dot" w:pos="9242"/>
        </w:tabs>
        <w:rPr>
          <w:rFonts w:hint="eastAsia" w:ascii="仿宋" w:hAnsi="仿宋" w:eastAsia="仿宋" w:cs="仿宋"/>
          <w:color w:val="auto"/>
          <w:sz w:val="24"/>
          <w:szCs w:val="24"/>
          <w:highlight w:val="none"/>
        </w:rPr>
      </w:pPr>
      <w:bookmarkStart w:id="10" w:name="_Toc683"/>
      <w:bookmarkStart w:id="11" w:name="_Toc19700"/>
      <w:bookmarkStart w:id="12" w:name="_Toc8624"/>
      <w:bookmarkStart w:id="13" w:name="_Toc14477"/>
      <w:bookmarkStart w:id="14" w:name="_Toc31778"/>
      <w:bookmarkStart w:id="15" w:name="_Toc324164677"/>
      <w:bookmarkStart w:id="16" w:name="_Toc324164491"/>
      <w:r>
        <w:rPr>
          <w:rStyle w:val="91"/>
          <w:rFonts w:hint="eastAsia" w:ascii="仿宋" w:hAnsi="仿宋" w:eastAsia="仿宋" w:cs="仿宋"/>
          <w:b/>
          <w:color w:val="auto"/>
          <w:sz w:val="24"/>
          <w:szCs w:val="24"/>
          <w:highlight w:val="none"/>
        </w:rPr>
        <w:fldChar w:fldCharType="begin"/>
      </w:r>
      <w:r>
        <w:rPr>
          <w:rStyle w:val="91"/>
          <w:rFonts w:hint="eastAsia" w:ascii="仿宋" w:hAnsi="仿宋" w:eastAsia="仿宋" w:cs="仿宋"/>
          <w:b/>
          <w:color w:val="auto"/>
          <w:sz w:val="24"/>
          <w:szCs w:val="24"/>
          <w:highlight w:val="none"/>
        </w:rPr>
        <w:instrText xml:space="preserve">TOC \o "1-3" \h \u </w:instrText>
      </w:r>
      <w:r>
        <w:rPr>
          <w:rStyle w:val="91"/>
          <w:rFonts w:hint="eastAsia" w:ascii="仿宋" w:hAnsi="仿宋" w:eastAsia="仿宋" w:cs="仿宋"/>
          <w:b/>
          <w:color w:val="auto"/>
          <w:sz w:val="24"/>
          <w:szCs w:val="24"/>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_Toc15355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第一章 招标公告</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_Toc15355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3"/>
        <w:tabs>
          <w:tab w:val="right" w:leader="dot" w:pos="9242"/>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_Toc23077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第二章 投标须知前附表及投标须知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_Toc23077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3"/>
        <w:tabs>
          <w:tab w:val="right" w:leader="dot" w:pos="9242"/>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_Toc19598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第三章  评标办法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_Toc19598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3"/>
        <w:tabs>
          <w:tab w:val="right" w:leader="dot" w:pos="9242"/>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_Toc20614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第四章 合同条款格式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_Toc20614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3"/>
        <w:tabs>
          <w:tab w:val="right" w:leader="dot" w:pos="9242"/>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_Toc23107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第五章 采购服务内容及商务要求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_Toc23107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3"/>
        <w:tabs>
          <w:tab w:val="right" w:leader="dot" w:pos="9242"/>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_Toc14479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第六章  投标文件格式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_Toc14479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spacing w:line="240" w:lineRule="auto"/>
        <w:jc w:val="center"/>
        <w:rPr>
          <w:rStyle w:val="91"/>
          <w:rFonts w:ascii="仿宋" w:hAnsi="仿宋" w:eastAsia="仿宋" w:cs="仿宋"/>
          <w:b/>
          <w:color w:val="auto"/>
          <w:sz w:val="32"/>
          <w:szCs w:val="32"/>
          <w:highlight w:val="none"/>
        </w:rPr>
        <w:sectPr>
          <w:headerReference r:id="rId9" w:type="default"/>
          <w:footerReference r:id="rId10" w:type="default"/>
          <w:pgSz w:w="11906" w:h="16838"/>
          <w:pgMar w:top="1440" w:right="1247" w:bottom="1318" w:left="1417" w:header="851" w:footer="992" w:gutter="0"/>
          <w:pgNumType w:fmt="numberInDash" w:start="1"/>
          <w:cols w:space="720" w:num="1"/>
          <w:docGrid w:linePitch="312" w:charSpace="0"/>
        </w:sectPr>
      </w:pPr>
      <w:r>
        <w:rPr>
          <w:rFonts w:hint="eastAsia" w:ascii="仿宋" w:hAnsi="仿宋" w:eastAsia="仿宋" w:cs="仿宋"/>
          <w:color w:val="auto"/>
          <w:sz w:val="24"/>
          <w:szCs w:val="24"/>
          <w:highlight w:val="none"/>
        </w:rPr>
        <w:fldChar w:fldCharType="end"/>
      </w:r>
    </w:p>
    <w:bookmarkEnd w:id="10"/>
    <w:bookmarkEnd w:id="11"/>
    <w:bookmarkEnd w:id="12"/>
    <w:bookmarkEnd w:id="13"/>
    <w:bookmarkEnd w:id="14"/>
    <w:bookmarkEnd w:id="15"/>
    <w:bookmarkEnd w:id="16"/>
    <w:p>
      <w:pPr>
        <w:pStyle w:val="3"/>
        <w:bidi w:val="0"/>
        <w:rPr>
          <w:color w:val="auto"/>
          <w:highlight w:val="none"/>
        </w:rPr>
      </w:pPr>
      <w:bookmarkStart w:id="17" w:name="_Toc514253138"/>
      <w:bookmarkStart w:id="18" w:name="_Toc7255"/>
      <w:bookmarkStart w:id="19" w:name="_Toc19082"/>
      <w:bookmarkStart w:id="20" w:name="_Toc15355"/>
      <w:bookmarkStart w:id="21" w:name="_Toc61260709"/>
      <w:bookmarkStart w:id="22" w:name="_Toc201472289"/>
      <w:bookmarkStart w:id="23" w:name="_Toc324164494"/>
      <w:bookmarkStart w:id="24" w:name="_Toc240452742"/>
      <w:bookmarkStart w:id="25" w:name="_Toc1300"/>
      <w:r>
        <w:rPr>
          <w:rFonts w:hint="eastAsia"/>
          <w:color w:val="auto"/>
          <w:highlight w:val="none"/>
        </w:rPr>
        <w:t>第一章 招标公告</w:t>
      </w:r>
      <w:bookmarkEnd w:id="17"/>
      <w:bookmarkEnd w:id="18"/>
      <w:bookmarkEnd w:id="19"/>
      <w:bookmarkEnd w:id="20"/>
      <w:bookmarkEnd w:id="21"/>
    </w:p>
    <w:bookmarkEnd w:id="22"/>
    <w:bookmarkEnd w:id="23"/>
    <w:bookmarkEnd w:id="24"/>
    <w:bookmarkEnd w:id="25"/>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N/>
        <w:bidi w:val="0"/>
        <w:adjustRightInd/>
        <w:snapToGrid/>
        <w:spacing w:line="312"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shd w:val="clear" w:color="auto" w:fill="FFFFFF"/>
        </w:rPr>
        <w:t>关于采购城市绿化养护队伍项目</w:t>
      </w:r>
      <w:r>
        <w:rPr>
          <w:rFonts w:hint="eastAsia" w:ascii="仿宋" w:hAnsi="仿宋" w:eastAsia="仿宋" w:cs="仿宋"/>
          <w:color w:val="auto"/>
          <w:sz w:val="24"/>
          <w:szCs w:val="24"/>
          <w:highlight w:val="none"/>
          <w:shd w:val="clear" w:color="auto" w:fill="FFFFFF"/>
        </w:rPr>
        <w:t>的潜在供应商应</w:t>
      </w:r>
      <w:r>
        <w:rPr>
          <w:rFonts w:hint="eastAsia" w:ascii="仿宋" w:hAnsi="仿宋" w:eastAsia="仿宋" w:cs="仿宋"/>
          <w:color w:val="auto"/>
          <w:sz w:val="24"/>
          <w:szCs w:val="24"/>
          <w:highlight w:val="none"/>
          <w:shd w:val="clear" w:color="auto" w:fill="FFFFFF"/>
          <w:lang w:val="en-US" w:eastAsia="zh-CN"/>
        </w:rPr>
        <w:t>在</w:t>
      </w:r>
      <w:r>
        <w:rPr>
          <w:rFonts w:hint="eastAsia" w:ascii="仿宋" w:hAnsi="仿宋" w:eastAsia="仿宋" w:cs="仿宋"/>
          <w:color w:val="auto"/>
          <w:sz w:val="24"/>
          <w:szCs w:val="24"/>
          <w:highlight w:val="none"/>
          <w:u w:val="single"/>
          <w:shd w:val="clear" w:color="auto" w:fill="FFFFFF"/>
          <w:lang w:val="en-US" w:eastAsia="zh-CN"/>
        </w:rPr>
        <w:t>拉萨市公共资源交易网（http://ggzy.lasa.gov.cn/pub/webindex.html/）</w:t>
      </w:r>
      <w:r>
        <w:rPr>
          <w:rFonts w:hint="eastAsia" w:ascii="仿宋" w:hAnsi="仿宋" w:eastAsia="仿宋" w:cs="仿宋"/>
          <w:color w:val="auto"/>
          <w:sz w:val="24"/>
          <w:szCs w:val="24"/>
          <w:highlight w:val="none"/>
          <w:shd w:val="clear" w:color="auto" w:fill="FFFFFF"/>
        </w:rPr>
        <w:t>获取招标文件，并于</w:t>
      </w:r>
      <w:r>
        <w:rPr>
          <w:rFonts w:hint="eastAsia" w:ascii="仿宋" w:hAnsi="仿宋" w:eastAsia="仿宋" w:cs="仿宋"/>
          <w:color w:val="auto"/>
          <w:sz w:val="24"/>
          <w:szCs w:val="24"/>
          <w:highlight w:val="none"/>
          <w:u w:val="single"/>
          <w:shd w:val="clear" w:color="auto" w:fill="FFFFFF"/>
          <w:lang w:val="en-US" w:eastAsia="zh-CN"/>
        </w:rPr>
        <w:t>2023</w:t>
      </w:r>
      <w:r>
        <w:rPr>
          <w:rFonts w:hint="eastAsia" w:ascii="仿宋" w:hAnsi="仿宋" w:eastAsia="仿宋" w:cs="仿宋"/>
          <w:color w:val="auto"/>
          <w:sz w:val="24"/>
          <w:szCs w:val="24"/>
          <w:highlight w:val="none"/>
          <w:u w:val="single"/>
          <w:shd w:val="clear" w:color="auto" w:fill="FFFFFF"/>
        </w:rPr>
        <w:t>年</w:t>
      </w:r>
      <w:r>
        <w:rPr>
          <w:rFonts w:hint="eastAsia" w:ascii="仿宋" w:hAnsi="仿宋" w:eastAsia="仿宋" w:cs="仿宋"/>
          <w:color w:val="auto"/>
          <w:sz w:val="24"/>
          <w:szCs w:val="24"/>
          <w:highlight w:val="none"/>
          <w:u w:val="single"/>
          <w:shd w:val="clear" w:color="auto" w:fill="FFFFFF"/>
          <w:lang w:val="en-US" w:eastAsia="zh-CN"/>
        </w:rPr>
        <w:t>4</w:t>
      </w:r>
      <w:r>
        <w:rPr>
          <w:rFonts w:hint="eastAsia" w:ascii="仿宋" w:hAnsi="仿宋" w:eastAsia="仿宋" w:cs="仿宋"/>
          <w:color w:val="auto"/>
          <w:sz w:val="24"/>
          <w:szCs w:val="24"/>
          <w:highlight w:val="none"/>
          <w:u w:val="single"/>
          <w:shd w:val="clear" w:color="auto" w:fill="FFFFFF"/>
        </w:rPr>
        <w:t>月</w:t>
      </w:r>
      <w:r>
        <w:rPr>
          <w:rFonts w:hint="eastAsia" w:ascii="仿宋" w:hAnsi="仿宋" w:eastAsia="仿宋" w:cs="仿宋"/>
          <w:color w:val="auto"/>
          <w:sz w:val="24"/>
          <w:szCs w:val="24"/>
          <w:highlight w:val="none"/>
          <w:u w:val="single"/>
          <w:shd w:val="clear" w:color="auto" w:fill="FFFFFF"/>
          <w:lang w:val="en-US" w:eastAsia="zh-CN"/>
        </w:rPr>
        <w:t xml:space="preserve">    25</w:t>
      </w:r>
      <w:r>
        <w:rPr>
          <w:rFonts w:hint="eastAsia" w:ascii="仿宋" w:hAnsi="仿宋" w:eastAsia="仿宋" w:cs="仿宋"/>
          <w:color w:val="auto"/>
          <w:sz w:val="24"/>
          <w:szCs w:val="24"/>
          <w:highlight w:val="none"/>
          <w:u w:val="single"/>
          <w:shd w:val="clear" w:color="auto" w:fill="FFFFFF"/>
        </w:rPr>
        <w:t>日</w:t>
      </w:r>
      <w:r>
        <w:rPr>
          <w:rFonts w:hint="eastAsia" w:ascii="仿宋" w:hAnsi="仿宋" w:eastAsia="仿宋" w:cs="仿宋"/>
          <w:color w:val="auto"/>
          <w:sz w:val="24"/>
          <w:szCs w:val="24"/>
          <w:highlight w:val="none"/>
          <w:u w:val="single"/>
          <w:shd w:val="clear" w:color="auto" w:fill="FFFFFF"/>
          <w:lang w:val="en-US" w:eastAsia="zh-CN"/>
        </w:rPr>
        <w:t>10</w:t>
      </w:r>
      <w:r>
        <w:rPr>
          <w:rFonts w:hint="eastAsia" w:ascii="仿宋" w:hAnsi="仿宋" w:eastAsia="仿宋" w:cs="仿宋"/>
          <w:color w:val="auto"/>
          <w:sz w:val="24"/>
          <w:szCs w:val="24"/>
          <w:highlight w:val="none"/>
          <w:u w:val="single"/>
          <w:shd w:val="clear" w:color="auto" w:fill="FFFFFF"/>
        </w:rPr>
        <w:t>时</w:t>
      </w:r>
      <w:r>
        <w:rPr>
          <w:rFonts w:hint="eastAsia" w:ascii="仿宋" w:hAnsi="仿宋" w:eastAsia="仿宋" w:cs="仿宋"/>
          <w:color w:val="auto"/>
          <w:sz w:val="24"/>
          <w:szCs w:val="24"/>
          <w:highlight w:val="none"/>
          <w:u w:val="single"/>
          <w:shd w:val="clear" w:color="auto" w:fill="FFFFFF"/>
          <w:lang w:val="en-US" w:eastAsia="zh-CN"/>
        </w:rPr>
        <w:t>00</w:t>
      </w:r>
      <w:r>
        <w:rPr>
          <w:rFonts w:hint="eastAsia" w:ascii="仿宋" w:hAnsi="仿宋" w:eastAsia="仿宋" w:cs="仿宋"/>
          <w:color w:val="auto"/>
          <w:sz w:val="24"/>
          <w:szCs w:val="24"/>
          <w:highlight w:val="none"/>
          <w:u w:val="single"/>
          <w:shd w:val="clear" w:color="auto" w:fill="FFFFFF"/>
        </w:rPr>
        <w:t>分</w:t>
      </w:r>
      <w:r>
        <w:rPr>
          <w:rFonts w:hint="eastAsia" w:ascii="仿宋" w:hAnsi="仿宋" w:eastAsia="仿宋" w:cs="仿宋"/>
          <w:color w:val="auto"/>
          <w:sz w:val="24"/>
          <w:szCs w:val="24"/>
          <w:highlight w:val="none"/>
          <w:shd w:val="clear" w:color="auto" w:fill="FFFFFF"/>
        </w:rPr>
        <w:t>（北京时间）前递交投标文件</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N/>
        <w:bidi w:val="0"/>
        <w:adjustRightInd/>
        <w:snapToGrid/>
        <w:spacing w:line="240" w:lineRule="auto"/>
        <w:textAlignment w:val="auto"/>
        <w:rPr>
          <w:rFonts w:hint="eastAsia" w:ascii="仿宋" w:hAnsi="仿宋" w:eastAsia="仿宋" w:cs="仿宋"/>
          <w:b/>
          <w:bCs/>
          <w:color w:val="auto"/>
          <w:sz w:val="18"/>
          <w:szCs w:val="18"/>
          <w:highlight w:val="none"/>
        </w:rPr>
      </w:pPr>
      <w:bookmarkStart w:id="26" w:name="_Toc28359079"/>
      <w:bookmarkStart w:id="27" w:name="_Toc35393621"/>
      <w:bookmarkStart w:id="28" w:name="_Toc35393790"/>
      <w:bookmarkStart w:id="29" w:name="_Toc3039"/>
      <w:bookmarkStart w:id="30" w:name="_Toc28359002"/>
      <w:bookmarkStart w:id="31" w:name="_Hlk24379207"/>
    </w:p>
    <w:p>
      <w:pPr>
        <w:keepNext w:val="0"/>
        <w:keepLines w:val="0"/>
        <w:pageBreakBefore w:val="0"/>
        <w:kinsoku/>
        <w:wordWrap/>
        <w:overflowPunct/>
        <w:topLinePunct w:val="0"/>
        <w:autoSpaceDN/>
        <w:bidi w:val="0"/>
        <w:adjustRightInd/>
        <w:snapToGrid/>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一、项目基本情况</w:t>
      </w:r>
      <w:bookmarkEnd w:id="26"/>
      <w:bookmarkEnd w:id="27"/>
      <w:bookmarkEnd w:id="28"/>
      <w:bookmarkEnd w:id="29"/>
      <w:bookmarkEnd w:id="30"/>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eastAsia="zh-CN"/>
        </w:rPr>
        <w:t>项目编号</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HZGJ-XZCG-2023034</w:t>
      </w:r>
      <w:r>
        <w:rPr>
          <w:rFonts w:hint="eastAsia" w:ascii="仿宋" w:hAnsi="仿宋" w:eastAsia="仿宋" w:cs="仿宋"/>
          <w:b/>
          <w:bCs/>
          <w:color w:val="auto"/>
          <w:sz w:val="24"/>
          <w:szCs w:val="24"/>
          <w:highlight w:val="none"/>
          <w:lang w:val="en-US" w:eastAsia="zh-CN"/>
        </w:rPr>
        <w:t xml:space="preserve">  </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项目名称：</w:t>
      </w:r>
      <w:bookmarkEnd w:id="31"/>
      <w:r>
        <w:rPr>
          <w:rFonts w:hint="eastAsia" w:ascii="仿宋" w:hAnsi="仿宋" w:eastAsia="仿宋" w:cs="仿宋"/>
          <w:b/>
          <w:bCs/>
          <w:color w:val="auto"/>
          <w:sz w:val="24"/>
          <w:szCs w:val="24"/>
          <w:highlight w:val="none"/>
        </w:rPr>
        <w:t>关于采购城市绿化养护队伍项目</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b/>
          <w:bCs/>
          <w:color w:val="auto"/>
          <w:sz w:val="24"/>
          <w:szCs w:val="24"/>
          <w:highlight w:val="none"/>
        </w:rPr>
        <w:t>预算金额：</w:t>
      </w:r>
      <w:r>
        <w:rPr>
          <w:rFonts w:hint="eastAsia" w:ascii="仿宋" w:hAnsi="仿宋" w:eastAsia="仿宋" w:cs="仿宋"/>
          <w:b/>
          <w:bCs/>
          <w:color w:val="auto"/>
          <w:sz w:val="24"/>
          <w:szCs w:val="24"/>
          <w:highlight w:val="none"/>
          <w:lang w:val="en-US" w:eastAsia="zh-CN"/>
        </w:rPr>
        <w:t>2927272.50（大写：贰佰玖拾贰万柒仟贰佰柒拾贰元伍角整）</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hint="eastAsia"/>
          <w:color w:val="auto"/>
          <w:highlight w:val="none"/>
        </w:rPr>
      </w:pPr>
      <w:r>
        <w:rPr>
          <w:rFonts w:hint="eastAsia" w:ascii="仿宋" w:hAnsi="仿宋" w:eastAsia="仿宋" w:cs="仿宋"/>
          <w:b/>
          <w:bCs/>
          <w:color w:val="auto"/>
          <w:sz w:val="24"/>
          <w:szCs w:val="24"/>
          <w:highlight w:val="none"/>
        </w:rPr>
        <w:t>最高限价：</w:t>
      </w:r>
      <w:r>
        <w:rPr>
          <w:rFonts w:hint="eastAsia" w:ascii="仿宋" w:hAnsi="仿宋" w:eastAsia="仿宋" w:cs="仿宋"/>
          <w:b/>
          <w:bCs/>
          <w:color w:val="auto"/>
          <w:sz w:val="24"/>
          <w:szCs w:val="24"/>
          <w:highlight w:val="none"/>
          <w:lang w:val="en-US" w:eastAsia="zh-CN"/>
        </w:rPr>
        <w:t>2927272.50（大写：贰佰玖拾贰万柒仟贰佰柒拾贰元伍角整）</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采购需求：采购一家城市绿化养护队伍，用于市政绿化带的日常养护、施肥、防虫、涂白、浇水、修建、补裁、管理以及应急处置等工作</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具体详见招标文件</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合同履行期限：</w:t>
      </w: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年或资金达到限价顶额</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本项目</w:t>
      </w:r>
      <w:r>
        <w:rPr>
          <w:rFonts w:hint="eastAsia" w:ascii="仿宋" w:hAnsi="仿宋" w:eastAsia="仿宋" w:cs="仿宋"/>
          <w:color w:val="auto"/>
          <w:sz w:val="24"/>
          <w:szCs w:val="24"/>
          <w:highlight w:val="none"/>
          <w:lang w:val="en-US" w:eastAsia="zh-CN"/>
        </w:rPr>
        <w:t>不</w:t>
      </w:r>
      <w:r>
        <w:rPr>
          <w:rFonts w:hint="eastAsia" w:ascii="仿宋" w:hAnsi="仿宋" w:eastAsia="仿宋" w:cs="仿宋"/>
          <w:b/>
          <w:bCs/>
          <w:color w:val="auto"/>
          <w:sz w:val="24"/>
          <w:szCs w:val="24"/>
          <w:highlight w:val="none"/>
          <w:lang w:eastAsia="zh-CN"/>
        </w:rPr>
        <w:t>接受联合体</w:t>
      </w:r>
      <w:r>
        <w:rPr>
          <w:rFonts w:hint="eastAsia" w:ascii="仿宋" w:hAnsi="仿宋" w:eastAsia="仿宋" w:cs="仿宋"/>
          <w:color w:val="auto"/>
          <w:sz w:val="24"/>
          <w:szCs w:val="24"/>
          <w:highlight w:val="none"/>
          <w:lang w:eastAsia="zh-CN"/>
        </w:rPr>
        <w:t>投标</w:t>
      </w:r>
    </w:p>
    <w:p>
      <w:pPr>
        <w:keepNext w:val="0"/>
        <w:keepLines w:val="0"/>
        <w:pageBreakBefore w:val="0"/>
        <w:kinsoku/>
        <w:wordWrap/>
        <w:overflowPunct/>
        <w:topLinePunct w:val="0"/>
        <w:autoSpaceDN/>
        <w:bidi w:val="0"/>
        <w:adjustRightInd/>
        <w:snapToGrid/>
        <w:spacing w:line="360" w:lineRule="auto"/>
        <w:textAlignment w:val="auto"/>
        <w:rPr>
          <w:rFonts w:hint="eastAsia" w:ascii="仿宋" w:hAnsi="仿宋" w:eastAsia="仿宋" w:cs="仿宋"/>
          <w:b/>
          <w:bCs/>
          <w:color w:val="auto"/>
          <w:sz w:val="24"/>
          <w:szCs w:val="24"/>
          <w:highlight w:val="none"/>
        </w:rPr>
      </w:pPr>
      <w:bookmarkStart w:id="32" w:name="_Toc3972"/>
      <w:bookmarkStart w:id="33" w:name="_Toc35393791"/>
      <w:bookmarkStart w:id="34" w:name="_Toc28359080"/>
      <w:bookmarkStart w:id="35" w:name="_Toc28359003"/>
      <w:bookmarkStart w:id="36" w:name="_Toc35393622"/>
      <w:r>
        <w:rPr>
          <w:rFonts w:hint="eastAsia" w:ascii="仿宋" w:hAnsi="仿宋" w:eastAsia="仿宋" w:cs="仿宋"/>
          <w:b/>
          <w:bCs/>
          <w:color w:val="auto"/>
          <w:sz w:val="24"/>
          <w:szCs w:val="24"/>
          <w:highlight w:val="none"/>
        </w:rPr>
        <w:t>二、申请人的资格要求：</w:t>
      </w:r>
      <w:bookmarkEnd w:id="32"/>
      <w:bookmarkEnd w:id="33"/>
      <w:bookmarkEnd w:id="34"/>
      <w:bookmarkEnd w:id="35"/>
      <w:bookmarkEnd w:id="36"/>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rPr>
      </w:pPr>
      <w:bookmarkStart w:id="37" w:name="_Toc27590"/>
      <w:r>
        <w:rPr>
          <w:rFonts w:hint="eastAsia" w:ascii="仿宋" w:hAnsi="仿宋" w:eastAsia="仿宋" w:cs="仿宋"/>
          <w:b/>
          <w:bCs/>
          <w:color w:val="auto"/>
          <w:sz w:val="24"/>
          <w:szCs w:val="24"/>
          <w:highlight w:val="none"/>
        </w:rPr>
        <w:t>1.满足《中华人民共和国政府采购法》第二十二条规定；</w:t>
      </w:r>
      <w:bookmarkEnd w:id="37"/>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rPr>
      </w:pPr>
      <w:bookmarkStart w:id="38" w:name="_Toc30947"/>
      <w:bookmarkStart w:id="39" w:name="_Toc28359004"/>
      <w:bookmarkStart w:id="40" w:name="_Toc28359081"/>
      <w:r>
        <w:rPr>
          <w:rFonts w:hint="eastAsia" w:ascii="仿宋" w:hAnsi="仿宋" w:eastAsia="仿宋" w:cs="仿宋"/>
          <w:b/>
          <w:bCs/>
          <w:color w:val="auto"/>
          <w:sz w:val="24"/>
          <w:szCs w:val="24"/>
          <w:highlight w:val="none"/>
        </w:rPr>
        <w:t>2.落实政府采购政策需满足的资格要求：</w:t>
      </w:r>
      <w:bookmarkEnd w:id="38"/>
      <w:r>
        <w:rPr>
          <w:rFonts w:hint="eastAsia" w:ascii="仿宋" w:hAnsi="仿宋" w:eastAsia="仿宋" w:cs="仿宋"/>
          <w:color w:val="auto"/>
          <w:kern w:val="0"/>
          <w:sz w:val="24"/>
          <w:szCs w:val="24"/>
          <w:highlight w:val="none"/>
        </w:rPr>
        <w:t>执行《政府采购促进中小企业发展管理办法》、《关于政府采购支持监狱企业发展有关问题的通知》和《关于促进残疾人就业政府采购政策的通知》相关政策；执行节能产品政府优先采购和强制采购制度；执行环境标志产品政府优先采购制度。</w:t>
      </w:r>
    </w:p>
    <w:p>
      <w:pPr>
        <w:keepNext w:val="0"/>
        <w:keepLines w:val="0"/>
        <w:pageBreakBefore w:val="0"/>
        <w:kinsoku/>
        <w:wordWrap/>
        <w:overflowPunct/>
        <w:topLinePunct w:val="0"/>
        <w:autoSpaceDN/>
        <w:bidi w:val="0"/>
        <w:adjustRightInd/>
        <w:snapToGrid/>
        <w:spacing w:line="360" w:lineRule="auto"/>
        <w:ind w:firstLine="472" w:firstLineChars="196"/>
        <w:textAlignment w:val="auto"/>
        <w:rPr>
          <w:rFonts w:hint="default" w:ascii="仿宋" w:hAnsi="仿宋" w:eastAsia="仿宋" w:cs="仿宋"/>
          <w:color w:val="auto"/>
          <w:kern w:val="0"/>
          <w:sz w:val="24"/>
          <w:szCs w:val="24"/>
          <w:highlight w:val="none"/>
          <w:lang w:val="en-US" w:eastAsia="zh-CN"/>
        </w:rPr>
      </w:pPr>
      <w:bookmarkStart w:id="41" w:name="_Toc9620"/>
      <w:r>
        <w:rPr>
          <w:rFonts w:hint="eastAsia" w:ascii="仿宋" w:hAnsi="仿宋" w:eastAsia="仿宋" w:cs="仿宋"/>
          <w:b/>
          <w:bCs/>
          <w:color w:val="auto"/>
          <w:sz w:val="24"/>
          <w:szCs w:val="24"/>
          <w:highlight w:val="none"/>
        </w:rPr>
        <w:t>3.本项目的特定资格要求</w:t>
      </w:r>
      <w:bookmarkEnd w:id="41"/>
      <w:bookmarkStart w:id="42" w:name="_Toc35393792"/>
      <w:bookmarkStart w:id="43" w:name="_Toc13913"/>
      <w:bookmarkStart w:id="44" w:name="_Toc35393623"/>
      <w:r>
        <w:rPr>
          <w:rFonts w:hint="eastAsia" w:ascii="仿宋" w:hAnsi="仿宋" w:eastAsia="仿宋" w:cs="仿宋"/>
          <w:b/>
          <w:bCs/>
          <w:color w:val="auto"/>
          <w:sz w:val="24"/>
          <w:szCs w:val="24"/>
          <w:highlight w:val="none"/>
          <w:lang w:eastAsia="zh-CN"/>
        </w:rPr>
        <w:t>：</w:t>
      </w:r>
    </w:p>
    <w:p>
      <w:pPr>
        <w:keepNext w:val="0"/>
        <w:keepLines w:val="0"/>
        <w:pageBreakBefore w:val="0"/>
        <w:kinsoku/>
        <w:wordWrap/>
        <w:overflowPunct/>
        <w:topLinePunct w:val="0"/>
        <w:autoSpaceDN/>
        <w:bidi w:val="0"/>
        <w:adjustRightInd/>
        <w:snapToGrid/>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三、获取招标文件</w:t>
      </w:r>
      <w:bookmarkEnd w:id="39"/>
      <w:bookmarkEnd w:id="40"/>
      <w:bookmarkEnd w:id="42"/>
      <w:bookmarkEnd w:id="43"/>
      <w:bookmarkEnd w:id="44"/>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lang w:val="en-US" w:eastAsia="zh-CN"/>
        </w:rPr>
        <w:t>2023</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00 时00分</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lang w:val="en-US" w:eastAsia="zh-CN"/>
        </w:rPr>
        <w:t>2023</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12</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00时 00 分</w:t>
      </w:r>
    </w:p>
    <w:p>
      <w:pPr>
        <w:keepNext w:val="0"/>
        <w:keepLines w:val="0"/>
        <w:pageBreakBefore w:val="0"/>
        <w:widowControl/>
        <w:kinsoku/>
        <w:wordWrap/>
        <w:overflowPunct/>
        <w:topLinePunct w:val="0"/>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w:t>
      </w:r>
      <w:bookmarkStart w:id="45" w:name="_Toc28359082"/>
      <w:bookmarkStart w:id="46" w:name="_Toc28359005"/>
      <w:bookmarkStart w:id="47" w:name="_Toc35393793"/>
      <w:bookmarkStart w:id="48" w:name="_Toc35393624"/>
      <w:bookmarkStart w:id="49" w:name="_Toc18097"/>
      <w:r>
        <w:rPr>
          <w:rFonts w:hint="eastAsia" w:ascii="仿宋" w:hAnsi="仿宋" w:eastAsia="仿宋" w:cs="仿宋"/>
          <w:color w:val="auto"/>
          <w:sz w:val="24"/>
          <w:szCs w:val="24"/>
          <w:highlight w:val="none"/>
        </w:rPr>
        <w:t>通过</w:t>
      </w:r>
      <w:r>
        <w:rPr>
          <w:rFonts w:hint="eastAsia" w:ascii="仿宋" w:hAnsi="仿宋" w:eastAsia="仿宋" w:cs="仿宋"/>
          <w:color w:val="auto"/>
          <w:sz w:val="24"/>
          <w:szCs w:val="24"/>
          <w:highlight w:val="none"/>
          <w:lang w:eastAsia="zh-CN"/>
        </w:rPr>
        <w:t>拉萨市公共资源</w:t>
      </w:r>
      <w:r>
        <w:rPr>
          <w:rFonts w:hint="eastAsia" w:ascii="仿宋" w:hAnsi="仿宋" w:eastAsia="仿宋" w:cs="仿宋"/>
          <w:color w:val="auto"/>
          <w:sz w:val="24"/>
          <w:szCs w:val="24"/>
          <w:highlight w:val="none"/>
        </w:rPr>
        <w:t>交易网登录</w:t>
      </w:r>
      <w:r>
        <w:rPr>
          <w:rFonts w:hint="eastAsia" w:ascii="仿宋" w:hAnsi="仿宋" w:eastAsia="仿宋" w:cs="仿宋"/>
          <w:color w:val="auto"/>
          <w:sz w:val="24"/>
          <w:szCs w:val="24"/>
          <w:highlight w:val="none"/>
          <w:u w:val="none"/>
          <w:shd w:val="clear" w:color="auto" w:fill="FFFFFF"/>
          <w:lang w:val="en-US" w:eastAsia="zh-CN"/>
        </w:rPr>
        <w:t>（http://ggzy.lasa.gov.cn/pub/webindex.html）</w:t>
      </w:r>
    </w:p>
    <w:p>
      <w:pPr>
        <w:keepNext w:val="0"/>
        <w:keepLines w:val="0"/>
        <w:pageBreakBefore w:val="0"/>
        <w:widowControl/>
        <w:kinsoku/>
        <w:wordWrap/>
        <w:overflowPunct/>
        <w:topLinePunct w:val="0"/>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方式：</w:t>
      </w:r>
      <w:r>
        <w:rPr>
          <w:rFonts w:hint="eastAsia" w:ascii="仿宋" w:hAnsi="仿宋" w:eastAsia="仿宋" w:cs="仿宋"/>
          <w:color w:val="auto"/>
          <w:sz w:val="24"/>
          <w:szCs w:val="24"/>
          <w:highlight w:val="none"/>
          <w:u w:val="none"/>
          <w:shd w:val="clear" w:color="auto" w:fill="FFFFFF"/>
          <w:lang w:val="en-US" w:eastAsia="zh-CN"/>
        </w:rPr>
        <w:t>网</w:t>
      </w:r>
      <w:r>
        <w:rPr>
          <w:rFonts w:hint="eastAsia" w:ascii="仿宋" w:hAnsi="仿宋" w:eastAsia="仿宋" w:cs="仿宋"/>
          <w:color w:val="auto"/>
          <w:sz w:val="24"/>
          <w:szCs w:val="24"/>
          <w:highlight w:val="none"/>
        </w:rPr>
        <w:t>上下载</w:t>
      </w:r>
    </w:p>
    <w:p>
      <w:pPr>
        <w:keepNext w:val="0"/>
        <w:keepLines w:val="0"/>
        <w:pageBreakBefore w:val="0"/>
        <w:kinsoku/>
        <w:wordWrap/>
        <w:overflowPunct/>
        <w:topLinePunct w:val="0"/>
        <w:autoSpaceDN/>
        <w:bidi w:val="0"/>
        <w:adjustRightInd/>
        <w:snapToGrid/>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四、提交投标文件</w:t>
      </w:r>
      <w:bookmarkEnd w:id="45"/>
      <w:bookmarkEnd w:id="46"/>
      <w:r>
        <w:rPr>
          <w:rFonts w:hint="eastAsia" w:ascii="仿宋" w:hAnsi="仿宋" w:eastAsia="仿宋" w:cs="仿宋"/>
          <w:b/>
          <w:bCs/>
          <w:color w:val="auto"/>
          <w:sz w:val="24"/>
          <w:szCs w:val="24"/>
          <w:highlight w:val="none"/>
        </w:rPr>
        <w:t>截止时间、开标时间和地点</w:t>
      </w:r>
      <w:bookmarkEnd w:id="47"/>
      <w:bookmarkEnd w:id="48"/>
      <w:bookmarkEnd w:id="49"/>
    </w:p>
    <w:p>
      <w:pPr>
        <w:keepNext w:val="0"/>
        <w:keepLines w:val="0"/>
        <w:pageBreakBefore w:val="0"/>
        <w:kinsoku/>
        <w:wordWrap/>
        <w:overflowPunct/>
        <w:topLinePunct w:val="0"/>
        <w:autoSpaceDN/>
        <w:bidi w:val="0"/>
        <w:adjustRightInd/>
        <w:snapToGrid/>
        <w:spacing w:line="360" w:lineRule="auto"/>
        <w:ind w:firstLine="424" w:firstLineChars="177"/>
        <w:textAlignment w:val="auto"/>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lang w:eastAsia="zh-CN"/>
        </w:rPr>
        <w:t>提交</w:t>
      </w:r>
      <w:r>
        <w:rPr>
          <w:rFonts w:hint="eastAsia" w:ascii="仿宋" w:hAnsi="仿宋" w:eastAsia="仿宋" w:cs="仿宋"/>
          <w:color w:val="auto"/>
          <w:sz w:val="24"/>
          <w:szCs w:val="24"/>
          <w:highlight w:val="none"/>
        </w:rPr>
        <w:t>投标文件截止时间、开标时间：</w:t>
      </w:r>
      <w:r>
        <w:rPr>
          <w:rFonts w:hint="eastAsia" w:ascii="仿宋" w:hAnsi="仿宋" w:eastAsia="仿宋" w:cs="仿宋"/>
          <w:color w:val="auto"/>
          <w:sz w:val="24"/>
          <w:szCs w:val="24"/>
          <w:highlight w:val="none"/>
          <w:u w:val="single"/>
          <w:shd w:val="clear" w:color="auto" w:fill="FFFFFF"/>
          <w:lang w:val="en-US" w:eastAsia="zh-CN"/>
        </w:rPr>
        <w:t>2023</w:t>
      </w:r>
      <w:r>
        <w:rPr>
          <w:rFonts w:hint="eastAsia" w:ascii="仿宋" w:hAnsi="仿宋" w:eastAsia="仿宋" w:cs="仿宋"/>
          <w:color w:val="auto"/>
          <w:sz w:val="24"/>
          <w:szCs w:val="24"/>
          <w:highlight w:val="none"/>
          <w:u w:val="single"/>
          <w:shd w:val="clear" w:color="auto" w:fill="FFFFFF"/>
        </w:rPr>
        <w:t>年</w:t>
      </w:r>
      <w:r>
        <w:rPr>
          <w:rFonts w:hint="eastAsia" w:ascii="仿宋" w:hAnsi="仿宋" w:eastAsia="仿宋" w:cs="仿宋"/>
          <w:color w:val="auto"/>
          <w:sz w:val="24"/>
          <w:szCs w:val="24"/>
          <w:highlight w:val="none"/>
          <w:u w:val="single"/>
          <w:shd w:val="clear" w:color="auto" w:fill="FFFFFF"/>
          <w:lang w:val="en-US" w:eastAsia="zh-CN"/>
        </w:rPr>
        <w:t>4</w:t>
      </w:r>
      <w:r>
        <w:rPr>
          <w:rFonts w:hint="eastAsia" w:ascii="仿宋" w:hAnsi="仿宋" w:eastAsia="仿宋" w:cs="仿宋"/>
          <w:color w:val="auto"/>
          <w:sz w:val="24"/>
          <w:szCs w:val="24"/>
          <w:highlight w:val="none"/>
          <w:u w:val="single"/>
          <w:shd w:val="clear" w:color="auto" w:fill="FFFFFF"/>
        </w:rPr>
        <w:t>月</w:t>
      </w:r>
      <w:r>
        <w:rPr>
          <w:rFonts w:hint="eastAsia" w:ascii="仿宋" w:hAnsi="仿宋" w:eastAsia="仿宋" w:cs="仿宋"/>
          <w:color w:val="auto"/>
          <w:sz w:val="24"/>
          <w:szCs w:val="24"/>
          <w:highlight w:val="none"/>
          <w:u w:val="single"/>
          <w:shd w:val="clear" w:color="auto" w:fill="FFFFFF"/>
          <w:lang w:val="en-US" w:eastAsia="zh-CN"/>
        </w:rPr>
        <w:t>25</w:t>
      </w:r>
      <w:r>
        <w:rPr>
          <w:rFonts w:hint="eastAsia" w:ascii="仿宋" w:hAnsi="仿宋" w:eastAsia="仿宋" w:cs="仿宋"/>
          <w:color w:val="auto"/>
          <w:sz w:val="24"/>
          <w:szCs w:val="24"/>
          <w:highlight w:val="none"/>
          <w:u w:val="single"/>
          <w:shd w:val="clear" w:color="auto" w:fill="FFFFFF"/>
        </w:rPr>
        <w:t>日</w:t>
      </w:r>
      <w:r>
        <w:rPr>
          <w:rFonts w:hint="eastAsia" w:ascii="仿宋" w:hAnsi="仿宋" w:eastAsia="仿宋" w:cs="仿宋"/>
          <w:color w:val="auto"/>
          <w:sz w:val="24"/>
          <w:szCs w:val="24"/>
          <w:highlight w:val="none"/>
          <w:u w:val="single"/>
          <w:shd w:val="clear" w:color="auto" w:fill="FFFFFF"/>
          <w:lang w:val="en-US" w:eastAsia="zh-CN"/>
        </w:rPr>
        <w:t>10</w:t>
      </w:r>
      <w:r>
        <w:rPr>
          <w:rFonts w:hint="eastAsia" w:ascii="仿宋" w:hAnsi="仿宋" w:eastAsia="仿宋" w:cs="仿宋"/>
          <w:color w:val="auto"/>
          <w:sz w:val="24"/>
          <w:szCs w:val="24"/>
          <w:highlight w:val="none"/>
          <w:u w:val="single"/>
          <w:shd w:val="clear" w:color="auto" w:fill="FFFFFF"/>
        </w:rPr>
        <w:t>时</w:t>
      </w:r>
      <w:r>
        <w:rPr>
          <w:rFonts w:hint="eastAsia" w:ascii="仿宋" w:hAnsi="仿宋" w:eastAsia="仿宋" w:cs="仿宋"/>
          <w:color w:val="auto"/>
          <w:sz w:val="24"/>
          <w:szCs w:val="24"/>
          <w:highlight w:val="none"/>
          <w:u w:val="single"/>
          <w:shd w:val="clear" w:color="auto" w:fill="FFFFFF"/>
          <w:lang w:val="en-US" w:eastAsia="zh-CN"/>
        </w:rPr>
        <w:t>00</w:t>
      </w:r>
      <w:r>
        <w:rPr>
          <w:rFonts w:hint="eastAsia" w:ascii="仿宋" w:hAnsi="仿宋" w:eastAsia="仿宋" w:cs="仿宋"/>
          <w:color w:val="auto"/>
          <w:sz w:val="24"/>
          <w:szCs w:val="24"/>
          <w:highlight w:val="none"/>
          <w:u w:val="single"/>
          <w:shd w:val="clear" w:color="auto" w:fill="FFFFFF"/>
        </w:rPr>
        <w:t>分</w:t>
      </w:r>
      <w:r>
        <w:rPr>
          <w:rFonts w:hint="eastAsia" w:ascii="仿宋" w:hAnsi="仿宋" w:eastAsia="仿宋" w:cs="仿宋"/>
          <w:color w:val="auto"/>
          <w:sz w:val="24"/>
          <w:szCs w:val="24"/>
          <w:highlight w:val="none"/>
          <w:shd w:val="clear" w:color="auto" w:fill="FFFFFF"/>
        </w:rPr>
        <w:t>（北京时间）</w:t>
      </w:r>
    </w:p>
    <w:p>
      <w:pPr>
        <w:pStyle w:val="2"/>
        <w:keepNext w:val="0"/>
        <w:keepLines w:val="0"/>
        <w:pageBreakBefore w:val="0"/>
        <w:kinsoku/>
        <w:wordWrap/>
        <w:overflowPunct/>
        <w:topLinePunct w:val="0"/>
        <w:autoSpaceDN/>
        <w:bidi w:val="0"/>
        <w:adjustRightInd/>
        <w:snapToGrid/>
        <w:spacing w:after="0" w:line="360" w:lineRule="auto"/>
        <w:ind w:firstLine="424" w:firstLineChars="177"/>
        <w:jc w:val="left"/>
        <w:textAlignment w:val="auto"/>
        <w:rPr>
          <w:rFonts w:hint="eastAsia" w:ascii="仿宋" w:hAnsi="仿宋" w:eastAsia="仿宋" w:cs="仿宋"/>
          <w:color w:val="auto"/>
          <w:sz w:val="24"/>
          <w:szCs w:val="24"/>
          <w:highlight w:val="none"/>
          <w:lang w:val="en-US" w:eastAsia="zh-CN"/>
        </w:rPr>
      </w:pPr>
      <w:bookmarkStart w:id="50" w:name="_Toc28359084"/>
      <w:bookmarkStart w:id="51" w:name="_Toc35393625"/>
      <w:bookmarkStart w:id="52" w:name="_Toc30754"/>
      <w:bookmarkStart w:id="53" w:name="_Toc28359007"/>
      <w:bookmarkStart w:id="54" w:name="_Toc35393794"/>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val="en-US" w:eastAsia="zh-CN"/>
        </w:rPr>
        <w:t>拉萨市公共资源交易平台</w:t>
      </w:r>
      <w:r>
        <w:rPr>
          <w:rFonts w:hint="eastAsia" w:ascii="仿宋" w:hAnsi="仿宋" w:eastAsia="仿宋" w:cs="仿宋"/>
          <w:color w:val="auto"/>
          <w:sz w:val="24"/>
          <w:highlight w:val="none"/>
          <w:shd w:val="clear" w:color="auto" w:fill="FFFFFF"/>
          <w:lang w:val="en-US" w:eastAsia="zh-CN"/>
        </w:rPr>
        <w:t>不见面开标大厅</w:t>
      </w:r>
    </w:p>
    <w:p>
      <w:pPr>
        <w:pStyle w:val="2"/>
        <w:keepNext w:val="0"/>
        <w:keepLines w:val="0"/>
        <w:pageBreakBefore w:val="0"/>
        <w:kinsoku/>
        <w:wordWrap/>
        <w:overflowPunct/>
        <w:topLinePunct w:val="0"/>
        <w:autoSpaceDN/>
        <w:bidi w:val="0"/>
        <w:adjustRightInd/>
        <w:snapToGrid/>
        <w:spacing w:after="0" w:line="360" w:lineRule="auto"/>
        <w:ind w:firstLine="424" w:firstLineChars="177"/>
        <w:jc w:val="left"/>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方式：</w:t>
      </w:r>
      <w:r>
        <w:rPr>
          <w:rFonts w:hint="eastAsia" w:ascii="仿宋" w:hAnsi="仿宋" w:eastAsia="仿宋" w:cs="仿宋"/>
          <w:color w:val="auto"/>
          <w:sz w:val="24"/>
          <w:szCs w:val="24"/>
          <w:highlight w:val="none"/>
          <w:lang w:val="en-US" w:eastAsia="zh-CN"/>
        </w:rPr>
        <w:t>投标人请登录拉萨市公共资源交易网（http://ggzy.lasa.gov.cn/pub/webindex.html）提交电子投标文件。</w:t>
      </w:r>
    </w:p>
    <w:p>
      <w:pPr>
        <w:keepNext w:val="0"/>
        <w:keepLines w:val="0"/>
        <w:pageBreakBefore w:val="0"/>
        <w:kinsoku/>
        <w:wordWrap/>
        <w:overflowPunct/>
        <w:topLinePunct w:val="0"/>
        <w:autoSpaceDN/>
        <w:bidi w:val="0"/>
        <w:adjustRightInd/>
        <w:snapToGrid/>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五、公告期限</w:t>
      </w:r>
      <w:bookmarkEnd w:id="50"/>
      <w:bookmarkEnd w:id="51"/>
      <w:bookmarkEnd w:id="52"/>
      <w:bookmarkEnd w:id="53"/>
      <w:bookmarkEnd w:id="54"/>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w:t>
      </w:r>
      <w:r>
        <w:rPr>
          <w:rFonts w:hint="eastAsia" w:ascii="仿宋" w:hAnsi="仿宋" w:eastAsia="仿宋" w:cs="仿宋"/>
          <w:b w:val="0"/>
          <w:bCs/>
          <w:color w:val="auto"/>
          <w:kern w:val="0"/>
          <w:sz w:val="24"/>
          <w:szCs w:val="24"/>
          <w:highlight w:val="none"/>
          <w:u w:val="none"/>
        </w:rPr>
        <w:t xml:space="preserve"> 5 </w:t>
      </w:r>
      <w:r>
        <w:rPr>
          <w:rFonts w:hint="eastAsia" w:ascii="仿宋" w:hAnsi="仿宋" w:eastAsia="仿宋" w:cs="仿宋"/>
          <w:color w:val="auto"/>
          <w:kern w:val="0"/>
          <w:sz w:val="24"/>
          <w:szCs w:val="24"/>
          <w:highlight w:val="none"/>
        </w:rPr>
        <w:t>个工作日。</w:t>
      </w:r>
    </w:p>
    <w:p>
      <w:pPr>
        <w:keepNext w:val="0"/>
        <w:keepLines w:val="0"/>
        <w:pageBreakBefore w:val="0"/>
        <w:kinsoku/>
        <w:wordWrap/>
        <w:overflowPunct/>
        <w:topLinePunct w:val="0"/>
        <w:autoSpaceDN/>
        <w:bidi w:val="0"/>
        <w:adjustRightInd/>
        <w:snapToGrid/>
        <w:spacing w:line="360" w:lineRule="auto"/>
        <w:textAlignment w:val="auto"/>
        <w:rPr>
          <w:rFonts w:hint="eastAsia" w:ascii="仿宋" w:hAnsi="仿宋" w:eastAsia="仿宋" w:cs="仿宋"/>
          <w:b/>
          <w:bCs/>
          <w:color w:val="auto"/>
          <w:sz w:val="24"/>
          <w:szCs w:val="24"/>
          <w:highlight w:val="none"/>
        </w:rPr>
      </w:pPr>
      <w:bookmarkStart w:id="55" w:name="_Toc35393626"/>
      <w:bookmarkStart w:id="56" w:name="_Toc32020"/>
      <w:bookmarkStart w:id="57" w:name="_Toc35393795"/>
      <w:r>
        <w:rPr>
          <w:rFonts w:hint="eastAsia" w:ascii="仿宋" w:hAnsi="仿宋" w:eastAsia="仿宋" w:cs="仿宋"/>
          <w:b/>
          <w:bCs/>
          <w:color w:val="auto"/>
          <w:sz w:val="24"/>
          <w:szCs w:val="24"/>
          <w:highlight w:val="none"/>
        </w:rPr>
        <w:t>六、其他补充事宜</w:t>
      </w:r>
      <w:bookmarkEnd w:id="55"/>
      <w:bookmarkEnd w:id="56"/>
      <w:bookmarkEnd w:id="57"/>
    </w:p>
    <w:p>
      <w:pPr>
        <w:keepNext w:val="0"/>
        <w:keepLines w:val="0"/>
        <w:pageBreakBefore w:val="0"/>
        <w:widowControl/>
        <w:kinsoku/>
        <w:wordWrap/>
        <w:overflowPunct/>
        <w:topLinePunct w:val="0"/>
        <w:autoSpaceDN/>
        <w:bidi w:val="0"/>
        <w:adjustRightInd/>
        <w:snapToGrid/>
        <w:spacing w:line="360" w:lineRule="auto"/>
        <w:ind w:firstLine="475" w:firstLineChars="198"/>
        <w:jc w:val="left"/>
        <w:textAlignment w:val="auto"/>
        <w:rPr>
          <w:rFonts w:hint="eastAsia" w:ascii="仿宋" w:hAnsi="仿宋" w:eastAsia="仿宋" w:cs="仿宋"/>
          <w:color w:val="auto"/>
          <w:kern w:val="0"/>
          <w:sz w:val="24"/>
          <w:szCs w:val="24"/>
          <w:highlight w:val="none"/>
        </w:rPr>
      </w:pPr>
      <w:bookmarkStart w:id="58" w:name="_Toc35393627"/>
      <w:bookmarkStart w:id="59" w:name="_Toc35393796"/>
      <w:bookmarkStart w:id="60" w:name="_Toc28359085"/>
      <w:bookmarkStart w:id="61" w:name="_Toc28359008"/>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本次招标公告在</w:t>
      </w:r>
      <w:r>
        <w:rPr>
          <w:rFonts w:hint="eastAsia" w:ascii="仿宋" w:hAnsi="仿宋" w:eastAsia="仿宋" w:cs="仿宋"/>
          <w:color w:val="auto"/>
          <w:kern w:val="0"/>
          <w:sz w:val="24"/>
          <w:szCs w:val="24"/>
          <w:highlight w:val="none"/>
          <w:lang w:eastAsia="zh-CN"/>
        </w:rPr>
        <w:t>《西藏自治区公共资源交易网》</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拉萨市公共资源</w:t>
      </w:r>
      <w:r>
        <w:rPr>
          <w:rFonts w:hint="eastAsia" w:ascii="仿宋" w:hAnsi="仿宋" w:eastAsia="仿宋" w:cs="仿宋"/>
          <w:color w:val="auto"/>
          <w:kern w:val="0"/>
          <w:sz w:val="24"/>
          <w:szCs w:val="24"/>
          <w:highlight w:val="none"/>
        </w:rPr>
        <w:t>交易网》《</w:t>
      </w:r>
      <w:r>
        <w:rPr>
          <w:rFonts w:hint="eastAsia" w:ascii="仿宋" w:hAnsi="仿宋" w:eastAsia="仿宋" w:cs="仿宋"/>
          <w:color w:val="auto"/>
          <w:kern w:val="0"/>
          <w:sz w:val="24"/>
          <w:szCs w:val="24"/>
          <w:highlight w:val="none"/>
          <w:lang w:eastAsia="zh-CN"/>
        </w:rPr>
        <w:t>西藏自治区</w:t>
      </w:r>
      <w:r>
        <w:rPr>
          <w:rFonts w:hint="eastAsia" w:ascii="仿宋" w:hAnsi="仿宋" w:eastAsia="仿宋" w:cs="仿宋"/>
          <w:color w:val="auto"/>
          <w:kern w:val="0"/>
          <w:sz w:val="24"/>
          <w:szCs w:val="24"/>
          <w:highlight w:val="none"/>
        </w:rPr>
        <w:t>政府采购网》</w:t>
      </w:r>
      <w:r>
        <w:rPr>
          <w:rFonts w:hint="eastAsia" w:ascii="仿宋" w:hAnsi="仿宋" w:eastAsia="仿宋" w:cs="仿宋"/>
          <w:color w:val="auto"/>
          <w:kern w:val="0"/>
          <w:sz w:val="24"/>
          <w:szCs w:val="24"/>
          <w:highlight w:val="none"/>
          <w:lang w:val="en-US" w:eastAsia="zh-CN"/>
        </w:rPr>
        <w:t>发布。</w:t>
      </w:r>
    </w:p>
    <w:p>
      <w:pPr>
        <w:keepNext w:val="0"/>
        <w:keepLines w:val="0"/>
        <w:pageBreakBefore w:val="0"/>
        <w:widowControl/>
        <w:kinsoku/>
        <w:wordWrap/>
        <w:overflowPunct/>
        <w:topLinePunct w:val="0"/>
        <w:autoSpaceDN/>
        <w:bidi w:val="0"/>
        <w:adjustRightInd/>
        <w:snapToGrid/>
        <w:spacing w:line="360" w:lineRule="auto"/>
        <w:ind w:firstLine="475" w:firstLineChars="198"/>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潜在投标人自行留意查看上述招标公告发布媒体是否有本项目后续的澄清、更正、终止、中标（成交）公告。（因电子化交易代理机构无法主动联系已获取招标文件的潜在供应商，本项目相关澄清、更正、终止等信息无法以书面形式通知所有获取招标文件的潜在投标人。请各潜在投标人及时关注本项目发布媒体，如未获取到相关澄清、更正、终止等信息，造成的后果由各潜在投标人自行承担。）</w:t>
      </w:r>
    </w:p>
    <w:p>
      <w:pPr>
        <w:keepNext w:val="0"/>
        <w:keepLines w:val="0"/>
        <w:pageBreakBefore w:val="0"/>
        <w:widowControl/>
        <w:kinsoku/>
        <w:wordWrap/>
        <w:overflowPunct/>
        <w:topLinePunct w:val="0"/>
        <w:autoSpaceDN/>
        <w:bidi w:val="0"/>
        <w:adjustRightInd/>
        <w:snapToGrid/>
        <w:spacing w:line="360" w:lineRule="auto"/>
        <w:ind w:firstLine="475" w:firstLineChars="198"/>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各潜在投标人应在拉萨市公共资源交易网（http://ggzy.lasa.gov.cn/pub/webindex.html）进行注册、完善资料等工作，并按照拉萨市公共资源交易网相关要求办理相关CA证书锁，以便完成获取招标文件、投标等相关操作。各项操作规范以拉萨市公共资源交易网要求为准，如遇网站、系统、CA证书锁等相关问题，请按照拉萨市公共资源交易平台服务中心联系方式进行咨询。</w:t>
      </w:r>
    </w:p>
    <w:p>
      <w:pPr>
        <w:keepNext w:val="0"/>
        <w:keepLines w:val="0"/>
        <w:pageBreakBefore w:val="0"/>
        <w:widowControl/>
        <w:kinsoku/>
        <w:wordWrap/>
        <w:overflowPunct/>
        <w:topLinePunct w:val="0"/>
        <w:autoSpaceDN/>
        <w:bidi w:val="0"/>
        <w:adjustRightInd/>
        <w:snapToGrid/>
        <w:spacing w:line="360" w:lineRule="auto"/>
        <w:ind w:firstLine="475" w:firstLineChars="198"/>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4、投标保证金采取电子保函方式提交。（登录萨市公共资源交易平台金融服务系统里面办理电子保函）。</w:t>
      </w:r>
    </w:p>
    <w:p>
      <w:pPr>
        <w:pStyle w:val="4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5.注意事项</w:t>
      </w:r>
    </w:p>
    <w:p>
      <w:pPr>
        <w:pStyle w:val="4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（1）各潜在投标人认真阅读公告内容，准时参加线上不见面开标会。不见面开标操作流程详见拉萨市公共资源交易信息网首页--办事流程--资料下载--不见面开标操作手册（投标人篇或供应商篇）。</w:t>
      </w:r>
    </w:p>
    <w:p>
      <w:pPr>
        <w:pStyle w:val="4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本项目采取线上“不见面”开标形式进行，各潜在投标人无需到现场开标，各投标单位通过线上“不见面开标大厅”全程参与开标会议，做好投标文件解密工作。投标人未按时登录不见面开标大厅，错过开标解密时间的，由投标人自行承担后果。投标文件未能在规定时间内成功解密的，视为投标人撤销其投标文件，由投标人自行承担责任。不见面开标项目不接受投标人现场递交光盘等形式的投标文件，不接受投标人现场解密投标文件。评标专家将以电子版投标文件为准进行评审。上传到平台的电子投标文件所提供资料的真实性由投标人自行负责。</w:t>
      </w:r>
    </w:p>
    <w:p>
      <w:pPr>
        <w:pStyle w:val="4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rightChars="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（3）在完成开标之前，投标人应保持实时在线和电话畅通，对代理机构提出的问题及时回复。</w:t>
      </w:r>
    </w:p>
    <w:p>
      <w:pPr>
        <w:pStyle w:val="4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rightChars="0"/>
        <w:jc w:val="left"/>
        <w:textAlignment w:val="auto"/>
        <w:rPr>
          <w:rFonts w:hint="default"/>
          <w:color w:val="auto"/>
          <w:lang w:val="en-US" w:eastAsia="zh-CN"/>
        </w:rPr>
      </w:pPr>
      <w:r>
        <w:rPr>
          <w:rFonts w:hint="eastAsia" w:ascii="仿宋" w:hAnsi="仿宋" w:eastAsia="仿宋" w:cs="仿宋"/>
          <w:color w:val="auto"/>
          <w:kern w:val="0"/>
          <w:sz w:val="24"/>
          <w:szCs w:val="24"/>
          <w:highlight w:val="none"/>
          <w:lang w:val="en-US" w:eastAsia="zh-CN" w:bidi="ar-SA"/>
        </w:rPr>
        <w:t>（4）在不见面开标过程中如遇到技术问题，请及时与拉萨市公共资源交易平台技术支持联系。</w:t>
      </w:r>
    </w:p>
    <w:p>
      <w:pPr>
        <w:keepNext w:val="0"/>
        <w:keepLines w:val="0"/>
        <w:pageBreakBefore w:val="0"/>
        <w:kinsoku/>
        <w:wordWrap/>
        <w:overflowPunct/>
        <w:topLinePunct w:val="0"/>
        <w:autoSpaceDN/>
        <w:bidi w:val="0"/>
        <w:adjustRightInd/>
        <w:snapToGrid/>
        <w:spacing w:line="360" w:lineRule="auto"/>
        <w:textAlignment w:val="auto"/>
        <w:rPr>
          <w:rFonts w:hint="eastAsia" w:ascii="仿宋" w:hAnsi="仿宋" w:eastAsia="仿宋" w:cs="仿宋"/>
          <w:b/>
          <w:bCs/>
          <w:color w:val="auto"/>
          <w:sz w:val="24"/>
          <w:szCs w:val="24"/>
          <w:highlight w:val="none"/>
        </w:rPr>
      </w:pPr>
      <w:bookmarkStart w:id="62" w:name="_Toc8283"/>
      <w:r>
        <w:rPr>
          <w:rFonts w:hint="eastAsia" w:ascii="仿宋" w:hAnsi="仿宋" w:eastAsia="仿宋" w:cs="仿宋"/>
          <w:b/>
          <w:bCs/>
          <w:color w:val="auto"/>
          <w:sz w:val="24"/>
          <w:szCs w:val="24"/>
          <w:highlight w:val="none"/>
        </w:rPr>
        <w:t>七、对本次招标提出询问，请按以下方式联系。</w:t>
      </w:r>
      <w:bookmarkEnd w:id="58"/>
      <w:bookmarkEnd w:id="59"/>
      <w:bookmarkEnd w:id="60"/>
      <w:bookmarkEnd w:id="61"/>
      <w:bookmarkEnd w:id="62"/>
    </w:p>
    <w:p>
      <w:pPr>
        <w:pStyle w:val="4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仿宋" w:hAnsi="仿宋" w:eastAsia="仿宋" w:cs="仿宋"/>
          <w:color w:val="auto"/>
          <w:kern w:val="0"/>
          <w:sz w:val="24"/>
          <w:szCs w:val="24"/>
          <w:highlight w:val="none"/>
          <w:lang w:val="en-US" w:eastAsia="zh-CN" w:bidi="ar-SA"/>
        </w:rPr>
      </w:pPr>
      <w:bookmarkStart w:id="63" w:name="_Toc11945"/>
      <w:bookmarkStart w:id="64" w:name="_Toc61260710"/>
      <w:bookmarkStart w:id="65" w:name="_Toc19893"/>
      <w:bookmarkStart w:id="66" w:name="_Toc12114"/>
      <w:bookmarkStart w:id="67" w:name="_Toc18116"/>
      <w:bookmarkStart w:id="68" w:name="_Toc514253139"/>
      <w:bookmarkStart w:id="69" w:name="_Toc23077"/>
      <w:r>
        <w:rPr>
          <w:rFonts w:hint="eastAsia" w:ascii="仿宋" w:hAnsi="仿宋" w:eastAsia="仿宋" w:cs="仿宋"/>
          <w:color w:val="auto"/>
          <w:kern w:val="0"/>
          <w:sz w:val="24"/>
          <w:szCs w:val="24"/>
          <w:highlight w:val="none"/>
          <w:lang w:val="en-US" w:eastAsia="zh-CN" w:bidi="ar-SA"/>
        </w:rPr>
        <w:t>1.采购人信息</w:t>
      </w:r>
    </w:p>
    <w:p>
      <w:pPr>
        <w:pStyle w:val="4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名称：堆龙德庆区城市管理和综合执法局</w:t>
      </w:r>
    </w:p>
    <w:p>
      <w:pPr>
        <w:pStyle w:val="4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地址：</w:t>
      </w:r>
      <w:r>
        <w:rPr>
          <w:rFonts w:hint="eastAsia" w:ascii="仿宋" w:hAnsi="仿宋" w:eastAsia="仿宋" w:cs="仿宋"/>
          <w:color w:val="auto"/>
          <w:kern w:val="0"/>
          <w:sz w:val="24"/>
          <w:szCs w:val="24"/>
          <w:highlight w:val="none"/>
          <w:lang w:val="en-US" w:eastAsia="zh-CN" w:bidi="ar-SA"/>
        </w:rPr>
        <w:tab/>
      </w:r>
      <w:r>
        <w:rPr>
          <w:rFonts w:hint="eastAsia" w:ascii="仿宋" w:hAnsi="仿宋" w:eastAsia="仿宋" w:cs="仿宋"/>
          <w:color w:val="auto"/>
          <w:kern w:val="0"/>
          <w:sz w:val="24"/>
          <w:szCs w:val="24"/>
          <w:highlight w:val="none"/>
          <w:lang w:val="en-US" w:eastAsia="zh-CN" w:bidi="ar-SA"/>
        </w:rPr>
        <w:t>西藏自治区拉萨市堆龙德庆区东嘎镇团结路 1 号</w:t>
      </w:r>
    </w:p>
    <w:p>
      <w:pPr>
        <w:pStyle w:val="4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联系方式：卓嘎女士 </w:t>
      </w:r>
    </w:p>
    <w:p>
      <w:pPr>
        <w:pStyle w:val="4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电话：0891-6552900</w:t>
      </w:r>
    </w:p>
    <w:p>
      <w:pPr>
        <w:pStyle w:val="4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2.采购代理机构信息</w:t>
      </w:r>
    </w:p>
    <w:p>
      <w:pPr>
        <w:pStyle w:val="4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名 称：衡正国际工程咨询有限公司</w:t>
      </w:r>
    </w:p>
    <w:p>
      <w:pPr>
        <w:pStyle w:val="4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地</w:t>
      </w:r>
      <w:r>
        <w:rPr>
          <w:rFonts w:hint="eastAsia" w:ascii="仿宋" w:hAnsi="仿宋" w:eastAsia="仿宋" w:cs="仿宋"/>
          <w:color w:val="auto"/>
          <w:kern w:val="0"/>
          <w:sz w:val="24"/>
          <w:szCs w:val="24"/>
          <w:highlight w:val="none"/>
          <w:lang w:val="en-US" w:eastAsia="zh-CN" w:bidi="ar-SA"/>
        </w:rPr>
        <w:tab/>
      </w:r>
      <w:r>
        <w:rPr>
          <w:rFonts w:hint="eastAsia" w:ascii="仿宋" w:hAnsi="仿宋" w:eastAsia="仿宋" w:cs="仿宋"/>
          <w:color w:val="auto"/>
          <w:kern w:val="0"/>
          <w:sz w:val="24"/>
          <w:szCs w:val="24"/>
          <w:highlight w:val="none"/>
          <w:lang w:val="en-US" w:eastAsia="zh-CN" w:bidi="ar-SA"/>
        </w:rPr>
        <w:t>址：西藏自治区西藏自治区拉萨市岗廓路 1 号拉萨阳光酒店 2 楼</w:t>
      </w:r>
    </w:p>
    <w:p>
      <w:pPr>
        <w:pStyle w:val="4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联系方式：18086846765 (请在工作时间拨打)</w:t>
      </w:r>
    </w:p>
    <w:p>
      <w:pPr>
        <w:pStyle w:val="4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3.项目联系方式</w:t>
      </w:r>
    </w:p>
    <w:p>
      <w:pPr>
        <w:pStyle w:val="4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项目联系人：陈女士</w:t>
      </w:r>
    </w:p>
    <w:p>
      <w:pPr>
        <w:pStyle w:val="4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电 话：18875256280 (请在工作时间拨打)</w:t>
      </w:r>
    </w:p>
    <w:p>
      <w:pPr>
        <w:rPr>
          <w:rFonts w:hint="eastAsia"/>
          <w:color w:val="auto"/>
          <w:highlight w:val="none"/>
        </w:rPr>
      </w:pPr>
      <w:r>
        <w:rPr>
          <w:rFonts w:hint="eastAsia"/>
          <w:color w:val="auto"/>
          <w:highlight w:val="none"/>
        </w:rPr>
        <w:br w:type="page"/>
      </w:r>
    </w:p>
    <w:p>
      <w:pPr>
        <w:pStyle w:val="3"/>
        <w:bidi w:val="0"/>
        <w:rPr>
          <w:rFonts w:ascii="仿宋" w:hAnsi="仿宋" w:eastAsia="仿宋" w:cs="仿宋"/>
          <w:color w:val="auto"/>
          <w:highlight w:val="none"/>
        </w:rPr>
      </w:pPr>
      <w:r>
        <w:rPr>
          <w:rFonts w:hint="eastAsia"/>
          <w:color w:val="auto"/>
          <w:highlight w:val="none"/>
        </w:rPr>
        <w:t>第二章 投标须知前附表及投标须知</w:t>
      </w:r>
      <w:bookmarkEnd w:id="63"/>
      <w:bookmarkEnd w:id="64"/>
      <w:bookmarkEnd w:id="65"/>
      <w:bookmarkEnd w:id="66"/>
      <w:bookmarkEnd w:id="67"/>
      <w:bookmarkEnd w:id="68"/>
      <w:bookmarkEnd w:id="69"/>
    </w:p>
    <w:p>
      <w:pPr>
        <w:pStyle w:val="4"/>
        <w:bidi w:val="0"/>
        <w:rPr>
          <w:rFonts w:hint="eastAsia"/>
          <w:color w:val="auto"/>
          <w:highlight w:val="none"/>
        </w:rPr>
      </w:pPr>
      <w:bookmarkStart w:id="70" w:name="_Toc29060"/>
      <w:bookmarkStart w:id="71" w:name="_Toc514253140"/>
      <w:bookmarkStart w:id="72" w:name="_Toc12795"/>
      <w:bookmarkStart w:id="73" w:name="_Toc6488"/>
      <w:bookmarkStart w:id="74" w:name="_Toc31034"/>
      <w:bookmarkStart w:id="75" w:name="_Toc61260711"/>
      <w:bookmarkStart w:id="76" w:name="_Toc30924"/>
      <w:r>
        <w:rPr>
          <w:rFonts w:hint="eastAsia"/>
          <w:color w:val="auto"/>
          <w:highlight w:val="none"/>
        </w:rPr>
        <w:t>一、投标须知前附表</w:t>
      </w:r>
      <w:bookmarkEnd w:id="70"/>
      <w:bookmarkEnd w:id="71"/>
      <w:bookmarkEnd w:id="72"/>
      <w:bookmarkEnd w:id="73"/>
      <w:bookmarkEnd w:id="74"/>
      <w:bookmarkEnd w:id="75"/>
      <w:bookmarkEnd w:id="76"/>
    </w:p>
    <w:p>
      <w:pPr>
        <w:pStyle w:val="13"/>
        <w:ind w:left="0" w:leftChars="0" w:firstLine="0" w:firstLineChars="0"/>
        <w:jc w:val="both"/>
        <w:rPr>
          <w:rFonts w:hint="eastAsia" w:eastAsia="宋体"/>
          <w:lang w:val="en-US" w:eastAsia="zh-CN"/>
        </w:rPr>
      </w:pPr>
      <w:r>
        <w:rPr>
          <w:rFonts w:hint="eastAsia"/>
          <w:color w:val="auto"/>
          <w:highlight w:val="none"/>
          <w:lang w:val="en-US" w:eastAsia="zh-CN"/>
        </w:rPr>
        <w:t>注：如</w:t>
      </w:r>
      <w:r>
        <w:rPr>
          <w:rFonts w:hint="eastAsia"/>
          <w:color w:val="auto"/>
          <w:highlight w:val="none"/>
        </w:rPr>
        <w:t>投标须知前附表</w:t>
      </w:r>
      <w:r>
        <w:rPr>
          <w:rFonts w:hint="eastAsia"/>
          <w:color w:val="auto"/>
          <w:highlight w:val="none"/>
          <w:lang w:val="en-US" w:eastAsia="zh-CN"/>
        </w:rPr>
        <w:t>与投标须知内容不一致，则以</w:t>
      </w:r>
      <w:r>
        <w:rPr>
          <w:rFonts w:hint="eastAsia"/>
          <w:color w:val="auto"/>
          <w:highlight w:val="none"/>
        </w:rPr>
        <w:t>投标须知前附表</w:t>
      </w:r>
      <w:r>
        <w:rPr>
          <w:rFonts w:hint="eastAsia"/>
          <w:color w:val="auto"/>
          <w:highlight w:val="none"/>
          <w:lang w:val="en-US" w:eastAsia="zh-CN"/>
        </w:rPr>
        <w:t>为准</w:t>
      </w:r>
    </w:p>
    <w:tbl>
      <w:tblPr>
        <w:tblStyle w:val="50"/>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51"/>
        <w:gridCol w:w="1769"/>
        <w:gridCol w:w="6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3" w:hRule="atLeast"/>
          <w:jc w:val="center"/>
        </w:trPr>
        <w:tc>
          <w:tcPr>
            <w:tcW w:w="851" w:type="dxa"/>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条款号</w:t>
            </w:r>
          </w:p>
        </w:tc>
        <w:tc>
          <w:tcPr>
            <w:tcW w:w="1769" w:type="dxa"/>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条款名称</w:t>
            </w:r>
          </w:p>
        </w:tc>
        <w:tc>
          <w:tcPr>
            <w:tcW w:w="6921" w:type="dxa"/>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51" w:type="dxa"/>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w:t>
            </w:r>
          </w:p>
        </w:tc>
        <w:tc>
          <w:tcPr>
            <w:tcW w:w="1769" w:type="dxa"/>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采购人</w:t>
            </w:r>
          </w:p>
        </w:tc>
        <w:tc>
          <w:tcPr>
            <w:tcW w:w="6921" w:type="dxa"/>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名称：堆龙德庆区城市管理和综合执法局</w:t>
            </w:r>
          </w:p>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地址：</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ab/>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西藏自治区拉萨市堆龙德庆区东嘎镇团结路 1 号</w:t>
            </w:r>
          </w:p>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联系方式：卓嘎女士 0891-6552900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51" w:type="dxa"/>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w:t>
            </w:r>
          </w:p>
        </w:tc>
        <w:tc>
          <w:tcPr>
            <w:tcW w:w="1769" w:type="dxa"/>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招标代理机构</w:t>
            </w:r>
          </w:p>
        </w:tc>
        <w:tc>
          <w:tcPr>
            <w:tcW w:w="6921" w:type="dxa"/>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名 称：衡正国际工程咨询有限公司</w:t>
            </w:r>
          </w:p>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地</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ab/>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址：西藏自治区西藏自治区拉萨市岗廓路 1 号拉萨阳光酒店 2 楼</w:t>
            </w:r>
          </w:p>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项目联系人：陈女士</w:t>
            </w:r>
          </w:p>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电 话：18875256280 (请在工作时间拨打)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851" w:type="dxa"/>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w:t>
            </w:r>
          </w:p>
        </w:tc>
        <w:tc>
          <w:tcPr>
            <w:tcW w:w="1769" w:type="dxa"/>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项目名称</w:t>
            </w:r>
          </w:p>
        </w:tc>
        <w:tc>
          <w:tcPr>
            <w:tcW w:w="6921" w:type="dxa"/>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关于采购城市绿化养护队伍项目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851" w:type="dxa"/>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w:t>
            </w:r>
          </w:p>
        </w:tc>
        <w:tc>
          <w:tcPr>
            <w:tcW w:w="1769" w:type="dxa"/>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服务地点</w:t>
            </w:r>
          </w:p>
        </w:tc>
        <w:tc>
          <w:tcPr>
            <w:tcW w:w="6921" w:type="dxa"/>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auto"/>
                <w:kern w:val="0"/>
                <w:sz w:val="24"/>
                <w:szCs w:val="24"/>
                <w:highlight w:val="none"/>
                <w:lang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851" w:type="dxa"/>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w:t>
            </w:r>
          </w:p>
        </w:tc>
        <w:tc>
          <w:tcPr>
            <w:tcW w:w="1769" w:type="dxa"/>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资金来源</w:t>
            </w:r>
          </w:p>
        </w:tc>
        <w:tc>
          <w:tcPr>
            <w:tcW w:w="6921" w:type="dxa"/>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7" w:hRule="atLeast"/>
          <w:jc w:val="center"/>
        </w:trPr>
        <w:tc>
          <w:tcPr>
            <w:tcW w:w="851" w:type="dxa"/>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w:t>
            </w:r>
          </w:p>
        </w:tc>
        <w:tc>
          <w:tcPr>
            <w:tcW w:w="1769" w:type="dxa"/>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出资比例</w:t>
            </w:r>
          </w:p>
        </w:tc>
        <w:tc>
          <w:tcPr>
            <w:tcW w:w="6921" w:type="dxa"/>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851" w:type="dxa"/>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w:t>
            </w:r>
          </w:p>
        </w:tc>
        <w:tc>
          <w:tcPr>
            <w:tcW w:w="1769" w:type="dxa"/>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资金落实情况</w:t>
            </w:r>
          </w:p>
        </w:tc>
        <w:tc>
          <w:tcPr>
            <w:tcW w:w="6921" w:type="dxa"/>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2" w:hRule="atLeast"/>
          <w:jc w:val="center"/>
        </w:trPr>
        <w:tc>
          <w:tcPr>
            <w:tcW w:w="851" w:type="dxa"/>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8</w:t>
            </w:r>
          </w:p>
        </w:tc>
        <w:tc>
          <w:tcPr>
            <w:tcW w:w="1769" w:type="dxa"/>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采购内容</w:t>
            </w:r>
          </w:p>
        </w:tc>
        <w:tc>
          <w:tcPr>
            <w:tcW w:w="6921" w:type="dxa"/>
            <w:vAlign w:val="center"/>
          </w:tcPr>
          <w:p>
            <w:pPr>
              <w:keepNext w:val="0"/>
              <w:keepLines w:val="0"/>
              <w:pageBreakBefore w:val="0"/>
              <w:kinsoku/>
              <w:wordWrap/>
              <w:overflowPunct/>
              <w:topLinePunct w:val="0"/>
              <w:autoSpaceDN/>
              <w:bidi w:val="0"/>
              <w:adjustRightInd/>
              <w:snapToGrid/>
              <w:spacing w:line="360" w:lineRule="auto"/>
              <w:textAlignment w:val="auto"/>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采购一家城市绿化养护队伍，用于市政绿化带的日常养护、施肥、防虫、涂白、浇水、修建、补裁、管理以及应急处置等工作，</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具体详见招标文件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851" w:type="dxa"/>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9</w:t>
            </w:r>
          </w:p>
        </w:tc>
        <w:tc>
          <w:tcPr>
            <w:tcW w:w="1769" w:type="dxa"/>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▲合同履行期限</w:t>
            </w:r>
          </w:p>
        </w:tc>
        <w:tc>
          <w:tcPr>
            <w:tcW w:w="6921" w:type="dxa"/>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一</w:t>
            </w:r>
            <w:r>
              <w:rPr>
                <w:rFonts w:hint="eastAsia" w:ascii="仿宋" w:hAnsi="仿宋" w:eastAsia="仿宋" w:cs="仿宋"/>
                <w:color w:val="000000" w:themeColor="text1"/>
                <w:kern w:val="0"/>
                <w:sz w:val="24"/>
                <w:szCs w:val="24"/>
                <w:highlight w:val="none"/>
                <w14:textFill>
                  <w14:solidFill>
                    <w14:schemeClr w14:val="tx1"/>
                  </w14:solidFill>
                </w14:textFill>
              </w:rPr>
              <w:t>年或资金达到限价顶额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10</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▲质量要求</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88"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▲投标人资质条件、能力和信誉</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88"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1.满足《中华人民共和国政府采购法》第二十二条规定；</w:t>
            </w:r>
          </w:p>
          <w:p>
            <w:pPr>
              <w:keepNext w:val="0"/>
              <w:keepLines w:val="0"/>
              <w:pageBreakBefore w:val="0"/>
              <w:widowControl/>
              <w:kinsoku/>
              <w:wordWrap/>
              <w:overflowPunct/>
              <w:topLinePunct w:val="0"/>
              <w:bidi w:val="0"/>
              <w:snapToGrid/>
              <w:spacing w:line="288"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 xml:space="preserve">1.1具有独立承担民事责任的能力（提供营业执照或事业法人证书）； </w:t>
            </w:r>
          </w:p>
          <w:p>
            <w:pPr>
              <w:keepNext w:val="0"/>
              <w:keepLines w:val="0"/>
              <w:pageBreakBefore w:val="0"/>
              <w:widowControl/>
              <w:kinsoku/>
              <w:wordWrap/>
              <w:overflowPunct/>
              <w:topLinePunct w:val="0"/>
              <w:bidi w:val="0"/>
              <w:snapToGrid/>
              <w:spacing w:line="288"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 xml:space="preserve">1.2具有良好的商业信誉和健全的财务会计制度（提供（2019年、2020年、2021年）经审计财务审计报告，新成立企业，以各项资质证书取得的时间，按规定提交财务审计报告，公司成立不足一年的，提供近期财务报表）; </w:t>
            </w:r>
          </w:p>
          <w:p>
            <w:pPr>
              <w:keepNext w:val="0"/>
              <w:keepLines w:val="0"/>
              <w:pageBreakBefore w:val="0"/>
              <w:widowControl/>
              <w:kinsoku/>
              <w:wordWrap/>
              <w:overflowPunct/>
              <w:topLinePunct w:val="0"/>
              <w:bidi w:val="0"/>
              <w:snapToGrid/>
              <w:spacing w:line="288"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 xml:space="preserve">1.3具有履行合同所必需的设备和专业技术能力（提供可充分满足履行合同所需设备和专业技术能力的证明材料或承诺）; </w:t>
            </w:r>
          </w:p>
          <w:p>
            <w:pPr>
              <w:keepNext w:val="0"/>
              <w:keepLines w:val="0"/>
              <w:pageBreakBefore w:val="0"/>
              <w:widowControl/>
              <w:kinsoku/>
              <w:wordWrap/>
              <w:overflowPunct/>
              <w:topLinePunct w:val="0"/>
              <w:bidi w:val="0"/>
              <w:snapToGrid/>
              <w:spacing w:line="288"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 xml:space="preserve">1.4有依法缴纳税收和社会保障资金的良好记录（提供依法完税证明和交纳社保资金的证明材料，并加盖公章）； </w:t>
            </w:r>
          </w:p>
          <w:p>
            <w:pPr>
              <w:keepNext w:val="0"/>
              <w:keepLines w:val="0"/>
              <w:pageBreakBefore w:val="0"/>
              <w:widowControl/>
              <w:kinsoku/>
              <w:wordWrap/>
              <w:overflowPunct/>
              <w:topLinePunct w:val="0"/>
              <w:bidi w:val="0"/>
              <w:snapToGrid/>
              <w:spacing w:line="288"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 xml:space="preserve">1.5参加政府采购活动前三年内，在经营活动中没有重大违法记录（按要求提供承诺函）； </w:t>
            </w:r>
          </w:p>
          <w:p>
            <w:pPr>
              <w:keepNext w:val="0"/>
              <w:keepLines w:val="0"/>
              <w:pageBreakBefore w:val="0"/>
              <w:widowControl/>
              <w:kinsoku/>
              <w:wordWrap/>
              <w:overflowPunct/>
              <w:topLinePunct w:val="0"/>
              <w:bidi w:val="0"/>
              <w:snapToGrid/>
              <w:spacing w:line="288"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1.6法律、行政法规规定的其他条件</w:t>
            </w:r>
          </w:p>
          <w:p>
            <w:pPr>
              <w:keepNext w:val="0"/>
              <w:keepLines w:val="0"/>
              <w:pageBreakBefore w:val="0"/>
              <w:widowControl/>
              <w:kinsoku/>
              <w:wordWrap/>
              <w:overflowPunct/>
              <w:topLinePunct w:val="0"/>
              <w:bidi w:val="0"/>
              <w:snapToGrid/>
              <w:spacing w:line="288" w:lineRule="auto"/>
              <w:jc w:val="left"/>
              <w:textAlignment w:val="auto"/>
              <w:rPr>
                <w:rFonts w:hint="default"/>
                <w:color w:val="000000" w:themeColor="text1"/>
                <w:highlight w:val="none"/>
                <w:lang w:val="en-US" w:eastAsia="zh-CN"/>
                <w14:textFill>
                  <w14:solidFill>
                    <w14:schemeClr w14:val="tx1"/>
                  </w14:solidFill>
                </w14:textFill>
              </w:rPr>
            </w:pPr>
            <w:r>
              <w:rPr>
                <w:rFonts w:hint="eastAsia" w:ascii="仿宋" w:hAnsi="仿宋" w:eastAsia="仿宋" w:cs="仿宋"/>
                <w:b w:val="0"/>
                <w:bCs w:val="0"/>
                <w:color w:val="auto"/>
                <w:sz w:val="24"/>
                <w:szCs w:val="24"/>
                <w:highlight w:val="none"/>
                <w:lang w:val="en-US" w:eastAsia="zh-CN"/>
              </w:rPr>
              <w:t>本项目的特定资格要求：无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12</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是否接受</w:t>
            </w:r>
          </w:p>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联合体投标</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textAlignment w:val="auto"/>
              <w:rPr>
                <w:rFonts w:hint="default" w:ascii="仿宋" w:hAnsi="仿宋" w:eastAsia="仿宋" w:cs="仿宋"/>
                <w:color w:val="000000" w:themeColor="text1"/>
                <w:kern w:val="0"/>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本项目</w:t>
            </w:r>
            <w:r>
              <w:rPr>
                <w:rFonts w:hint="eastAsia" w:ascii="仿宋" w:hAnsi="仿宋" w:eastAsia="仿宋" w:cs="仿宋"/>
                <w:b/>
                <w:bCs/>
                <w:color w:val="000000" w:themeColor="text1"/>
                <w:sz w:val="24"/>
                <w:szCs w:val="24"/>
                <w:highlight w:val="none"/>
                <w:lang w:eastAsia="zh-CN"/>
                <w14:textFill>
                  <w14:solidFill>
                    <w14:schemeClr w14:val="tx1"/>
                  </w14:solidFill>
                </w14:textFill>
              </w:rPr>
              <w:t>不接受联合体</w:t>
            </w:r>
            <w:r>
              <w:rPr>
                <w:rFonts w:hint="eastAsia" w:ascii="仿宋" w:hAnsi="仿宋" w:eastAsia="仿宋" w:cs="仿宋"/>
                <w:color w:val="000000" w:themeColor="text1"/>
                <w:sz w:val="24"/>
                <w:szCs w:val="24"/>
                <w:highlight w:val="none"/>
                <w:lang w:eastAsia="zh-CN"/>
                <w14:textFill>
                  <w14:solidFill>
                    <w14:schemeClr w14:val="tx1"/>
                  </w14:solidFill>
                </w14:textFill>
              </w:rPr>
              <w:t>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13</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踏勘现场</w:t>
            </w:r>
          </w:p>
        </w:tc>
        <w:tc>
          <w:tcPr>
            <w:tcW w:w="6921"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bidi w:val="0"/>
              <w:snapToGrid/>
              <w:spacing w:after="0" w:line="288" w:lineRule="auto"/>
              <w:textAlignment w:val="auto"/>
              <w:rPr>
                <w:rFonts w:hint="default" w:ascii="仿宋" w:hAnsi="仿宋" w:eastAsia="仿宋" w:cs="仿宋"/>
                <w:bCs/>
                <w:color w:val="000000" w:themeColor="text1"/>
                <w:kern w:val="0"/>
                <w:sz w:val="24"/>
                <w:szCs w:val="24"/>
                <w:highlight w:val="none"/>
                <w:lang w:val="en-US"/>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本项目不组织踏勘现场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1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14</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投标预备会</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不召开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15</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投标人提出问题</w:t>
            </w:r>
          </w:p>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的截止时间</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开标前10日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4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16</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招标人书面澄清的时间</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开标前15日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17</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分  包</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本项目严禁转包和违规分包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Style w:val="61"/>
                <w:rFonts w:hint="eastAsia" w:ascii="仿宋" w:hAnsi="仿宋" w:eastAsia="仿宋" w:cs="仿宋"/>
                <w:color w:val="000000" w:themeColor="text1"/>
                <w:sz w:val="24"/>
                <w:szCs w:val="24"/>
                <w:highlight w:val="none"/>
                <w14:textFill>
                  <w14:solidFill>
                    <w14:schemeClr w14:val="tx1"/>
                  </w14:solidFill>
                </w14:textFill>
              </w:rPr>
            </w:pPr>
            <w:r>
              <w:rPr>
                <w:rStyle w:val="61"/>
                <w:rFonts w:hint="eastAsia" w:ascii="仿宋" w:hAnsi="仿宋" w:eastAsia="仿宋" w:cs="仿宋"/>
                <w:color w:val="000000" w:themeColor="text1"/>
                <w:sz w:val="24"/>
                <w:szCs w:val="24"/>
                <w:highlight w:val="none"/>
                <w14:textFill>
                  <w14:solidFill>
                    <w14:schemeClr w14:val="tx1"/>
                  </w14:solidFill>
                </w14:textFill>
              </w:rPr>
              <w:t>18</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偏  离</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按照招标文件技术要求及评分细则要求。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2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19</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构成招标文件的其他材料</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招标答疑、补遗（如果有）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投标人要求澄清招标文件的截止时间</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开标前10日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投标截止时间</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u w:val="single"/>
                <w:shd w:val="clear" w:color="auto" w:fill="FFFFFF"/>
                <w:lang w:val="en-US" w:eastAsia="zh-CN"/>
              </w:rPr>
              <w:t>2023</w:t>
            </w:r>
            <w:r>
              <w:rPr>
                <w:rFonts w:hint="eastAsia" w:ascii="仿宋" w:hAnsi="仿宋" w:eastAsia="仿宋" w:cs="仿宋"/>
                <w:color w:val="auto"/>
                <w:sz w:val="24"/>
                <w:szCs w:val="24"/>
                <w:highlight w:val="none"/>
                <w:u w:val="single"/>
                <w:shd w:val="clear" w:color="auto" w:fill="FFFFFF"/>
              </w:rPr>
              <w:t>年</w:t>
            </w:r>
            <w:r>
              <w:rPr>
                <w:rFonts w:hint="eastAsia" w:ascii="仿宋" w:hAnsi="仿宋" w:eastAsia="仿宋" w:cs="仿宋"/>
                <w:color w:val="auto"/>
                <w:sz w:val="24"/>
                <w:szCs w:val="24"/>
                <w:highlight w:val="none"/>
                <w:u w:val="single"/>
                <w:shd w:val="clear" w:color="auto" w:fill="FFFFFF"/>
                <w:lang w:val="en-US" w:eastAsia="zh-CN"/>
              </w:rPr>
              <w:t>4</w:t>
            </w:r>
            <w:r>
              <w:rPr>
                <w:rFonts w:hint="eastAsia" w:ascii="仿宋" w:hAnsi="仿宋" w:eastAsia="仿宋" w:cs="仿宋"/>
                <w:color w:val="auto"/>
                <w:sz w:val="24"/>
                <w:szCs w:val="24"/>
                <w:highlight w:val="none"/>
                <w:u w:val="single"/>
                <w:shd w:val="clear" w:color="auto" w:fill="FFFFFF"/>
              </w:rPr>
              <w:t>月</w:t>
            </w:r>
            <w:r>
              <w:rPr>
                <w:rFonts w:hint="eastAsia" w:ascii="仿宋" w:hAnsi="仿宋" w:eastAsia="仿宋" w:cs="仿宋"/>
                <w:color w:val="auto"/>
                <w:sz w:val="24"/>
                <w:szCs w:val="24"/>
                <w:highlight w:val="none"/>
                <w:u w:val="single"/>
                <w:shd w:val="clear" w:color="auto" w:fill="FFFFFF"/>
                <w:lang w:val="en-US" w:eastAsia="zh-CN"/>
              </w:rPr>
              <w:t>25</w:t>
            </w:r>
            <w:r>
              <w:rPr>
                <w:rFonts w:hint="eastAsia" w:ascii="仿宋" w:hAnsi="仿宋" w:eastAsia="仿宋" w:cs="仿宋"/>
                <w:color w:val="auto"/>
                <w:sz w:val="24"/>
                <w:szCs w:val="24"/>
                <w:highlight w:val="none"/>
                <w:u w:val="single"/>
                <w:shd w:val="clear" w:color="auto" w:fill="FFFFFF"/>
              </w:rPr>
              <w:t>日</w:t>
            </w:r>
            <w:r>
              <w:rPr>
                <w:rFonts w:hint="eastAsia" w:ascii="仿宋" w:hAnsi="仿宋" w:eastAsia="仿宋" w:cs="仿宋"/>
                <w:color w:val="auto"/>
                <w:sz w:val="24"/>
                <w:szCs w:val="24"/>
                <w:highlight w:val="none"/>
                <w:u w:val="single"/>
                <w:shd w:val="clear" w:color="auto" w:fill="FFFFFF"/>
                <w:lang w:val="en-US" w:eastAsia="zh-CN"/>
              </w:rPr>
              <w:t>10</w:t>
            </w:r>
            <w:r>
              <w:rPr>
                <w:rFonts w:hint="eastAsia" w:ascii="仿宋" w:hAnsi="仿宋" w:eastAsia="仿宋" w:cs="仿宋"/>
                <w:color w:val="auto"/>
                <w:sz w:val="24"/>
                <w:szCs w:val="24"/>
                <w:highlight w:val="none"/>
                <w:u w:val="single"/>
                <w:shd w:val="clear" w:color="auto" w:fill="FFFFFF"/>
              </w:rPr>
              <w:t>时</w:t>
            </w:r>
            <w:r>
              <w:rPr>
                <w:rFonts w:hint="eastAsia" w:ascii="仿宋" w:hAnsi="仿宋" w:eastAsia="仿宋" w:cs="仿宋"/>
                <w:color w:val="auto"/>
                <w:sz w:val="24"/>
                <w:szCs w:val="24"/>
                <w:highlight w:val="none"/>
                <w:u w:val="single"/>
                <w:shd w:val="clear" w:color="auto" w:fill="FFFFFF"/>
                <w:lang w:val="en-US" w:eastAsia="zh-CN"/>
              </w:rPr>
              <w:t>00</w:t>
            </w:r>
            <w:r>
              <w:rPr>
                <w:rFonts w:hint="eastAsia" w:ascii="仿宋" w:hAnsi="仿宋" w:eastAsia="仿宋" w:cs="仿宋"/>
                <w:color w:val="auto"/>
                <w:sz w:val="24"/>
                <w:szCs w:val="24"/>
                <w:highlight w:val="none"/>
                <w:u w:val="single"/>
                <w:shd w:val="clear" w:color="auto" w:fill="FFFFFF"/>
              </w:rPr>
              <w:t>分</w:t>
            </w:r>
            <w:r>
              <w:rPr>
                <w:rFonts w:hint="eastAsia" w:ascii="仿宋" w:hAnsi="仿宋" w:eastAsia="仿宋" w:cs="仿宋"/>
                <w:color w:val="auto"/>
                <w:sz w:val="24"/>
                <w:szCs w:val="24"/>
                <w:highlight w:val="none"/>
                <w:shd w:val="clear" w:color="auto" w:fill="FFFFFF"/>
              </w:rPr>
              <w:t>（北京时间）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spacing w:val="-8"/>
                <w:kern w:val="0"/>
                <w:sz w:val="24"/>
                <w:szCs w:val="24"/>
                <w:highlight w:val="none"/>
              </w:rPr>
            </w:pPr>
            <w:r>
              <w:rPr>
                <w:rFonts w:hint="eastAsia" w:ascii="仿宋" w:hAnsi="仿宋" w:eastAsia="仿宋" w:cs="仿宋"/>
                <w:color w:val="auto"/>
                <w:spacing w:val="-8"/>
                <w:kern w:val="0"/>
                <w:sz w:val="24"/>
                <w:szCs w:val="24"/>
                <w:highlight w:val="none"/>
              </w:rPr>
              <w:t>投标人确认收到招标文件澄清的时间</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在收到相应澄清文件后 24小时内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spacing w:val="-8"/>
                <w:kern w:val="0"/>
                <w:sz w:val="24"/>
                <w:szCs w:val="24"/>
                <w:highlight w:val="none"/>
              </w:rPr>
            </w:pPr>
            <w:r>
              <w:rPr>
                <w:rFonts w:hint="eastAsia" w:ascii="仿宋" w:hAnsi="仿宋" w:eastAsia="仿宋" w:cs="仿宋"/>
                <w:color w:val="auto"/>
                <w:spacing w:val="-8"/>
                <w:kern w:val="0"/>
                <w:sz w:val="24"/>
                <w:szCs w:val="24"/>
                <w:highlight w:val="none"/>
              </w:rPr>
              <w:t>投标人确认收到招标文件修改的时间</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在收到相应修改文件后 24小时内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24</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构成投标文件的其他材料</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7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25</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▲投标有效期</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90日历天（从投标截止之日算起〕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26</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▲投标保证金</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rPr>
              <w:t>投标保证金：</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b/>
                <w:bCs/>
                <w:color w:val="auto"/>
                <w:kern w:val="0"/>
                <w:sz w:val="24"/>
                <w:szCs w:val="24"/>
                <w:highlight w:val="none"/>
                <w:lang w:val="en-US" w:eastAsia="zh-CN"/>
              </w:rPr>
              <w:t>5.00万元（大写：伍万元整）</w:t>
            </w:r>
          </w:p>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提交方式：</w:t>
            </w:r>
            <w:r>
              <w:rPr>
                <w:rFonts w:hint="eastAsia" w:ascii="仿宋" w:hAnsi="仿宋" w:eastAsia="仿宋" w:cs="仿宋"/>
                <w:color w:val="auto"/>
                <w:kern w:val="0"/>
                <w:sz w:val="24"/>
                <w:szCs w:val="24"/>
                <w:highlight w:val="none"/>
                <w:lang w:val="en-US" w:eastAsia="zh-CN"/>
              </w:rPr>
              <w:t>登录到拉萨市公共资源交易网(http://ggzylasa.gov.cn)，登录投标系统后，按系统提示在系统中进行缴纳。完成支付后，请在系统中打印完整的电子保单保函，并自行核实相关信息。</w:t>
            </w:r>
          </w:p>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zh-CN" w:eastAsia="zh-CN"/>
              </w:rPr>
              <w:t>递交截止时间:同投标截止时间</w:t>
            </w:r>
          </w:p>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zh-CN" w:eastAsia="zh-CN"/>
              </w:rPr>
              <w:t>备注:</w:t>
            </w:r>
          </w:p>
          <w:p>
            <w:pPr>
              <w:keepNext w:val="0"/>
              <w:keepLines w:val="0"/>
              <w:pageBreakBefore w:val="0"/>
              <w:numPr>
                <w:ilvl w:val="0"/>
                <w:numId w:val="2"/>
              </w:numPr>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zh-CN" w:eastAsia="zh-CN"/>
              </w:rPr>
              <w:t>供应商需在拉萨市公共资源交易平台电子保函系统自行办理。</w:t>
            </w:r>
          </w:p>
          <w:p>
            <w:pPr>
              <w:keepNext w:val="0"/>
              <w:keepLines w:val="0"/>
              <w:pageBreakBefore w:val="0"/>
              <w:numPr>
                <w:ilvl w:val="0"/>
                <w:numId w:val="0"/>
              </w:numPr>
              <w:kinsoku/>
              <w:wordWrap/>
              <w:overflowPunct/>
              <w:topLinePunct w:val="0"/>
              <w:bidi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eastAsia="zh-CN"/>
              </w:rPr>
              <w:t>2.在投标截止前办理的电子投标保函为有效投标保证金凭证。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27</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近年财务状况的年份要求</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提供</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（2019年、2020年、2021年）</w:t>
            </w:r>
            <w:r>
              <w:rPr>
                <w:rFonts w:hint="eastAsia" w:ascii="仿宋" w:hAnsi="仿宋" w:eastAsia="仿宋" w:cs="仿宋"/>
                <w:color w:val="000000" w:themeColor="text1"/>
                <w:kern w:val="0"/>
                <w:sz w:val="24"/>
                <w:szCs w:val="24"/>
                <w:highlight w:val="none"/>
                <w14:textFill>
                  <w14:solidFill>
                    <w14:schemeClr w14:val="tx1"/>
                  </w14:solidFill>
                </w14:textFill>
              </w:rPr>
              <w:t>经第三方审计的财务报告。新成立的企业提供成立以来的财务报告，成立不足一年的提供成立以来的财务报表。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28</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近年完成的类似项目的年份要求</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三年，指20</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20</w:t>
            </w:r>
            <w:r>
              <w:rPr>
                <w:rFonts w:hint="eastAsia" w:ascii="仿宋" w:hAnsi="仿宋" w:eastAsia="仿宋" w:cs="仿宋"/>
                <w:color w:val="000000" w:themeColor="text1"/>
                <w:kern w:val="0"/>
                <w:sz w:val="24"/>
                <w:szCs w:val="24"/>
                <w:highlight w:val="none"/>
                <w14:textFill>
                  <w14:solidFill>
                    <w14:schemeClr w14:val="tx1"/>
                  </w14:solidFill>
                </w14:textFill>
              </w:rPr>
              <w:t>年1月1日起至今。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29</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近年发生的诉讼及仲裁情况的年份要求</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三年，指20</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20</w:t>
            </w:r>
            <w:r>
              <w:rPr>
                <w:rFonts w:hint="eastAsia" w:ascii="仿宋" w:hAnsi="仿宋" w:eastAsia="仿宋" w:cs="仿宋"/>
                <w:color w:val="000000" w:themeColor="text1"/>
                <w:kern w:val="0"/>
                <w:sz w:val="24"/>
                <w:szCs w:val="24"/>
                <w:highlight w:val="none"/>
                <w14:textFill>
                  <w14:solidFill>
                    <w14:schemeClr w14:val="tx1"/>
                  </w14:solidFill>
                </w14:textFill>
              </w:rPr>
              <w:t>年1月1日起至今。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30</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是否允许递交备选投标方案</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不允许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31</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纸质</w:t>
            </w:r>
            <w:r>
              <w:rPr>
                <w:rFonts w:hint="eastAsia" w:ascii="仿宋" w:hAnsi="仿宋" w:eastAsia="仿宋" w:cs="仿宋"/>
                <w:b/>
                <w:bCs/>
                <w:color w:val="000000" w:themeColor="text1"/>
                <w:kern w:val="0"/>
                <w:sz w:val="24"/>
                <w:szCs w:val="24"/>
                <w:highlight w:val="none"/>
                <w14:textFill>
                  <w14:solidFill>
                    <w14:schemeClr w14:val="tx1"/>
                  </w14:solidFill>
                </w14:textFill>
              </w:rPr>
              <w:t>投标文件</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88" w:lineRule="auto"/>
              <w:jc w:val="left"/>
              <w:textAlignment w:val="auto"/>
              <w:rPr>
                <w:rFonts w:hint="eastAsia" w:ascii="仿宋" w:hAnsi="仿宋" w:eastAsia="仿宋" w:cs="仿宋"/>
                <w:b/>
                <w:bCs/>
                <w:color w:val="000000" w:themeColor="text1"/>
                <w:kern w:val="0"/>
                <w:sz w:val="24"/>
                <w:szCs w:val="24"/>
                <w:highlight w:val="none"/>
                <w:lang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纸质版投标文件要求</w:t>
            </w:r>
          </w:p>
          <w:p>
            <w:pPr>
              <w:keepNext w:val="0"/>
              <w:keepLines w:val="0"/>
              <w:pageBreakBefore w:val="0"/>
              <w:widowControl/>
              <w:kinsoku/>
              <w:wordWrap/>
              <w:overflowPunct/>
              <w:topLinePunct w:val="0"/>
              <w:bidi w:val="0"/>
              <w:snapToGrid/>
              <w:spacing w:line="288" w:lineRule="auto"/>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只需中标单位提交</w:t>
            </w:r>
            <w:r>
              <w:rPr>
                <w:rFonts w:hint="eastAsia" w:ascii="仿宋" w:hAnsi="仿宋" w:eastAsia="仿宋" w:cs="仿宋"/>
                <w:color w:val="000000" w:themeColor="text1"/>
                <w:kern w:val="0"/>
                <w:sz w:val="24"/>
                <w:szCs w:val="24"/>
                <w:highlight w:val="none"/>
                <w:u w:val="single"/>
                <w:lang w:eastAsia="zh-CN"/>
                <w14:textFill>
                  <w14:solidFill>
                    <w14:schemeClr w14:val="tx1"/>
                  </w14:solidFill>
                </w14:textFill>
              </w:rPr>
              <w:t xml:space="preserve"> 贰</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份加盖鲜章的纸质投标文件及投标文件电子档</w:t>
            </w:r>
            <w:r>
              <w:rPr>
                <w:rFonts w:hint="eastAsia" w:ascii="仿宋" w:hAnsi="仿宋" w:eastAsia="仿宋" w:cs="仿宋"/>
                <w:color w:val="000000" w:themeColor="text1"/>
                <w:kern w:val="0"/>
                <w:sz w:val="24"/>
                <w:szCs w:val="24"/>
                <w:highlight w:val="none"/>
                <w:u w:val="single"/>
                <w:lang w:eastAsia="zh-CN"/>
                <w14:textFill>
                  <w14:solidFill>
                    <w14:schemeClr w14:val="tx1"/>
                  </w14:solidFill>
                </w14:textFill>
              </w:rPr>
              <w:t xml:space="preserve"> 贰</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份（Word 文档格式</w:t>
            </w:r>
            <w:r>
              <w:rPr>
                <w:rFonts w:hint="eastAsia" w:ascii="仿宋" w:hAnsi="仿宋" w:eastAsia="仿宋" w:cs="仿宋"/>
                <w:color w:val="000000" w:themeColor="text1"/>
                <w:kern w:val="0"/>
                <w:sz w:val="24"/>
                <w:szCs w:val="24"/>
                <w:highlight w:val="none"/>
                <w:u w:val="single"/>
                <w:lang w:eastAsia="zh-CN"/>
                <w14:textFill>
                  <w14:solidFill>
                    <w14:schemeClr w14:val="tx1"/>
                  </w14:solidFill>
                </w14:textFill>
              </w:rPr>
              <w:t xml:space="preserve"> 壹</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份、正本盖章后的 PDF 格式</w:t>
            </w:r>
            <w:r>
              <w:rPr>
                <w:rFonts w:hint="eastAsia" w:ascii="仿宋" w:hAnsi="仿宋" w:eastAsia="仿宋" w:cs="仿宋"/>
                <w:color w:val="000000" w:themeColor="text1"/>
                <w:kern w:val="0"/>
                <w:sz w:val="24"/>
                <w:szCs w:val="24"/>
                <w:highlight w:val="none"/>
                <w:u w:val="single"/>
                <w:lang w:eastAsia="zh-CN"/>
                <w14:textFill>
                  <w14:solidFill>
                    <w14:schemeClr w14:val="tx1"/>
                  </w14:solidFill>
                </w14:textFill>
              </w:rPr>
              <w:t xml:space="preserve"> 壹</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32</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线上电子投标文件</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88" w:lineRule="auto"/>
              <w:jc w:val="left"/>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线上电子文件的要求</w:t>
            </w:r>
          </w:p>
          <w:p>
            <w:pPr>
              <w:keepNext w:val="0"/>
              <w:keepLines w:val="0"/>
              <w:pageBreakBefore w:val="0"/>
              <w:widowControl/>
              <w:kinsoku/>
              <w:wordWrap/>
              <w:overflowPunct/>
              <w:topLinePunct w:val="0"/>
              <w:bidi w:val="0"/>
              <w:snapToGrid/>
              <w:spacing w:line="288"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本项目采用电子化交易系统,需办理相关 CA 证书锁，各投标人须在投标截止时间前上传加密的电子投标文件至“拉萨市公共资源交易网</w:t>
            </w:r>
            <w:r>
              <w:rPr>
                <w:rFonts w:hint="eastAsia" w:ascii="仿宋" w:hAnsi="仿宋" w:eastAsia="仿宋" w:cs="仿宋"/>
                <w:color w:val="auto"/>
                <w:kern w:val="0"/>
                <w:sz w:val="24"/>
                <w:szCs w:val="24"/>
                <w:highlight w:val="none"/>
                <w:lang w:eastAsia="zh-CN"/>
              </w:rPr>
              <w:fldChar w:fldCharType="begin"/>
            </w:r>
            <w:r>
              <w:rPr>
                <w:rFonts w:hint="eastAsia" w:ascii="仿宋" w:hAnsi="仿宋" w:eastAsia="仿宋" w:cs="仿宋"/>
                <w:color w:val="auto"/>
                <w:kern w:val="0"/>
                <w:sz w:val="24"/>
                <w:szCs w:val="24"/>
                <w:highlight w:val="none"/>
                <w:lang w:eastAsia="zh-CN"/>
              </w:rPr>
              <w:instrText xml:space="preserve"> HYPERLINK "http://ggzy.xizang.gov.cn/" \h </w:instrText>
            </w:r>
            <w:r>
              <w:rPr>
                <w:rFonts w:hint="eastAsia" w:ascii="仿宋" w:hAnsi="仿宋" w:eastAsia="仿宋" w:cs="仿宋"/>
                <w:color w:val="auto"/>
                <w:kern w:val="0"/>
                <w:sz w:val="24"/>
                <w:szCs w:val="24"/>
                <w:highlight w:val="none"/>
                <w:lang w:eastAsia="zh-CN"/>
              </w:rPr>
              <w:fldChar w:fldCharType="separate"/>
            </w:r>
            <w:r>
              <w:rPr>
                <w:rFonts w:hint="eastAsia" w:ascii="仿宋" w:hAnsi="仿宋" w:eastAsia="仿宋" w:cs="仿宋"/>
                <w:color w:val="auto"/>
                <w:kern w:val="0"/>
                <w:sz w:val="24"/>
                <w:szCs w:val="24"/>
                <w:highlight w:val="none"/>
                <w:lang w:eastAsia="zh-CN"/>
              </w:rPr>
              <w:t>（http://ggzy.lasa.gov.cn/pub/webindex.html</w:t>
            </w:r>
            <w:r>
              <w:rPr>
                <w:rFonts w:hint="eastAsia" w:ascii="仿宋" w:hAnsi="仿宋" w:eastAsia="仿宋" w:cs="仿宋"/>
                <w:color w:val="auto"/>
                <w:kern w:val="0"/>
                <w:sz w:val="24"/>
                <w:szCs w:val="24"/>
                <w:highlight w:val="none"/>
                <w:lang w:eastAsia="zh-CN"/>
              </w:rPr>
              <w:fldChar w:fldCharType="end"/>
            </w:r>
            <w:r>
              <w:rPr>
                <w:rFonts w:hint="eastAsia" w:ascii="仿宋" w:hAnsi="仿宋" w:eastAsia="仿宋" w:cs="仿宋"/>
                <w:color w:val="auto"/>
                <w:kern w:val="0"/>
                <w:sz w:val="24"/>
                <w:szCs w:val="24"/>
                <w:highlight w:val="none"/>
                <w:lang w:eastAsia="zh-CN"/>
              </w:rPr>
              <w:t>）”。相关CA证书锁可在拉萨市公共资源交易网（</w:t>
            </w:r>
            <w:r>
              <w:rPr>
                <w:rFonts w:hint="eastAsia" w:ascii="仿宋" w:hAnsi="仿宋" w:eastAsia="仿宋" w:cs="仿宋"/>
                <w:color w:val="auto"/>
                <w:kern w:val="0"/>
                <w:sz w:val="24"/>
                <w:szCs w:val="24"/>
                <w:highlight w:val="none"/>
                <w:lang w:eastAsia="zh-CN"/>
              </w:rPr>
              <w:fldChar w:fldCharType="begin"/>
            </w:r>
            <w:r>
              <w:rPr>
                <w:rFonts w:hint="eastAsia" w:ascii="仿宋" w:hAnsi="仿宋" w:eastAsia="仿宋" w:cs="仿宋"/>
                <w:color w:val="auto"/>
                <w:kern w:val="0"/>
                <w:sz w:val="24"/>
                <w:szCs w:val="24"/>
                <w:highlight w:val="none"/>
                <w:lang w:eastAsia="zh-CN"/>
              </w:rPr>
              <w:instrText xml:space="preserve"> HYPERLINK "http://ggzy.xizang.gov.cn/" \h </w:instrText>
            </w:r>
            <w:r>
              <w:rPr>
                <w:rFonts w:hint="eastAsia" w:ascii="仿宋" w:hAnsi="仿宋" w:eastAsia="仿宋" w:cs="仿宋"/>
                <w:color w:val="auto"/>
                <w:kern w:val="0"/>
                <w:sz w:val="24"/>
                <w:szCs w:val="24"/>
                <w:highlight w:val="none"/>
                <w:lang w:eastAsia="zh-CN"/>
              </w:rPr>
              <w:fldChar w:fldCharType="separate"/>
            </w:r>
            <w:r>
              <w:rPr>
                <w:rFonts w:hint="eastAsia" w:ascii="仿宋" w:hAnsi="仿宋" w:eastAsia="仿宋" w:cs="仿宋"/>
                <w:color w:val="auto"/>
                <w:kern w:val="0"/>
                <w:sz w:val="24"/>
                <w:szCs w:val="24"/>
                <w:highlight w:val="none"/>
                <w:lang w:eastAsia="zh-CN"/>
              </w:rPr>
              <w:t xml:space="preserve">http://ggzy.lasa.gov.cn/pub/webindex.html） </w:t>
            </w:r>
            <w:r>
              <w:rPr>
                <w:rFonts w:hint="eastAsia" w:ascii="仿宋" w:hAnsi="仿宋" w:eastAsia="仿宋" w:cs="仿宋"/>
                <w:color w:val="auto"/>
                <w:kern w:val="0"/>
                <w:sz w:val="24"/>
                <w:szCs w:val="24"/>
                <w:highlight w:val="none"/>
                <w:lang w:eastAsia="zh-CN"/>
              </w:rPr>
              <w:fldChar w:fldCharType="end"/>
            </w:r>
            <w:r>
              <w:rPr>
                <w:rFonts w:hint="eastAsia" w:ascii="仿宋" w:hAnsi="仿宋" w:eastAsia="仿宋" w:cs="仿宋"/>
                <w:color w:val="auto"/>
                <w:kern w:val="0"/>
                <w:sz w:val="24"/>
                <w:szCs w:val="24"/>
                <w:highlight w:val="none"/>
                <w:lang w:eastAsia="zh-CN"/>
              </w:rPr>
              <w:t>查询办理流程。各投标人未在投标截止时间前上传电子投标文件的，视为自动放弃投标。</w:t>
            </w:r>
          </w:p>
          <w:p>
            <w:pPr>
              <w:keepNext w:val="0"/>
              <w:keepLines w:val="0"/>
              <w:pageBreakBefore w:val="0"/>
              <w:widowControl/>
              <w:kinsoku/>
              <w:wordWrap/>
              <w:overflowPunct/>
              <w:topLinePunct w:val="0"/>
              <w:bidi w:val="0"/>
              <w:snapToGrid/>
              <w:spacing w:line="288" w:lineRule="auto"/>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投标人如遇网站、系统平台、CA 证书锁等相关问题无法上传电子投标文件时，请及时按照拉萨市公共资源交易平台服务中心联系方式进行咨询。</w:t>
            </w:r>
          </w:p>
          <w:p>
            <w:pPr>
              <w:keepNext w:val="0"/>
              <w:keepLines w:val="0"/>
              <w:pageBreakBefore w:val="0"/>
              <w:widowControl/>
              <w:kinsoku/>
              <w:wordWrap/>
              <w:overflowPunct/>
              <w:topLinePunct w:val="0"/>
              <w:bidi w:val="0"/>
              <w:snapToGrid/>
              <w:spacing w:line="288" w:lineRule="auto"/>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本项目采用电子评标（线上评标），只对电子投标文件进行评审，如在评标过程中出现意外情况导致无法继续进行电子评标时，改为非加密电子投标文件评标。</w:t>
            </w:r>
          </w:p>
          <w:p>
            <w:pPr>
              <w:keepNext w:val="0"/>
              <w:keepLines w:val="0"/>
              <w:pageBreakBefore w:val="0"/>
              <w:widowControl/>
              <w:kinsoku/>
              <w:wordWrap/>
              <w:overflowPunct/>
              <w:topLinePunct w:val="0"/>
              <w:bidi w:val="0"/>
              <w:snapToGrid/>
              <w:spacing w:line="288" w:lineRule="auto"/>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具体请登录拉萨市公共资源交易网</w:t>
            </w:r>
            <w:r>
              <w:rPr>
                <w:rFonts w:hint="eastAsia" w:ascii="仿宋" w:hAnsi="仿宋" w:eastAsia="仿宋" w:cs="仿宋"/>
                <w:color w:val="auto"/>
                <w:kern w:val="0"/>
                <w:sz w:val="24"/>
                <w:szCs w:val="24"/>
                <w:highlight w:val="none"/>
                <w:lang w:eastAsia="zh-CN"/>
              </w:rPr>
              <w:fldChar w:fldCharType="begin"/>
            </w:r>
            <w:r>
              <w:rPr>
                <w:rFonts w:hint="eastAsia" w:ascii="仿宋" w:hAnsi="仿宋" w:eastAsia="仿宋" w:cs="仿宋"/>
                <w:color w:val="auto"/>
                <w:kern w:val="0"/>
                <w:sz w:val="24"/>
                <w:szCs w:val="24"/>
                <w:highlight w:val="none"/>
                <w:lang w:eastAsia="zh-CN"/>
              </w:rPr>
              <w:instrText xml:space="preserve"> HYPERLINK "http://ggzy.xizang.gov.cn/" \h </w:instrText>
            </w:r>
            <w:r>
              <w:rPr>
                <w:rFonts w:hint="eastAsia" w:ascii="仿宋" w:hAnsi="仿宋" w:eastAsia="仿宋" w:cs="仿宋"/>
                <w:color w:val="auto"/>
                <w:kern w:val="0"/>
                <w:sz w:val="24"/>
                <w:szCs w:val="24"/>
                <w:highlight w:val="none"/>
                <w:lang w:eastAsia="zh-CN"/>
              </w:rPr>
              <w:fldChar w:fldCharType="separate"/>
            </w:r>
            <w:r>
              <w:rPr>
                <w:rFonts w:hint="eastAsia" w:ascii="仿宋" w:hAnsi="仿宋" w:eastAsia="仿宋" w:cs="仿宋"/>
                <w:color w:val="auto"/>
                <w:kern w:val="0"/>
                <w:sz w:val="24"/>
                <w:szCs w:val="24"/>
                <w:highlight w:val="none"/>
                <w:lang w:eastAsia="zh-CN"/>
              </w:rPr>
              <w:t>（http://ggzy.lasa.gov.cn/pub/webindex.html</w:t>
            </w:r>
            <w:r>
              <w:rPr>
                <w:rFonts w:hint="eastAsia" w:ascii="仿宋" w:hAnsi="仿宋" w:eastAsia="仿宋" w:cs="仿宋"/>
                <w:color w:val="auto"/>
                <w:kern w:val="0"/>
                <w:sz w:val="24"/>
                <w:szCs w:val="24"/>
                <w:highlight w:val="none"/>
                <w:lang w:eastAsia="zh-CN"/>
              </w:rPr>
              <w:fldChar w:fldCharType="end"/>
            </w:r>
            <w:r>
              <w:rPr>
                <w:rFonts w:hint="eastAsia" w:ascii="仿宋" w:hAnsi="仿宋" w:eastAsia="仿宋" w:cs="仿宋"/>
                <w:color w:val="auto"/>
                <w:kern w:val="0"/>
                <w:sz w:val="24"/>
                <w:szCs w:val="24"/>
                <w:highlight w:val="none"/>
                <w:lang w:eastAsia="zh-CN"/>
              </w:rPr>
              <w:t>）认真了解流程和要求并严格按照操作手册制做投标文件（建议投标人将投标文件中需要签字盖章的页面打印后签字盖章，再将已签字盖章的页面扫描成彩色 PDF 格式上传至电子交易系统，以保证投标文件签章的完整性），在投标截止时间前上传至拉萨市公共资源电子交易系统。</w:t>
            </w:r>
          </w:p>
          <w:p>
            <w:pPr>
              <w:pStyle w:val="4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rightChars="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5.注意事项</w:t>
            </w:r>
          </w:p>
          <w:p>
            <w:pPr>
              <w:pStyle w:val="4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（1）各潜在投标人认真阅读公告内容，准时参加线上不见面开标会。不见面开标操作流程详见拉萨市公共资源交易信息网首页--办事流程--资料下载--不见面开标操作手册（投标人篇或供应商篇）。</w:t>
            </w:r>
          </w:p>
          <w:p>
            <w:pPr>
              <w:pStyle w:val="4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本项目采取线上“不见面”开标形式进行，各潜在投标人无需到现场开标，各投标单位通过线上“不见面开标大厅”全程参与开标会议，做好投标文件解密工作。投标人未按时登录不见面开标大厅，错过开标解密时间的，由投标人自行承担后果。投标文件未能在规定时间内成功解密的，视为投标人撤销其投标文件，由投标人自行承担责任。不见面开标项目不接受投标人现场递交光盘等形式的投标文件，不接受投标人现场解密投标文件。评标专家将以电子版投标文件为准进行评审。上传到平台的电子投标文件所提供资料的真实性由投标人自行负责。</w:t>
            </w:r>
          </w:p>
          <w:p>
            <w:pPr>
              <w:pStyle w:val="4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rightChars="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（3）在完成开标之前，投标人应保持实时在线和电话畅通，对代理机构提出的问题及时回复。</w:t>
            </w:r>
          </w:p>
          <w:p>
            <w:pPr>
              <w:pStyle w:val="4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rightChars="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bidi="ar-SA"/>
              </w:rPr>
              <w:t>（4）在不见面开标过程中如遇到技术问题，请及时与拉萨市公共资源交易平台技术支持联系。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33</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电子投标文件签字、盖章</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eastAsia="zh-CN"/>
              </w:rPr>
              <w:t>电子投标文件签字、盖章要求:</w:t>
            </w:r>
            <w:r>
              <w:rPr>
                <w:rFonts w:hint="eastAsia" w:ascii="仿宋" w:hAnsi="仿宋" w:eastAsia="仿宋" w:cs="仿宋"/>
                <w:color w:val="auto"/>
                <w:kern w:val="0"/>
                <w:sz w:val="24"/>
                <w:szCs w:val="24"/>
                <w:highlight w:val="none"/>
                <w:lang w:eastAsia="zh-CN"/>
              </w:rPr>
              <w:t>签字、盖章位置及要求应符合“投标文件格式”规定。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递交投标文件</w:t>
            </w:r>
            <w:r>
              <w:rPr>
                <w:rFonts w:hint="eastAsia" w:ascii="仿宋" w:hAnsi="仿宋" w:eastAsia="仿宋" w:cs="仿宋"/>
                <w:color w:val="000000" w:themeColor="text1"/>
                <w:sz w:val="24"/>
                <w:szCs w:val="24"/>
                <w:highlight w:val="none"/>
                <w:lang w:val="zh-CN"/>
                <w14:textFill>
                  <w14:solidFill>
                    <w14:schemeClr w14:val="tx1"/>
                  </w14:solidFill>
                </w14:textFill>
              </w:rPr>
              <w:t>截止时间、地点及地址</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napToGrid/>
              <w:spacing w:line="288" w:lineRule="auto"/>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rPr>
              <w:t>截止时间：</w:t>
            </w:r>
            <w:r>
              <w:rPr>
                <w:rFonts w:hint="eastAsia" w:ascii="仿宋" w:hAnsi="仿宋" w:eastAsia="仿宋" w:cs="仿宋"/>
                <w:color w:val="auto"/>
                <w:sz w:val="24"/>
                <w:szCs w:val="24"/>
                <w:highlight w:val="none"/>
                <w:u w:val="single"/>
                <w:shd w:val="clear" w:color="auto" w:fill="FFFFFF"/>
                <w:lang w:val="en-US" w:eastAsia="zh-CN"/>
              </w:rPr>
              <w:t>2023</w:t>
            </w:r>
            <w:r>
              <w:rPr>
                <w:rFonts w:hint="eastAsia" w:ascii="仿宋" w:hAnsi="仿宋" w:eastAsia="仿宋" w:cs="仿宋"/>
                <w:color w:val="auto"/>
                <w:sz w:val="24"/>
                <w:szCs w:val="24"/>
                <w:highlight w:val="none"/>
                <w:u w:val="single"/>
                <w:shd w:val="clear" w:color="auto" w:fill="FFFFFF"/>
              </w:rPr>
              <w:t>年</w:t>
            </w:r>
            <w:r>
              <w:rPr>
                <w:rFonts w:hint="eastAsia" w:ascii="仿宋" w:hAnsi="仿宋" w:eastAsia="仿宋" w:cs="仿宋"/>
                <w:color w:val="auto"/>
                <w:sz w:val="24"/>
                <w:szCs w:val="24"/>
                <w:highlight w:val="none"/>
                <w:u w:val="single"/>
                <w:shd w:val="clear" w:color="auto" w:fill="FFFFFF"/>
                <w:lang w:val="en-US" w:eastAsia="zh-CN"/>
              </w:rPr>
              <w:t>4</w:t>
            </w:r>
            <w:r>
              <w:rPr>
                <w:rFonts w:hint="eastAsia" w:ascii="仿宋" w:hAnsi="仿宋" w:eastAsia="仿宋" w:cs="仿宋"/>
                <w:color w:val="auto"/>
                <w:sz w:val="24"/>
                <w:szCs w:val="24"/>
                <w:highlight w:val="none"/>
                <w:u w:val="single"/>
                <w:shd w:val="clear" w:color="auto" w:fill="FFFFFF"/>
              </w:rPr>
              <w:t>月</w:t>
            </w:r>
            <w:r>
              <w:rPr>
                <w:rFonts w:hint="eastAsia" w:ascii="仿宋" w:hAnsi="仿宋" w:eastAsia="仿宋" w:cs="仿宋"/>
                <w:color w:val="auto"/>
                <w:sz w:val="24"/>
                <w:szCs w:val="24"/>
                <w:highlight w:val="none"/>
                <w:u w:val="single"/>
                <w:shd w:val="clear" w:color="auto" w:fill="FFFFFF"/>
                <w:lang w:val="en-US" w:eastAsia="zh-CN"/>
              </w:rPr>
              <w:t>25</w:t>
            </w:r>
            <w:r>
              <w:rPr>
                <w:rFonts w:hint="eastAsia" w:ascii="仿宋" w:hAnsi="仿宋" w:eastAsia="仿宋" w:cs="仿宋"/>
                <w:color w:val="auto"/>
                <w:sz w:val="24"/>
                <w:szCs w:val="24"/>
                <w:highlight w:val="none"/>
                <w:u w:val="single"/>
                <w:shd w:val="clear" w:color="auto" w:fill="FFFFFF"/>
              </w:rPr>
              <w:t>日</w:t>
            </w:r>
            <w:r>
              <w:rPr>
                <w:rFonts w:hint="eastAsia" w:ascii="仿宋" w:hAnsi="仿宋" w:eastAsia="仿宋" w:cs="仿宋"/>
                <w:color w:val="auto"/>
                <w:sz w:val="24"/>
                <w:szCs w:val="24"/>
                <w:highlight w:val="none"/>
                <w:u w:val="single"/>
                <w:shd w:val="clear" w:color="auto" w:fill="FFFFFF"/>
                <w:lang w:val="en-US" w:eastAsia="zh-CN"/>
              </w:rPr>
              <w:t>10</w:t>
            </w:r>
            <w:r>
              <w:rPr>
                <w:rFonts w:hint="eastAsia" w:ascii="仿宋" w:hAnsi="仿宋" w:eastAsia="仿宋" w:cs="仿宋"/>
                <w:color w:val="auto"/>
                <w:sz w:val="24"/>
                <w:szCs w:val="24"/>
                <w:highlight w:val="none"/>
                <w:u w:val="single"/>
                <w:shd w:val="clear" w:color="auto" w:fill="FFFFFF"/>
              </w:rPr>
              <w:t>时</w:t>
            </w:r>
            <w:r>
              <w:rPr>
                <w:rFonts w:hint="eastAsia" w:ascii="仿宋" w:hAnsi="仿宋" w:eastAsia="仿宋" w:cs="仿宋"/>
                <w:color w:val="auto"/>
                <w:sz w:val="24"/>
                <w:szCs w:val="24"/>
                <w:highlight w:val="none"/>
                <w:u w:val="single"/>
                <w:shd w:val="clear" w:color="auto" w:fill="FFFFFF"/>
                <w:lang w:val="en-US" w:eastAsia="zh-CN"/>
              </w:rPr>
              <w:t>00</w:t>
            </w:r>
            <w:r>
              <w:rPr>
                <w:rFonts w:hint="eastAsia" w:ascii="仿宋" w:hAnsi="仿宋" w:eastAsia="仿宋" w:cs="仿宋"/>
                <w:color w:val="auto"/>
                <w:sz w:val="24"/>
                <w:szCs w:val="24"/>
                <w:highlight w:val="none"/>
                <w:u w:val="single"/>
                <w:shd w:val="clear" w:color="auto" w:fill="FFFFFF"/>
              </w:rPr>
              <w:t>分</w:t>
            </w:r>
            <w:r>
              <w:rPr>
                <w:rFonts w:hint="eastAsia" w:ascii="仿宋" w:hAnsi="仿宋" w:eastAsia="仿宋" w:cs="仿宋"/>
                <w:color w:val="auto"/>
                <w:sz w:val="24"/>
                <w:szCs w:val="24"/>
                <w:highlight w:val="none"/>
                <w:shd w:val="clear" w:color="auto" w:fill="FFFFFF"/>
              </w:rPr>
              <w:t>（北京时间）</w:t>
            </w:r>
          </w:p>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地点：</w:t>
            </w:r>
            <w:r>
              <w:rPr>
                <w:rFonts w:hint="eastAsia" w:ascii="仿宋" w:hAnsi="仿宋" w:eastAsia="仿宋" w:cs="仿宋"/>
                <w:color w:val="auto"/>
                <w:sz w:val="24"/>
                <w:szCs w:val="24"/>
                <w:highlight w:val="none"/>
                <w:lang w:val="en-US" w:eastAsia="zh-CN"/>
              </w:rPr>
              <w:t>不见面开标大厅</w:t>
            </w:r>
          </w:p>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方式：</w:t>
            </w:r>
            <w:r>
              <w:rPr>
                <w:rFonts w:hint="eastAsia" w:ascii="仿宋" w:hAnsi="仿宋" w:eastAsia="仿宋" w:cs="仿宋"/>
                <w:color w:val="auto"/>
                <w:sz w:val="24"/>
                <w:szCs w:val="24"/>
                <w:highlight w:val="none"/>
                <w:lang w:val="zh-CN"/>
              </w:rPr>
              <w:t>投标人请登录拉萨市公共资源交易网</w:t>
            </w:r>
          </w:p>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fldChar w:fldCharType="begin"/>
            </w:r>
            <w:r>
              <w:rPr>
                <w:rFonts w:hint="eastAsia" w:ascii="仿宋" w:hAnsi="仿宋" w:eastAsia="仿宋" w:cs="仿宋"/>
                <w:color w:val="auto"/>
                <w:sz w:val="24"/>
                <w:szCs w:val="24"/>
                <w:highlight w:val="none"/>
                <w:lang w:val="zh-CN"/>
              </w:rPr>
              <w:instrText xml:space="preserve"> HYPERLINK "http://ggzy.xizang.gov.cn/" \h </w:instrText>
            </w:r>
            <w:r>
              <w:rPr>
                <w:rFonts w:hint="eastAsia" w:ascii="仿宋" w:hAnsi="仿宋" w:eastAsia="仿宋" w:cs="仿宋"/>
                <w:color w:val="auto"/>
                <w:sz w:val="24"/>
                <w:szCs w:val="24"/>
                <w:highlight w:val="none"/>
                <w:lang w:val="zh-CN"/>
              </w:rPr>
              <w:fldChar w:fldCharType="separate"/>
            </w:r>
            <w:r>
              <w:rPr>
                <w:rFonts w:hint="eastAsia" w:ascii="仿宋" w:hAnsi="仿宋" w:eastAsia="仿宋" w:cs="仿宋"/>
                <w:color w:val="auto"/>
                <w:sz w:val="24"/>
                <w:szCs w:val="24"/>
                <w:highlight w:val="none"/>
                <w:lang w:val="zh-CN"/>
              </w:rPr>
              <w:t>（http://ggzy.lasa.gov.cn/pub/webindex.html</w:t>
            </w:r>
            <w:r>
              <w:rPr>
                <w:rFonts w:hint="eastAsia" w:ascii="仿宋" w:hAnsi="仿宋" w:eastAsia="仿宋" w:cs="仿宋"/>
                <w:color w:val="auto"/>
                <w:sz w:val="24"/>
                <w:szCs w:val="24"/>
                <w:highlight w:val="none"/>
                <w:lang w:val="zh-CN"/>
              </w:rPr>
              <w:fldChar w:fldCharType="end"/>
            </w:r>
            <w:r>
              <w:rPr>
                <w:rFonts w:hint="eastAsia" w:ascii="仿宋" w:hAnsi="仿宋" w:eastAsia="仿宋" w:cs="仿宋"/>
                <w:color w:val="auto"/>
                <w:sz w:val="24"/>
                <w:szCs w:val="24"/>
                <w:highlight w:val="none"/>
                <w:lang w:val="zh-CN"/>
              </w:rPr>
              <w:t>）提交电子投标文件。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5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是否退还投标文件</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36</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开标时间和地点</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napToGrid/>
              <w:spacing w:line="288" w:lineRule="auto"/>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开标</w:t>
            </w:r>
            <w:r>
              <w:rPr>
                <w:rFonts w:hint="eastAsia" w:ascii="仿宋" w:hAnsi="仿宋" w:eastAsia="仿宋" w:cs="仿宋"/>
                <w:color w:val="auto"/>
                <w:sz w:val="24"/>
                <w:szCs w:val="24"/>
                <w:highlight w:val="none"/>
                <w:lang w:val="zh-CN"/>
              </w:rPr>
              <w:t>时间：</w:t>
            </w:r>
            <w:r>
              <w:rPr>
                <w:rFonts w:hint="eastAsia" w:ascii="仿宋" w:hAnsi="仿宋" w:eastAsia="仿宋" w:cs="仿宋"/>
                <w:color w:val="auto"/>
                <w:sz w:val="24"/>
                <w:szCs w:val="24"/>
                <w:highlight w:val="none"/>
                <w:u w:val="single"/>
                <w:shd w:val="clear" w:color="auto" w:fill="FFFFFF"/>
                <w:lang w:val="en-US" w:eastAsia="zh-CN"/>
              </w:rPr>
              <w:t>2023</w:t>
            </w:r>
            <w:r>
              <w:rPr>
                <w:rFonts w:hint="eastAsia" w:ascii="仿宋" w:hAnsi="仿宋" w:eastAsia="仿宋" w:cs="仿宋"/>
                <w:color w:val="auto"/>
                <w:sz w:val="24"/>
                <w:szCs w:val="24"/>
                <w:highlight w:val="none"/>
                <w:u w:val="single"/>
                <w:shd w:val="clear" w:color="auto" w:fill="FFFFFF"/>
              </w:rPr>
              <w:t>年</w:t>
            </w:r>
            <w:r>
              <w:rPr>
                <w:rFonts w:hint="eastAsia" w:ascii="仿宋" w:hAnsi="仿宋" w:eastAsia="仿宋" w:cs="仿宋"/>
                <w:color w:val="auto"/>
                <w:sz w:val="24"/>
                <w:szCs w:val="24"/>
                <w:highlight w:val="none"/>
                <w:u w:val="single"/>
                <w:shd w:val="clear" w:color="auto" w:fill="FFFFFF"/>
                <w:lang w:val="en-US" w:eastAsia="zh-CN"/>
              </w:rPr>
              <w:t>4</w:t>
            </w:r>
            <w:r>
              <w:rPr>
                <w:rFonts w:hint="eastAsia" w:ascii="仿宋" w:hAnsi="仿宋" w:eastAsia="仿宋" w:cs="仿宋"/>
                <w:color w:val="auto"/>
                <w:sz w:val="24"/>
                <w:szCs w:val="24"/>
                <w:highlight w:val="none"/>
                <w:u w:val="single"/>
                <w:shd w:val="clear" w:color="auto" w:fill="FFFFFF"/>
              </w:rPr>
              <w:t>月</w:t>
            </w:r>
            <w:r>
              <w:rPr>
                <w:rFonts w:hint="eastAsia" w:ascii="仿宋" w:hAnsi="仿宋" w:eastAsia="仿宋" w:cs="仿宋"/>
                <w:color w:val="auto"/>
                <w:sz w:val="24"/>
                <w:szCs w:val="24"/>
                <w:highlight w:val="none"/>
                <w:u w:val="single"/>
                <w:shd w:val="clear" w:color="auto" w:fill="FFFFFF"/>
                <w:lang w:val="en-US" w:eastAsia="zh-CN"/>
              </w:rPr>
              <w:t>25</w:t>
            </w:r>
            <w:r>
              <w:rPr>
                <w:rFonts w:hint="eastAsia" w:ascii="仿宋" w:hAnsi="仿宋" w:eastAsia="仿宋" w:cs="仿宋"/>
                <w:color w:val="auto"/>
                <w:sz w:val="24"/>
                <w:szCs w:val="24"/>
                <w:highlight w:val="none"/>
                <w:u w:val="single"/>
                <w:shd w:val="clear" w:color="auto" w:fill="FFFFFF"/>
              </w:rPr>
              <w:t>日</w:t>
            </w:r>
            <w:r>
              <w:rPr>
                <w:rFonts w:hint="eastAsia" w:ascii="仿宋" w:hAnsi="仿宋" w:eastAsia="仿宋" w:cs="仿宋"/>
                <w:color w:val="auto"/>
                <w:sz w:val="24"/>
                <w:szCs w:val="24"/>
                <w:highlight w:val="none"/>
                <w:u w:val="single"/>
                <w:shd w:val="clear" w:color="auto" w:fill="FFFFFF"/>
                <w:lang w:val="en-US" w:eastAsia="zh-CN"/>
              </w:rPr>
              <w:t>10</w:t>
            </w:r>
            <w:r>
              <w:rPr>
                <w:rFonts w:hint="eastAsia" w:ascii="仿宋" w:hAnsi="仿宋" w:eastAsia="仿宋" w:cs="仿宋"/>
                <w:color w:val="auto"/>
                <w:sz w:val="24"/>
                <w:szCs w:val="24"/>
                <w:highlight w:val="none"/>
                <w:u w:val="single"/>
                <w:shd w:val="clear" w:color="auto" w:fill="FFFFFF"/>
              </w:rPr>
              <w:t>时</w:t>
            </w:r>
            <w:r>
              <w:rPr>
                <w:rFonts w:hint="eastAsia" w:ascii="仿宋" w:hAnsi="仿宋" w:eastAsia="仿宋" w:cs="仿宋"/>
                <w:color w:val="auto"/>
                <w:sz w:val="24"/>
                <w:szCs w:val="24"/>
                <w:highlight w:val="none"/>
                <w:u w:val="single"/>
                <w:shd w:val="clear" w:color="auto" w:fill="FFFFFF"/>
                <w:lang w:val="en-US" w:eastAsia="zh-CN"/>
              </w:rPr>
              <w:t>00</w:t>
            </w:r>
            <w:r>
              <w:rPr>
                <w:rFonts w:hint="eastAsia" w:ascii="仿宋" w:hAnsi="仿宋" w:eastAsia="仿宋" w:cs="仿宋"/>
                <w:color w:val="auto"/>
                <w:sz w:val="24"/>
                <w:szCs w:val="24"/>
                <w:highlight w:val="none"/>
                <w:u w:val="single"/>
                <w:shd w:val="clear" w:color="auto" w:fill="FFFFFF"/>
              </w:rPr>
              <w:t>分</w:t>
            </w:r>
            <w:r>
              <w:rPr>
                <w:rFonts w:hint="eastAsia" w:ascii="仿宋" w:hAnsi="仿宋" w:eastAsia="仿宋" w:cs="仿宋"/>
                <w:color w:val="auto"/>
                <w:sz w:val="24"/>
                <w:szCs w:val="24"/>
                <w:highlight w:val="none"/>
                <w:shd w:val="clear" w:color="auto" w:fill="FFFFFF"/>
              </w:rPr>
              <w:t>（北京时间）</w:t>
            </w:r>
          </w:p>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地点：</w:t>
            </w:r>
            <w:r>
              <w:rPr>
                <w:rFonts w:hint="eastAsia" w:ascii="仿宋" w:hAnsi="仿宋" w:eastAsia="仿宋" w:cs="仿宋"/>
                <w:color w:val="auto"/>
                <w:sz w:val="24"/>
                <w:highlight w:val="none"/>
                <w:shd w:val="clear" w:color="auto" w:fill="FFFFFF"/>
                <w:lang w:val="en-US" w:eastAsia="zh-CN"/>
              </w:rPr>
              <w:t>不见面开标大厅</w:t>
            </w:r>
          </w:p>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方式：</w:t>
            </w:r>
            <w:r>
              <w:rPr>
                <w:rFonts w:hint="eastAsia" w:ascii="仿宋" w:hAnsi="仿宋" w:eastAsia="仿宋" w:cs="仿宋"/>
                <w:color w:val="auto"/>
                <w:sz w:val="24"/>
                <w:szCs w:val="24"/>
                <w:highlight w:val="none"/>
                <w:lang w:val="zh-CN"/>
              </w:rPr>
              <w:t>投标人请登录拉萨市公共资源交易网</w:t>
            </w:r>
          </w:p>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fldChar w:fldCharType="begin"/>
            </w:r>
            <w:r>
              <w:rPr>
                <w:rFonts w:hint="eastAsia" w:ascii="仿宋" w:hAnsi="仿宋" w:eastAsia="仿宋" w:cs="仿宋"/>
                <w:color w:val="auto"/>
                <w:sz w:val="24"/>
                <w:szCs w:val="24"/>
                <w:highlight w:val="none"/>
                <w:lang w:val="zh-CN"/>
              </w:rPr>
              <w:instrText xml:space="preserve"> HYPERLINK "http://ggzy.xizang.gov.cn/" \h </w:instrText>
            </w:r>
            <w:r>
              <w:rPr>
                <w:rFonts w:hint="eastAsia" w:ascii="仿宋" w:hAnsi="仿宋" w:eastAsia="仿宋" w:cs="仿宋"/>
                <w:color w:val="auto"/>
                <w:sz w:val="24"/>
                <w:szCs w:val="24"/>
                <w:highlight w:val="none"/>
                <w:lang w:val="zh-CN"/>
              </w:rPr>
              <w:fldChar w:fldCharType="separate"/>
            </w:r>
            <w:r>
              <w:rPr>
                <w:rFonts w:hint="eastAsia" w:ascii="仿宋" w:hAnsi="仿宋" w:eastAsia="仿宋" w:cs="仿宋"/>
                <w:color w:val="auto"/>
                <w:sz w:val="24"/>
                <w:szCs w:val="24"/>
                <w:highlight w:val="none"/>
                <w:lang w:val="zh-CN"/>
              </w:rPr>
              <w:t>（</w:t>
            </w:r>
            <w:r>
              <w:rPr>
                <w:rFonts w:hint="eastAsia" w:ascii="仿宋" w:hAnsi="仿宋" w:eastAsia="仿宋" w:cs="仿宋"/>
                <w:color w:val="auto"/>
                <w:kern w:val="0"/>
                <w:sz w:val="24"/>
                <w:szCs w:val="24"/>
                <w:highlight w:val="none"/>
                <w:lang w:eastAsia="zh-CN"/>
              </w:rPr>
              <w:t>http://ggzy.lasa.gov.cn/pub/webindex.html</w:t>
            </w:r>
            <w:r>
              <w:rPr>
                <w:rFonts w:hint="eastAsia" w:ascii="仿宋" w:hAnsi="仿宋" w:eastAsia="仿宋" w:cs="仿宋"/>
                <w:color w:val="auto"/>
                <w:sz w:val="24"/>
                <w:szCs w:val="24"/>
                <w:highlight w:val="none"/>
                <w:lang w:val="zh-CN"/>
              </w:rPr>
              <w:fldChar w:fldCharType="end"/>
            </w:r>
            <w:r>
              <w:rPr>
                <w:rFonts w:hint="eastAsia" w:ascii="仿宋" w:hAnsi="仿宋" w:eastAsia="仿宋" w:cs="仿宋"/>
                <w:color w:val="auto"/>
                <w:sz w:val="24"/>
                <w:szCs w:val="24"/>
                <w:highlight w:val="none"/>
                <w:lang w:val="zh-CN"/>
              </w:rPr>
              <w:t>）提交电子投标文件。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7</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评标委员会的组建</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评标委员会构</w:t>
            </w:r>
            <w:r>
              <w:rPr>
                <w:rFonts w:hint="eastAsia" w:ascii="仿宋" w:hAnsi="仿宋" w:eastAsia="仿宋" w:cs="仿宋"/>
                <w:b/>
                <w:bCs/>
                <w:color w:val="auto"/>
                <w:kern w:val="0"/>
                <w:sz w:val="24"/>
                <w:szCs w:val="24"/>
                <w:highlight w:val="none"/>
              </w:rPr>
              <w:t>成：由采购人代表和评审专家共</w:t>
            </w:r>
            <w:r>
              <w:rPr>
                <w:rFonts w:hint="eastAsia" w:ascii="仿宋" w:hAnsi="仿宋" w:eastAsia="仿宋" w:cs="仿宋"/>
                <w:b/>
                <w:bCs/>
                <w:color w:val="auto"/>
                <w:kern w:val="0"/>
                <w:sz w:val="24"/>
                <w:szCs w:val="24"/>
                <w:highlight w:val="none"/>
                <w:lang w:val="en-US" w:eastAsia="zh-CN"/>
              </w:rPr>
              <w:t>5</w:t>
            </w:r>
            <w:r>
              <w:rPr>
                <w:rFonts w:hint="eastAsia" w:ascii="仿宋" w:hAnsi="仿宋" w:eastAsia="仿宋" w:cs="仿宋"/>
                <w:b/>
                <w:bCs/>
                <w:color w:val="auto"/>
                <w:kern w:val="0"/>
                <w:sz w:val="24"/>
                <w:szCs w:val="24"/>
                <w:highlight w:val="none"/>
              </w:rPr>
              <w:t>人以上单数组成</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成员人数应当按相关法律法规要求执行，其中评审专家不得少于成</w:t>
            </w:r>
            <w:r>
              <w:rPr>
                <w:rFonts w:hint="eastAsia" w:ascii="仿宋" w:hAnsi="仿宋" w:eastAsia="仿宋" w:cs="仿宋"/>
                <w:color w:val="000000" w:themeColor="text1"/>
                <w:kern w:val="0"/>
                <w:sz w:val="24"/>
                <w:szCs w:val="24"/>
                <w:highlight w:val="none"/>
                <w14:textFill>
                  <w14:solidFill>
                    <w14:schemeClr w14:val="tx1"/>
                  </w14:solidFill>
                </w14:textFill>
              </w:rPr>
              <w:t>员总数的三分之二。</w:t>
            </w:r>
          </w:p>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评标专家确定方式：从西藏自治区政府采购专家库中随机抽取。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8</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是否授权评标委员会确定中标人</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否，推荐的中标</w:t>
            </w:r>
            <w:r>
              <w:rPr>
                <w:rFonts w:hint="eastAsia" w:ascii="仿宋" w:hAnsi="仿宋" w:eastAsia="仿宋" w:cs="仿宋"/>
                <w:color w:val="000000" w:themeColor="text1"/>
                <w:kern w:val="0"/>
                <w:sz w:val="24"/>
                <w:szCs w:val="24"/>
                <w:highlight w:val="none"/>
                <w:lang w:eastAsia="zh-CN"/>
                <w14:textFill>
                  <w14:solidFill>
                    <w14:schemeClr w14:val="tx1"/>
                  </w14:solidFill>
                </w14:textFill>
              </w:rPr>
              <w:t>候选人</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 xml:space="preserve">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39</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履约保证金</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金额：按中标金额的5%交纳； </w:t>
            </w:r>
          </w:p>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交款方式：以金融机构出具的保函或转入采购人指定账户方式向采购人缴纳；  </w:t>
            </w:r>
          </w:p>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交款时间：中标通知书发放后，合同签订前。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40</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招标代理服务</w:t>
            </w:r>
          </w:p>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rPr>
              <w:t>费</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参照</w:t>
            </w:r>
            <w:r>
              <w:rPr>
                <w:rFonts w:hint="eastAsia" w:ascii="仿宋" w:hAnsi="仿宋" w:eastAsia="仿宋" w:cs="仿宋"/>
                <w:color w:val="auto"/>
                <w:sz w:val="24"/>
                <w:szCs w:val="24"/>
                <w:highlight w:val="none"/>
              </w:rPr>
              <w:t>发改价格【2015】299号文件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以中标价格的1.5%向中标人收取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41</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实质性条款</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招标文件中加“▲”系指实质性要求条款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42</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其他要求</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napToGrid/>
              <w:spacing w:line="288" w:lineRule="auto"/>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w:t>
            </w:r>
          </w:p>
        </w:tc>
      </w:tr>
    </w:tbl>
    <w:p>
      <w:pPr>
        <w:rPr>
          <w:rFonts w:ascii="仿宋" w:hAnsi="仿宋" w:eastAsia="仿宋" w:cs="仿宋"/>
          <w:vanish/>
          <w:color w:val="auto"/>
          <w:highlight w:val="none"/>
        </w:rPr>
      </w:pPr>
    </w:p>
    <w:tbl>
      <w:tblPr>
        <w:tblStyle w:val="50"/>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3"/>
        <w:gridCol w:w="6"/>
        <w:gridCol w:w="6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553" w:type="dxa"/>
            <w:gridSpan w:val="3"/>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53" w:type="dxa"/>
            <w:gridSpan w:val="3"/>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969" w:type="dxa"/>
            <w:gridSpan w:val="2"/>
            <w:vAlign w:val="center"/>
          </w:tcPr>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招标控制价</w:t>
            </w:r>
          </w:p>
        </w:tc>
        <w:tc>
          <w:tcPr>
            <w:tcW w:w="6584" w:type="dxa"/>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不设招标控制价</w:t>
            </w:r>
          </w:p>
          <w:p>
            <w:pPr>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sz w:val="24"/>
                <w:highlight w:val="none"/>
              </w:rPr>
              <w:t xml:space="preserve">设招标控制价   </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color w:val="auto"/>
                <w:sz w:val="24"/>
                <w:highlight w:val="none"/>
              </w:rPr>
              <w:t>招标控制价：</w:t>
            </w:r>
            <w:r>
              <w:rPr>
                <w:rFonts w:hint="eastAsia" w:ascii="仿宋" w:hAnsi="仿宋" w:eastAsia="仿宋" w:cs="仿宋"/>
                <w:b/>
                <w:color w:val="auto"/>
                <w:sz w:val="24"/>
                <w:highlight w:val="none"/>
                <w:lang w:val="en-US" w:eastAsia="zh-CN"/>
              </w:rPr>
              <w:t>2927272.50（大写：贰佰玖拾贰万柒仟贰佰柒拾贰元伍角整）</w:t>
            </w:r>
          </w:p>
          <w:p>
            <w:pPr>
              <w:pStyle w:val="2"/>
              <w:rPr>
                <w:rFonts w:hint="eastAsia" w:ascii="仿宋" w:hAnsi="仿宋" w:eastAsia="仿宋" w:cs="仿宋"/>
                <w:b/>
                <w:color w:val="auto"/>
                <w:sz w:val="24"/>
                <w:highlight w:val="none"/>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53" w:type="dxa"/>
            <w:gridSpan w:val="3"/>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969" w:type="dxa"/>
            <w:gridSpan w:val="2"/>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是否采用“暗标”评审方式</w:t>
            </w:r>
          </w:p>
        </w:tc>
        <w:tc>
          <w:tcPr>
            <w:tcW w:w="6584" w:type="dxa"/>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553" w:type="dxa"/>
            <w:gridSpan w:val="3"/>
            <w:vAlign w:val="center"/>
          </w:tcPr>
          <w:p>
            <w:pPr>
              <w:pStyle w:val="222"/>
              <w:numPr>
                <w:ilvl w:val="0"/>
                <w:numId w:val="0"/>
              </w:numPr>
              <w:tabs>
                <w:tab w:val="left" w:pos="280"/>
              </w:tabs>
              <w:spacing w:before="79" w:after="0" w:line="240" w:lineRule="auto"/>
              <w:ind w:left="31" w:leftChars="0" w:right="1" w:rightChars="0"/>
              <w:jc w:val="both"/>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3. 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exact"/>
          <w:jc w:val="center"/>
        </w:trPr>
        <w:tc>
          <w:tcPr>
            <w:tcW w:w="2969" w:type="dxa"/>
            <w:gridSpan w:val="2"/>
            <w:vAlign w:val="center"/>
          </w:tcPr>
          <w:p>
            <w:pPr>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注意事项</w:t>
            </w:r>
          </w:p>
        </w:tc>
        <w:tc>
          <w:tcPr>
            <w:tcW w:w="6584" w:type="dxa"/>
            <w:vAlign w:val="center"/>
          </w:tcPr>
          <w:p>
            <w:pPr>
              <w:spacing w:line="4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本项目依托拉萨市公共资源交易平台政府采购系统进行全程电子化采购，请供应商依照拉萨市公共资源交易平台政府采购系统相关流程、规范参与采购活动，如遇网站、系统平台、证书锁等相关问题，请联系拉萨市公共资源交易网进行咨询。</w:t>
            </w:r>
          </w:p>
          <w:p>
            <w:pPr>
              <w:spacing w:line="400" w:lineRule="exact"/>
              <w:rPr>
                <w:rFonts w:hint="default"/>
                <w:lang w:val="en-US" w:eastAsia="zh-CN"/>
              </w:rPr>
            </w:pPr>
            <w:r>
              <w:rPr>
                <w:rFonts w:hint="eastAsia" w:ascii="仿宋" w:hAnsi="仿宋" w:eastAsia="仿宋" w:cs="仿宋"/>
                <w:color w:val="auto"/>
                <w:sz w:val="24"/>
                <w:highlight w:val="none"/>
                <w:lang w:val="en-US" w:eastAsia="zh-CN"/>
              </w:rPr>
              <w:t>2.拉萨市公共资源交易平台政府采购系统会自动生成一个“招标编号”，该编号仅用于系统内部标识。除系统要求或本文件特别说明之处外，请各供应商在制作投标文件时以本文件所写“项目编号”为准。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53" w:type="dxa"/>
            <w:gridSpan w:val="3"/>
            <w:vAlign w:val="center"/>
          </w:tcPr>
          <w:p>
            <w:pPr>
              <w:spacing w:line="240" w:lineRule="auto"/>
              <w:rPr>
                <w:rFonts w:ascii="仿宋" w:hAnsi="仿宋" w:eastAsia="仿宋" w:cs="仿宋"/>
                <w:color w:val="auto"/>
                <w:sz w:val="24"/>
                <w:highlight w:val="none"/>
              </w:rPr>
            </w:pPr>
            <w:r>
              <w:rPr>
                <w:rFonts w:hint="eastAsia" w:ascii="仿宋" w:hAnsi="仿宋" w:eastAsia="仿宋" w:cs="仿宋"/>
                <w:color w:val="auto"/>
                <w:sz w:val="24"/>
                <w:highlight w:val="none"/>
              </w:rPr>
              <w:t>4.计算机辅助评标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969" w:type="dxa"/>
            <w:gridSpan w:val="2"/>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是否实行计算机辅助评标</w:t>
            </w:r>
          </w:p>
        </w:tc>
        <w:tc>
          <w:tcPr>
            <w:tcW w:w="6584" w:type="dxa"/>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553" w:type="dxa"/>
            <w:gridSpan w:val="3"/>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5、是否采用电子招标投标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963" w:type="dxa"/>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是否采用电子招标投标</w:t>
            </w:r>
          </w:p>
        </w:tc>
        <w:tc>
          <w:tcPr>
            <w:tcW w:w="6590" w:type="dxa"/>
            <w:gridSpan w:val="2"/>
            <w:vAlign w:val="center"/>
          </w:tcPr>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553" w:type="dxa"/>
            <w:gridSpan w:val="3"/>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6.投标人代表出席开标会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9553" w:type="dxa"/>
            <w:gridSpan w:val="3"/>
            <w:vAlign w:val="center"/>
          </w:tcPr>
          <w:p>
            <w:pPr>
              <w:spacing w:line="400" w:lineRule="exact"/>
              <w:rPr>
                <w:rFonts w:hint="default" w:ascii="仿宋" w:hAnsi="仿宋" w:eastAsia="仿宋" w:cs="仿宋"/>
                <w:color w:val="auto"/>
                <w:spacing w:val="-4"/>
                <w:sz w:val="24"/>
                <w:highlight w:val="none"/>
                <w:lang w:val="en-US" w:eastAsia="zh-CN"/>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具体详见招标公告要求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553" w:type="dxa"/>
            <w:gridSpan w:val="3"/>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7.中标公示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553" w:type="dxa"/>
            <w:gridSpan w:val="3"/>
            <w:vAlign w:val="center"/>
          </w:tcPr>
          <w:p>
            <w:pPr>
              <w:spacing w:line="400" w:lineRule="exact"/>
              <w:rPr>
                <w:rFonts w:ascii="仿宋" w:hAnsi="仿宋" w:eastAsia="仿宋" w:cs="仿宋"/>
                <w:color w:val="auto"/>
                <w:spacing w:val="-4"/>
                <w:sz w:val="24"/>
                <w:highlight w:val="none"/>
              </w:rPr>
            </w:pPr>
            <w:r>
              <w:rPr>
                <w:rFonts w:hint="eastAsia" w:ascii="仿宋" w:hAnsi="仿宋" w:eastAsia="仿宋" w:cs="仿宋"/>
                <w:color w:val="auto"/>
                <w:spacing w:val="-4"/>
                <w:sz w:val="24"/>
                <w:highlight w:val="none"/>
              </w:rPr>
              <w:t>在中标通知书发出前，招标人或招标代理机构应将中标人的情况在</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拉萨市公共资源</w:t>
            </w:r>
            <w:r>
              <w:rPr>
                <w:rFonts w:hint="eastAsia" w:ascii="仿宋" w:hAnsi="仿宋" w:eastAsia="仿宋" w:cs="仿宋"/>
                <w:color w:val="auto"/>
                <w:kern w:val="0"/>
                <w:sz w:val="24"/>
                <w:szCs w:val="24"/>
                <w:highlight w:val="none"/>
              </w:rPr>
              <w:t>交易网》《</w:t>
            </w:r>
            <w:r>
              <w:rPr>
                <w:rFonts w:hint="eastAsia" w:ascii="仿宋" w:hAnsi="仿宋" w:eastAsia="仿宋" w:cs="仿宋"/>
                <w:color w:val="auto"/>
                <w:kern w:val="0"/>
                <w:sz w:val="24"/>
                <w:szCs w:val="24"/>
                <w:highlight w:val="none"/>
                <w:lang w:eastAsia="zh-CN"/>
              </w:rPr>
              <w:t>西藏自治区公共资源</w:t>
            </w:r>
            <w:r>
              <w:rPr>
                <w:rFonts w:hint="eastAsia" w:ascii="仿宋" w:hAnsi="仿宋" w:eastAsia="仿宋" w:cs="仿宋"/>
                <w:color w:val="auto"/>
                <w:kern w:val="0"/>
                <w:sz w:val="24"/>
                <w:szCs w:val="24"/>
                <w:highlight w:val="none"/>
              </w:rPr>
              <w:t>交易网》《</w:t>
            </w:r>
            <w:r>
              <w:rPr>
                <w:rFonts w:hint="eastAsia" w:ascii="仿宋" w:hAnsi="仿宋" w:eastAsia="仿宋" w:cs="仿宋"/>
                <w:color w:val="auto"/>
                <w:kern w:val="0"/>
                <w:sz w:val="24"/>
                <w:szCs w:val="24"/>
                <w:highlight w:val="none"/>
                <w:lang w:eastAsia="zh-CN"/>
              </w:rPr>
              <w:t>西藏</w:t>
            </w:r>
            <w:r>
              <w:rPr>
                <w:rFonts w:hint="eastAsia" w:ascii="仿宋" w:hAnsi="仿宋" w:eastAsia="仿宋" w:cs="仿宋"/>
                <w:color w:val="auto"/>
                <w:kern w:val="0"/>
                <w:sz w:val="24"/>
                <w:szCs w:val="24"/>
                <w:highlight w:val="none"/>
              </w:rPr>
              <w:t>政府采购网》</w:t>
            </w:r>
            <w:r>
              <w:rPr>
                <w:rFonts w:hint="eastAsia" w:ascii="仿宋" w:hAnsi="仿宋" w:eastAsia="仿宋" w:cs="仿宋"/>
                <w:color w:val="auto"/>
                <w:spacing w:val="-4"/>
                <w:sz w:val="24"/>
                <w:highlight w:val="none"/>
              </w:rPr>
              <w:t>网站予以公示，公示期不少于1个工作日。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3" w:type="dxa"/>
            <w:gridSpan w:val="3"/>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8.知识产权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9553" w:type="dxa"/>
            <w:gridSpan w:val="3"/>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553" w:type="dxa"/>
            <w:gridSpan w:val="3"/>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9.重新招标的其他情形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553" w:type="dxa"/>
            <w:gridSpan w:val="3"/>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553" w:type="dxa"/>
            <w:gridSpan w:val="3"/>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10.同义词语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9553" w:type="dxa"/>
            <w:gridSpan w:val="3"/>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构成招标文件组成部分的“通用合同条款”、“专用合同条款”、“技术标准和要求”和“技术方案及设备清单”等章节中出现的措辞“甲方”和“乙方”，在招标投标阶段应当分别按“招标人”和“投标人”进行理解。注：本招标文件中的所有合同均为参考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553" w:type="dxa"/>
            <w:gridSpan w:val="3"/>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11.监督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553" w:type="dxa"/>
            <w:gridSpan w:val="3"/>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本项目的招标投标活动及其相关当事人应当接受有管辖权的行政监督部门依法实施的监督。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553" w:type="dxa"/>
            <w:gridSpan w:val="3"/>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12.解释权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553" w:type="dxa"/>
            <w:gridSpan w:val="3"/>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合同条款、投标文件格式的先后顺序解释；同一组成文件中就同一事项的规定或约定不一致的，以编排顺序在后者为准；同一组成文件不同版本之间有不一致的，以形成时间在后者为准。按本款前述规定仍不能形成结论的，由招标人、招标代理机构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553" w:type="dxa"/>
            <w:gridSpan w:val="3"/>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▲13</w:t>
            </w:r>
            <w:r>
              <w:rPr>
                <w:rFonts w:hint="eastAsia" w:ascii="仿宋" w:hAnsi="仿宋" w:eastAsia="仿宋" w:cs="仿宋"/>
                <w:color w:val="auto"/>
                <w:sz w:val="24"/>
                <w:highlight w:val="none"/>
              </w:rPr>
              <w:t>.招标人补充的共他内容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9553" w:type="dxa"/>
            <w:gridSpan w:val="3"/>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①招标文件如有变更，将在</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拉萨市公共资源</w:t>
            </w:r>
            <w:r>
              <w:rPr>
                <w:rFonts w:hint="eastAsia" w:ascii="仿宋" w:hAnsi="仿宋" w:eastAsia="仿宋" w:cs="仿宋"/>
                <w:color w:val="auto"/>
                <w:kern w:val="0"/>
                <w:sz w:val="24"/>
                <w:szCs w:val="24"/>
                <w:highlight w:val="none"/>
              </w:rPr>
              <w:t>交易网》《</w:t>
            </w:r>
            <w:r>
              <w:rPr>
                <w:rFonts w:hint="eastAsia" w:ascii="仿宋" w:hAnsi="仿宋" w:eastAsia="仿宋" w:cs="仿宋"/>
                <w:color w:val="auto"/>
                <w:kern w:val="0"/>
                <w:sz w:val="24"/>
                <w:szCs w:val="24"/>
                <w:highlight w:val="none"/>
                <w:lang w:eastAsia="zh-CN"/>
              </w:rPr>
              <w:t>西藏自治区公共资源</w:t>
            </w:r>
            <w:r>
              <w:rPr>
                <w:rFonts w:hint="eastAsia" w:ascii="仿宋" w:hAnsi="仿宋" w:eastAsia="仿宋" w:cs="仿宋"/>
                <w:color w:val="auto"/>
                <w:kern w:val="0"/>
                <w:sz w:val="24"/>
                <w:szCs w:val="24"/>
                <w:highlight w:val="none"/>
              </w:rPr>
              <w:t>交易网》《</w:t>
            </w:r>
            <w:r>
              <w:rPr>
                <w:rFonts w:hint="eastAsia" w:ascii="仿宋" w:hAnsi="仿宋" w:eastAsia="仿宋" w:cs="仿宋"/>
                <w:color w:val="auto"/>
                <w:kern w:val="0"/>
                <w:sz w:val="24"/>
                <w:szCs w:val="24"/>
                <w:highlight w:val="none"/>
                <w:lang w:eastAsia="zh-CN"/>
              </w:rPr>
              <w:t>西藏</w:t>
            </w:r>
            <w:r>
              <w:rPr>
                <w:rFonts w:hint="eastAsia" w:ascii="仿宋" w:hAnsi="仿宋" w:eastAsia="仿宋" w:cs="仿宋"/>
                <w:color w:val="auto"/>
                <w:kern w:val="0"/>
                <w:sz w:val="24"/>
                <w:szCs w:val="24"/>
                <w:highlight w:val="none"/>
              </w:rPr>
              <w:t>政府采购网》</w:t>
            </w:r>
            <w:r>
              <w:rPr>
                <w:rFonts w:hint="eastAsia" w:ascii="仿宋" w:hAnsi="仿宋" w:eastAsia="仿宋" w:cs="仿宋"/>
                <w:color w:val="auto"/>
                <w:sz w:val="24"/>
                <w:highlight w:val="none"/>
              </w:rPr>
              <w:t>公告，请各投标人在购买招标文件后经常访问以便及时获取信息，否则造成的一切后果由投标人自行承担。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553" w:type="dxa"/>
            <w:gridSpan w:val="3"/>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②自购买招标文件之日起，投标人应保证其提供的联系方式（电话、传真、电子邮件）一直有效，以保证往来函件（招标文件的澄清、修改等）能及时通知投标人，并能及时反馈信息，否则招标人不承担由此引起的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2" w:hRule="atLeast"/>
          <w:jc w:val="center"/>
        </w:trPr>
        <w:tc>
          <w:tcPr>
            <w:tcW w:w="9553" w:type="dxa"/>
            <w:gridSpan w:val="3"/>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③质疑函应以书面形式送达（仅接收派人送达方式），质疑函的格式、时间和内容应当符合《政府采购质疑和投诉办法》的要求。投标人在法定质疑期内一次性提出针对同一采购项目的质疑。</w:t>
            </w:r>
          </w:p>
          <w:p>
            <w:pPr>
              <w:spacing w:line="40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联系部门：</w:t>
            </w:r>
            <w:r>
              <w:rPr>
                <w:rFonts w:hint="eastAsia" w:ascii="仿宋" w:hAnsi="仿宋" w:eastAsia="仿宋" w:cs="仿宋"/>
                <w:color w:val="auto"/>
                <w:sz w:val="24"/>
                <w:highlight w:val="none"/>
                <w:lang w:val="en-US" w:eastAsia="zh-CN"/>
              </w:rPr>
              <w:t>衡正国际工程咨询有限公司招标部</w:t>
            </w:r>
          </w:p>
          <w:p>
            <w:pPr>
              <w:spacing w:line="4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陈女士</w:t>
            </w:r>
          </w:p>
          <w:p>
            <w:pPr>
              <w:spacing w:line="400" w:lineRule="exact"/>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val="en-US" w:eastAsia="zh-CN"/>
              </w:rPr>
              <w:t>18875256280</w:t>
            </w:r>
            <w:r>
              <w:rPr>
                <w:rFonts w:hint="eastAsia" w:ascii="仿宋" w:hAnsi="仿宋" w:eastAsia="仿宋" w:cs="仿宋"/>
                <w:color w:val="auto"/>
                <w:kern w:val="0"/>
                <w:sz w:val="24"/>
                <w:szCs w:val="24"/>
                <w:highlight w:val="none"/>
              </w:rPr>
              <w:t>(请在工作时间拨打)</w:t>
            </w:r>
          </w:p>
          <w:p>
            <w:pPr>
              <w:spacing w:line="40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val="en-US" w:eastAsia="zh-CN"/>
              </w:rPr>
              <w:t>拉萨市阳光酒店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553" w:type="dxa"/>
            <w:gridSpan w:val="3"/>
            <w:vAlign w:val="center"/>
          </w:tcPr>
          <w:p>
            <w:pPr>
              <w:spacing w:line="38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▲④</w:t>
            </w:r>
            <w:r>
              <w:rPr>
                <w:rFonts w:hint="eastAsia" w:ascii="仿宋" w:hAnsi="仿宋" w:eastAsia="仿宋" w:cs="仿宋"/>
                <w:color w:val="auto"/>
                <w:sz w:val="24"/>
                <w:highlight w:val="none"/>
                <w:lang w:val="zh-CN"/>
              </w:rPr>
              <w:t>采购合同公告备案：采购合同签订之日起2个工作日内，采购合同</w:t>
            </w:r>
            <w:r>
              <w:rPr>
                <w:rFonts w:hint="eastAsia" w:ascii="仿宋" w:hAnsi="仿宋" w:eastAsia="仿宋" w:cs="仿宋"/>
                <w:color w:val="auto"/>
                <w:sz w:val="24"/>
                <w:highlight w:val="none"/>
              </w:rPr>
              <w:t>送致招标代理机构</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合同签订后，未在规定时间内送达代理机构的，由此产生的后果由中标供应商承担。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553" w:type="dxa"/>
            <w:gridSpan w:val="3"/>
            <w:vAlign w:val="center"/>
          </w:tcPr>
          <w:p>
            <w:pPr>
              <w:spacing w:line="380" w:lineRule="exact"/>
              <w:rPr>
                <w:rFonts w:ascii="仿宋" w:hAnsi="仿宋" w:eastAsia="仿宋" w:cs="仿宋"/>
                <w:color w:val="auto"/>
                <w:sz w:val="24"/>
                <w:highlight w:val="none"/>
                <w:lang w:val="zh-CN"/>
              </w:rPr>
            </w:pPr>
            <w:r>
              <w:rPr>
                <w:rFonts w:hint="eastAsia" w:ascii="仿宋" w:hAnsi="仿宋" w:eastAsia="仿宋" w:cs="仿宋"/>
                <w:color w:val="auto"/>
                <w:kern w:val="0"/>
                <w:sz w:val="24"/>
                <w:highlight w:val="none"/>
              </w:rPr>
              <w:t>▲⑤</w:t>
            </w:r>
            <w:r>
              <w:rPr>
                <w:rFonts w:hint="eastAsia" w:ascii="仿宋" w:hAnsi="仿宋" w:eastAsia="仿宋" w:cs="仿宋"/>
                <w:color w:val="auto"/>
                <w:sz w:val="24"/>
                <w:highlight w:val="none"/>
                <w:lang w:val="zh-CN"/>
              </w:rPr>
              <w:t>质量要求、验收标准</w:t>
            </w:r>
          </w:p>
          <w:p>
            <w:pPr>
              <w:spacing w:line="38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质量要求：达到国家现行技术标准。</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验收标准：严格按照政府采购相关法律法规的要求进行验收。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553" w:type="dxa"/>
            <w:gridSpan w:val="3"/>
            <w:vAlign w:val="center"/>
          </w:tcPr>
          <w:p>
            <w:pPr>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13.政策功能</w:t>
            </w:r>
          </w:p>
        </w:tc>
      </w:tr>
    </w:tbl>
    <w:p>
      <w:pPr>
        <w:spacing w:line="380" w:lineRule="exact"/>
        <w:rPr>
          <w:rFonts w:hint="eastAsia" w:ascii="仿宋" w:hAnsi="仿宋" w:eastAsia="仿宋" w:cs="仿宋"/>
          <w:color w:val="auto"/>
          <w:sz w:val="24"/>
          <w:highlight w:val="none"/>
        </w:rPr>
        <w:sectPr>
          <w:footerReference r:id="rId11" w:type="default"/>
          <w:pgSz w:w="11910" w:h="16840"/>
          <w:pgMar w:top="1520" w:right="1400" w:bottom="1160" w:left="1580" w:header="0" w:footer="979" w:gutter="0"/>
          <w:pgNumType w:fmt="decimal" w:start="1"/>
          <w:cols w:space="720" w:num="1"/>
        </w:sectPr>
      </w:pPr>
    </w:p>
    <w:tbl>
      <w:tblPr>
        <w:tblStyle w:val="50"/>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553" w:type="dxa"/>
            <w:vAlign w:val="center"/>
          </w:tcPr>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①执行《中华人民共和国政府采购法》、《中华人民共和国政府采购法实施条例》等有关法律、法规和政策；</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②执行</w:t>
            </w:r>
            <w:r>
              <w:rPr>
                <w:rFonts w:hint="eastAsia" w:ascii="仿宋" w:hAnsi="仿宋" w:eastAsia="仿宋" w:cs="仿宋"/>
                <w:bCs/>
                <w:color w:val="auto"/>
                <w:sz w:val="24"/>
                <w:highlight w:val="none"/>
              </w:rPr>
              <w:t>财政部、工信部《政府采购促进中小企业发展管理办法》（财库〔2020〕46号）</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（财库〔202</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19</w:t>
            </w:r>
            <w:r>
              <w:rPr>
                <w:rFonts w:hint="eastAsia" w:ascii="仿宋" w:hAnsi="仿宋" w:eastAsia="仿宋" w:cs="仿宋"/>
                <w:bCs/>
                <w:color w:val="auto"/>
                <w:sz w:val="24"/>
                <w:highlight w:val="none"/>
              </w:rPr>
              <w:t>号）</w:t>
            </w:r>
            <w:r>
              <w:rPr>
                <w:rFonts w:hint="eastAsia" w:ascii="仿宋" w:hAnsi="仿宋" w:eastAsia="仿宋" w:cs="仿宋"/>
                <w:color w:val="auto"/>
                <w:sz w:val="24"/>
                <w:highlight w:val="none"/>
              </w:rPr>
              <w:t xml:space="preserve">《关于政府采购支持监狱企业发展有关问题的通知》和《关于促进残疾人就业政府采购政策的通知》，本项目涉及小微企业、监狱企业和残疾人福利性单位； </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③执行节能产品政府优先采购和强制采购制度； </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④执行环境标志产品政府优先采购制度； </w:t>
            </w:r>
          </w:p>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⑤根据《财政部 发展改革委 生态环境部 市场监管总局关于调整优化节能产品、环境标志产品政府采购执行机制的通知》（财库〔2019〕9号）相关要求，依据品目清单和认证证书实施政府优先采购和强制采购。项目采购的产品属于品目清单范围的，依据国家确定的认证机构出具的、处于有效期之内的节能产品、环境标志产品认证证书，对获得证书的产品实施政府优先采购或强制采购。项目采购的产品属于品目清单范围内强制采购的，供应商应按上述要求提供产品认证证书复印件并加盖供应商单位公章（鲜章），否则投标无效。项目采购的产品属于品目清单范围内优先采购的，供应商应在项目所提供的货物中尽量提供优先采购的节能、环保产品。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本项目不涉及政府优先采购和强制采购节能产品、环境标志产品。</w:t>
            </w:r>
          </w:p>
        </w:tc>
      </w:tr>
    </w:tbl>
    <w:p>
      <w:pPr>
        <w:bidi w:val="0"/>
        <w:jc w:val="center"/>
        <w:rPr>
          <w:rFonts w:ascii="仿宋" w:hAnsi="仿宋" w:eastAsia="仿宋" w:cs="仿宋"/>
          <w:color w:val="auto"/>
          <w:sz w:val="32"/>
          <w:szCs w:val="32"/>
          <w:highlight w:val="none"/>
        </w:rPr>
      </w:pPr>
      <w:bookmarkStart w:id="77" w:name="_Toc29232"/>
      <w:bookmarkStart w:id="78" w:name="_Toc22316"/>
      <w:r>
        <w:rPr>
          <w:rFonts w:hint="eastAsia" w:ascii="仿宋" w:hAnsi="仿宋" w:eastAsia="仿宋" w:cs="仿宋"/>
          <w:b/>
          <w:bCs/>
          <w:color w:val="auto"/>
          <w:sz w:val="28"/>
          <w:szCs w:val="28"/>
          <w:highlight w:val="none"/>
        </w:rPr>
        <w:t>备注：</w:t>
      </w:r>
      <w:r>
        <w:rPr>
          <w:rFonts w:hint="eastAsia" w:ascii="仿宋" w:hAnsi="仿宋" w:eastAsia="仿宋" w:cs="仿宋"/>
          <w:b/>
          <w:bCs/>
          <w:color w:val="auto"/>
          <w:sz w:val="28"/>
          <w:szCs w:val="28"/>
          <w:highlight w:val="none"/>
          <w:lang w:eastAsia="zh-CN"/>
        </w:rPr>
        <w:t>投标</w:t>
      </w:r>
      <w:r>
        <w:rPr>
          <w:rFonts w:hint="eastAsia" w:ascii="仿宋" w:hAnsi="仿宋" w:eastAsia="仿宋" w:cs="仿宋"/>
          <w:b/>
          <w:bCs/>
          <w:color w:val="auto"/>
          <w:sz w:val="28"/>
          <w:szCs w:val="28"/>
          <w:highlight w:val="none"/>
        </w:rPr>
        <w:t>须知前附表中内容与正文不符的，以前附表为准。</w:t>
      </w:r>
      <w:r>
        <w:rPr>
          <w:rFonts w:hint="eastAsia" w:ascii="仿宋" w:hAnsi="仿宋" w:eastAsia="仿宋" w:cs="仿宋"/>
          <w:color w:val="auto"/>
          <w:sz w:val="28"/>
          <w:szCs w:val="28"/>
          <w:highlight w:val="none"/>
        </w:rPr>
        <w:br w:type="page"/>
      </w:r>
      <w:bookmarkEnd w:id="77"/>
      <w:bookmarkEnd w:id="78"/>
      <w:r>
        <w:rPr>
          <w:rStyle w:val="74"/>
          <w:rFonts w:hint="eastAsia"/>
          <w:color w:val="auto"/>
          <w:highlight w:val="none"/>
        </w:rPr>
        <w:t>二、投标须知</w:t>
      </w:r>
      <w:bookmarkEnd w:id="3"/>
      <w:bookmarkEnd w:id="4"/>
      <w:bookmarkEnd w:id="5"/>
      <w:bookmarkEnd w:id="6"/>
    </w:p>
    <w:p>
      <w:pPr>
        <w:pStyle w:val="181"/>
        <w:pageBreakBefore w:val="0"/>
        <w:widowControl w:val="0"/>
        <w:kinsoku/>
        <w:wordWrap/>
        <w:overflowPunct/>
        <w:topLinePunct w:val="0"/>
        <w:autoSpaceDE/>
        <w:autoSpaceDN/>
        <w:bidi w:val="0"/>
        <w:adjustRightInd/>
        <w:snapToGrid/>
        <w:spacing w:before="0" w:line="360" w:lineRule="auto"/>
        <w:textAlignment w:val="auto"/>
        <w:rPr>
          <w:rFonts w:hint="eastAsia" w:ascii="仿宋" w:hAnsi="仿宋" w:eastAsia="仿宋" w:cs="仿宋"/>
          <w:b/>
          <w:bCs/>
          <w:color w:val="auto"/>
          <w:sz w:val="24"/>
          <w:szCs w:val="24"/>
          <w:highlight w:val="none"/>
        </w:rPr>
      </w:pPr>
      <w:bookmarkStart w:id="79" w:name="_Toc28481"/>
      <w:bookmarkStart w:id="80" w:name="_Toc14665"/>
      <w:bookmarkStart w:id="81" w:name="_Toc152042305"/>
      <w:bookmarkStart w:id="82" w:name="_Toc144974497"/>
      <w:bookmarkStart w:id="83" w:name="_Toc27764"/>
      <w:bookmarkStart w:id="84" w:name="_Toc23173"/>
      <w:bookmarkStart w:id="85" w:name="_Toc2972"/>
      <w:bookmarkStart w:id="86" w:name="_Toc179632546"/>
      <w:bookmarkStart w:id="87" w:name="_Toc152045529"/>
      <w:bookmarkStart w:id="88" w:name="_Toc514253142"/>
      <w:bookmarkStart w:id="89" w:name="_Toc30197"/>
      <w:bookmarkStart w:id="90" w:name="_Toc11482"/>
      <w:bookmarkStart w:id="91" w:name="_Toc324164684"/>
      <w:bookmarkStart w:id="92" w:name="_Toc4787"/>
      <w:bookmarkStart w:id="93" w:name="_Toc9599"/>
      <w:r>
        <w:rPr>
          <w:rFonts w:hint="eastAsia" w:ascii="仿宋" w:hAnsi="仿宋" w:eastAsia="仿宋" w:cs="仿宋"/>
          <w:b/>
          <w:bCs/>
          <w:color w:val="auto"/>
          <w:sz w:val="24"/>
          <w:szCs w:val="24"/>
          <w:highlight w:val="none"/>
        </w:rPr>
        <w:t>1. 总则</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94" w:name="_Toc2419"/>
      <w:bookmarkStart w:id="95" w:name="_Toc27799"/>
      <w:bookmarkStart w:id="96" w:name="_Toc324164685"/>
      <w:bookmarkStart w:id="97" w:name="_Toc514253143"/>
      <w:bookmarkStart w:id="98" w:name="_Toc152045530"/>
      <w:bookmarkStart w:id="99" w:name="_Toc23074"/>
      <w:bookmarkStart w:id="100" w:name="_Toc17047"/>
      <w:bookmarkStart w:id="101" w:name="_Toc31964"/>
      <w:bookmarkStart w:id="102" w:name="_Toc1423"/>
      <w:bookmarkStart w:id="103" w:name="_Toc22631"/>
      <w:bookmarkStart w:id="104" w:name="_Toc179632547"/>
      <w:bookmarkStart w:id="105" w:name="_Toc25717"/>
      <w:bookmarkStart w:id="106" w:name="_Toc152042306"/>
      <w:bookmarkStart w:id="107" w:name="_Toc144974498"/>
      <w:bookmarkStart w:id="108" w:name="_Toc24466"/>
      <w:bookmarkStart w:id="109" w:name="_Toc78272767"/>
      <w:bookmarkStart w:id="110" w:name="_Toc25012"/>
      <w:r>
        <w:rPr>
          <w:rFonts w:hint="eastAsia" w:ascii="仿宋" w:hAnsi="仿宋" w:eastAsia="仿宋" w:cs="仿宋"/>
          <w:b/>
          <w:bCs/>
          <w:color w:val="auto"/>
          <w:sz w:val="24"/>
          <w:szCs w:val="24"/>
          <w:highlight w:val="none"/>
        </w:rPr>
        <w:t>1.1 项目概况</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1.1.1根据《中华人民共和国政府采购法》等有关法律、法规和规章的规定，本招标项目已具备招标条件，现对本项目进行招标。</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本招标项目采购人：见供应商须知前附表。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本项目招标代理机构：见供应商须知前附表。</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color w:val="auto"/>
          <w:sz w:val="24"/>
          <w:szCs w:val="24"/>
          <w:highlight w:val="none"/>
        </w:rPr>
      </w:pPr>
      <w:bookmarkStart w:id="111" w:name="_Toc144974499"/>
      <w:bookmarkStart w:id="112" w:name="_Toc324164686"/>
      <w:bookmarkStart w:id="113" w:name="_Toc152045531"/>
      <w:bookmarkStart w:id="114" w:name="_Toc155"/>
      <w:bookmarkStart w:id="115" w:name="_Toc862"/>
      <w:bookmarkStart w:id="116" w:name="_Toc30452"/>
      <w:bookmarkStart w:id="117" w:name="_Toc179632548"/>
      <w:bookmarkStart w:id="118" w:name="_Toc152042307"/>
      <w:bookmarkStart w:id="119" w:name="_Toc3628"/>
      <w:bookmarkStart w:id="120" w:name="_Toc1796"/>
      <w:bookmarkStart w:id="121" w:name="_Toc514253144"/>
      <w:bookmarkStart w:id="122" w:name="_Toc24352"/>
      <w:bookmarkStart w:id="123" w:name="_Toc9557"/>
      <w:bookmarkStart w:id="124" w:name="_Toc78272768"/>
      <w:bookmarkStart w:id="125" w:name="_Toc11831"/>
      <w:bookmarkStart w:id="126" w:name="_Toc17641"/>
      <w:bookmarkStart w:id="127" w:name="_Toc16707"/>
      <w:r>
        <w:rPr>
          <w:rFonts w:hint="eastAsia" w:ascii="仿宋" w:hAnsi="仿宋" w:eastAsia="仿宋" w:cs="仿宋"/>
          <w:b/>
          <w:bCs/>
          <w:color w:val="auto"/>
          <w:sz w:val="24"/>
          <w:szCs w:val="24"/>
          <w:highlight w:val="none"/>
        </w:rPr>
        <w:t>1.2 资金来源和落实情况</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 本招标项目的资金来源：</w:t>
      </w:r>
      <w:r>
        <w:rPr>
          <w:rFonts w:hint="eastAsia" w:ascii="仿宋" w:hAnsi="仿宋" w:eastAsia="仿宋" w:cs="仿宋"/>
          <w:color w:val="auto"/>
          <w:sz w:val="24"/>
          <w:szCs w:val="24"/>
          <w:highlight w:val="none"/>
          <w:lang w:val="en-US" w:eastAsia="zh-CN"/>
        </w:rPr>
        <w:t>财政资金</w:t>
      </w:r>
      <w:r>
        <w:rPr>
          <w:rFonts w:hint="eastAsia" w:ascii="仿宋" w:hAnsi="仿宋" w:eastAsia="仿宋" w:cs="仿宋"/>
          <w:color w:val="auto"/>
          <w:sz w:val="24"/>
          <w:szCs w:val="24"/>
          <w:highlight w:val="none"/>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 本招标项目的出资比例：100%。</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 本招标项目的资金落实情况：已落实。</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color w:val="auto"/>
          <w:sz w:val="24"/>
          <w:szCs w:val="24"/>
          <w:highlight w:val="none"/>
        </w:rPr>
      </w:pPr>
      <w:bookmarkStart w:id="128" w:name="_Toc12367"/>
      <w:bookmarkStart w:id="129" w:name="_Toc144974500"/>
      <w:bookmarkStart w:id="130" w:name="_Toc18933"/>
      <w:bookmarkStart w:id="131" w:name="_Toc21519"/>
      <w:bookmarkStart w:id="132" w:name="_Toc1020"/>
      <w:bookmarkStart w:id="133" w:name="_Toc11206"/>
      <w:bookmarkStart w:id="134" w:name="_Toc15540"/>
      <w:bookmarkStart w:id="135" w:name="_Toc514253145"/>
      <w:bookmarkStart w:id="136" w:name="_Toc152042308"/>
      <w:bookmarkStart w:id="137" w:name="_Toc324164687"/>
      <w:bookmarkStart w:id="138" w:name="_Toc763"/>
      <w:bookmarkStart w:id="139" w:name="_Toc179632549"/>
      <w:bookmarkStart w:id="140" w:name="_Toc9335"/>
      <w:bookmarkStart w:id="141" w:name="_Toc16473"/>
      <w:bookmarkStart w:id="142" w:name="_Toc15410"/>
      <w:bookmarkStart w:id="143" w:name="_Toc78272769"/>
      <w:bookmarkStart w:id="144" w:name="_Toc152045532"/>
      <w:r>
        <w:rPr>
          <w:rFonts w:hint="eastAsia" w:ascii="仿宋" w:hAnsi="仿宋" w:eastAsia="仿宋" w:cs="仿宋"/>
          <w:b/>
          <w:bCs/>
          <w:color w:val="auto"/>
          <w:sz w:val="24"/>
          <w:szCs w:val="24"/>
          <w:highlight w:val="none"/>
        </w:rPr>
        <w:t>1.3 招标内容、合同履行期限要求</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本次招标内容：见供应商须知前附表。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 本项目的合同履行期限：见供应商须知前附表。</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color w:val="auto"/>
          <w:sz w:val="24"/>
          <w:szCs w:val="24"/>
          <w:highlight w:val="none"/>
        </w:rPr>
      </w:pPr>
      <w:bookmarkStart w:id="145" w:name="_Toc152045534"/>
      <w:bookmarkStart w:id="146" w:name="_Toc514253146"/>
      <w:bookmarkStart w:id="147" w:name="_Toc144974502"/>
      <w:bookmarkStart w:id="148" w:name="_Toc23324"/>
      <w:bookmarkStart w:id="149" w:name="_Toc179632551"/>
      <w:bookmarkStart w:id="150" w:name="_Toc23495"/>
      <w:bookmarkStart w:id="151" w:name="_Toc29165"/>
      <w:bookmarkStart w:id="152" w:name="_Toc6846"/>
      <w:bookmarkStart w:id="153" w:name="_Toc78272770"/>
      <w:bookmarkStart w:id="154" w:name="_Toc31139"/>
      <w:bookmarkStart w:id="155" w:name="_Toc18034"/>
      <w:bookmarkStart w:id="156" w:name="_Toc7829"/>
      <w:bookmarkStart w:id="157" w:name="_Toc21677"/>
      <w:bookmarkStart w:id="158" w:name="_Toc152042310"/>
      <w:bookmarkStart w:id="159" w:name="_Toc12332"/>
      <w:bookmarkStart w:id="160" w:name="_Toc324164688"/>
      <w:bookmarkStart w:id="161" w:name="_Toc31256"/>
      <w:r>
        <w:rPr>
          <w:rFonts w:hint="eastAsia" w:ascii="仿宋" w:hAnsi="仿宋" w:eastAsia="仿宋" w:cs="仿宋"/>
          <w:b/>
          <w:bCs/>
          <w:color w:val="auto"/>
          <w:sz w:val="24"/>
          <w:szCs w:val="24"/>
          <w:highlight w:val="none"/>
        </w:rPr>
        <w:t>1.4 供应商资格要求</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1.4.1供应商应具备承担本项目的资质条件、能力和信誉。</w:t>
      </w:r>
    </w:p>
    <w:p>
      <w:pPr>
        <w:pageBreakBefore w:val="0"/>
        <w:widowControl w:val="0"/>
        <w:kinsoku/>
        <w:wordWrap/>
        <w:overflowPunct/>
        <w:topLinePunct w:val="0"/>
        <w:autoSpaceDE/>
        <w:autoSpaceDN/>
        <w:bidi w:val="0"/>
        <w:adjustRightInd/>
        <w:snapToGrid/>
        <w:spacing w:line="360" w:lineRule="auto"/>
        <w:ind w:firstLine="820" w:firstLineChars="34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（1）资质条件：见供应商须知前附表；</w:t>
      </w:r>
    </w:p>
    <w:p>
      <w:pPr>
        <w:pageBreakBefore w:val="0"/>
        <w:widowControl w:val="0"/>
        <w:kinsoku/>
        <w:wordWrap/>
        <w:overflowPunct/>
        <w:topLinePunct w:val="0"/>
        <w:autoSpaceDE/>
        <w:autoSpaceDN/>
        <w:bidi w:val="0"/>
        <w:adjustRightInd/>
        <w:snapToGrid/>
        <w:spacing w:line="360" w:lineRule="auto"/>
        <w:ind w:firstLine="820" w:firstLineChars="34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（2）财务要求：见供应商须知前附表；</w:t>
      </w:r>
    </w:p>
    <w:p>
      <w:pPr>
        <w:pageBreakBefore w:val="0"/>
        <w:widowControl w:val="0"/>
        <w:kinsoku/>
        <w:wordWrap/>
        <w:overflowPunct/>
        <w:topLinePunct w:val="0"/>
        <w:autoSpaceDE/>
        <w:autoSpaceDN/>
        <w:bidi w:val="0"/>
        <w:adjustRightInd/>
        <w:snapToGrid/>
        <w:spacing w:line="360" w:lineRule="auto"/>
        <w:ind w:firstLine="820" w:firstLineChars="34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（3）信誉要求：见供应商须知前附表；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1.4.2供应商须知前附表规定</w:t>
      </w:r>
      <w:r>
        <w:rPr>
          <w:rFonts w:hint="eastAsia" w:ascii="仿宋" w:hAnsi="仿宋" w:eastAsia="仿宋" w:cs="仿宋"/>
          <w:color w:val="auto"/>
          <w:sz w:val="24"/>
          <w:szCs w:val="24"/>
          <w:highlight w:val="none"/>
          <w:lang w:eastAsia="zh-CN"/>
        </w:rPr>
        <w:t>不接受联合体</w:t>
      </w:r>
      <w:r>
        <w:rPr>
          <w:rFonts w:hint="eastAsia" w:ascii="仿宋" w:hAnsi="仿宋" w:eastAsia="仿宋" w:cs="仿宋"/>
          <w:color w:val="auto"/>
          <w:sz w:val="24"/>
          <w:szCs w:val="24"/>
          <w:highlight w:val="none"/>
        </w:rPr>
        <w:t>投标的，联合体除应符合本章第 1.4.1 项和供应商须知前附表的要求外，还应遵守以下规定：</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（1）联合体各方应按招标文件提供的格式签订联合体协议书，明确联合体牵头人和各方权利义务，并承诺就中标项目向采购人承担连带责任；（如有）</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（2）由同一专业的单位组成的联合体，按照资质等级较低的单位确定资质等级；（如有）</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（3）联合体各方不得再以自己名义单独或参加其他联合体在本招标项目中投标，否则各相关投标均无效。（如有）</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▲1.4.3供应商不得存在下列情形之一：</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（1）与采购人存在利害关系且可能影响招标公正性；</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（2）与本招标项目的其他供应商为同一个单位负责人；</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（3）与本招标项目的其他供应商存在控股、管理关系；</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（4）为本项目的相关监理人，或者与本项目的相关监理人存在隶属关系或者其他利害关系；</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（5）为本招标项目的代建人；</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（6）为本招标项目的招标代理机构；</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（7）与本招标项目的监理人或代建人或招标代理机构同为一个法定代表人；</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（8）与本招标项目的监理人或代建人或招标代理机构存在控股或参股关系；</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（9）被依法暂停或者取消投标资格；</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（10）被责令停产停业、暂扣或者吊销许可证、暂扣或者吊销执照；</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（11）进入清算程序，或被宣告破产，或其他丧失履约能力的情形；</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（12）被工商行政管理机关在全国企业信用信息公示系统中列入严重违法失信企业名单；</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（13）被最高人民法院在“信用中国”网站（www.creditchina.gov.cn）或各级信用信息共享平台中列入失信被执行人名单；</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（14）在以前的招标项目中违法违规的企业和个人，被有行政主管部门行政处罚的，在3年内不得参加本项目投标。</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（15）近3年内在政府采购活动和合同履行过程中被监督部门行政处罚的。</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（16）近3年内在政府采购活动和合同履行过程中有腐败行为并被监督部门行政处罚的。</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（17）近3年内，在采购人（包括与本项目采购人有股权或隶属的采购人）在既往项目合同履行过程中，被监督部门或司法机关认定供应商不履行合同、项目负责人被采购人撤换的。</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（18）供应商与采购人相互参股或相互任职的。</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（19）法律法规或供应商须知前附表规定的其他情形。</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供应商就在投标文件中对应以上情形进行书面承诺。并提供中国政府采购网查询截图、信用中国查询截图。</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▲1.4.4有下列情形的按废标处理：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（1）提供虚假材料谋取中标；</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（2）采取不正当手段诋毁、排挤其他供应商；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（3）与采购人、采购代理机构、或其他供应商恶意串通；</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（4）向采购人、采购代理机构、评标委员会成员行贿或者提供其他不正当利益；</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（5）在招标过程中与采购人、采购代理机构进行协商；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（6）中标后无正当理由拒不与采购人签订政府采购合同；</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（7）未按照招标文件确定的事项签订政府采购合同；</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（8）将政府采购合同转包或者违规分包；</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（9）擅自变更、中止或者终止政府采购合同；</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（10）拒绝有关部门的监督检查或者向监督检查部门提供虚假情况；</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（11）法律法规规定的其他情形。</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供应商有上述情形的，按照规定追究法律责任，具备（1）-（11）条情形之一的，同时将取消被确认为中标供应商的资格或者认定中标无效。</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▲1.4.5充分、公平竞争保障措施：</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（2）利害关系授权代表处理。两家以上的供应商不得在同一合同项下的采购项目中，委托同一个自然人、同一家庭的人员、同一单位的人员作为其授权代表，否则，其投标文件作为无效处理。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（3）前期参与供应商处理。为采购项目提供项目管理、设计、监理、检测等服务的供应商，不得再参加该采购项目的其他采购活动。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（4）供应商实际控制人或者中高级管理人员，同时是采购代理机构工作人员，不得参与本项目政府采购活动。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（5）同一母公司的两家以上的子公司只能组成联合体参加本项目同一合同项下的采购活动，不得以不同供应商身份同时参加本项目同一合同项下的采购活动。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（6）供应商与采购代理机构存在关联关系，或者是采购代理机构的母公司或子公司，不得参加本项目政府采购活动。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（7）回避。政府采购活动中，采购人员及相关人员与供应商有下列利害关系之一的，应当回避：</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①参加采购活动前3年内与供应商存在劳动关系；</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②参加采购活动前3年内担任供应商的董事、监事；</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③参加采购活动前3年内是供应商的控股股东或者实际控制人；</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④与供应商的法定代表人或者负责人有夫妻、直系血亲、三代以内旁系血亲或者近姻亲关系；</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⑤与供应商有其他可能影响政府采购活动公平、公正进行的关系。</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招标委员会成员。</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color w:val="auto"/>
          <w:sz w:val="24"/>
          <w:szCs w:val="24"/>
          <w:highlight w:val="none"/>
        </w:rPr>
      </w:pPr>
      <w:bookmarkStart w:id="162" w:name="_Toc8398"/>
      <w:bookmarkStart w:id="163" w:name="_Toc13701"/>
      <w:bookmarkStart w:id="164" w:name="_Toc324164689"/>
      <w:bookmarkStart w:id="165" w:name="_Toc152042311"/>
      <w:bookmarkStart w:id="166" w:name="_Toc78272771"/>
      <w:bookmarkStart w:id="167" w:name="_Toc30499"/>
      <w:bookmarkStart w:id="168" w:name="_Toc144974503"/>
      <w:bookmarkStart w:id="169" w:name="_Toc18151"/>
      <w:bookmarkStart w:id="170" w:name="_Toc179632552"/>
      <w:bookmarkStart w:id="171" w:name="_Toc514253147"/>
      <w:bookmarkStart w:id="172" w:name="_Toc152045535"/>
      <w:bookmarkStart w:id="173" w:name="_Toc13958"/>
      <w:bookmarkStart w:id="174" w:name="_Toc24335"/>
      <w:bookmarkStart w:id="175" w:name="_Toc367"/>
      <w:bookmarkStart w:id="176" w:name="_Toc22348"/>
      <w:bookmarkStart w:id="177" w:name="_Toc6792"/>
      <w:bookmarkStart w:id="178" w:name="_Toc8176"/>
      <w:r>
        <w:rPr>
          <w:rFonts w:hint="eastAsia" w:ascii="仿宋" w:hAnsi="仿宋" w:eastAsia="仿宋" w:cs="仿宋"/>
          <w:b/>
          <w:bCs/>
          <w:color w:val="auto"/>
          <w:sz w:val="24"/>
          <w:szCs w:val="24"/>
          <w:highlight w:val="none"/>
        </w:rPr>
        <w:t>1.5 费用承担</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1.5.l 供应商应承担其参加本招标活动自身所发生的费用。</w:t>
      </w:r>
    </w:p>
    <w:p>
      <w:pPr>
        <w:pageBreakBefore w:val="0"/>
        <w:widowControl w:val="0"/>
        <w:kinsoku/>
        <w:wordWrap/>
        <w:overflowPunct/>
        <w:topLinePunct w:val="0"/>
        <w:autoSpaceDE/>
        <w:autoSpaceDN/>
        <w:bidi w:val="0"/>
        <w:adjustRightInd/>
        <w:snapToGrid/>
        <w:spacing w:line="360" w:lineRule="auto"/>
        <w:ind w:firstLine="476" w:firstLineChars="200"/>
        <w:textAlignment w:val="auto"/>
        <w:rPr>
          <w:rFonts w:hint="eastAsia" w:ascii="仿宋" w:hAnsi="仿宋" w:eastAsia="仿宋" w:cs="仿宋"/>
          <w:b/>
          <w:bCs/>
          <w:color w:val="auto"/>
          <w:spacing w:val="-1"/>
          <w:sz w:val="24"/>
          <w:szCs w:val="24"/>
          <w:highlight w:val="none"/>
        </w:rPr>
      </w:pPr>
      <w:r>
        <w:rPr>
          <w:rFonts w:hint="eastAsia" w:ascii="仿宋" w:hAnsi="仿宋" w:eastAsia="仿宋" w:cs="仿宋"/>
          <w:color w:val="auto"/>
          <w:spacing w:val="-1"/>
          <w:sz w:val="24"/>
          <w:szCs w:val="24"/>
          <w:highlight w:val="none"/>
        </w:rPr>
        <w:t>1.5.2本项目招标代理服务费由中标人支付（按中标价1.5%收取）。供应商报价时应考虑此项费用，中标通知书发出时，中标人应支付此项目费用给招标代理机构。</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179" w:name="_Toc22071"/>
      <w:bookmarkStart w:id="180" w:name="_Toc31976"/>
      <w:bookmarkStart w:id="181" w:name="_Toc20"/>
      <w:bookmarkStart w:id="182" w:name="_Toc152045536"/>
      <w:bookmarkStart w:id="183" w:name="_Toc7135"/>
      <w:bookmarkStart w:id="184" w:name="_Toc144974504"/>
      <w:bookmarkStart w:id="185" w:name="_Toc152042312"/>
      <w:bookmarkStart w:id="186" w:name="_Toc179632553"/>
      <w:bookmarkStart w:id="187" w:name="_Toc78272772"/>
      <w:bookmarkStart w:id="188" w:name="_Toc11786"/>
      <w:bookmarkStart w:id="189" w:name="_Toc514253148"/>
      <w:bookmarkStart w:id="190" w:name="_Toc27947"/>
      <w:bookmarkStart w:id="191" w:name="_Toc5405"/>
      <w:bookmarkStart w:id="192" w:name="_Toc25607"/>
      <w:bookmarkStart w:id="193" w:name="_Toc8680"/>
      <w:bookmarkStart w:id="194" w:name="_Toc9540"/>
      <w:bookmarkStart w:id="195" w:name="_Toc324164690"/>
      <w:r>
        <w:rPr>
          <w:rFonts w:hint="eastAsia" w:ascii="仿宋" w:hAnsi="仿宋" w:eastAsia="仿宋" w:cs="仿宋"/>
          <w:b/>
          <w:bCs/>
          <w:color w:val="auto"/>
          <w:sz w:val="24"/>
          <w:szCs w:val="24"/>
          <w:highlight w:val="none"/>
        </w:rPr>
        <w:t>1.6 保密</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参与政府采购活动的各方应对招标文件和投标文件中的商业和技术等秘密保密，违者应对由此造成的后果承担法律责任。</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color w:val="auto"/>
          <w:sz w:val="24"/>
          <w:szCs w:val="24"/>
          <w:highlight w:val="none"/>
        </w:rPr>
      </w:pPr>
      <w:bookmarkStart w:id="196" w:name="_Toc144974505"/>
      <w:bookmarkStart w:id="197" w:name="_Toc324164691"/>
      <w:bookmarkStart w:id="198" w:name="_Toc152042313"/>
      <w:bookmarkStart w:id="199" w:name="_Toc514253149"/>
      <w:bookmarkStart w:id="200" w:name="_Toc6662"/>
      <w:bookmarkStart w:id="201" w:name="_Toc26680"/>
      <w:bookmarkStart w:id="202" w:name="_Toc179632554"/>
      <w:bookmarkStart w:id="203" w:name="_Toc13061"/>
      <w:bookmarkStart w:id="204" w:name="_Toc11060"/>
      <w:bookmarkStart w:id="205" w:name="_Toc27264"/>
      <w:bookmarkStart w:id="206" w:name="_Toc152045537"/>
      <w:bookmarkStart w:id="207" w:name="_Toc20695"/>
      <w:bookmarkStart w:id="208" w:name="_Toc4473"/>
      <w:bookmarkStart w:id="209" w:name="_Toc78272773"/>
      <w:bookmarkStart w:id="210" w:name="_Toc15219"/>
      <w:bookmarkStart w:id="211" w:name="_Toc13772"/>
      <w:bookmarkStart w:id="212" w:name="_Toc3874"/>
      <w:r>
        <w:rPr>
          <w:rFonts w:hint="eastAsia" w:ascii="仿宋" w:hAnsi="仿宋" w:eastAsia="仿宋" w:cs="仿宋"/>
          <w:b/>
          <w:bCs/>
          <w:color w:val="auto"/>
          <w:sz w:val="24"/>
          <w:szCs w:val="24"/>
          <w:highlight w:val="none"/>
        </w:rPr>
        <w:t>1.7 语言</w:t>
      </w:r>
      <w:bookmarkEnd w:id="196"/>
      <w:r>
        <w:rPr>
          <w:rFonts w:hint="eastAsia" w:ascii="仿宋" w:hAnsi="仿宋" w:eastAsia="仿宋" w:cs="仿宋"/>
          <w:b/>
          <w:bCs/>
          <w:color w:val="auto"/>
          <w:sz w:val="24"/>
          <w:szCs w:val="24"/>
          <w:highlight w:val="none"/>
        </w:rPr>
        <w:t>文字</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pPr>
        <w:pageBreakBefore w:val="0"/>
        <w:widowControl w:val="0"/>
        <w:kinsoku/>
        <w:wordWrap/>
        <w:overflowPunct/>
        <w:topLinePunct w:val="0"/>
        <w:autoSpaceDE/>
        <w:autoSpaceDN/>
        <w:bidi w:val="0"/>
        <w:adjustRightInd/>
        <w:snapToGrid/>
        <w:spacing w:line="360" w:lineRule="auto"/>
        <w:ind w:right="-168" w:rightChars="-80" w:firstLine="472" w:firstLineChars="200"/>
        <w:textAlignment w:val="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除专用术语外，与招标投标有关的语言均使用中文。必要时专用术语应附有中文注释。</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color w:val="auto"/>
          <w:sz w:val="24"/>
          <w:szCs w:val="24"/>
          <w:highlight w:val="none"/>
        </w:rPr>
      </w:pPr>
      <w:bookmarkStart w:id="213" w:name="_Toc2865"/>
      <w:bookmarkStart w:id="214" w:name="_Toc4674"/>
      <w:bookmarkStart w:id="215" w:name="_Toc514253150"/>
      <w:bookmarkStart w:id="216" w:name="_Toc30537"/>
      <w:bookmarkStart w:id="217" w:name="_Toc152042314"/>
      <w:bookmarkStart w:id="218" w:name="_Toc625"/>
      <w:bookmarkStart w:id="219" w:name="_Toc23636"/>
      <w:bookmarkStart w:id="220" w:name="_Toc27084"/>
      <w:bookmarkStart w:id="221" w:name="_Toc179632555"/>
      <w:bookmarkStart w:id="222" w:name="_Toc144974506"/>
      <w:bookmarkStart w:id="223" w:name="_Toc8733"/>
      <w:bookmarkStart w:id="224" w:name="_Toc21239"/>
      <w:bookmarkStart w:id="225" w:name="_Toc324164692"/>
      <w:bookmarkStart w:id="226" w:name="_Toc12150"/>
      <w:bookmarkStart w:id="227" w:name="_Toc152045538"/>
      <w:bookmarkStart w:id="228" w:name="_Toc20866"/>
      <w:bookmarkStart w:id="229" w:name="_Toc78272774"/>
      <w:r>
        <w:rPr>
          <w:rFonts w:hint="eastAsia" w:ascii="仿宋" w:hAnsi="仿宋" w:eastAsia="仿宋" w:cs="仿宋"/>
          <w:b/>
          <w:bCs/>
          <w:color w:val="auto"/>
          <w:sz w:val="24"/>
          <w:szCs w:val="24"/>
          <w:highlight w:val="none"/>
        </w:rPr>
        <w:t>1.8 计量单位</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所有计量均采用中华人民共和国法定计量单位。</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230" w:name="_Toc152045539"/>
      <w:bookmarkStart w:id="231" w:name="_Toc324164693"/>
      <w:bookmarkStart w:id="232" w:name="_Toc1937"/>
      <w:bookmarkStart w:id="233" w:name="_Toc25878"/>
      <w:bookmarkStart w:id="234" w:name="_Toc179632556"/>
      <w:bookmarkStart w:id="235" w:name="_Toc144974507"/>
      <w:bookmarkStart w:id="236" w:name="_Toc12415"/>
      <w:bookmarkStart w:id="237" w:name="_Toc152042315"/>
      <w:bookmarkStart w:id="238" w:name="_Toc5514"/>
      <w:bookmarkStart w:id="239" w:name="_Toc24883"/>
      <w:bookmarkStart w:id="240" w:name="_Toc78272775"/>
      <w:bookmarkStart w:id="241" w:name="_Toc22013"/>
      <w:bookmarkStart w:id="242" w:name="_Toc13140"/>
      <w:bookmarkStart w:id="243" w:name="_Toc514253151"/>
      <w:bookmarkStart w:id="244" w:name="_Toc29633"/>
      <w:bookmarkStart w:id="245" w:name="_Toc27383"/>
      <w:bookmarkStart w:id="246" w:name="_Toc9813"/>
      <w:r>
        <w:rPr>
          <w:rFonts w:hint="eastAsia" w:ascii="仿宋" w:hAnsi="仿宋" w:eastAsia="仿宋" w:cs="仿宋"/>
          <w:b/>
          <w:bCs/>
          <w:color w:val="auto"/>
          <w:sz w:val="24"/>
          <w:szCs w:val="24"/>
          <w:highlight w:val="none"/>
        </w:rPr>
        <w:t>1.9 踏勘现场</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val="0"/>
          <w:color w:val="auto"/>
          <w:kern w:val="0"/>
          <w:sz w:val="24"/>
          <w:szCs w:val="24"/>
          <w:highlight w:val="none"/>
          <w:lang w:val="en-US" w:eastAsia="zh-CN"/>
        </w:rPr>
      </w:pPr>
      <w:bookmarkStart w:id="247" w:name="_Toc8784"/>
      <w:bookmarkStart w:id="248" w:name="_Toc32542"/>
      <w:bookmarkStart w:id="249" w:name="_Toc14327"/>
      <w:bookmarkStart w:id="250" w:name="_Toc514253152"/>
      <w:bookmarkStart w:id="251" w:name="_Toc152045540"/>
      <w:bookmarkStart w:id="252" w:name="_Toc78272776"/>
      <w:bookmarkStart w:id="253" w:name="_Toc1291"/>
      <w:bookmarkStart w:id="254" w:name="_Toc179632557"/>
      <w:bookmarkStart w:id="255" w:name="_Toc144974508"/>
      <w:bookmarkStart w:id="256" w:name="_Toc29321"/>
      <w:bookmarkStart w:id="257" w:name="_Toc324164694"/>
      <w:bookmarkStart w:id="258" w:name="_Toc4426"/>
      <w:bookmarkStart w:id="259" w:name="_Toc152042316"/>
      <w:bookmarkStart w:id="260" w:name="_Toc5392"/>
      <w:bookmarkStart w:id="261" w:name="_Toc19747"/>
      <w:bookmarkStart w:id="262" w:name="_Toc18292"/>
      <w:bookmarkStart w:id="263" w:name="_Toc25558"/>
      <w:r>
        <w:rPr>
          <w:rFonts w:hint="eastAsia" w:ascii="仿宋" w:hAnsi="仿宋" w:eastAsia="仿宋" w:cs="仿宋"/>
          <w:b/>
          <w:bCs w:val="0"/>
          <w:color w:val="auto"/>
          <w:kern w:val="0"/>
          <w:sz w:val="24"/>
          <w:szCs w:val="24"/>
          <w:highlight w:val="none"/>
          <w:lang w:val="en-US" w:eastAsia="zh-CN"/>
        </w:rPr>
        <w:t>供应商自行与采购人联系踏勘现场事宜</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1.10 投标预备会</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不召开。</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264" w:name="_Toc15830"/>
      <w:bookmarkStart w:id="265" w:name="_Toc21227"/>
      <w:bookmarkStart w:id="266" w:name="_Toc514253153"/>
      <w:bookmarkStart w:id="267" w:name="_Toc11896"/>
      <w:bookmarkStart w:id="268" w:name="_Toc10786"/>
      <w:bookmarkStart w:id="269" w:name="_Toc179632559"/>
      <w:bookmarkStart w:id="270" w:name="_Toc32691"/>
      <w:bookmarkStart w:id="271" w:name="_Toc20356"/>
      <w:bookmarkStart w:id="272" w:name="_Toc8754"/>
      <w:bookmarkStart w:id="273" w:name="_Toc324164696"/>
      <w:bookmarkStart w:id="274" w:name="_Toc6827"/>
      <w:bookmarkStart w:id="275" w:name="_Toc78272777"/>
      <w:bookmarkStart w:id="276" w:name="_Toc15372"/>
      <w:bookmarkStart w:id="277" w:name="_Toc2667"/>
      <w:r>
        <w:rPr>
          <w:rFonts w:hint="eastAsia" w:ascii="仿宋" w:hAnsi="仿宋" w:eastAsia="仿宋" w:cs="仿宋"/>
          <w:b/>
          <w:bCs/>
          <w:color w:val="auto"/>
          <w:sz w:val="24"/>
          <w:szCs w:val="24"/>
          <w:highlight w:val="none"/>
        </w:rPr>
        <w:t xml:space="preserve">1.11 </w:t>
      </w:r>
      <w:bookmarkEnd w:id="264"/>
      <w:bookmarkEnd w:id="265"/>
      <w:bookmarkEnd w:id="266"/>
      <w:bookmarkEnd w:id="267"/>
      <w:bookmarkEnd w:id="268"/>
      <w:bookmarkEnd w:id="269"/>
      <w:bookmarkEnd w:id="270"/>
      <w:bookmarkEnd w:id="271"/>
      <w:bookmarkEnd w:id="272"/>
      <w:bookmarkEnd w:id="273"/>
      <w:r>
        <w:rPr>
          <w:rFonts w:hint="eastAsia" w:ascii="仿宋" w:hAnsi="仿宋" w:eastAsia="仿宋" w:cs="仿宋"/>
          <w:b/>
          <w:bCs/>
          <w:color w:val="auto"/>
          <w:sz w:val="24"/>
          <w:szCs w:val="24"/>
          <w:highlight w:val="none"/>
        </w:rPr>
        <w:t>分包</w:t>
      </w:r>
      <w:bookmarkEnd w:id="274"/>
      <w:bookmarkEnd w:id="275"/>
      <w:bookmarkEnd w:id="276"/>
      <w:bookmarkEnd w:id="277"/>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不允许。</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278" w:name="_Toc10381"/>
      <w:bookmarkStart w:id="279" w:name="_Toc11368"/>
      <w:bookmarkStart w:id="280" w:name="_Toc78272778"/>
      <w:bookmarkStart w:id="281" w:name="_Toc159"/>
      <w:r>
        <w:rPr>
          <w:rFonts w:hint="eastAsia" w:ascii="仿宋" w:hAnsi="仿宋" w:eastAsia="仿宋" w:cs="仿宋"/>
          <w:b/>
          <w:bCs/>
          <w:color w:val="auto"/>
          <w:sz w:val="24"/>
          <w:szCs w:val="24"/>
          <w:highlight w:val="none"/>
        </w:rPr>
        <w:t>1.12响应和偏差</w:t>
      </w:r>
      <w:bookmarkEnd w:id="278"/>
      <w:bookmarkEnd w:id="279"/>
      <w:bookmarkEnd w:id="280"/>
      <w:bookmarkEnd w:id="281"/>
    </w:p>
    <w:p>
      <w:pPr>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1.12.1投标文件应当对招标文件的实质性要求和条件作出满足性或更有利于采购人的响应，</w:t>
      </w:r>
      <w:bookmarkStart w:id="282" w:name="page22"/>
      <w:bookmarkEnd w:id="282"/>
      <w:r>
        <w:rPr>
          <w:rFonts w:hint="eastAsia" w:ascii="仿宋" w:hAnsi="仿宋" w:eastAsia="仿宋" w:cs="仿宋"/>
          <w:color w:val="auto"/>
          <w:sz w:val="24"/>
          <w:szCs w:val="24"/>
          <w:highlight w:val="none"/>
        </w:rPr>
        <w:t>否则，供应商的投标将被否决。实质性要求和条件见供应商须知前附表。</w:t>
      </w:r>
    </w:p>
    <w:p>
      <w:pPr>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1.12.2供应商应根据招标文件的要求提供投标设备技术性能指标的详细描述、技术支持资料及技术服务和质保期服务计划等内容以对招标文件作出响应。</w:t>
      </w:r>
    </w:p>
    <w:p>
      <w:pPr>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1.12.3投标文件中应针对实质性要求和条件中列明的技术要求提供技术支持资料。技术支持资料以制造商公开发布的印刷资料，或检测机构出具的检测报告或供应商须知前附表允许的其他形式为准，不符合前述要求的，视为无技术支持资料，其投标将被否决。</w:t>
      </w:r>
    </w:p>
    <w:p>
      <w:pPr>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1.12.4供应商须知前附表规定了可以偏差的范围和最高偏差项数的，偏差应当符合供应商须知前附表规定的偏差范围和最高项数，超出偏差范围和最高偏差项数的投标将被否决。</w:t>
      </w:r>
    </w:p>
    <w:p>
      <w:pPr>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1.12.5投标文件对招标文件的全部偏差，均应在投标文件的商务和技术偏差表中列明，除列明的内容外，视为供应商响应招标文件的全部要求。</w:t>
      </w:r>
    </w:p>
    <w:p>
      <w:pPr>
        <w:pStyle w:val="181"/>
        <w:pageBreakBefore w:val="0"/>
        <w:widowControl w:val="0"/>
        <w:kinsoku/>
        <w:wordWrap/>
        <w:overflowPunct/>
        <w:topLinePunct w:val="0"/>
        <w:autoSpaceDE/>
        <w:autoSpaceDN/>
        <w:bidi w:val="0"/>
        <w:adjustRightInd/>
        <w:snapToGrid/>
        <w:spacing w:before="0" w:line="360" w:lineRule="auto"/>
        <w:textAlignment w:val="auto"/>
        <w:rPr>
          <w:rFonts w:hint="eastAsia" w:ascii="仿宋" w:hAnsi="仿宋" w:eastAsia="仿宋" w:cs="仿宋"/>
          <w:color w:val="auto"/>
          <w:sz w:val="24"/>
          <w:szCs w:val="24"/>
          <w:highlight w:val="none"/>
        </w:rPr>
      </w:pPr>
      <w:bookmarkStart w:id="283" w:name="_Toc20605"/>
      <w:bookmarkStart w:id="284" w:name="_Toc179632560"/>
      <w:bookmarkStart w:id="285" w:name="_Toc152042318"/>
      <w:bookmarkStart w:id="286" w:name="_Toc324164697"/>
      <w:bookmarkStart w:id="287" w:name="_Toc5858"/>
      <w:bookmarkStart w:id="288" w:name="_Toc25868"/>
      <w:bookmarkStart w:id="289" w:name="_Toc16083"/>
      <w:bookmarkStart w:id="290" w:name="_Toc144974510"/>
      <w:bookmarkStart w:id="291" w:name="_Toc24853"/>
      <w:bookmarkStart w:id="292" w:name="_Toc514253154"/>
      <w:bookmarkStart w:id="293" w:name="_Toc20240"/>
      <w:bookmarkStart w:id="294" w:name="_Toc22865"/>
      <w:bookmarkStart w:id="295" w:name="_Toc23987"/>
      <w:bookmarkStart w:id="296" w:name="_Toc152045542"/>
      <w:bookmarkStart w:id="297" w:name="_Toc910"/>
      <w:r>
        <w:rPr>
          <w:rFonts w:hint="eastAsia" w:ascii="仿宋" w:hAnsi="仿宋" w:eastAsia="仿宋" w:cs="仿宋"/>
          <w:b/>
          <w:bCs/>
          <w:color w:val="auto"/>
          <w:sz w:val="24"/>
          <w:szCs w:val="24"/>
          <w:highlight w:val="none"/>
        </w:rPr>
        <w:t>2. 招标文件</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color w:val="auto"/>
          <w:sz w:val="24"/>
          <w:szCs w:val="24"/>
          <w:highlight w:val="none"/>
        </w:rPr>
      </w:pPr>
      <w:bookmarkStart w:id="298" w:name="_Toc30532"/>
      <w:bookmarkStart w:id="299" w:name="_Toc324164698"/>
      <w:bookmarkStart w:id="300" w:name="_Toc15775"/>
      <w:bookmarkStart w:id="301" w:name="_Toc26022"/>
      <w:bookmarkStart w:id="302" w:name="_Toc152045543"/>
      <w:bookmarkStart w:id="303" w:name="_Toc152042319"/>
      <w:bookmarkStart w:id="304" w:name="_Toc78272780"/>
      <w:bookmarkStart w:id="305" w:name="_Toc1927"/>
      <w:bookmarkStart w:id="306" w:name="_Toc15948"/>
      <w:bookmarkStart w:id="307" w:name="_Toc20126"/>
      <w:bookmarkStart w:id="308" w:name="_Toc514253155"/>
      <w:bookmarkStart w:id="309" w:name="_Toc144974511"/>
      <w:bookmarkStart w:id="310" w:name="_Toc179632561"/>
      <w:bookmarkStart w:id="311" w:name="_Toc5610"/>
      <w:bookmarkStart w:id="312" w:name="_Toc8836"/>
      <w:bookmarkStart w:id="313" w:name="_Toc12704"/>
      <w:bookmarkStart w:id="314" w:name="_Toc7543"/>
      <w:r>
        <w:rPr>
          <w:rFonts w:hint="eastAsia" w:ascii="仿宋" w:hAnsi="仿宋" w:eastAsia="仿宋" w:cs="仿宋"/>
          <w:b/>
          <w:bCs/>
          <w:color w:val="auto"/>
          <w:sz w:val="24"/>
          <w:szCs w:val="24"/>
          <w:highlight w:val="none"/>
        </w:rPr>
        <w:t>2.1 招标文件的组成</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本招标文件包括：</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（1）招标公告</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（2）投标须知及投标须知前附表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（3）评标办法</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（4）合同条款格式</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（5）技术文件</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（6）投标文件格式</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根据本章第2.2款和第2.3款对招标文件所作的澄清、修改，构成招标文件的组成部分。</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315" w:name="_Toc26896"/>
      <w:bookmarkStart w:id="316" w:name="_Toc152042320"/>
      <w:bookmarkStart w:id="317" w:name="_Toc28444"/>
      <w:bookmarkStart w:id="318" w:name="_Toc514253156"/>
      <w:bookmarkStart w:id="319" w:name="_Toc78272781"/>
      <w:bookmarkStart w:id="320" w:name="_Toc179632562"/>
      <w:bookmarkStart w:id="321" w:name="_Toc552"/>
      <w:bookmarkStart w:id="322" w:name="_Toc31231"/>
      <w:bookmarkStart w:id="323" w:name="_Toc2661"/>
      <w:bookmarkStart w:id="324" w:name="_Toc26422"/>
      <w:bookmarkStart w:id="325" w:name="_Toc144974512"/>
      <w:bookmarkStart w:id="326" w:name="_Toc3947"/>
      <w:bookmarkStart w:id="327" w:name="_Toc324164699"/>
      <w:bookmarkStart w:id="328" w:name="_Toc16810"/>
      <w:bookmarkStart w:id="329" w:name="_Toc23652"/>
      <w:bookmarkStart w:id="330" w:name="_Toc23333"/>
      <w:bookmarkStart w:id="331" w:name="_Toc152045544"/>
      <w:r>
        <w:rPr>
          <w:rFonts w:hint="eastAsia" w:ascii="仿宋" w:hAnsi="仿宋" w:eastAsia="仿宋" w:cs="仿宋"/>
          <w:b/>
          <w:bCs/>
          <w:color w:val="auto"/>
          <w:sz w:val="24"/>
          <w:szCs w:val="24"/>
          <w:highlight w:val="none"/>
        </w:rPr>
        <w:t>2.2 招标文件的澄清</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供应商应仔细阅读和检查招标文件的全部内容。如发现缺页或附件不全，应及时向采购人提出，以便补齐。如有疑问，应在供应商须知前附表规定的时间前以书面形式（包括信函、电报、传真等可以有形地表现所载内容的形式，下同），要求采购人对招标文件予以澄清。</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 招标文件的澄清以供应商须知前附表规定的形式发给所有购买招标文件的供应商，但不指明澄清问题的来源。澄清发出的时间距规定的投标截止时间不足 15 日的，并且澄清内容可能影响投标文件编制的，将相应延长投标截止时间。</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 供应商在收到澄清后，应在供应商须知前附表规定的时间内以书面形式通知采购人，确认已收到该澄清。</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2.2.4除非采购人认为确有必要答复，否则，采购人有权拒绝回复供应商在本章第 2.2.1 项规定的时间后的任何澄清要求。</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color w:val="auto"/>
          <w:sz w:val="24"/>
          <w:szCs w:val="24"/>
          <w:highlight w:val="none"/>
        </w:rPr>
      </w:pPr>
      <w:bookmarkStart w:id="332" w:name="_Toc144974513"/>
      <w:bookmarkStart w:id="333" w:name="_Toc32667"/>
      <w:bookmarkStart w:id="334" w:name="_Toc14086"/>
      <w:bookmarkStart w:id="335" w:name="_Toc179632563"/>
      <w:bookmarkStart w:id="336" w:name="_Toc9316"/>
      <w:bookmarkStart w:id="337" w:name="_Toc152042321"/>
      <w:bookmarkStart w:id="338" w:name="_Toc680"/>
      <w:bookmarkStart w:id="339" w:name="_Toc324164700"/>
      <w:bookmarkStart w:id="340" w:name="_Toc152045545"/>
      <w:bookmarkStart w:id="341" w:name="_Toc514253157"/>
      <w:bookmarkStart w:id="342" w:name="_Toc23885"/>
      <w:bookmarkStart w:id="343" w:name="_Toc26080"/>
      <w:bookmarkStart w:id="344" w:name="_Toc21334"/>
      <w:bookmarkStart w:id="345" w:name="_Toc78272782"/>
      <w:bookmarkStart w:id="346" w:name="_Toc5460"/>
      <w:bookmarkStart w:id="347" w:name="_Toc4587"/>
      <w:bookmarkStart w:id="348" w:name="_Toc13418"/>
      <w:r>
        <w:rPr>
          <w:rFonts w:hint="eastAsia" w:ascii="仿宋" w:hAnsi="仿宋" w:eastAsia="仿宋" w:cs="仿宋"/>
          <w:b/>
          <w:bCs/>
          <w:color w:val="auto"/>
          <w:sz w:val="24"/>
          <w:szCs w:val="24"/>
          <w:highlight w:val="none"/>
        </w:rPr>
        <w:t>2.3 招标文件的修改</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采购人以供应商须知前附表规定的形式修改招标文件，并通知所有已购买招标文件的供应商。修改招标文件的时间距规定的投标截止时间不足15日的，并且修改内容可能影响投标文件编制的，将相应延长投标截止时间。</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 供应商收到修改内容后，应在供应商须知前附表规定的时间内以书面形式通知采购人，确认已收到该修改。</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349" w:name="_Toc78272783"/>
      <w:bookmarkStart w:id="350" w:name="_Toc8094"/>
      <w:bookmarkStart w:id="351" w:name="_Toc14497"/>
      <w:bookmarkStart w:id="352" w:name="_Toc5804"/>
      <w:r>
        <w:rPr>
          <w:rFonts w:hint="eastAsia" w:ascii="仿宋" w:hAnsi="仿宋" w:eastAsia="仿宋" w:cs="仿宋"/>
          <w:b/>
          <w:bCs/>
          <w:color w:val="auto"/>
          <w:sz w:val="24"/>
          <w:szCs w:val="24"/>
          <w:highlight w:val="none"/>
        </w:rPr>
        <w:t>2.4招标文件的异议</w:t>
      </w:r>
      <w:bookmarkEnd w:id="349"/>
      <w:bookmarkEnd w:id="350"/>
      <w:bookmarkEnd w:id="351"/>
      <w:bookmarkEnd w:id="352"/>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供应商或者其他利害关系人对招标文件有异议的，应当在投标截止时间10日前以书面形式提出。采购人将在收到异议之日起3日内作出答复；作出答复前，将暂停政府采购活动。</w:t>
      </w:r>
    </w:p>
    <w:p>
      <w:pPr>
        <w:pStyle w:val="181"/>
        <w:pageBreakBefore w:val="0"/>
        <w:widowControl w:val="0"/>
        <w:kinsoku/>
        <w:wordWrap/>
        <w:overflowPunct/>
        <w:topLinePunct w:val="0"/>
        <w:autoSpaceDE/>
        <w:autoSpaceDN/>
        <w:bidi w:val="0"/>
        <w:adjustRightInd/>
        <w:snapToGrid/>
        <w:spacing w:before="0" w:line="360" w:lineRule="auto"/>
        <w:textAlignment w:val="auto"/>
        <w:rPr>
          <w:rFonts w:hint="eastAsia" w:ascii="仿宋" w:hAnsi="仿宋" w:eastAsia="仿宋" w:cs="仿宋"/>
          <w:b/>
          <w:bCs/>
          <w:color w:val="auto"/>
          <w:sz w:val="24"/>
          <w:szCs w:val="24"/>
          <w:highlight w:val="none"/>
        </w:rPr>
      </w:pPr>
      <w:bookmarkStart w:id="353" w:name="_Toc16635"/>
      <w:bookmarkStart w:id="354" w:name="_Toc25390"/>
      <w:bookmarkStart w:id="355" w:name="_Toc9640"/>
      <w:bookmarkStart w:id="356" w:name="_Toc152042322"/>
      <w:bookmarkStart w:id="357" w:name="_Toc144974514"/>
      <w:bookmarkStart w:id="358" w:name="_Toc2481"/>
      <w:bookmarkStart w:id="359" w:name="_Toc6373"/>
      <w:bookmarkStart w:id="360" w:name="_Toc152045546"/>
      <w:bookmarkStart w:id="361" w:name="_Toc12601"/>
      <w:bookmarkStart w:id="362" w:name="_Toc324164701"/>
      <w:bookmarkStart w:id="363" w:name="_Toc15039"/>
      <w:bookmarkStart w:id="364" w:name="_Toc31878"/>
      <w:bookmarkStart w:id="365" w:name="_Toc14367"/>
      <w:bookmarkStart w:id="366" w:name="_Toc514253158"/>
      <w:bookmarkStart w:id="367" w:name="_Toc179632564"/>
      <w:r>
        <w:rPr>
          <w:rFonts w:hint="eastAsia" w:ascii="仿宋" w:hAnsi="仿宋" w:eastAsia="仿宋" w:cs="仿宋"/>
          <w:b/>
          <w:bCs/>
          <w:color w:val="auto"/>
          <w:sz w:val="24"/>
          <w:szCs w:val="24"/>
          <w:highlight w:val="none"/>
        </w:rPr>
        <w:t>3. 投标文件</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368" w:name="_Toc9695"/>
      <w:bookmarkStart w:id="369" w:name="_Toc152042323"/>
      <w:bookmarkStart w:id="370" w:name="_Toc30424"/>
      <w:bookmarkStart w:id="371" w:name="_Toc13520"/>
      <w:bookmarkStart w:id="372" w:name="_Toc514253159"/>
      <w:bookmarkStart w:id="373" w:name="_Toc78272785"/>
      <w:bookmarkStart w:id="374" w:name="_Toc179632565"/>
      <w:bookmarkStart w:id="375" w:name="_Toc20897"/>
      <w:bookmarkStart w:id="376" w:name="_Toc2877"/>
      <w:bookmarkStart w:id="377" w:name="_Toc26501"/>
      <w:bookmarkStart w:id="378" w:name="_Toc5539"/>
      <w:bookmarkStart w:id="379" w:name="_Toc152045547"/>
      <w:bookmarkStart w:id="380" w:name="_Toc144974515"/>
      <w:bookmarkStart w:id="381" w:name="_Toc324164702"/>
      <w:bookmarkStart w:id="382" w:name="_Toc6010"/>
      <w:bookmarkStart w:id="383" w:name="_Toc24122"/>
      <w:bookmarkStart w:id="384" w:name="_Toc30344"/>
      <w:r>
        <w:rPr>
          <w:rFonts w:hint="eastAsia" w:ascii="仿宋" w:hAnsi="仿宋" w:eastAsia="仿宋" w:cs="仿宋"/>
          <w:b/>
          <w:bCs/>
          <w:color w:val="auto"/>
          <w:sz w:val="24"/>
          <w:szCs w:val="24"/>
          <w:highlight w:val="none"/>
        </w:rPr>
        <w:t>3.1 投标文件的组成</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3.1.1投标文件组成：</w:t>
      </w:r>
    </w:p>
    <w:p>
      <w:pPr>
        <w:pageBreakBefore w:val="0"/>
        <w:widowControl w:val="0"/>
        <w:numPr>
          <w:ilvl w:val="0"/>
          <w:numId w:val="3"/>
        </w:numPr>
        <w:kinsoku/>
        <w:wordWrap/>
        <w:overflowPunct/>
        <w:topLinePunct w:val="0"/>
        <w:autoSpaceDE/>
        <w:autoSpaceDN/>
        <w:bidi w:val="0"/>
        <w:adjustRightInd/>
        <w:snapToGrid/>
        <w:spacing w:line="360" w:lineRule="auto"/>
        <w:ind w:left="-6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投标函</w:t>
      </w:r>
    </w:p>
    <w:p>
      <w:pPr>
        <w:pageBreakBefore w:val="0"/>
        <w:widowControl w:val="0"/>
        <w:numPr>
          <w:ilvl w:val="0"/>
          <w:numId w:val="3"/>
        </w:numPr>
        <w:kinsoku/>
        <w:wordWrap/>
        <w:overflowPunct/>
        <w:topLinePunct w:val="0"/>
        <w:autoSpaceDE/>
        <w:autoSpaceDN/>
        <w:bidi w:val="0"/>
        <w:adjustRightInd/>
        <w:snapToGrid/>
        <w:spacing w:line="360" w:lineRule="auto"/>
        <w:ind w:left="-6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法定代表人身份证明书</w:t>
      </w:r>
    </w:p>
    <w:p>
      <w:pPr>
        <w:pageBreakBefore w:val="0"/>
        <w:widowControl w:val="0"/>
        <w:numPr>
          <w:ilvl w:val="0"/>
          <w:numId w:val="3"/>
        </w:numPr>
        <w:kinsoku/>
        <w:wordWrap/>
        <w:overflowPunct/>
        <w:topLinePunct w:val="0"/>
        <w:autoSpaceDE/>
        <w:autoSpaceDN/>
        <w:bidi w:val="0"/>
        <w:adjustRightInd/>
        <w:snapToGrid/>
        <w:spacing w:line="360" w:lineRule="auto"/>
        <w:ind w:left="-6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投标文件签署授权委托书</w:t>
      </w:r>
    </w:p>
    <w:p>
      <w:pPr>
        <w:pageBreakBefore w:val="0"/>
        <w:widowControl w:val="0"/>
        <w:numPr>
          <w:ilvl w:val="0"/>
          <w:numId w:val="3"/>
        </w:numPr>
        <w:kinsoku/>
        <w:wordWrap/>
        <w:overflowPunct/>
        <w:topLinePunct w:val="0"/>
        <w:autoSpaceDE/>
        <w:autoSpaceDN/>
        <w:bidi w:val="0"/>
        <w:adjustRightInd/>
        <w:snapToGrid/>
        <w:spacing w:line="360" w:lineRule="auto"/>
        <w:ind w:left="-6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投标保证金凭证复印件</w:t>
      </w:r>
    </w:p>
    <w:p>
      <w:pPr>
        <w:pageBreakBefore w:val="0"/>
        <w:widowControl w:val="0"/>
        <w:numPr>
          <w:ilvl w:val="0"/>
          <w:numId w:val="3"/>
        </w:numPr>
        <w:kinsoku/>
        <w:wordWrap/>
        <w:overflowPunct/>
        <w:topLinePunct w:val="0"/>
        <w:autoSpaceDE/>
        <w:autoSpaceDN/>
        <w:bidi w:val="0"/>
        <w:adjustRightInd/>
        <w:snapToGrid/>
        <w:spacing w:line="360" w:lineRule="auto"/>
        <w:ind w:left="-6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投标报价明细表</w:t>
      </w:r>
    </w:p>
    <w:p>
      <w:pPr>
        <w:pageBreakBefore w:val="0"/>
        <w:widowControl w:val="0"/>
        <w:numPr>
          <w:ilvl w:val="0"/>
          <w:numId w:val="3"/>
        </w:numPr>
        <w:kinsoku/>
        <w:wordWrap/>
        <w:overflowPunct/>
        <w:topLinePunct w:val="0"/>
        <w:autoSpaceDE/>
        <w:autoSpaceDN/>
        <w:bidi w:val="0"/>
        <w:adjustRightInd/>
        <w:snapToGrid/>
        <w:spacing w:line="360" w:lineRule="auto"/>
        <w:ind w:left="-6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技术条款偏离表</w:t>
      </w:r>
    </w:p>
    <w:p>
      <w:pPr>
        <w:pageBreakBefore w:val="0"/>
        <w:widowControl w:val="0"/>
        <w:numPr>
          <w:ilvl w:val="0"/>
          <w:numId w:val="3"/>
        </w:numPr>
        <w:kinsoku/>
        <w:wordWrap/>
        <w:overflowPunct/>
        <w:topLinePunct w:val="0"/>
        <w:autoSpaceDE/>
        <w:autoSpaceDN/>
        <w:bidi w:val="0"/>
        <w:adjustRightInd/>
        <w:snapToGrid/>
        <w:spacing w:line="360" w:lineRule="auto"/>
        <w:ind w:left="-6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商务条款偏离表</w:t>
      </w:r>
    </w:p>
    <w:p>
      <w:pPr>
        <w:pageBreakBefore w:val="0"/>
        <w:widowControl w:val="0"/>
        <w:numPr>
          <w:ilvl w:val="0"/>
          <w:numId w:val="3"/>
        </w:numPr>
        <w:kinsoku/>
        <w:wordWrap/>
        <w:overflowPunct/>
        <w:topLinePunct w:val="0"/>
        <w:autoSpaceDE/>
        <w:autoSpaceDN/>
        <w:bidi w:val="0"/>
        <w:adjustRightInd/>
        <w:snapToGrid/>
        <w:spacing w:line="360" w:lineRule="auto"/>
        <w:ind w:left="-6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资格审查资料</w:t>
      </w:r>
    </w:p>
    <w:p>
      <w:pPr>
        <w:pageBreakBefore w:val="0"/>
        <w:widowControl w:val="0"/>
        <w:numPr>
          <w:ilvl w:val="0"/>
          <w:numId w:val="3"/>
        </w:numPr>
        <w:kinsoku/>
        <w:wordWrap/>
        <w:overflowPunct/>
        <w:topLinePunct w:val="0"/>
        <w:autoSpaceDE/>
        <w:autoSpaceDN/>
        <w:bidi w:val="0"/>
        <w:adjustRightInd/>
        <w:snapToGrid/>
        <w:spacing w:line="360" w:lineRule="auto"/>
        <w:ind w:left="-6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项目实施方案</w:t>
      </w:r>
    </w:p>
    <w:p>
      <w:pPr>
        <w:pageBreakBefore w:val="0"/>
        <w:widowControl w:val="0"/>
        <w:numPr>
          <w:ilvl w:val="0"/>
          <w:numId w:val="3"/>
        </w:numPr>
        <w:tabs>
          <w:tab w:val="left" w:pos="1260"/>
        </w:tabs>
        <w:kinsoku/>
        <w:wordWrap/>
        <w:overflowPunct/>
        <w:topLinePunct w:val="0"/>
        <w:autoSpaceDE/>
        <w:autoSpaceDN/>
        <w:bidi w:val="0"/>
        <w:adjustRightInd/>
        <w:snapToGrid/>
        <w:spacing w:line="360" w:lineRule="auto"/>
        <w:ind w:left="-6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售后服务</w:t>
      </w:r>
      <w:r>
        <w:rPr>
          <w:rFonts w:hint="eastAsia" w:ascii="仿宋" w:hAnsi="仿宋" w:eastAsia="仿宋" w:cs="仿宋"/>
          <w:color w:val="auto"/>
          <w:sz w:val="24"/>
          <w:szCs w:val="24"/>
          <w:highlight w:val="none"/>
        </w:rPr>
        <w:t>方案</w:t>
      </w:r>
    </w:p>
    <w:p>
      <w:pPr>
        <w:pageBreakBefore w:val="0"/>
        <w:widowControl w:val="0"/>
        <w:numPr>
          <w:ilvl w:val="0"/>
          <w:numId w:val="3"/>
        </w:numPr>
        <w:tabs>
          <w:tab w:val="left" w:pos="1260"/>
        </w:tabs>
        <w:kinsoku/>
        <w:wordWrap/>
        <w:overflowPunct/>
        <w:topLinePunct w:val="0"/>
        <w:autoSpaceDE/>
        <w:autoSpaceDN/>
        <w:bidi w:val="0"/>
        <w:adjustRightInd/>
        <w:snapToGrid/>
        <w:spacing w:line="360" w:lineRule="auto"/>
        <w:ind w:left="-6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w:t>
      </w:r>
      <w:r>
        <w:rPr>
          <w:rFonts w:hint="eastAsia" w:ascii="仿宋" w:hAnsi="仿宋" w:eastAsia="仿宋" w:cs="仿宋"/>
          <w:color w:val="auto"/>
          <w:sz w:val="24"/>
          <w:szCs w:val="24"/>
          <w:highlight w:val="none"/>
          <w:lang w:eastAsia="zh-CN"/>
        </w:rPr>
        <w:t>方案</w:t>
      </w:r>
      <w:r>
        <w:rPr>
          <w:rFonts w:hint="eastAsia" w:ascii="仿宋" w:hAnsi="仿宋" w:eastAsia="仿宋" w:cs="仿宋"/>
          <w:color w:val="auto"/>
          <w:sz w:val="24"/>
          <w:szCs w:val="24"/>
          <w:highlight w:val="none"/>
        </w:rPr>
        <w:t>（技术支持资料）</w:t>
      </w:r>
    </w:p>
    <w:p>
      <w:pPr>
        <w:pageBreakBefore w:val="0"/>
        <w:widowControl w:val="0"/>
        <w:numPr>
          <w:ilvl w:val="0"/>
          <w:numId w:val="3"/>
        </w:numPr>
        <w:tabs>
          <w:tab w:val="left" w:pos="1260"/>
        </w:tabs>
        <w:kinsoku/>
        <w:wordWrap/>
        <w:overflowPunct/>
        <w:topLinePunct w:val="0"/>
        <w:autoSpaceDE/>
        <w:autoSpaceDN/>
        <w:bidi w:val="0"/>
        <w:adjustRightInd/>
        <w:snapToGrid/>
        <w:spacing w:line="360" w:lineRule="auto"/>
        <w:ind w:left="-60" w:firstLine="480"/>
        <w:textAlignment w:val="auto"/>
        <w:rPr>
          <w:rFonts w:hint="eastAsia"/>
          <w:color w:val="auto"/>
          <w:highlight w:val="none"/>
        </w:rPr>
      </w:pPr>
      <w:r>
        <w:rPr>
          <w:rFonts w:hint="eastAsia" w:ascii="仿宋" w:hAnsi="仿宋" w:eastAsia="仿宋" w:cs="仿宋"/>
          <w:color w:val="auto"/>
          <w:sz w:val="24"/>
          <w:szCs w:val="24"/>
          <w:highlight w:val="none"/>
          <w:lang w:eastAsia="zh-CN"/>
        </w:rPr>
        <w:t>投标人认为需提供的其他资</w:t>
      </w:r>
      <w:r>
        <w:rPr>
          <w:rFonts w:hint="eastAsia" w:ascii="仿宋" w:hAnsi="仿宋" w:eastAsia="仿宋" w:cs="仿宋"/>
          <w:color w:val="auto"/>
          <w:sz w:val="24"/>
          <w:szCs w:val="24"/>
          <w:highlight w:val="none"/>
          <w:lang w:val="en-US" w:eastAsia="zh-CN"/>
        </w:rPr>
        <w:t>料</w:t>
      </w:r>
    </w:p>
    <w:p>
      <w:pPr>
        <w:pageBreakBefore w:val="0"/>
        <w:widowControl w:val="0"/>
        <w:numPr>
          <w:ilvl w:val="0"/>
          <w:numId w:val="3"/>
        </w:numPr>
        <w:tabs>
          <w:tab w:val="left" w:pos="1260"/>
        </w:tabs>
        <w:kinsoku/>
        <w:wordWrap/>
        <w:overflowPunct/>
        <w:topLinePunct w:val="0"/>
        <w:autoSpaceDE/>
        <w:autoSpaceDN/>
        <w:bidi w:val="0"/>
        <w:adjustRightInd/>
        <w:snapToGrid/>
        <w:spacing w:line="360" w:lineRule="auto"/>
        <w:ind w:left="-6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中小企业声明函（货物）</w:t>
      </w:r>
    </w:p>
    <w:p>
      <w:pPr>
        <w:pStyle w:val="48"/>
        <w:numPr>
          <w:ilvl w:val="0"/>
          <w:numId w:val="3"/>
        </w:numPr>
        <w:ind w:left="-60" w:leftChars="0" w:firstLine="48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监狱企业的证明文件（若有）</w:t>
      </w:r>
    </w:p>
    <w:p>
      <w:pPr>
        <w:pStyle w:val="48"/>
        <w:numPr>
          <w:ilvl w:val="0"/>
          <w:numId w:val="3"/>
        </w:numPr>
        <w:ind w:left="-60" w:leftChars="0" w:firstLine="480" w:firstLineChars="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残疾人福利性单位声明函</w:t>
      </w:r>
      <w:r>
        <w:rPr>
          <w:rFonts w:hint="eastAsia" w:ascii="仿宋" w:hAnsi="仿宋" w:eastAsia="仿宋" w:cs="仿宋"/>
          <w:color w:val="auto"/>
          <w:sz w:val="24"/>
          <w:szCs w:val="24"/>
          <w:highlight w:val="none"/>
          <w:lang w:val="en-US" w:eastAsia="zh-CN"/>
        </w:rPr>
        <w:t>（若有）</w:t>
      </w:r>
    </w:p>
    <w:p>
      <w:pPr>
        <w:pStyle w:val="48"/>
        <w:numPr>
          <w:ilvl w:val="0"/>
          <w:numId w:val="3"/>
        </w:numPr>
        <w:ind w:left="-60" w:leftChars="0" w:firstLine="480" w:firstLineChars="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联合体</w:t>
      </w:r>
      <w:r>
        <w:rPr>
          <w:rFonts w:hint="eastAsia" w:ascii="仿宋" w:hAnsi="仿宋" w:eastAsia="仿宋" w:cs="仿宋"/>
          <w:color w:val="auto"/>
          <w:sz w:val="24"/>
          <w:szCs w:val="24"/>
          <w:highlight w:val="none"/>
          <w:lang w:val="en-US" w:eastAsia="zh-CN"/>
        </w:rPr>
        <w:t>协议书</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供应商在评标过程中作出的符合法律法规和招标文件规定的澄清确认，构成投标文件的组成部分。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 供应商须知前附表规定</w:t>
      </w:r>
      <w:r>
        <w:rPr>
          <w:rFonts w:hint="eastAsia" w:ascii="仿宋" w:hAnsi="仿宋" w:eastAsia="仿宋" w:cs="仿宋"/>
          <w:color w:val="auto"/>
          <w:sz w:val="24"/>
          <w:szCs w:val="24"/>
          <w:highlight w:val="none"/>
          <w:lang w:eastAsia="zh-CN"/>
        </w:rPr>
        <w:t>不接受联合体</w:t>
      </w:r>
      <w:r>
        <w:rPr>
          <w:rFonts w:hint="eastAsia" w:ascii="仿宋" w:hAnsi="仿宋" w:eastAsia="仿宋" w:cs="仿宋"/>
          <w:color w:val="auto"/>
          <w:sz w:val="24"/>
          <w:szCs w:val="24"/>
          <w:highlight w:val="none"/>
        </w:rPr>
        <w:t>投标。</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3.1.3 供应商须知前附表未要求提交投标保证金的，投标文件不包括本章第 3.1.1（5）目所指的投标保证金。</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385" w:name="_Toc7282"/>
      <w:bookmarkStart w:id="386" w:name="_Toc2125"/>
      <w:bookmarkStart w:id="387" w:name="_Toc78272786"/>
      <w:bookmarkStart w:id="388" w:name="_Toc514253160"/>
      <w:bookmarkStart w:id="389" w:name="_Toc144974516"/>
      <w:bookmarkStart w:id="390" w:name="_Toc179632566"/>
      <w:bookmarkStart w:id="391" w:name="_Toc152042324"/>
      <w:bookmarkStart w:id="392" w:name="_Toc27932"/>
      <w:bookmarkStart w:id="393" w:name="_Toc5222"/>
      <w:bookmarkStart w:id="394" w:name="_Toc15235"/>
      <w:bookmarkStart w:id="395" w:name="_Toc28948"/>
      <w:bookmarkStart w:id="396" w:name="_Toc20376"/>
      <w:bookmarkStart w:id="397" w:name="_Toc22634"/>
      <w:bookmarkStart w:id="398" w:name="_Toc152045548"/>
      <w:bookmarkStart w:id="399" w:name="_Toc17686"/>
      <w:bookmarkStart w:id="400" w:name="_Toc7141"/>
      <w:bookmarkStart w:id="401" w:name="_Toc324164703"/>
      <w:r>
        <w:rPr>
          <w:rFonts w:hint="eastAsia" w:ascii="仿宋" w:hAnsi="仿宋" w:eastAsia="仿宋" w:cs="仿宋"/>
          <w:b/>
          <w:bCs/>
          <w:color w:val="auto"/>
          <w:sz w:val="24"/>
          <w:szCs w:val="24"/>
          <w:highlight w:val="none"/>
        </w:rPr>
        <w:t>3.2 投标报价</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本项目的投标报价采用投标须知前附表所规定的方式，报价应包含国家规定的增值税税金，除供应商须知前附表另有规定外，增值税税金按一般计税方法计算。供应商应按“投标文件格式”的要求在投标函中进行报价并填写分项报价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投标报价为供应商在投标文件中提出的根据国家及西藏自治区相关技术规范和要求完成本项目所有工作内容并通过评审的价格，此价格应包含完成相应工作细目的所有工作内容。供应商应充分了解该项目的总体情况以及影响投标报价的其他要素。包括供应商完成本项目所需的一切费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3.2.3本招标项目的地点为本须知前附表所述，除非合同中另有规定，供应商在报价中所报的价格，均包括完成该项目的成本、利润、税金、开办费、技术措施费、风险费、政策性文件规定费用等所有费用。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3.2.4供应商如对报价有任何优惠和折扣，应包含在所报价中，任何有选择的报价将不予以接受。</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3.2.5投标报价为本章节第3.2.3项各分项报价金额之和，投标报价与分项报价的合价不一致的，应以各分项合价累计数为准，修正投标报价；如分项报价中存在缺漏项，则视为缺漏项价格已包含在其他分项报价之中。供应商在投标截止时间前修改投标函中的投标报价总额，应同时修改投标文件“分项报价表”中的相应报价。此修改须符合本章第 4.3 款的有关要求。　　</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3.2.6投标报价的其他要求见供应商须知前附表。</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color w:val="auto"/>
          <w:sz w:val="24"/>
          <w:szCs w:val="24"/>
          <w:highlight w:val="none"/>
        </w:rPr>
      </w:pPr>
      <w:bookmarkStart w:id="402" w:name="_Toc28478"/>
      <w:bookmarkStart w:id="403" w:name="_Toc32610"/>
      <w:bookmarkStart w:id="404" w:name="_Toc144974517"/>
      <w:bookmarkStart w:id="405" w:name="_Toc17546"/>
      <w:bookmarkStart w:id="406" w:name="_Toc20452"/>
      <w:bookmarkStart w:id="407" w:name="_Toc152045549"/>
      <w:bookmarkStart w:id="408" w:name="_Toc11276"/>
      <w:bookmarkStart w:id="409" w:name="_Toc152042325"/>
      <w:bookmarkStart w:id="410" w:name="_Toc22327"/>
      <w:bookmarkStart w:id="411" w:name="_Toc78272787"/>
      <w:bookmarkStart w:id="412" w:name="_Toc324164704"/>
      <w:bookmarkStart w:id="413" w:name="_Toc179632567"/>
      <w:bookmarkStart w:id="414" w:name="_Toc11014"/>
      <w:bookmarkStart w:id="415" w:name="_Toc5234"/>
      <w:bookmarkStart w:id="416" w:name="_Toc514253161"/>
      <w:bookmarkStart w:id="417" w:name="_Toc23842"/>
      <w:bookmarkStart w:id="418" w:name="_Toc12997"/>
      <w:r>
        <w:rPr>
          <w:rFonts w:hint="eastAsia" w:ascii="仿宋" w:hAnsi="仿宋" w:eastAsia="仿宋" w:cs="仿宋"/>
          <w:color w:val="auto"/>
          <w:kern w:val="0"/>
          <w:sz w:val="24"/>
          <w:szCs w:val="24"/>
          <w:highlight w:val="none"/>
        </w:rPr>
        <w:t>▲</w:t>
      </w:r>
      <w:r>
        <w:rPr>
          <w:rFonts w:hint="eastAsia" w:ascii="仿宋" w:hAnsi="仿宋" w:eastAsia="仿宋" w:cs="仿宋"/>
          <w:b/>
          <w:bCs/>
          <w:color w:val="auto"/>
          <w:sz w:val="24"/>
          <w:szCs w:val="24"/>
          <w:highlight w:val="none"/>
        </w:rPr>
        <w:t>3.3 投标有效期</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在供应商须知前附表规定的投标有效期内，供应商不得要求撤销或修改其投标文件。供应商撤销投标文件的，应承担招标文件和法律规定的责任。</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3.3.2出现特殊情况需要延长投标有效期的，采购人以书面形式通知所有供应商延长投标有效期。供应商同意延长的，应相应延长其投标保证金的有效期，但不得要求或被允许修改或撤销其投标文件；供应商拒绝延长的，其投标失效，但供应商有权收回其投标保证金。 </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color w:val="auto"/>
          <w:sz w:val="24"/>
          <w:szCs w:val="24"/>
          <w:highlight w:val="none"/>
        </w:rPr>
      </w:pPr>
      <w:bookmarkStart w:id="419" w:name="_Toc25161"/>
      <w:bookmarkStart w:id="420" w:name="_Toc19357"/>
      <w:bookmarkStart w:id="421" w:name="_Toc179632568"/>
      <w:bookmarkStart w:id="422" w:name="_Toc78272788"/>
      <w:bookmarkStart w:id="423" w:name="_Toc152042326"/>
      <w:bookmarkStart w:id="424" w:name="_Toc26482"/>
      <w:bookmarkStart w:id="425" w:name="_Toc4682"/>
      <w:bookmarkStart w:id="426" w:name="_Toc2791"/>
      <w:bookmarkStart w:id="427" w:name="_Toc152045550"/>
      <w:bookmarkStart w:id="428" w:name="_Toc1151"/>
      <w:bookmarkStart w:id="429" w:name="_Toc514253162"/>
      <w:bookmarkStart w:id="430" w:name="_Toc144974518"/>
      <w:bookmarkStart w:id="431" w:name="_Toc13846"/>
      <w:bookmarkStart w:id="432" w:name="_Toc324164705"/>
      <w:bookmarkStart w:id="433" w:name="_Toc11703"/>
      <w:bookmarkStart w:id="434" w:name="_Toc21269"/>
      <w:bookmarkStart w:id="435" w:name="_Toc23693"/>
      <w:r>
        <w:rPr>
          <w:rFonts w:hint="eastAsia" w:ascii="仿宋" w:hAnsi="仿宋" w:eastAsia="仿宋" w:cs="仿宋"/>
          <w:color w:val="auto"/>
          <w:kern w:val="0"/>
          <w:sz w:val="24"/>
          <w:szCs w:val="24"/>
          <w:highlight w:val="none"/>
        </w:rPr>
        <w:t>▲</w:t>
      </w:r>
      <w:r>
        <w:rPr>
          <w:rFonts w:hint="eastAsia" w:ascii="仿宋" w:hAnsi="仿宋" w:eastAsia="仿宋" w:cs="仿宋"/>
          <w:b/>
          <w:bCs/>
          <w:color w:val="auto"/>
          <w:sz w:val="24"/>
          <w:szCs w:val="24"/>
          <w:highlight w:val="none"/>
        </w:rPr>
        <w:t>3.4 投标保证金</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供应商在递交投标文件的同时，应按供应商须知前附表规定的金额、担保形式递交投标保证金，并作为其投标文件的组成部分。</w:t>
      </w:r>
      <w:r>
        <w:rPr>
          <w:rFonts w:hint="eastAsia" w:ascii="仿宋" w:hAnsi="仿宋" w:eastAsia="仿宋" w:cs="仿宋"/>
          <w:color w:val="auto"/>
          <w:kern w:val="0"/>
          <w:sz w:val="24"/>
          <w:szCs w:val="24"/>
          <w:highlight w:val="none"/>
          <w:lang w:val="en-US" w:eastAsia="zh-CN"/>
        </w:rPr>
        <w:t>投标保证金采取电子保函方式提交（登录西藏公共资源交易平台金融服务系统里面办理电子保函）</w:t>
      </w:r>
      <w:r>
        <w:rPr>
          <w:rFonts w:hint="eastAsia" w:ascii="仿宋" w:hAnsi="仿宋" w:eastAsia="仿宋" w:cs="仿宋"/>
          <w:color w:val="auto"/>
          <w:sz w:val="24"/>
          <w:szCs w:val="24"/>
          <w:highlight w:val="none"/>
        </w:rPr>
        <w:t>。并应符合供应商须知前附表的规定。</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3.4.2 未按招标文件要求在规定时间前交纳规定数额投标保证金的，其投标文件作废标处理。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3.4.3采购人、采购代理机构最迟应当在书面合同签订后5日内向中标人和未中标的供应商退还投标保证金。</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▲3.4.4 有下列情形之一的，投标保证金将不予退还： </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（1）无故不参加投标（未在开标前五天提交弃标函的）或者出现不廉洁行为的供应商；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（2）在提交投标文件截止时间后到招标文件规定的投标有效期终止之前，供应商撤回投标文件的；</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（3）中标通知书发出后，中标人无故放弃中标项目的或无正当理由不与采购人签订合同的或者拒不缴纳所要求的履约保证金的；</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（4）供应商提供虚假投标文件或虚假补充文件的，或者投标文件中提供虚假或无效的证明材料的；</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（5）在采购人确定中标供应商之前放弃中标候选资格的。</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（6）中标后放弃、不领取或者不接收中标通知书的。</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（7）由于中标供应商的原因未能按照招标文件的规定与采购人签订合同的。</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（8）法律法规或招标文件规定的其他情形。</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436" w:name="_Toc78272789"/>
      <w:bookmarkStart w:id="437" w:name="_Toc324164707"/>
      <w:bookmarkStart w:id="438" w:name="_Toc10655"/>
      <w:bookmarkStart w:id="439" w:name="_Toc357"/>
      <w:bookmarkStart w:id="440" w:name="_Toc152045553"/>
      <w:bookmarkStart w:id="441" w:name="_Toc1497"/>
      <w:bookmarkStart w:id="442" w:name="_Toc11883"/>
      <w:bookmarkStart w:id="443" w:name="_Toc514253163"/>
      <w:bookmarkStart w:id="444" w:name="_Toc179632571"/>
      <w:bookmarkStart w:id="445" w:name="_Toc3106"/>
      <w:bookmarkStart w:id="446" w:name="_Toc1553"/>
      <w:bookmarkStart w:id="447" w:name="_Toc773"/>
      <w:bookmarkStart w:id="448" w:name="_Toc24931"/>
      <w:bookmarkStart w:id="449" w:name="_Toc6344"/>
      <w:bookmarkStart w:id="450" w:name="_Toc144974521"/>
      <w:bookmarkStart w:id="451" w:name="_Toc28134"/>
      <w:bookmarkStart w:id="452" w:name="_Toc152042329"/>
      <w:r>
        <w:rPr>
          <w:rFonts w:hint="eastAsia" w:ascii="仿宋" w:hAnsi="仿宋" w:eastAsia="仿宋" w:cs="仿宋"/>
          <w:b/>
          <w:bCs/>
          <w:color w:val="auto"/>
          <w:sz w:val="24"/>
          <w:szCs w:val="24"/>
          <w:highlight w:val="none"/>
        </w:rPr>
        <w:t>3.5 备选投标方案</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本项目不允许提交备选投标方案</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val="0"/>
          <w:color w:val="auto"/>
          <w:sz w:val="24"/>
          <w:szCs w:val="24"/>
          <w:highlight w:val="none"/>
        </w:rPr>
      </w:pPr>
      <w:bookmarkStart w:id="453" w:name="_Toc78272790"/>
      <w:bookmarkStart w:id="454" w:name="_Toc3299"/>
      <w:bookmarkStart w:id="455" w:name="_Toc20767"/>
      <w:bookmarkStart w:id="456" w:name="_Toc19845"/>
      <w:bookmarkStart w:id="457" w:name="_Toc152042330"/>
      <w:bookmarkStart w:id="458" w:name="_Toc12530"/>
      <w:bookmarkStart w:id="459" w:name="_Toc324164708"/>
      <w:bookmarkStart w:id="460" w:name="_Toc15265"/>
      <w:bookmarkStart w:id="461" w:name="_Toc514253164"/>
      <w:bookmarkStart w:id="462" w:name="_Toc144974522"/>
      <w:bookmarkStart w:id="463" w:name="_Toc9080"/>
      <w:bookmarkStart w:id="464" w:name="_Toc27782"/>
      <w:bookmarkStart w:id="465" w:name="_Toc19617"/>
      <w:bookmarkStart w:id="466" w:name="_Toc152045554"/>
      <w:bookmarkStart w:id="467" w:name="_Toc10080"/>
      <w:bookmarkStart w:id="468" w:name="_Toc22652"/>
      <w:bookmarkStart w:id="469" w:name="_Toc179632572"/>
      <w:r>
        <w:rPr>
          <w:rFonts w:hint="eastAsia" w:ascii="仿宋" w:hAnsi="仿宋" w:eastAsia="仿宋" w:cs="仿宋"/>
          <w:b/>
          <w:bCs w:val="0"/>
          <w:color w:val="auto"/>
          <w:sz w:val="24"/>
          <w:szCs w:val="24"/>
          <w:highlight w:val="none"/>
        </w:rPr>
        <w:t>3.6 投标文件的编制</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3.6.1投标人应当按照投标人须知前附表的要求制作并递交投标文件。</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3.6.2投标人应当按照招标文件的要求编制投标文件，投标文件应当对招标文件提出的实质性要求和条件作出响应。</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3.6.3 投标人应当认真阅读招标文件中所有的事项、格式、条款和采购需求等。投标人没有按照招标文件要求上传全部资料或者投标人没有对招标文件在各方面都作出实质性响应是投标人的风险，并可能导致其投标被否决。投标文件应答和编写的具体要求见投标人须知前附表</w:t>
      </w:r>
      <w:r>
        <w:rPr>
          <w:rFonts w:hint="eastAsia" w:ascii="仿宋" w:hAnsi="仿宋" w:eastAsia="仿宋" w:cs="仿宋"/>
          <w:b w:val="0"/>
          <w:bCs w:val="0"/>
          <w:color w:val="auto"/>
          <w:sz w:val="24"/>
          <w:szCs w:val="24"/>
          <w:highlight w:val="none"/>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3.6.4 投标人递交的投标文件以及投标人与采购人就有关投标的所有往来函电均应当使用中文。投标人递交的证明文件和文献可以使用另一种语言，但相应内容应当译成中文，在解释投标文件时以中文译本为准。</w:t>
      </w:r>
    </w:p>
    <w:p>
      <w:pPr>
        <w:pStyle w:val="188"/>
        <w:pageBreakBefore w:val="0"/>
        <w:widowControl w:val="0"/>
        <w:kinsoku/>
        <w:wordWrap/>
        <w:overflowPunct/>
        <w:topLinePunct w:val="0"/>
        <w:autoSpaceDE/>
        <w:autoSpaceDN/>
        <w:bidi w:val="0"/>
        <w:adjustRightInd/>
        <w:snapToGrid/>
        <w:spacing w:before="0" w:line="360" w:lineRule="auto"/>
        <w:ind w:firstLine="482" w:firstLineChars="200"/>
        <w:textAlignment w:val="auto"/>
        <w:rPr>
          <w:rFonts w:hint="eastAsia" w:ascii="仿宋" w:hAnsi="仿宋" w:eastAsia="仿宋" w:cs="仿宋"/>
          <w:bCs/>
          <w:color w:val="auto"/>
          <w:sz w:val="24"/>
          <w:szCs w:val="24"/>
          <w:highlight w:val="none"/>
        </w:rPr>
      </w:pPr>
      <w:bookmarkStart w:id="470" w:name="_Toc1890"/>
      <w:bookmarkStart w:id="471" w:name="_Toc78272791"/>
      <w:bookmarkStart w:id="472" w:name="_Toc2479"/>
      <w:bookmarkStart w:id="473" w:name="_Toc11390"/>
      <w:bookmarkStart w:id="474" w:name="_Toc24628"/>
      <w:r>
        <w:rPr>
          <w:rFonts w:hint="eastAsia" w:ascii="仿宋" w:hAnsi="仿宋" w:eastAsia="仿宋" w:cs="仿宋"/>
          <w:b/>
          <w:bCs w:val="0"/>
          <w:color w:val="auto"/>
          <w:sz w:val="24"/>
          <w:szCs w:val="24"/>
          <w:highlight w:val="none"/>
        </w:rPr>
        <w:t>3.7证明投标标的的合格性和符合招标文件规定的技术文件</w:t>
      </w:r>
      <w:bookmarkEnd w:id="470"/>
      <w:bookmarkEnd w:id="471"/>
      <w:bookmarkEnd w:id="472"/>
      <w:bookmarkEnd w:id="473"/>
      <w:bookmarkEnd w:id="474"/>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3.7.1供应商应提交证明文件，证明其投标内容符合招标文件规定。该证明文件是投标文件的一部分。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bookmarkStart w:id="475" w:name="_Ref467306244"/>
      <w:r>
        <w:rPr>
          <w:rFonts w:hint="eastAsia" w:ascii="仿宋" w:hAnsi="仿宋" w:eastAsia="仿宋" w:cs="仿宋"/>
          <w:b w:val="0"/>
          <w:bCs w:val="0"/>
          <w:color w:val="auto"/>
          <w:sz w:val="24"/>
          <w:szCs w:val="24"/>
          <w:highlight w:val="none"/>
        </w:rPr>
        <w:t>3.7.2上款所述的证明文件，可以是文字资料、图纸和数据，</w:t>
      </w:r>
      <w:bookmarkEnd w:id="475"/>
      <w:r>
        <w:rPr>
          <w:rFonts w:hint="eastAsia" w:ascii="仿宋" w:hAnsi="仿宋" w:eastAsia="仿宋" w:cs="仿宋"/>
          <w:b w:val="0"/>
          <w:bCs w:val="0"/>
          <w:color w:val="auto"/>
          <w:sz w:val="24"/>
          <w:szCs w:val="24"/>
          <w:highlight w:val="none"/>
        </w:rPr>
        <w:t>它包括：</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3.7.2.1货物主要技术指标和性能的详细说明；</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3.7.2.2货物从买方开始使用至招标文件规定的保质期内正常、连续地使用所必须的备件和专用工具清单，包括备件和专用工具的货源及现行价格；</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3.7.2.3对照招标文件技术规格，逐条说明所提供货物及伴随的工程和服务已对招标文件的技术规格做出了实质性的响应，或申明与技术规格条文的偏差和例外。</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3.7.3供应商应注意采购人在技术规格中指出的工艺、材料和设备的参照品牌型号或分类号仅起说明作用，并没有任何限制性。供应商在投标中可以选用替代牌号或分类号，但这些替代要实质上相当于技术规格的要求。采购人、采购代理机构承诺不以上述参照品牌型号或分类号作为评标时判定其投标是否有效的标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3.7.4供应商应对照招标文件技术规格，逐条说明所提供货物和服务已对招标文件的技术规格做出了实质性的响应，并申明与技术规格条文的偏差和例外。特别对有具体参数要求的指标，供应商必须提供所投设备的具体参数值。</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3.7.5技术偏离披露的原则性规定：</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3.7.5.1所有供应商应本着诚实信用的原则，以审慎的态度明确、清楚地披露各项技术偏离，尤其是对技术负偏离均要进行披露。</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3.7.5.2如果供应商不能确定对某一事项是否构成技术偏离，则必须在技术偏离表中清楚地表明，并注明“不能确定”字样，以供评标委员会参考。</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3.7.5.3一旦在评审过程中被发现存在技术偏离而供应商并未如实进行披露的，评标委员会有充分的权力视具体情形予以处理，包括但不限于：按照评标规则扣分、在评标规则基础上增加扣分、在评标规则基础上加倍扣分或对该投标予以拒绝。</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3.7.6招标文件需求中提出的技术规格仅为参考，供应商可以进行优化，提供更优的（或者性能实质上不低于的）技术方案或者设备配置。</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3.7.7为鼓励不同品牌的充分竞争，如某设备的某技术参数属于个别品牌所专有，则该技术参数不具有限制性，供应商可对该参数进行适当调整，并应说明调整的理由。对含差别歧视待遇的专有技术条款评标委员会不视为实质性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3.7.8为有助于供应商选择投标产品，项目需求中提供了推荐品牌（或型号）、参考品牌（或型号）等，但这些品牌（或型号）仅供参考，并无限制性。供应商可以选择性能不低于推荐（或参考）的品牌（或型号）的其他品牌产品。</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3.7.9如有标明的专有技术、专利产品、特定品牌的字样只起说明作用，任何与其同等的技术均应被认为符合招标要求。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3.7.10供应商应在投标文件中列出完成本项目并通过验收所需的所有的设备、设施、材料及服务等明细表及全部费用，中标供应商必须确保本项目通过用户方及有关主管部门验收。</w:t>
      </w:r>
    </w:p>
    <w:p>
      <w:pPr>
        <w:pStyle w:val="181"/>
        <w:pageBreakBefore w:val="0"/>
        <w:widowControl w:val="0"/>
        <w:kinsoku/>
        <w:wordWrap/>
        <w:overflowPunct/>
        <w:topLinePunct w:val="0"/>
        <w:autoSpaceDE/>
        <w:autoSpaceDN/>
        <w:bidi w:val="0"/>
        <w:adjustRightInd/>
        <w:snapToGrid/>
        <w:spacing w:before="0" w:line="360" w:lineRule="auto"/>
        <w:textAlignment w:val="auto"/>
        <w:rPr>
          <w:rFonts w:hint="eastAsia" w:ascii="仿宋" w:hAnsi="仿宋" w:eastAsia="仿宋" w:cs="仿宋"/>
          <w:b/>
          <w:bCs/>
          <w:color w:val="auto"/>
          <w:sz w:val="24"/>
          <w:szCs w:val="24"/>
          <w:highlight w:val="none"/>
        </w:rPr>
      </w:pPr>
      <w:bookmarkStart w:id="476" w:name="_Toc324164709"/>
      <w:bookmarkStart w:id="477" w:name="_Toc152042331"/>
      <w:bookmarkStart w:id="478" w:name="_Toc19249"/>
      <w:bookmarkStart w:id="479" w:name="_Toc514253165"/>
      <w:bookmarkStart w:id="480" w:name="_Toc26497"/>
      <w:bookmarkStart w:id="481" w:name="_Toc4528"/>
      <w:bookmarkStart w:id="482" w:name="_Toc14555"/>
      <w:bookmarkStart w:id="483" w:name="_Toc144974523"/>
      <w:bookmarkStart w:id="484" w:name="_Toc179632573"/>
      <w:bookmarkStart w:id="485" w:name="_Toc21633"/>
      <w:bookmarkStart w:id="486" w:name="_Toc4666"/>
      <w:bookmarkStart w:id="487" w:name="_Toc7670"/>
      <w:bookmarkStart w:id="488" w:name="_Toc4126"/>
      <w:bookmarkStart w:id="489" w:name="_Toc152045555"/>
      <w:bookmarkStart w:id="490" w:name="_Toc28157"/>
      <w:r>
        <w:rPr>
          <w:rFonts w:hint="eastAsia" w:ascii="仿宋" w:hAnsi="仿宋" w:eastAsia="仿宋" w:cs="仿宋"/>
          <w:b/>
          <w:bCs/>
          <w:color w:val="auto"/>
          <w:sz w:val="24"/>
          <w:szCs w:val="24"/>
          <w:highlight w:val="none"/>
        </w:rPr>
        <w:t>4. 投标</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lang w:val="en-US" w:eastAsia="zh-CN"/>
        </w:rPr>
      </w:pPr>
      <w:bookmarkStart w:id="491" w:name="_Toc30080"/>
      <w:bookmarkStart w:id="492" w:name="_Toc26088"/>
      <w:bookmarkStart w:id="493" w:name="_Toc324164710"/>
      <w:bookmarkStart w:id="494" w:name="_Toc152045556"/>
      <w:bookmarkStart w:id="495" w:name="_Toc152042332"/>
      <w:bookmarkStart w:id="496" w:name="_Toc15012"/>
      <w:bookmarkStart w:id="497" w:name="_Toc7410"/>
      <w:bookmarkStart w:id="498" w:name="_Toc19753"/>
      <w:bookmarkStart w:id="499" w:name="_Toc7986"/>
      <w:bookmarkStart w:id="500" w:name="_Toc514253166"/>
      <w:bookmarkStart w:id="501" w:name="_Toc78272793"/>
      <w:bookmarkStart w:id="502" w:name="_Toc22058"/>
      <w:bookmarkStart w:id="503" w:name="_Toc144974524"/>
      <w:bookmarkStart w:id="504" w:name="_Toc12211"/>
      <w:bookmarkStart w:id="505" w:name="_Toc179632574"/>
      <w:bookmarkStart w:id="506" w:name="_Toc3649"/>
      <w:bookmarkStart w:id="507" w:name="_Toc179632575"/>
      <w:bookmarkStart w:id="508" w:name="_Toc25814"/>
      <w:bookmarkStart w:id="509" w:name="_Toc144974525"/>
      <w:bookmarkStart w:id="510" w:name="_Toc324164711"/>
      <w:bookmarkStart w:id="511" w:name="_Toc152045557"/>
      <w:bookmarkStart w:id="512" w:name="_Toc78272794"/>
      <w:bookmarkStart w:id="513" w:name="_Toc19235"/>
      <w:bookmarkStart w:id="514" w:name="_Toc18379"/>
      <w:bookmarkStart w:id="515" w:name="_Toc29084"/>
      <w:bookmarkStart w:id="516" w:name="_Toc25187"/>
      <w:bookmarkStart w:id="517" w:name="_Toc26965"/>
      <w:bookmarkStart w:id="518" w:name="_Toc152042333"/>
      <w:bookmarkStart w:id="519" w:name="_Toc24110"/>
      <w:bookmarkStart w:id="520" w:name="_Toc514253167"/>
      <w:bookmarkStart w:id="521" w:name="_Toc10392"/>
      <w:bookmarkStart w:id="522" w:name="_Toc18159"/>
      <w:r>
        <w:rPr>
          <w:rFonts w:hint="eastAsia" w:ascii="仿宋" w:hAnsi="仿宋" w:eastAsia="仿宋" w:cs="仿宋"/>
          <w:b/>
          <w:bCs/>
          <w:color w:val="auto"/>
          <w:sz w:val="24"/>
          <w:szCs w:val="24"/>
        </w:rPr>
        <w:t>4.1</w:t>
      </w:r>
      <w:r>
        <w:rPr>
          <w:rFonts w:hint="eastAsia" w:ascii="仿宋" w:hAnsi="仿宋" w:eastAsia="仿宋" w:cs="仿宋"/>
          <w:b/>
          <w:bCs/>
          <w:color w:val="auto"/>
          <w:kern w:val="2"/>
          <w:sz w:val="24"/>
          <w:szCs w:val="24"/>
          <w:lang w:val="en-US" w:eastAsia="zh-CN" w:bidi="ar-SA"/>
        </w:rPr>
        <w:t xml:space="preserve"> </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Pr>
          <w:rFonts w:hint="eastAsia" w:ascii="仿宋" w:hAnsi="仿宋" w:eastAsia="仿宋" w:cs="仿宋"/>
          <w:b/>
          <w:bCs/>
          <w:color w:val="auto"/>
          <w:kern w:val="2"/>
          <w:sz w:val="24"/>
          <w:szCs w:val="24"/>
          <w:lang w:val="en-US" w:eastAsia="zh-CN" w:bidi="ar-SA"/>
        </w:rPr>
        <w:t>响应文件要求</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4.1.1</w:t>
      </w:r>
      <w:r>
        <w:rPr>
          <w:rFonts w:hint="eastAsia" w:ascii="仿宋" w:hAnsi="仿宋" w:eastAsia="仿宋" w:cs="仿宋"/>
          <w:b/>
          <w:bCs/>
          <w:color w:val="auto"/>
          <w:kern w:val="2"/>
          <w:sz w:val="24"/>
          <w:szCs w:val="24"/>
          <w:lang w:val="en-US" w:eastAsia="zh-CN" w:bidi="ar-SA"/>
        </w:rPr>
        <w:t>纸质版响应文件要求：</w:t>
      </w:r>
      <w:r>
        <w:rPr>
          <w:rFonts w:hint="eastAsia" w:ascii="仿宋" w:hAnsi="仿宋" w:eastAsia="仿宋" w:cs="仿宋"/>
          <w:b/>
          <w:bCs/>
          <w:color w:val="auto"/>
          <w:sz w:val="24"/>
          <w:szCs w:val="24"/>
          <w:lang w:val="en-US" w:eastAsia="zh-CN"/>
        </w:rPr>
        <w:t>只需中标单位领取中标通知书时提交2 份加盖鲜章的纸质响应文件及响应文件电子档 2 份（Word 文档格式 1 份、正本盖章后的 PDF 格式 1 份）。</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4.1.2线上电子文件的要求：</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4.1.2.1本项目采用电子化交易系统,需办理相关 CA 证书锁，各供应商须在投标截止时间前上传电子响应文件至“拉萨市公共资源交易网（</w:t>
      </w:r>
      <w:r>
        <w:rPr>
          <w:rFonts w:hint="eastAsia" w:ascii="仿宋" w:hAnsi="仿宋" w:eastAsia="仿宋" w:cs="仿宋"/>
          <w:b/>
          <w:bCs/>
          <w:color w:val="auto"/>
          <w:kern w:val="2"/>
          <w:sz w:val="24"/>
          <w:szCs w:val="24"/>
          <w:lang w:val="en-US" w:eastAsia="zh-CN" w:bidi="ar-SA"/>
        </w:rPr>
        <w:fldChar w:fldCharType="begin"/>
      </w:r>
      <w:r>
        <w:rPr>
          <w:rFonts w:hint="eastAsia" w:ascii="仿宋" w:hAnsi="仿宋" w:eastAsia="仿宋" w:cs="仿宋"/>
          <w:b/>
          <w:bCs/>
          <w:color w:val="auto"/>
          <w:kern w:val="2"/>
          <w:sz w:val="24"/>
          <w:szCs w:val="24"/>
          <w:lang w:val="en-US" w:eastAsia="zh-CN" w:bidi="ar-SA"/>
        </w:rPr>
        <w:instrText xml:space="preserve"> HYPERLINK "http://ggzy.xizang.gov.cn/" \h </w:instrText>
      </w:r>
      <w:r>
        <w:rPr>
          <w:rFonts w:hint="eastAsia" w:ascii="仿宋" w:hAnsi="仿宋" w:eastAsia="仿宋" w:cs="仿宋"/>
          <w:b/>
          <w:bCs/>
          <w:color w:val="auto"/>
          <w:kern w:val="2"/>
          <w:sz w:val="24"/>
          <w:szCs w:val="24"/>
          <w:lang w:val="en-US" w:eastAsia="zh-CN" w:bidi="ar-SA"/>
        </w:rPr>
        <w:fldChar w:fldCharType="separate"/>
      </w:r>
      <w:r>
        <w:rPr>
          <w:rFonts w:hint="eastAsia" w:ascii="仿宋" w:hAnsi="仿宋" w:eastAsia="仿宋" w:cs="仿宋"/>
          <w:b/>
          <w:bCs/>
          <w:color w:val="auto"/>
          <w:kern w:val="2"/>
          <w:sz w:val="24"/>
          <w:szCs w:val="24"/>
          <w:lang w:val="en-US" w:eastAsia="zh-CN" w:bidi="ar-SA"/>
        </w:rPr>
        <w:t>http://ggzy.lasa.gov.cn/</w:t>
      </w:r>
      <w:r>
        <w:rPr>
          <w:rFonts w:hint="eastAsia" w:ascii="仿宋" w:hAnsi="仿宋" w:eastAsia="仿宋" w:cs="仿宋"/>
          <w:b/>
          <w:bCs/>
          <w:color w:val="auto"/>
          <w:kern w:val="2"/>
          <w:sz w:val="24"/>
          <w:szCs w:val="24"/>
          <w:lang w:val="en-US" w:eastAsia="zh-CN" w:bidi="ar-SA"/>
        </w:rPr>
        <w:fldChar w:fldCharType="end"/>
      </w:r>
      <w:r>
        <w:rPr>
          <w:rFonts w:hint="eastAsia" w:ascii="仿宋" w:hAnsi="仿宋" w:eastAsia="仿宋" w:cs="仿宋"/>
          <w:b/>
          <w:bCs/>
          <w:color w:val="auto"/>
          <w:kern w:val="2"/>
          <w:sz w:val="24"/>
          <w:szCs w:val="24"/>
          <w:lang w:val="en-US" w:eastAsia="zh-CN" w:bidi="ar-SA"/>
        </w:rPr>
        <w:t>）”。相关 CA 证书锁可在拉萨市公共资源交易网（</w:t>
      </w:r>
      <w:r>
        <w:rPr>
          <w:rFonts w:hint="eastAsia" w:ascii="仿宋" w:hAnsi="仿宋" w:eastAsia="仿宋" w:cs="仿宋"/>
          <w:b/>
          <w:bCs/>
          <w:color w:val="auto"/>
          <w:kern w:val="2"/>
          <w:sz w:val="24"/>
          <w:szCs w:val="24"/>
          <w:lang w:val="en-US" w:eastAsia="zh-CN" w:bidi="ar-SA"/>
        </w:rPr>
        <w:fldChar w:fldCharType="begin"/>
      </w:r>
      <w:r>
        <w:rPr>
          <w:rFonts w:hint="eastAsia" w:ascii="仿宋" w:hAnsi="仿宋" w:eastAsia="仿宋" w:cs="仿宋"/>
          <w:b/>
          <w:bCs/>
          <w:color w:val="auto"/>
          <w:kern w:val="2"/>
          <w:sz w:val="24"/>
          <w:szCs w:val="24"/>
          <w:lang w:val="en-US" w:eastAsia="zh-CN" w:bidi="ar-SA"/>
        </w:rPr>
        <w:instrText xml:space="preserve"> HYPERLINK "http://ggzy.xizang.gov.cn/" \h </w:instrText>
      </w:r>
      <w:r>
        <w:rPr>
          <w:rFonts w:hint="eastAsia" w:ascii="仿宋" w:hAnsi="仿宋" w:eastAsia="仿宋" w:cs="仿宋"/>
          <w:b/>
          <w:bCs/>
          <w:color w:val="auto"/>
          <w:kern w:val="2"/>
          <w:sz w:val="24"/>
          <w:szCs w:val="24"/>
          <w:lang w:val="en-US" w:eastAsia="zh-CN" w:bidi="ar-SA"/>
        </w:rPr>
        <w:fldChar w:fldCharType="separate"/>
      </w:r>
      <w:r>
        <w:rPr>
          <w:rFonts w:hint="eastAsia" w:ascii="仿宋" w:hAnsi="仿宋" w:eastAsia="仿宋" w:cs="仿宋"/>
          <w:b/>
          <w:bCs/>
          <w:color w:val="auto"/>
          <w:kern w:val="2"/>
          <w:sz w:val="24"/>
          <w:szCs w:val="24"/>
          <w:lang w:val="en-US" w:eastAsia="zh-CN" w:bidi="ar-SA"/>
        </w:rPr>
        <w:t>http://ggzy.lasa.gov.cn/</w:t>
      </w:r>
      <w:r>
        <w:rPr>
          <w:rFonts w:hint="eastAsia" w:ascii="仿宋" w:hAnsi="仿宋" w:eastAsia="仿宋" w:cs="仿宋"/>
          <w:b/>
          <w:bCs/>
          <w:color w:val="auto"/>
          <w:kern w:val="2"/>
          <w:sz w:val="24"/>
          <w:szCs w:val="24"/>
          <w:lang w:val="en-US" w:eastAsia="zh-CN" w:bidi="ar-SA"/>
        </w:rPr>
        <w:fldChar w:fldCharType="end"/>
      </w:r>
      <w:r>
        <w:rPr>
          <w:rFonts w:hint="eastAsia" w:ascii="仿宋" w:hAnsi="仿宋" w:eastAsia="仿宋" w:cs="仿宋"/>
          <w:b/>
          <w:bCs/>
          <w:color w:val="auto"/>
          <w:kern w:val="2"/>
          <w:sz w:val="24"/>
          <w:szCs w:val="24"/>
          <w:lang w:val="en-US" w:eastAsia="zh-CN" w:bidi="ar-SA"/>
        </w:rPr>
        <w:t>）查询办理流程。各供应商未在投标截止时间前上传电子响应文件的，视为自动放弃投标。</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4.1.2.2本项目采用电子评标（线上评标），只对电子响应文件进行评审，如在评标过程中出现意外情况导致无法继续进行电子评标时，改为非加密电子响应文件评标。</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4.1.2.3具体请登录拉萨市公共资源交易网（</w:t>
      </w:r>
      <w:r>
        <w:rPr>
          <w:rFonts w:hint="eastAsia" w:ascii="仿宋" w:hAnsi="仿宋" w:eastAsia="仿宋" w:cs="仿宋"/>
          <w:b/>
          <w:bCs/>
          <w:color w:val="auto"/>
          <w:kern w:val="2"/>
          <w:sz w:val="24"/>
          <w:szCs w:val="24"/>
          <w:lang w:val="en-US" w:eastAsia="zh-CN" w:bidi="ar-SA"/>
        </w:rPr>
        <w:fldChar w:fldCharType="begin"/>
      </w:r>
      <w:r>
        <w:rPr>
          <w:rFonts w:hint="eastAsia" w:ascii="仿宋" w:hAnsi="仿宋" w:eastAsia="仿宋" w:cs="仿宋"/>
          <w:b/>
          <w:bCs/>
          <w:color w:val="auto"/>
          <w:kern w:val="2"/>
          <w:sz w:val="24"/>
          <w:szCs w:val="24"/>
          <w:lang w:val="en-US" w:eastAsia="zh-CN" w:bidi="ar-SA"/>
        </w:rPr>
        <w:instrText xml:space="preserve"> HYPERLINK "http://ggzy.xizang.gov.cn/" \h </w:instrText>
      </w:r>
      <w:r>
        <w:rPr>
          <w:rFonts w:hint="eastAsia" w:ascii="仿宋" w:hAnsi="仿宋" w:eastAsia="仿宋" w:cs="仿宋"/>
          <w:b/>
          <w:bCs/>
          <w:color w:val="auto"/>
          <w:kern w:val="2"/>
          <w:sz w:val="24"/>
          <w:szCs w:val="24"/>
          <w:lang w:val="en-US" w:eastAsia="zh-CN" w:bidi="ar-SA"/>
        </w:rPr>
        <w:fldChar w:fldCharType="separate"/>
      </w:r>
      <w:r>
        <w:rPr>
          <w:rFonts w:hint="eastAsia" w:ascii="仿宋" w:hAnsi="仿宋" w:eastAsia="仿宋" w:cs="仿宋"/>
          <w:b/>
          <w:bCs/>
          <w:color w:val="auto"/>
          <w:kern w:val="2"/>
          <w:sz w:val="24"/>
          <w:szCs w:val="24"/>
          <w:lang w:val="en-US" w:eastAsia="zh-CN" w:bidi="ar-SA"/>
        </w:rPr>
        <w:t>http://ggzy.lasa.gov.cn/</w:t>
      </w:r>
      <w:r>
        <w:rPr>
          <w:rFonts w:hint="eastAsia" w:ascii="仿宋" w:hAnsi="仿宋" w:eastAsia="仿宋" w:cs="仿宋"/>
          <w:b/>
          <w:bCs/>
          <w:color w:val="auto"/>
          <w:kern w:val="2"/>
          <w:sz w:val="24"/>
          <w:szCs w:val="24"/>
          <w:lang w:val="en-US" w:eastAsia="zh-CN" w:bidi="ar-SA"/>
        </w:rPr>
        <w:fldChar w:fldCharType="end"/>
      </w:r>
      <w:r>
        <w:rPr>
          <w:rFonts w:hint="eastAsia" w:ascii="仿宋" w:hAnsi="仿宋" w:eastAsia="仿宋" w:cs="仿宋"/>
          <w:b/>
          <w:bCs/>
          <w:color w:val="auto"/>
          <w:kern w:val="2"/>
          <w:sz w:val="24"/>
          <w:szCs w:val="24"/>
          <w:lang w:val="en-US" w:eastAsia="zh-CN" w:bidi="ar-SA"/>
        </w:rPr>
        <w:t>）认真了解流程和要求并严格按照操作手册制做响应文件（建议供应商将响应文件中需要签字盖章的页面打印后签字盖章， 再将已签字盖章的页面扫描成彩色 PDF 格式上传至电子交易系统，以保证响应文件签章的完整性），在投标截止时间前上传至拉萨市公共资源交易网电子交易系统。</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4.1.2.4供应商法定代表人或其委托代理人应当按照本招标公告载明的时间和地点参加开标。</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4.1.3电子响应文件签字、盖章要求：签字、盖章位置及要求应符合“响应文件格式”规定。</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4.2 投标文件的递交</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 供应商应在规定的投标截止时间前递交投标文件。</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 供应商递交投标文件的地点：见供应商须知前附表。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 除供应商须知前附表另有规定外，供应商所递交的投标文件不予退还。</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4.2.4 采购人收到投标文件后，向供应商出具签收凭证。</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4.2.5 逾期送达的或者未送达指定地点的投标文件，采购人不予受理。</w:t>
      </w:r>
    </w:p>
    <w:p>
      <w:pPr>
        <w:pStyle w:val="188"/>
        <w:pageBreakBefore w:val="0"/>
        <w:widowControl w:val="0"/>
        <w:kinsoku/>
        <w:wordWrap/>
        <w:overflowPunct/>
        <w:topLinePunct w:val="0"/>
        <w:autoSpaceDE/>
        <w:autoSpaceDN/>
        <w:bidi w:val="0"/>
        <w:adjustRightInd/>
        <w:snapToGrid/>
        <w:spacing w:before="0" w:line="360" w:lineRule="auto"/>
        <w:ind w:firstLine="240" w:firstLineChars="100"/>
        <w:textAlignment w:val="auto"/>
        <w:rPr>
          <w:rFonts w:hint="eastAsia" w:ascii="仿宋" w:hAnsi="仿宋" w:eastAsia="仿宋" w:cs="仿宋"/>
          <w:color w:val="auto"/>
          <w:sz w:val="24"/>
          <w:szCs w:val="24"/>
          <w:highlight w:val="none"/>
        </w:rPr>
      </w:pPr>
      <w:bookmarkStart w:id="523" w:name="_Toc179632576"/>
      <w:bookmarkStart w:id="524" w:name="_Toc3291"/>
      <w:bookmarkStart w:id="525" w:name="_Toc78272795"/>
      <w:bookmarkStart w:id="526" w:name="_Toc13049"/>
      <w:bookmarkStart w:id="527" w:name="_Toc23980"/>
      <w:bookmarkStart w:id="528" w:name="_Toc5931"/>
      <w:bookmarkStart w:id="529" w:name="_Toc152045558"/>
      <w:bookmarkStart w:id="530" w:name="_Toc18497"/>
      <w:bookmarkStart w:id="531" w:name="_Toc2805"/>
      <w:bookmarkStart w:id="532" w:name="_Toc909"/>
      <w:bookmarkStart w:id="533" w:name="_Toc31346"/>
      <w:bookmarkStart w:id="534" w:name="_Toc144974526"/>
      <w:bookmarkStart w:id="535" w:name="_Toc152042334"/>
      <w:bookmarkStart w:id="536" w:name="_Toc2175"/>
      <w:bookmarkStart w:id="537" w:name="_Toc324164712"/>
      <w:bookmarkStart w:id="538" w:name="_Toc11321"/>
      <w:bookmarkStart w:id="539" w:name="_Toc514253168"/>
      <w:r>
        <w:rPr>
          <w:rFonts w:hint="eastAsia" w:ascii="仿宋" w:hAnsi="仿宋" w:eastAsia="仿宋" w:cs="仿宋"/>
          <w:color w:val="auto"/>
          <w:sz w:val="24"/>
          <w:szCs w:val="24"/>
          <w:highlight w:val="none"/>
        </w:rPr>
        <w:t>4.3 投标文件的修改与撤回</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4.3.1 在规定的投标截止时间前，供应商可以修改或撤回已递交的投标文件，但应以书面形式通知采购人。</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 供应商修改或撤回已递交投标文件的书面通知应按照本章第3.6.3项的要求签字或盖章。采购人收到书面通知后，向供应商出具签收凭证。</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4.3.3 修改的内容为投标文件的组成部分。修改的投标文件应按照本章第3条、第4条规定进行编制。</w:t>
      </w:r>
    </w:p>
    <w:p>
      <w:pPr>
        <w:pStyle w:val="181"/>
        <w:pageBreakBefore w:val="0"/>
        <w:widowControl w:val="0"/>
        <w:kinsoku/>
        <w:wordWrap/>
        <w:overflowPunct/>
        <w:topLinePunct w:val="0"/>
        <w:autoSpaceDE/>
        <w:autoSpaceDN/>
        <w:bidi w:val="0"/>
        <w:adjustRightInd/>
        <w:snapToGrid/>
        <w:spacing w:before="0" w:line="360" w:lineRule="auto"/>
        <w:textAlignment w:val="auto"/>
        <w:rPr>
          <w:rFonts w:hint="eastAsia" w:ascii="仿宋" w:hAnsi="仿宋" w:eastAsia="仿宋" w:cs="仿宋"/>
          <w:b/>
          <w:bCs/>
          <w:color w:val="auto"/>
          <w:sz w:val="24"/>
          <w:szCs w:val="24"/>
          <w:highlight w:val="none"/>
        </w:rPr>
      </w:pPr>
      <w:bookmarkStart w:id="540" w:name="_Toc1093"/>
      <w:bookmarkStart w:id="541" w:name="_Toc152045559"/>
      <w:bookmarkStart w:id="542" w:name="_Toc4308"/>
      <w:bookmarkStart w:id="543" w:name="_Toc22062"/>
      <w:bookmarkStart w:id="544" w:name="_Toc5644"/>
      <w:bookmarkStart w:id="545" w:name="_Toc2432"/>
      <w:bookmarkStart w:id="546" w:name="_Toc24930"/>
      <w:bookmarkStart w:id="547" w:name="_Toc179632577"/>
      <w:bookmarkStart w:id="548" w:name="_Toc30150"/>
      <w:bookmarkStart w:id="549" w:name="_Toc152042335"/>
      <w:bookmarkStart w:id="550" w:name="_Toc144974527"/>
      <w:bookmarkStart w:id="551" w:name="_Toc21830"/>
      <w:bookmarkStart w:id="552" w:name="_Toc514253169"/>
      <w:bookmarkStart w:id="553" w:name="_Toc324164713"/>
      <w:bookmarkStart w:id="554" w:name="_Toc20150"/>
      <w:r>
        <w:rPr>
          <w:rFonts w:hint="eastAsia" w:ascii="仿宋" w:hAnsi="仿宋" w:eastAsia="仿宋" w:cs="仿宋"/>
          <w:b/>
          <w:bCs/>
          <w:color w:val="auto"/>
          <w:sz w:val="24"/>
          <w:szCs w:val="24"/>
          <w:highlight w:val="none"/>
        </w:rPr>
        <w:t>5. 开标</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555" w:name="_Toc514253170"/>
      <w:bookmarkStart w:id="556" w:name="_Toc144974528"/>
      <w:bookmarkStart w:id="557" w:name="_Toc12851"/>
      <w:bookmarkStart w:id="558" w:name="_Toc152045560"/>
      <w:bookmarkStart w:id="559" w:name="_Toc32240"/>
      <w:bookmarkStart w:id="560" w:name="_Toc78272797"/>
      <w:bookmarkStart w:id="561" w:name="_Toc23757"/>
      <w:bookmarkStart w:id="562" w:name="_Toc15440"/>
      <w:bookmarkStart w:id="563" w:name="_Toc324164714"/>
      <w:bookmarkStart w:id="564" w:name="_Toc27341"/>
      <w:bookmarkStart w:id="565" w:name="_Toc179632578"/>
      <w:bookmarkStart w:id="566" w:name="_Toc8986"/>
      <w:bookmarkStart w:id="567" w:name="_Toc17518"/>
      <w:bookmarkStart w:id="568" w:name="_Toc21836"/>
      <w:bookmarkStart w:id="569" w:name="_Toc12121"/>
      <w:bookmarkStart w:id="570" w:name="_Toc3961"/>
      <w:bookmarkStart w:id="571" w:name="_Toc152042336"/>
      <w:r>
        <w:rPr>
          <w:rFonts w:hint="eastAsia" w:ascii="仿宋" w:hAnsi="仿宋" w:eastAsia="仿宋" w:cs="仿宋"/>
          <w:b/>
          <w:bCs/>
          <w:color w:val="auto"/>
          <w:sz w:val="24"/>
          <w:szCs w:val="24"/>
          <w:highlight w:val="none"/>
        </w:rPr>
        <w:t>5.1 开标时间和地点</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pPr>
        <w:pageBreakBefore w:val="0"/>
        <w:widowControl w:val="0"/>
        <w:kinsoku/>
        <w:wordWrap/>
        <w:overflowPunct/>
        <w:topLinePunct w:val="0"/>
        <w:autoSpaceDE/>
        <w:autoSpaceDN/>
        <w:bidi w:val="0"/>
        <w:adjustRightInd/>
        <w:snapToGrid/>
        <w:spacing w:line="360" w:lineRule="auto"/>
        <w:ind w:right="-388" w:rightChars="-185"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招标代理机构按本须知前附表所规定的时间和地点公开开标，并邀请所有</w:t>
      </w:r>
      <w:r>
        <w:rPr>
          <w:rFonts w:hint="eastAsia" w:ascii="仿宋" w:hAnsi="仿宋" w:eastAsia="仿宋" w:cs="仿宋"/>
          <w:b w:val="0"/>
          <w:bCs w:val="0"/>
          <w:color w:val="auto"/>
          <w:sz w:val="24"/>
          <w:szCs w:val="24"/>
          <w:highlight w:val="none"/>
          <w:lang w:eastAsia="zh-CN"/>
        </w:rPr>
        <w:t>投标人</w:t>
      </w:r>
      <w:r>
        <w:rPr>
          <w:rFonts w:hint="eastAsia" w:ascii="仿宋" w:hAnsi="仿宋" w:eastAsia="仿宋" w:cs="仿宋"/>
          <w:b w:val="0"/>
          <w:bCs w:val="0"/>
          <w:color w:val="auto"/>
          <w:sz w:val="24"/>
          <w:szCs w:val="24"/>
          <w:highlight w:val="none"/>
        </w:rPr>
        <w:t>参加。</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572" w:name="_Toc2790"/>
      <w:bookmarkStart w:id="573" w:name="_Toc144974529"/>
      <w:bookmarkStart w:id="574" w:name="_Toc179632579"/>
      <w:bookmarkStart w:id="575" w:name="_Toc6305"/>
      <w:bookmarkStart w:id="576" w:name="_Toc7994"/>
      <w:bookmarkStart w:id="577" w:name="_Toc16941"/>
      <w:bookmarkStart w:id="578" w:name="_Toc152042337"/>
      <w:bookmarkStart w:id="579" w:name="_Toc152045561"/>
      <w:bookmarkStart w:id="580" w:name="_Toc31933"/>
      <w:bookmarkStart w:id="581" w:name="_Toc514253171"/>
      <w:bookmarkStart w:id="582" w:name="_Toc78272798"/>
      <w:bookmarkStart w:id="583" w:name="_Toc18727"/>
      <w:bookmarkStart w:id="584" w:name="_Toc19174"/>
      <w:bookmarkStart w:id="585" w:name="_Toc29362"/>
      <w:bookmarkStart w:id="586" w:name="_Toc324164715"/>
      <w:bookmarkStart w:id="587" w:name="_Toc19667"/>
      <w:bookmarkStart w:id="588" w:name="_Toc20586"/>
      <w:r>
        <w:rPr>
          <w:rFonts w:hint="eastAsia" w:ascii="仿宋" w:hAnsi="仿宋" w:eastAsia="仿宋" w:cs="仿宋"/>
          <w:b/>
          <w:bCs/>
          <w:color w:val="auto"/>
          <w:sz w:val="24"/>
          <w:szCs w:val="24"/>
          <w:highlight w:val="none"/>
        </w:rPr>
        <w:t>5.2 开标程序</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主持人按下列程序进行开标：</w:t>
      </w:r>
    </w:p>
    <w:p>
      <w:pPr>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（1）宣布开标纪律；</w:t>
      </w:r>
    </w:p>
    <w:p>
      <w:pPr>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（2）公布在投标截止时间前递交投标文件的供应商名称，并点名确认供应商是否派人到场；</w:t>
      </w:r>
    </w:p>
    <w:p>
      <w:pPr>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（3）按照供应商须知前附表规定检查投标文件的密封情况；</w:t>
      </w:r>
    </w:p>
    <w:p>
      <w:pPr>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（4）按照供应商须知前附表的规定确定并宣布投标文件开标顺序；</w:t>
      </w:r>
    </w:p>
    <w:p>
      <w:pPr>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b w:val="0"/>
          <w:bCs w:val="0"/>
          <w:color w:val="auto"/>
          <w:sz w:val="24"/>
          <w:szCs w:val="24"/>
          <w:highlight w:val="none"/>
        </w:rPr>
        <w:t>按照宣布的开标顺序当众开标，公布</w:t>
      </w:r>
      <w:r>
        <w:rPr>
          <w:rFonts w:hint="eastAsia" w:ascii="仿宋" w:hAnsi="仿宋" w:eastAsia="仿宋" w:cs="仿宋"/>
          <w:b w:val="0"/>
          <w:bCs w:val="0"/>
          <w:color w:val="auto"/>
          <w:sz w:val="24"/>
          <w:szCs w:val="24"/>
          <w:highlight w:val="none"/>
          <w:lang w:eastAsia="zh-CN"/>
        </w:rPr>
        <w:t>投标</w:t>
      </w:r>
      <w:r>
        <w:rPr>
          <w:rFonts w:hint="eastAsia" w:ascii="仿宋" w:hAnsi="仿宋" w:eastAsia="仿宋" w:cs="仿宋"/>
          <w:b w:val="0"/>
          <w:bCs w:val="0"/>
          <w:color w:val="auto"/>
          <w:sz w:val="24"/>
          <w:szCs w:val="24"/>
          <w:highlight w:val="none"/>
        </w:rPr>
        <w:t>名称、</w:t>
      </w:r>
      <w:r>
        <w:rPr>
          <w:rFonts w:hint="eastAsia" w:ascii="仿宋" w:hAnsi="仿宋" w:eastAsia="仿宋" w:cs="仿宋"/>
          <w:b w:val="0"/>
          <w:bCs w:val="0"/>
          <w:color w:val="auto"/>
          <w:sz w:val="24"/>
          <w:szCs w:val="24"/>
          <w:highlight w:val="none"/>
          <w:lang w:eastAsia="zh-CN"/>
        </w:rPr>
        <w:t>标包</w:t>
      </w:r>
      <w:r>
        <w:rPr>
          <w:rFonts w:hint="eastAsia" w:ascii="仿宋" w:hAnsi="仿宋" w:eastAsia="仿宋" w:cs="仿宋"/>
          <w:b w:val="0"/>
          <w:bCs w:val="0"/>
          <w:color w:val="auto"/>
          <w:sz w:val="24"/>
          <w:szCs w:val="24"/>
          <w:highlight w:val="none"/>
        </w:rPr>
        <w:t>名称、投标保证金的递交情况、投标报价、合同履行期及其他内容，并记录在案；</w:t>
      </w:r>
    </w:p>
    <w:p>
      <w:pPr>
        <w:pageBreakBefore w:val="0"/>
        <w:widowControl w:val="0"/>
        <w:kinsoku/>
        <w:wordWrap/>
        <w:overflowPunct/>
        <w:topLinePunct w:val="0"/>
        <w:autoSpaceDE/>
        <w:autoSpaceDN/>
        <w:bidi w:val="0"/>
        <w:adjustRightInd/>
        <w:snapToGrid/>
        <w:spacing w:line="360" w:lineRule="auto"/>
        <w:ind w:right="-388" w:rightChars="-185"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（6）供应商代表、采购人代表、监督人员、记录人等有关人员在开标记录上签字确认；</w:t>
      </w:r>
    </w:p>
    <w:p>
      <w:pPr>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（7）开标会议结束。</w:t>
      </w:r>
    </w:p>
    <w:p>
      <w:pPr>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（8）根据《中华人民共和国财政部令第87号——政府采购货物和服务招标投标管理办法》第四十四条公开招标采购项目开标结束后，采购人或者采购代理机构应当依法对供应商的资格进行审查。</w:t>
      </w:r>
      <w:r>
        <w:rPr>
          <w:rFonts w:hint="eastAsia" w:ascii="仿宋" w:hAnsi="仿宋" w:eastAsia="仿宋" w:cs="仿宋"/>
          <w:b w:val="0"/>
          <w:bCs w:val="0"/>
          <w:color w:val="auto"/>
          <w:sz w:val="24"/>
          <w:szCs w:val="24"/>
          <w:highlight w:val="none"/>
        </w:rPr>
        <w:t>资格审查内容见第三章评标办法资格审查表。</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589" w:name="_Toc21013"/>
      <w:bookmarkStart w:id="590" w:name="_Toc18907"/>
      <w:bookmarkStart w:id="591" w:name="_Toc78272799"/>
      <w:bookmarkStart w:id="592" w:name="_Toc21493"/>
      <w:r>
        <w:rPr>
          <w:rFonts w:hint="eastAsia" w:ascii="仿宋" w:hAnsi="仿宋" w:eastAsia="仿宋" w:cs="仿宋"/>
          <w:b/>
          <w:bCs/>
          <w:color w:val="auto"/>
          <w:sz w:val="24"/>
          <w:szCs w:val="24"/>
          <w:highlight w:val="none"/>
        </w:rPr>
        <w:t>5.3 开标异议</w:t>
      </w:r>
      <w:bookmarkEnd w:id="589"/>
      <w:bookmarkEnd w:id="590"/>
      <w:bookmarkEnd w:id="591"/>
      <w:bookmarkEnd w:id="592"/>
    </w:p>
    <w:p>
      <w:pPr>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供应商对开标有异议的，应当在开标现场提出，采购人当场作出答复，并制作记录。</w:t>
      </w:r>
    </w:p>
    <w:p>
      <w:pPr>
        <w:pStyle w:val="181"/>
        <w:pageBreakBefore w:val="0"/>
        <w:widowControl w:val="0"/>
        <w:kinsoku/>
        <w:wordWrap/>
        <w:overflowPunct/>
        <w:topLinePunct w:val="0"/>
        <w:autoSpaceDE/>
        <w:autoSpaceDN/>
        <w:bidi w:val="0"/>
        <w:adjustRightInd/>
        <w:snapToGrid/>
        <w:spacing w:before="0" w:line="360" w:lineRule="auto"/>
        <w:textAlignment w:val="auto"/>
        <w:rPr>
          <w:rFonts w:hint="eastAsia" w:ascii="仿宋" w:hAnsi="仿宋" w:eastAsia="仿宋" w:cs="仿宋"/>
          <w:b/>
          <w:bCs/>
          <w:color w:val="auto"/>
          <w:sz w:val="24"/>
          <w:szCs w:val="24"/>
          <w:highlight w:val="none"/>
        </w:rPr>
      </w:pPr>
      <w:bookmarkStart w:id="593" w:name="_Toc12382"/>
      <w:bookmarkStart w:id="594" w:name="_Toc26879"/>
      <w:bookmarkStart w:id="595" w:name="_Toc152042338"/>
      <w:bookmarkStart w:id="596" w:name="_Toc27009"/>
      <w:bookmarkStart w:id="597" w:name="_Toc13208"/>
      <w:bookmarkStart w:id="598" w:name="_Toc514253172"/>
      <w:bookmarkStart w:id="599" w:name="_Toc152045562"/>
      <w:bookmarkStart w:id="600" w:name="_Toc144974530"/>
      <w:bookmarkStart w:id="601" w:name="_Toc12085"/>
      <w:bookmarkStart w:id="602" w:name="_Toc12991"/>
      <w:bookmarkStart w:id="603" w:name="_Toc324164716"/>
      <w:bookmarkStart w:id="604" w:name="_Toc3589"/>
      <w:bookmarkStart w:id="605" w:name="_Toc27698"/>
      <w:bookmarkStart w:id="606" w:name="_Toc31061"/>
      <w:bookmarkStart w:id="607" w:name="_Toc179632580"/>
      <w:r>
        <w:rPr>
          <w:rFonts w:hint="eastAsia" w:ascii="仿宋" w:hAnsi="仿宋" w:eastAsia="仿宋" w:cs="仿宋"/>
          <w:b/>
          <w:bCs/>
          <w:color w:val="auto"/>
          <w:sz w:val="24"/>
          <w:szCs w:val="24"/>
          <w:highlight w:val="none"/>
        </w:rPr>
        <w:t>6. 评标</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608" w:name="_Toc1141"/>
      <w:bookmarkStart w:id="609" w:name="_Toc179632581"/>
      <w:bookmarkStart w:id="610" w:name="_Toc25156"/>
      <w:bookmarkStart w:id="611" w:name="_Toc324164717"/>
      <w:bookmarkStart w:id="612" w:name="_Toc12791"/>
      <w:bookmarkStart w:id="613" w:name="_Toc1467"/>
      <w:bookmarkStart w:id="614" w:name="_Toc514253173"/>
      <w:bookmarkStart w:id="615" w:name="_Toc4832"/>
      <w:bookmarkStart w:id="616" w:name="_Toc152045563"/>
      <w:bookmarkStart w:id="617" w:name="_Toc16171"/>
      <w:bookmarkStart w:id="618" w:name="_Toc17039"/>
      <w:bookmarkStart w:id="619" w:name="_Toc144974531"/>
      <w:bookmarkStart w:id="620" w:name="_Toc2940"/>
      <w:bookmarkStart w:id="621" w:name="_Toc6675"/>
      <w:bookmarkStart w:id="622" w:name="_Toc78272801"/>
      <w:bookmarkStart w:id="623" w:name="_Toc152042339"/>
      <w:bookmarkStart w:id="624" w:name="_Toc9419"/>
      <w:r>
        <w:rPr>
          <w:rFonts w:hint="eastAsia" w:ascii="仿宋" w:hAnsi="仿宋" w:eastAsia="仿宋" w:cs="仿宋"/>
          <w:b/>
          <w:bCs/>
          <w:color w:val="auto"/>
          <w:sz w:val="24"/>
          <w:szCs w:val="24"/>
          <w:highlight w:val="none"/>
        </w:rPr>
        <w:t>6.1 评标委员会</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6.1.1 </w:t>
      </w:r>
      <w:r>
        <w:rPr>
          <w:rFonts w:hint="eastAsia" w:ascii="仿宋" w:hAnsi="仿宋" w:eastAsia="仿宋" w:cs="仿宋"/>
          <w:b w:val="0"/>
          <w:bCs w:val="0"/>
          <w:color w:val="auto"/>
          <w:sz w:val="24"/>
          <w:szCs w:val="24"/>
          <w:highlight w:val="none"/>
        </w:rPr>
        <w:t>评标委员会在省级以上专家库中随机抽取组成。</w:t>
      </w:r>
      <w:r>
        <w:rPr>
          <w:rFonts w:hint="eastAsia" w:ascii="仿宋" w:hAnsi="仿宋" w:eastAsia="仿宋" w:cs="仿宋"/>
          <w:color w:val="auto"/>
          <w:sz w:val="24"/>
          <w:szCs w:val="24"/>
          <w:highlight w:val="none"/>
        </w:rPr>
        <w:t>评标委员会成员人数以及货物、经济等方面专家的确定方式见供应商须知前附表。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6.1.2 评标委员会成员有下列情形之一的，应当回避：</w:t>
      </w:r>
    </w:p>
    <w:p>
      <w:pPr>
        <w:pageBreakBefore w:val="0"/>
        <w:widowControl w:val="0"/>
        <w:kinsoku/>
        <w:wordWrap/>
        <w:overflowPunct/>
        <w:topLinePunct w:val="0"/>
        <w:autoSpaceDE/>
        <w:autoSpaceDN/>
        <w:bidi w:val="0"/>
        <w:adjustRightInd/>
        <w:snapToGrid/>
        <w:spacing w:line="360" w:lineRule="auto"/>
        <w:ind w:firstLine="820" w:firstLineChars="34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（1）采购人或供应商的主要负责人的近亲属；</w:t>
      </w:r>
    </w:p>
    <w:p>
      <w:pPr>
        <w:pageBreakBefore w:val="0"/>
        <w:widowControl w:val="0"/>
        <w:kinsoku/>
        <w:wordWrap/>
        <w:overflowPunct/>
        <w:topLinePunct w:val="0"/>
        <w:autoSpaceDE/>
        <w:autoSpaceDN/>
        <w:bidi w:val="0"/>
        <w:adjustRightInd/>
        <w:snapToGrid/>
        <w:spacing w:line="360" w:lineRule="auto"/>
        <w:ind w:firstLine="820" w:firstLineChars="34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（2）项目主管部门或者行政监督部门的人员；</w:t>
      </w:r>
    </w:p>
    <w:p>
      <w:pPr>
        <w:pageBreakBefore w:val="0"/>
        <w:widowControl w:val="0"/>
        <w:kinsoku/>
        <w:wordWrap/>
        <w:overflowPunct/>
        <w:topLinePunct w:val="0"/>
        <w:autoSpaceDE/>
        <w:autoSpaceDN/>
        <w:bidi w:val="0"/>
        <w:adjustRightInd/>
        <w:snapToGrid/>
        <w:spacing w:line="360" w:lineRule="auto"/>
        <w:ind w:firstLine="820" w:firstLineChars="34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（3）与供应商有经济利益关系，可能影响对投标公正评审的；</w:t>
      </w:r>
    </w:p>
    <w:p>
      <w:pPr>
        <w:pageBreakBefore w:val="0"/>
        <w:widowControl w:val="0"/>
        <w:kinsoku/>
        <w:wordWrap/>
        <w:overflowPunct/>
        <w:topLinePunct w:val="0"/>
        <w:autoSpaceDE/>
        <w:autoSpaceDN/>
        <w:bidi w:val="0"/>
        <w:adjustRightInd/>
        <w:snapToGrid/>
        <w:spacing w:line="360" w:lineRule="auto"/>
        <w:ind w:firstLine="820" w:firstLineChars="34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（4）曾因在招标、评标以及其他与招标投标有关活动中从事违法行为而受过行政处罚或刑事处罚的。</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color w:val="auto"/>
          <w:sz w:val="24"/>
          <w:szCs w:val="24"/>
          <w:highlight w:val="none"/>
        </w:rPr>
      </w:pPr>
      <w:bookmarkStart w:id="625" w:name="_Toc179632582"/>
      <w:bookmarkStart w:id="626" w:name="_Toc24444"/>
      <w:bookmarkStart w:id="627" w:name="_Toc2855"/>
      <w:bookmarkStart w:id="628" w:name="_Toc324164718"/>
      <w:bookmarkStart w:id="629" w:name="_Toc25228"/>
      <w:bookmarkStart w:id="630" w:name="_Toc152045564"/>
      <w:bookmarkStart w:id="631" w:name="_Toc78272802"/>
      <w:bookmarkStart w:id="632" w:name="_Toc152042340"/>
      <w:bookmarkStart w:id="633" w:name="_Toc17992"/>
      <w:bookmarkStart w:id="634" w:name="_Toc514253174"/>
      <w:bookmarkStart w:id="635" w:name="_Toc20642"/>
      <w:bookmarkStart w:id="636" w:name="_Toc13859"/>
      <w:bookmarkStart w:id="637" w:name="_Toc144974532"/>
      <w:bookmarkStart w:id="638" w:name="_Toc25532"/>
      <w:bookmarkStart w:id="639" w:name="_Toc10521"/>
      <w:bookmarkStart w:id="640" w:name="_Toc19454"/>
      <w:bookmarkStart w:id="641" w:name="_Toc23021"/>
      <w:r>
        <w:rPr>
          <w:rFonts w:hint="eastAsia" w:ascii="仿宋" w:hAnsi="仿宋" w:eastAsia="仿宋" w:cs="仿宋"/>
          <w:b/>
          <w:bCs/>
          <w:color w:val="auto"/>
          <w:sz w:val="24"/>
          <w:szCs w:val="24"/>
          <w:highlight w:val="none"/>
        </w:rPr>
        <w:t>6.2 评标原则</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Pr>
          <w:rFonts w:hint="eastAsia" w:ascii="仿宋" w:hAnsi="仿宋" w:eastAsia="仿宋" w:cs="仿宋"/>
          <w:color w:val="auto"/>
          <w:sz w:val="24"/>
          <w:szCs w:val="24"/>
          <w:highlight w:val="none"/>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评标活动遵循公平、公正、科学和择优的原则。</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642" w:name="_Toc20550"/>
      <w:bookmarkStart w:id="643" w:name="_Toc27880"/>
      <w:bookmarkStart w:id="644" w:name="_Toc13849"/>
      <w:bookmarkStart w:id="645" w:name="_Toc26685"/>
      <w:bookmarkStart w:id="646" w:name="_Toc942"/>
      <w:bookmarkStart w:id="647" w:name="_Toc324164719"/>
      <w:bookmarkStart w:id="648" w:name="_Toc514253175"/>
      <w:bookmarkStart w:id="649" w:name="_Toc13998"/>
      <w:bookmarkStart w:id="650" w:name="_Toc179632583"/>
      <w:bookmarkStart w:id="651" w:name="_Toc152042341"/>
      <w:bookmarkStart w:id="652" w:name="_Toc4552"/>
      <w:bookmarkStart w:id="653" w:name="_Toc144974533"/>
      <w:bookmarkStart w:id="654" w:name="_Toc25089"/>
      <w:bookmarkStart w:id="655" w:name="_Toc30143"/>
      <w:bookmarkStart w:id="656" w:name="_Toc152045565"/>
      <w:bookmarkStart w:id="657" w:name="_Toc4993"/>
      <w:bookmarkStart w:id="658" w:name="_Toc78272803"/>
      <w:r>
        <w:rPr>
          <w:rFonts w:hint="eastAsia" w:ascii="仿宋" w:hAnsi="仿宋" w:eastAsia="仿宋" w:cs="仿宋"/>
          <w:b/>
          <w:bCs/>
          <w:color w:val="auto"/>
          <w:sz w:val="24"/>
          <w:szCs w:val="24"/>
          <w:highlight w:val="none"/>
        </w:rPr>
        <w:t>6.3 评标</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评标委员会按照第三章“评标办法”规定的方法、评审因素、标准和程序对投标文件进行评审。第三章“评标办法”没有规定的方法、评审因素和标准，不作为评标依据。</w:t>
      </w:r>
    </w:p>
    <w:p>
      <w:pPr>
        <w:pStyle w:val="181"/>
        <w:pageBreakBefore w:val="0"/>
        <w:widowControl w:val="0"/>
        <w:kinsoku/>
        <w:wordWrap/>
        <w:overflowPunct/>
        <w:topLinePunct w:val="0"/>
        <w:autoSpaceDE/>
        <w:autoSpaceDN/>
        <w:bidi w:val="0"/>
        <w:adjustRightInd/>
        <w:snapToGrid/>
        <w:spacing w:before="0" w:line="360" w:lineRule="auto"/>
        <w:textAlignment w:val="auto"/>
        <w:rPr>
          <w:rFonts w:hint="eastAsia" w:ascii="仿宋" w:hAnsi="仿宋" w:eastAsia="仿宋" w:cs="仿宋"/>
          <w:b/>
          <w:bCs/>
          <w:color w:val="auto"/>
          <w:sz w:val="24"/>
          <w:szCs w:val="24"/>
          <w:highlight w:val="none"/>
        </w:rPr>
      </w:pPr>
      <w:bookmarkStart w:id="659" w:name="_Toc152042342"/>
      <w:bookmarkStart w:id="660" w:name="_Toc152045566"/>
      <w:bookmarkStart w:id="661" w:name="_Toc514253176"/>
      <w:bookmarkStart w:id="662" w:name="_Toc144974534"/>
      <w:bookmarkStart w:id="663" w:name="_Toc17537"/>
      <w:bookmarkStart w:id="664" w:name="_Toc15189"/>
      <w:bookmarkStart w:id="665" w:name="_Toc179632584"/>
      <w:bookmarkStart w:id="666" w:name="_Toc21976"/>
      <w:bookmarkStart w:id="667" w:name="_Toc849"/>
      <w:bookmarkStart w:id="668" w:name="_Toc324164720"/>
      <w:bookmarkStart w:id="669" w:name="_Toc8193"/>
      <w:bookmarkStart w:id="670" w:name="_Toc30112"/>
      <w:bookmarkStart w:id="671" w:name="_Toc10777"/>
      <w:bookmarkStart w:id="672" w:name="_Toc3526"/>
      <w:bookmarkStart w:id="673" w:name="_Toc18276"/>
      <w:r>
        <w:rPr>
          <w:rFonts w:hint="eastAsia" w:ascii="仿宋" w:hAnsi="仿宋" w:eastAsia="仿宋" w:cs="仿宋"/>
          <w:b/>
          <w:bCs/>
          <w:color w:val="auto"/>
          <w:sz w:val="24"/>
          <w:szCs w:val="24"/>
          <w:highlight w:val="none"/>
        </w:rPr>
        <w:t>7. 合同授予</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674" w:name="_Toc9975"/>
      <w:bookmarkStart w:id="675" w:name="_Toc11387"/>
      <w:bookmarkStart w:id="676" w:name="_Toc78272805"/>
      <w:bookmarkStart w:id="677" w:name="_Toc179632585"/>
      <w:bookmarkStart w:id="678" w:name="_Toc16909"/>
      <w:bookmarkStart w:id="679" w:name="_Toc2519"/>
      <w:bookmarkStart w:id="680" w:name="_Toc3911"/>
      <w:bookmarkStart w:id="681" w:name="_Toc1718"/>
      <w:bookmarkStart w:id="682" w:name="_Toc514253177"/>
      <w:bookmarkStart w:id="683" w:name="_Toc25750"/>
      <w:bookmarkStart w:id="684" w:name="_Toc20478"/>
      <w:bookmarkStart w:id="685" w:name="_Toc19913"/>
      <w:bookmarkStart w:id="686" w:name="_Toc324164721"/>
      <w:bookmarkStart w:id="687" w:name="_Toc152042343"/>
      <w:bookmarkStart w:id="688" w:name="_Toc16734"/>
      <w:bookmarkStart w:id="689" w:name="_Toc152045567"/>
      <w:bookmarkStart w:id="690" w:name="_Toc144974535"/>
      <w:r>
        <w:rPr>
          <w:rFonts w:hint="eastAsia" w:ascii="仿宋" w:hAnsi="仿宋" w:eastAsia="仿宋" w:cs="仿宋"/>
          <w:b/>
          <w:bCs/>
          <w:color w:val="auto"/>
          <w:sz w:val="24"/>
          <w:szCs w:val="24"/>
          <w:highlight w:val="none"/>
        </w:rPr>
        <w:t>7.1 定标方式</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除供应商须知前附表规定评标委员会直接确定中标人外，采购人依据评标委员会推荐的中标候选人确定中标人，评标委员会推荐中标候选人的人数见供应商须知前附表。</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691" w:name="_Toc3491"/>
      <w:bookmarkStart w:id="692" w:name="_Toc16877"/>
      <w:bookmarkStart w:id="693" w:name="_Toc514253178"/>
      <w:bookmarkStart w:id="694" w:name="_Toc152042344"/>
      <w:bookmarkStart w:id="695" w:name="_Toc78272806"/>
      <w:bookmarkStart w:id="696" w:name="_Toc179632586"/>
      <w:bookmarkStart w:id="697" w:name="_Toc5425"/>
      <w:bookmarkStart w:id="698" w:name="_Toc9261"/>
      <w:bookmarkStart w:id="699" w:name="_Toc324164722"/>
      <w:bookmarkStart w:id="700" w:name="_Toc2995"/>
      <w:bookmarkStart w:id="701" w:name="_Toc18409"/>
      <w:bookmarkStart w:id="702" w:name="_Toc21195"/>
      <w:bookmarkStart w:id="703" w:name="_Toc6133"/>
      <w:bookmarkStart w:id="704" w:name="_Toc2089"/>
      <w:bookmarkStart w:id="705" w:name="_Toc144974536"/>
      <w:bookmarkStart w:id="706" w:name="_Toc13500"/>
      <w:bookmarkStart w:id="707" w:name="_Toc152045568"/>
      <w:r>
        <w:rPr>
          <w:rFonts w:hint="eastAsia" w:ascii="仿宋" w:hAnsi="仿宋" w:eastAsia="仿宋" w:cs="仿宋"/>
          <w:b/>
          <w:bCs/>
          <w:color w:val="auto"/>
          <w:sz w:val="24"/>
          <w:szCs w:val="24"/>
          <w:highlight w:val="none"/>
        </w:rPr>
        <w:t>7.2 中标通知</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7.2.1中标人确定后，招标代理机构将以书面形式通知中标候选人其投标被接受。中标通知书将明确中标的范围和相应的中标价格，以及签定合同的时间、地点等要求。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7.2.2中标通知书将成为合同文件的组成部分。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7.2.3招标代理机构将在发出中标通知书的同时，将中标结果以公示的形式通知所有未中标的供应商。</w:t>
      </w:r>
    </w:p>
    <w:p>
      <w:pPr>
        <w:pStyle w:val="188"/>
        <w:pageBreakBefore w:val="0"/>
        <w:widowControl w:val="0"/>
        <w:kinsoku/>
        <w:wordWrap/>
        <w:overflowPunct/>
        <w:topLinePunct w:val="0"/>
        <w:autoSpaceDE/>
        <w:autoSpaceDN/>
        <w:bidi w:val="0"/>
        <w:adjustRightInd/>
        <w:snapToGrid/>
        <w:spacing w:before="0" w:line="360" w:lineRule="auto"/>
        <w:ind w:firstLine="241" w:firstLineChars="100"/>
        <w:textAlignment w:val="auto"/>
        <w:rPr>
          <w:rFonts w:hint="eastAsia" w:ascii="仿宋" w:hAnsi="仿宋" w:eastAsia="仿宋" w:cs="仿宋"/>
          <w:b/>
          <w:bCs w:val="0"/>
          <w:color w:val="auto"/>
          <w:sz w:val="24"/>
          <w:szCs w:val="24"/>
          <w:highlight w:val="none"/>
        </w:rPr>
      </w:pPr>
      <w:bookmarkStart w:id="708" w:name="_Toc26618"/>
      <w:bookmarkStart w:id="709" w:name="_Toc30494"/>
      <w:bookmarkStart w:id="710" w:name="_Toc324164723"/>
      <w:bookmarkStart w:id="711" w:name="_Toc179632587"/>
      <w:bookmarkStart w:id="712" w:name="_Toc144974537"/>
      <w:bookmarkStart w:id="713" w:name="_Toc22322"/>
      <w:bookmarkStart w:id="714" w:name="_Toc152042345"/>
      <w:bookmarkStart w:id="715" w:name="_Toc29782"/>
      <w:bookmarkStart w:id="716" w:name="_Toc19473"/>
      <w:bookmarkStart w:id="717" w:name="_Toc17356"/>
      <w:bookmarkStart w:id="718" w:name="_Toc22418"/>
      <w:bookmarkStart w:id="719" w:name="_Toc32406"/>
      <w:bookmarkStart w:id="720" w:name="_Toc152045569"/>
      <w:bookmarkStart w:id="721" w:name="_Toc78272807"/>
      <w:bookmarkStart w:id="722" w:name="_Toc514253179"/>
      <w:bookmarkStart w:id="723" w:name="_Toc13786"/>
      <w:bookmarkStart w:id="724" w:name="_Toc4998"/>
      <w:r>
        <w:rPr>
          <w:rFonts w:hint="eastAsia" w:ascii="仿宋" w:hAnsi="仿宋" w:eastAsia="仿宋" w:cs="仿宋"/>
          <w:b/>
          <w:bCs w:val="0"/>
          <w:color w:val="auto"/>
          <w:sz w:val="24"/>
          <w:szCs w:val="24"/>
          <w:highlight w:val="none"/>
        </w:rPr>
        <w:t>7.3 履约担保</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7.3.1按投标人须知履约保证金进行提交； </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7.3.2中标人不能按本章第7.3.1项要求提交履约保证金的，视为放弃中标，其投标保证金不予退还，给采购人造成的损失超过投标保证金数额的，中标人还应当对超过部分予以赔偿。</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725" w:name="_Toc18911"/>
      <w:bookmarkStart w:id="726" w:name="_Toc13243"/>
      <w:bookmarkStart w:id="727" w:name="_Toc152042346"/>
      <w:bookmarkStart w:id="728" w:name="_Toc28963"/>
      <w:bookmarkStart w:id="729" w:name="_Toc18044"/>
      <w:bookmarkStart w:id="730" w:name="_Toc179632588"/>
      <w:bookmarkStart w:id="731" w:name="_Toc31225"/>
      <w:bookmarkStart w:id="732" w:name="_Toc12020"/>
      <w:bookmarkStart w:id="733" w:name="_Toc514253180"/>
      <w:bookmarkStart w:id="734" w:name="_Toc152045570"/>
      <w:bookmarkStart w:id="735" w:name="_Toc1735"/>
      <w:bookmarkStart w:id="736" w:name="_Toc144974538"/>
      <w:bookmarkStart w:id="737" w:name="_Toc2459"/>
      <w:bookmarkStart w:id="738" w:name="_Toc1658"/>
      <w:bookmarkStart w:id="739" w:name="_Toc324164724"/>
      <w:bookmarkStart w:id="740" w:name="_Toc27269"/>
      <w:bookmarkStart w:id="741" w:name="_Toc78272808"/>
      <w:r>
        <w:rPr>
          <w:rFonts w:hint="eastAsia" w:ascii="仿宋" w:hAnsi="仿宋" w:eastAsia="仿宋" w:cs="仿宋"/>
          <w:b/>
          <w:bCs/>
          <w:color w:val="auto"/>
          <w:sz w:val="24"/>
          <w:szCs w:val="24"/>
          <w:highlight w:val="none"/>
        </w:rPr>
        <w:t>7.4 签订合同</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7.4.1采购人和中标人应当自中标通知书发出之日起30天内，根据招标文件和中标人的投标文件订立书面合同。中标人无正当理由拒签合同的，采购人取消其中标资格，其投标保证金不予退还；给采购人造成的损失超过投标保证金数额的，中标人还应当对超过部分予以赔偿。 </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7.4.2 发出中标通知书后，采购人无正当理由拒签合同的，采购人向中标人退还投标保证金；给中标人造成损失的，还应当赔偿损失。 </w:t>
      </w:r>
    </w:p>
    <w:p>
      <w:pPr>
        <w:pStyle w:val="181"/>
        <w:pageBreakBefore w:val="0"/>
        <w:widowControl w:val="0"/>
        <w:kinsoku/>
        <w:wordWrap/>
        <w:overflowPunct/>
        <w:topLinePunct w:val="0"/>
        <w:autoSpaceDE/>
        <w:autoSpaceDN/>
        <w:bidi w:val="0"/>
        <w:adjustRightInd/>
        <w:snapToGrid/>
        <w:spacing w:before="0" w:line="360" w:lineRule="auto"/>
        <w:textAlignment w:val="auto"/>
        <w:rPr>
          <w:rFonts w:hint="eastAsia" w:ascii="仿宋" w:hAnsi="仿宋" w:eastAsia="仿宋" w:cs="仿宋"/>
          <w:b/>
          <w:bCs/>
          <w:color w:val="auto"/>
          <w:sz w:val="24"/>
          <w:szCs w:val="24"/>
          <w:highlight w:val="none"/>
        </w:rPr>
      </w:pPr>
      <w:bookmarkStart w:id="742" w:name="_Toc22691"/>
      <w:bookmarkStart w:id="743" w:name="_Toc16290"/>
      <w:bookmarkStart w:id="744" w:name="_Toc10840"/>
      <w:bookmarkStart w:id="745" w:name="_Toc514253181"/>
      <w:bookmarkStart w:id="746" w:name="_Toc1994"/>
      <w:bookmarkStart w:id="747" w:name="_Toc324164725"/>
      <w:bookmarkStart w:id="748" w:name="_Toc20865"/>
      <w:bookmarkStart w:id="749" w:name="_Toc25618"/>
      <w:bookmarkStart w:id="750" w:name="_Toc31793"/>
      <w:bookmarkStart w:id="751" w:name="_Toc152045571"/>
      <w:bookmarkStart w:id="752" w:name="_Toc144974539"/>
      <w:bookmarkStart w:id="753" w:name="_Toc18857"/>
      <w:bookmarkStart w:id="754" w:name="_Toc179632589"/>
      <w:bookmarkStart w:id="755" w:name="_Toc12004"/>
      <w:bookmarkStart w:id="756" w:name="_Toc152042347"/>
      <w:r>
        <w:rPr>
          <w:rFonts w:hint="eastAsia" w:ascii="仿宋" w:hAnsi="仿宋" w:eastAsia="仿宋" w:cs="仿宋"/>
          <w:b/>
          <w:bCs/>
          <w:color w:val="auto"/>
          <w:sz w:val="24"/>
          <w:szCs w:val="24"/>
          <w:highlight w:val="none"/>
        </w:rPr>
        <w:t>8. 重新招标和不再招标</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757" w:name="_Toc28282"/>
      <w:bookmarkStart w:id="758" w:name="_Toc13401"/>
      <w:bookmarkStart w:id="759" w:name="_Toc179632590"/>
      <w:bookmarkStart w:id="760" w:name="_Toc15716"/>
      <w:bookmarkStart w:id="761" w:name="_Toc13269"/>
      <w:bookmarkStart w:id="762" w:name="_Toc27834"/>
      <w:bookmarkStart w:id="763" w:name="_Toc144974540"/>
      <w:bookmarkStart w:id="764" w:name="_Toc152042348"/>
      <w:bookmarkStart w:id="765" w:name="_Toc22713"/>
      <w:bookmarkStart w:id="766" w:name="_Toc324164726"/>
      <w:bookmarkStart w:id="767" w:name="_Toc20493"/>
      <w:bookmarkStart w:id="768" w:name="_Toc29722"/>
      <w:bookmarkStart w:id="769" w:name="_Toc13160"/>
      <w:bookmarkStart w:id="770" w:name="_Toc152045572"/>
      <w:bookmarkStart w:id="771" w:name="_Toc78272810"/>
      <w:bookmarkStart w:id="772" w:name="_Toc18440"/>
      <w:bookmarkStart w:id="773" w:name="_Toc514253182"/>
      <w:r>
        <w:rPr>
          <w:rFonts w:hint="eastAsia" w:ascii="仿宋" w:hAnsi="仿宋" w:eastAsia="仿宋" w:cs="仿宋"/>
          <w:b/>
          <w:bCs/>
          <w:color w:val="auto"/>
          <w:sz w:val="24"/>
          <w:szCs w:val="24"/>
          <w:highlight w:val="none"/>
        </w:rPr>
        <w:t>8.1 重新招标</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有下列情形之一的，采购人将重新招标：</w:t>
      </w:r>
    </w:p>
    <w:p>
      <w:pPr>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（1）投标截止时间止，供应商少于3个的；</w:t>
      </w:r>
    </w:p>
    <w:p>
      <w:pPr>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（2）经评标委员会评审后否决所有投标的。</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774" w:name="_Toc144974541"/>
      <w:bookmarkStart w:id="775" w:name="_Toc7768"/>
      <w:bookmarkStart w:id="776" w:name="_Toc10444"/>
      <w:bookmarkStart w:id="777" w:name="_Toc78272811"/>
      <w:bookmarkStart w:id="778" w:name="_Toc29425"/>
      <w:bookmarkStart w:id="779" w:name="_Toc10393"/>
      <w:bookmarkStart w:id="780" w:name="_Toc152045573"/>
      <w:bookmarkStart w:id="781" w:name="_Toc179632591"/>
      <w:bookmarkStart w:id="782" w:name="_Toc20621"/>
      <w:bookmarkStart w:id="783" w:name="_Toc4142"/>
      <w:bookmarkStart w:id="784" w:name="_Toc23213"/>
      <w:bookmarkStart w:id="785" w:name="_Toc12828"/>
      <w:bookmarkStart w:id="786" w:name="_Toc514253183"/>
      <w:bookmarkStart w:id="787" w:name="_Toc13013"/>
      <w:bookmarkStart w:id="788" w:name="_Toc324164727"/>
      <w:bookmarkStart w:id="789" w:name="_Toc152042349"/>
      <w:bookmarkStart w:id="790" w:name="_Toc2659"/>
      <w:r>
        <w:rPr>
          <w:rFonts w:hint="eastAsia" w:ascii="仿宋" w:hAnsi="仿宋" w:eastAsia="仿宋" w:cs="仿宋"/>
          <w:b/>
          <w:bCs/>
          <w:color w:val="auto"/>
          <w:sz w:val="24"/>
          <w:szCs w:val="24"/>
          <w:highlight w:val="none"/>
        </w:rPr>
        <w:t>8.2 不再招标</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重新招标后供应商仍少于3个或者所有投标被否决的，属于必须审批或核准的建设项目，经原审批或核准部门批准后不再进行招标。</w:t>
      </w:r>
    </w:p>
    <w:p>
      <w:pPr>
        <w:pStyle w:val="181"/>
        <w:pageBreakBefore w:val="0"/>
        <w:widowControl w:val="0"/>
        <w:kinsoku/>
        <w:wordWrap/>
        <w:overflowPunct/>
        <w:topLinePunct w:val="0"/>
        <w:autoSpaceDE/>
        <w:autoSpaceDN/>
        <w:bidi w:val="0"/>
        <w:adjustRightInd/>
        <w:snapToGrid/>
        <w:spacing w:before="0" w:line="360" w:lineRule="auto"/>
        <w:textAlignment w:val="auto"/>
        <w:rPr>
          <w:rFonts w:hint="eastAsia" w:ascii="仿宋" w:hAnsi="仿宋" w:eastAsia="仿宋" w:cs="仿宋"/>
          <w:b/>
          <w:bCs/>
          <w:color w:val="auto"/>
          <w:sz w:val="24"/>
          <w:szCs w:val="24"/>
          <w:highlight w:val="none"/>
        </w:rPr>
      </w:pPr>
      <w:bookmarkStart w:id="791" w:name="_Toc144974542"/>
      <w:bookmarkStart w:id="792" w:name="_Toc14288"/>
      <w:bookmarkStart w:id="793" w:name="_Toc26171"/>
      <w:bookmarkStart w:id="794" w:name="_Toc14973"/>
      <w:bookmarkStart w:id="795" w:name="_Toc26032"/>
      <w:bookmarkStart w:id="796" w:name="_Toc25755"/>
      <w:bookmarkStart w:id="797" w:name="_Toc324164728"/>
      <w:bookmarkStart w:id="798" w:name="_Toc20505"/>
      <w:bookmarkStart w:id="799" w:name="_Toc30227"/>
      <w:bookmarkStart w:id="800" w:name="_Toc179632592"/>
      <w:bookmarkStart w:id="801" w:name="_Toc22712"/>
      <w:bookmarkStart w:id="802" w:name="_Toc514253184"/>
      <w:bookmarkStart w:id="803" w:name="_Toc11145"/>
      <w:bookmarkStart w:id="804" w:name="_Toc152045574"/>
      <w:bookmarkStart w:id="805" w:name="_Toc152042350"/>
      <w:r>
        <w:rPr>
          <w:rFonts w:hint="eastAsia" w:ascii="仿宋" w:hAnsi="仿宋" w:eastAsia="仿宋" w:cs="仿宋"/>
          <w:b/>
          <w:bCs/>
          <w:color w:val="auto"/>
          <w:sz w:val="24"/>
          <w:szCs w:val="24"/>
          <w:highlight w:val="none"/>
        </w:rPr>
        <w:t>9. 纪律和监督</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806" w:name="_Toc2650"/>
      <w:bookmarkStart w:id="807" w:name="_Toc6365"/>
      <w:bookmarkStart w:id="808" w:name="_Toc179632593"/>
      <w:bookmarkStart w:id="809" w:name="_Toc11618"/>
      <w:bookmarkStart w:id="810" w:name="_Toc28961"/>
      <w:bookmarkStart w:id="811" w:name="_Toc24203"/>
      <w:bookmarkStart w:id="812" w:name="_Toc152045575"/>
      <w:bookmarkStart w:id="813" w:name="_Toc324164729"/>
      <w:bookmarkStart w:id="814" w:name="_Toc514253185"/>
      <w:bookmarkStart w:id="815" w:name="_Toc13458"/>
      <w:bookmarkStart w:id="816" w:name="_Toc152042351"/>
      <w:bookmarkStart w:id="817" w:name="_Toc78272813"/>
      <w:bookmarkStart w:id="818" w:name="_Toc19583"/>
      <w:bookmarkStart w:id="819" w:name="_Toc1273"/>
      <w:bookmarkStart w:id="820" w:name="_Toc13194"/>
      <w:bookmarkStart w:id="821" w:name="_Toc144974543"/>
      <w:bookmarkStart w:id="822" w:name="_Toc19838"/>
      <w:r>
        <w:rPr>
          <w:rFonts w:hint="eastAsia" w:ascii="仿宋" w:hAnsi="仿宋" w:eastAsia="仿宋" w:cs="仿宋"/>
          <w:b/>
          <w:bCs/>
          <w:color w:val="auto"/>
          <w:sz w:val="24"/>
          <w:szCs w:val="24"/>
          <w:highlight w:val="none"/>
        </w:rPr>
        <w:t>9.1 对采购人的纪律要求</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采购人不得泄漏政府采购活动中应当保密的情况和资料，不得与供应商串通损害国家利益、社会公共利益或者他人合法权益。</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823" w:name="_Toc152042352"/>
      <w:bookmarkStart w:id="824" w:name="_Toc24912"/>
      <w:bookmarkStart w:id="825" w:name="_Toc514253186"/>
      <w:bookmarkStart w:id="826" w:name="_Toc324164730"/>
      <w:bookmarkStart w:id="827" w:name="_Toc32655"/>
      <w:bookmarkStart w:id="828" w:name="_Toc144974544"/>
      <w:bookmarkStart w:id="829" w:name="_Toc205"/>
      <w:bookmarkStart w:id="830" w:name="_Toc2188"/>
      <w:bookmarkStart w:id="831" w:name="_Toc3004"/>
      <w:bookmarkStart w:id="832" w:name="_Toc179632594"/>
      <w:bookmarkStart w:id="833" w:name="_Toc26028"/>
      <w:bookmarkStart w:id="834" w:name="_Toc14518"/>
      <w:bookmarkStart w:id="835" w:name="_Toc152045576"/>
      <w:bookmarkStart w:id="836" w:name="_Toc9579"/>
      <w:bookmarkStart w:id="837" w:name="_Toc19239"/>
      <w:bookmarkStart w:id="838" w:name="_Toc21870"/>
      <w:bookmarkStart w:id="839" w:name="_Toc78272814"/>
      <w:r>
        <w:rPr>
          <w:rFonts w:hint="eastAsia" w:ascii="仿宋" w:hAnsi="仿宋" w:eastAsia="仿宋" w:cs="仿宋"/>
          <w:b/>
          <w:bCs/>
          <w:color w:val="auto"/>
          <w:sz w:val="24"/>
          <w:szCs w:val="24"/>
          <w:highlight w:val="none"/>
        </w:rPr>
        <w:t>9.2 对供应商的纪律要求</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供应商不得相互串通投标或者与采购人串通投标，不得向采购人或者评标委员会成员行贿谋取中标，不得以他人名义投标或者以其他方式弄虚作假骗取中标；供应商不得以任何方式干扰、影响评标工作。</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840" w:name="_Toc25239"/>
      <w:bookmarkStart w:id="841" w:name="_Toc324164731"/>
      <w:bookmarkStart w:id="842" w:name="_Toc152042353"/>
      <w:bookmarkStart w:id="843" w:name="_Toc514253187"/>
      <w:bookmarkStart w:id="844" w:name="_Toc12064"/>
      <w:bookmarkStart w:id="845" w:name="_Toc31731"/>
      <w:bookmarkStart w:id="846" w:name="_Toc11693"/>
      <w:bookmarkStart w:id="847" w:name="_Toc152045577"/>
      <w:bookmarkStart w:id="848" w:name="_Toc24437"/>
      <w:bookmarkStart w:id="849" w:name="_Toc179632595"/>
      <w:bookmarkStart w:id="850" w:name="_Toc78272815"/>
      <w:bookmarkStart w:id="851" w:name="_Toc7293"/>
      <w:bookmarkStart w:id="852" w:name="_Toc5438"/>
      <w:bookmarkStart w:id="853" w:name="_Toc16299"/>
      <w:bookmarkStart w:id="854" w:name="_Toc30129"/>
      <w:bookmarkStart w:id="855" w:name="_Toc20918"/>
      <w:bookmarkStart w:id="856" w:name="_Toc144974545"/>
      <w:r>
        <w:rPr>
          <w:rFonts w:hint="eastAsia" w:ascii="仿宋" w:hAnsi="仿宋" w:eastAsia="仿宋" w:cs="仿宋"/>
          <w:b/>
          <w:bCs/>
          <w:color w:val="auto"/>
          <w:sz w:val="24"/>
          <w:szCs w:val="24"/>
          <w:highlight w:val="none"/>
        </w:rPr>
        <w:t>9.3 对评标委员会成员的纪律要求</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857" w:name="_Toc25237"/>
      <w:bookmarkStart w:id="858" w:name="_Toc152045578"/>
      <w:bookmarkStart w:id="859" w:name="_Toc26787"/>
      <w:bookmarkStart w:id="860" w:name="_Toc152042354"/>
      <w:bookmarkStart w:id="861" w:name="_Toc28521"/>
      <w:bookmarkStart w:id="862" w:name="_Toc23783"/>
      <w:bookmarkStart w:id="863" w:name="_Toc78272816"/>
      <w:bookmarkStart w:id="864" w:name="_Toc21316"/>
      <w:bookmarkStart w:id="865" w:name="_Toc25380"/>
      <w:bookmarkStart w:id="866" w:name="_Toc324164732"/>
      <w:bookmarkStart w:id="867" w:name="_Toc22178"/>
      <w:bookmarkStart w:id="868" w:name="_Toc29677"/>
      <w:bookmarkStart w:id="869" w:name="_Toc179632596"/>
      <w:bookmarkStart w:id="870" w:name="_Toc513"/>
      <w:bookmarkStart w:id="871" w:name="_Toc514253188"/>
      <w:bookmarkStart w:id="872" w:name="_Toc1827"/>
      <w:bookmarkStart w:id="873" w:name="_Toc144974546"/>
      <w:r>
        <w:rPr>
          <w:rFonts w:hint="eastAsia" w:ascii="仿宋" w:hAnsi="仿宋" w:eastAsia="仿宋" w:cs="仿宋"/>
          <w:b/>
          <w:bCs/>
          <w:color w:val="auto"/>
          <w:sz w:val="24"/>
          <w:szCs w:val="24"/>
          <w:highlight w:val="none"/>
        </w:rPr>
        <w:t>9.4 对与评标活动有关的工作人员的纪律要求</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874" w:name="_Toc152042355"/>
      <w:r>
        <w:rPr>
          <w:rFonts w:hint="eastAsia" w:ascii="仿宋" w:hAnsi="仿宋" w:eastAsia="仿宋" w:cs="仿宋"/>
          <w:color w:val="auto"/>
          <w:sz w:val="24"/>
          <w:szCs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874"/>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875" w:name="_Toc152045579"/>
      <w:bookmarkStart w:id="876" w:name="_Toc3606"/>
      <w:bookmarkStart w:id="877" w:name="_Toc78272817"/>
      <w:bookmarkStart w:id="878" w:name="_Toc13328"/>
      <w:bookmarkStart w:id="879" w:name="_Toc5324"/>
      <w:bookmarkStart w:id="880" w:name="_Toc13095"/>
      <w:bookmarkStart w:id="881" w:name="_Toc32265"/>
      <w:bookmarkStart w:id="882" w:name="_Toc152042356"/>
      <w:bookmarkStart w:id="883" w:name="_Toc22623"/>
      <w:bookmarkStart w:id="884" w:name="_Toc15498"/>
      <w:bookmarkStart w:id="885" w:name="_Toc14430"/>
      <w:bookmarkStart w:id="886" w:name="_Toc24871"/>
      <w:bookmarkStart w:id="887" w:name="_Toc324164733"/>
      <w:bookmarkStart w:id="888" w:name="_Toc403"/>
      <w:bookmarkStart w:id="889" w:name="_Toc179632597"/>
      <w:bookmarkStart w:id="890" w:name="_Toc514253189"/>
      <w:r>
        <w:rPr>
          <w:rFonts w:hint="eastAsia" w:ascii="仿宋" w:hAnsi="仿宋" w:eastAsia="仿宋" w:cs="仿宋"/>
          <w:b/>
          <w:bCs/>
          <w:color w:val="auto"/>
          <w:sz w:val="24"/>
          <w:szCs w:val="24"/>
          <w:highlight w:val="none"/>
        </w:rPr>
        <w:t>9.5质疑和投诉</w:t>
      </w:r>
      <w:bookmarkEnd w:id="873"/>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认为招标文件、招标过程或中标结果使自己的合法权益受到损害的，应当在知道或者应知其权益受到损害之日起七个工作日内，以书面形式向采购人、采购代理机构提出质疑。供应商对招标采购单位的质疑答复不满意或者招标采购单位未在规定时间内作出答复的，可以在答复期满后十五个工作日内向同级采购监管部门投诉。</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3）质疑书应当署名。质疑供应商为法人或者其他组织的，应当由法定代表人或者主要负责人签字并加盖公章。</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5）质疑处理。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财政部令第94号《政府采购质疑和投诉办法》规定：供应商质疑不成立，或者成立但未对中标、中标结果构成影响的，继续开展采购活动。供应商质疑成立且影响或者可能影响中标、中标结果的，按照下列情况处理：（一）对采购文件提出的质疑，依法通过澄清或者修改可以继续开展采购活动的，澄清或者修改采购文件后继续开展采购活动。（二）对采购过程、中标或者中标结果提出的质疑，合格供应商符合法定数量时，采购人按照评审报告推荐的中标或者中标候选人名单排序，确定下一候选人为中标或者中标供应商。合格供应商不符合法定数量时，重新开展政府采购活动。</w:t>
      </w:r>
    </w:p>
    <w:p>
      <w:pPr>
        <w:pStyle w:val="181"/>
        <w:pageBreakBefore w:val="0"/>
        <w:widowControl w:val="0"/>
        <w:kinsoku/>
        <w:wordWrap/>
        <w:overflowPunct/>
        <w:topLinePunct w:val="0"/>
        <w:autoSpaceDE/>
        <w:autoSpaceDN/>
        <w:bidi w:val="0"/>
        <w:adjustRightInd/>
        <w:snapToGrid/>
        <w:spacing w:before="0" w:line="360" w:lineRule="auto"/>
        <w:textAlignment w:val="auto"/>
        <w:rPr>
          <w:rFonts w:hint="eastAsia" w:ascii="仿宋" w:hAnsi="仿宋" w:eastAsia="仿宋" w:cs="仿宋"/>
          <w:b/>
          <w:bCs/>
          <w:color w:val="auto"/>
          <w:sz w:val="24"/>
          <w:szCs w:val="24"/>
          <w:highlight w:val="none"/>
        </w:rPr>
      </w:pPr>
      <w:bookmarkStart w:id="891" w:name="_Toc31767"/>
      <w:bookmarkStart w:id="892" w:name="_Toc17649"/>
      <w:bookmarkStart w:id="893" w:name="_Toc144974547"/>
      <w:bookmarkStart w:id="894" w:name="_Toc10384"/>
      <w:bookmarkStart w:id="895" w:name="_Toc13456"/>
      <w:bookmarkStart w:id="896" w:name="_Toc15730"/>
      <w:bookmarkStart w:id="897" w:name="_Toc18380"/>
      <w:bookmarkStart w:id="898" w:name="_Toc152045580"/>
      <w:bookmarkStart w:id="899" w:name="_Toc179632598"/>
      <w:bookmarkStart w:id="900" w:name="_Toc22986"/>
      <w:bookmarkStart w:id="901" w:name="_Toc324164734"/>
      <w:bookmarkStart w:id="902" w:name="_Toc3936"/>
      <w:bookmarkStart w:id="903" w:name="_Toc152042357"/>
      <w:bookmarkStart w:id="904" w:name="_Toc16224"/>
      <w:bookmarkStart w:id="905" w:name="_Toc514253190"/>
      <w:r>
        <w:rPr>
          <w:rFonts w:hint="eastAsia" w:ascii="仿宋" w:hAnsi="仿宋" w:eastAsia="仿宋" w:cs="仿宋"/>
          <w:b/>
          <w:bCs/>
          <w:color w:val="auto"/>
          <w:sz w:val="24"/>
          <w:szCs w:val="24"/>
          <w:highlight w:val="none"/>
        </w:rPr>
        <w:t>10. 需要补充的其他内容</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10.1知识产权</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▲10.1.2除非招标文件特别规定，采购人享有本项目实施过程中产生的知识成果及知识产权。</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10.1.3供应商将在采购项目实施过程中采用自有或者第三方知识成果的，应当在投标文件中载明，并提供相关知识产权证明文件。使用该知识成果后，供应商需提供开发接口和开发手册等技术资料，并承诺提供无限期支持，采购人享有使用权（含采购人委托第三方在该项目后续开发的使用权）。</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▲10.1.4 如采用供应商所不拥有的知识产权，则在报价中必须包括合法获取该知识产权的相关费用</w:t>
      </w:r>
    </w:p>
    <w:p>
      <w:pPr>
        <w:pageBreakBefore w:val="0"/>
        <w:widowControl w:val="0"/>
        <w:tabs>
          <w:tab w:val="left" w:pos="840"/>
        </w:tabs>
        <w:kinsoku/>
        <w:wordWrap/>
        <w:overflowPunct/>
        <w:topLinePunct w:val="0"/>
        <w:autoSpaceDE/>
        <w:autoSpaceDN/>
        <w:bidi w:val="0"/>
        <w:adjustRightInd/>
        <w:snapToGrid/>
        <w:spacing w:line="360" w:lineRule="auto"/>
        <w:ind w:right="420" w:firstLine="602" w:firstLineChars="25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10.2特别说明：</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▲1）供应商应仔细阅读招标文件的所有内容，按照招标文件的要求提交投标文件，并对所提供的全部资料的真实性承担法律责任。</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10.3投标文件的语言</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10.3.1 供应商提交的投标文件以及供应商与采购人、采购代理机构就有关报价的所有来往书面文件均须使用中文。投标文件中如附有外文资料，必须逐一对应翻译成中文并加盖供应商公章后附在相关外文资料后面，否则，供应商的投标文件将作为无效处理。（说明：供应商的法定代表人为外籍人士的，法定代表人的签字和护照除外。）</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10.3.2 翻译的中文资料与外文资料如果出现差异和矛盾，以中文为准。但不能故意错误翻译，否则，供应商的投标文件将作为无效处理。</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10.4计量单位</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除招标文件中另有规定外，本次采购项目所有合同项下的报价均采用国家法定的计量单位。</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10.5 报价货币</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本次招标项目的报价货币为人民币，报价以投标文件规定为准。</w:t>
      </w:r>
    </w:p>
    <w:p>
      <w:pPr>
        <w:pageBreakBefore w:val="0"/>
        <w:widowControl w:val="0"/>
        <w:tabs>
          <w:tab w:val="left" w:pos="840"/>
        </w:tabs>
        <w:kinsoku/>
        <w:wordWrap/>
        <w:overflowPunct/>
        <w:topLinePunct w:val="0"/>
        <w:autoSpaceDE/>
        <w:autoSpaceDN/>
        <w:bidi w:val="0"/>
        <w:adjustRightInd/>
        <w:snapToGrid/>
        <w:spacing w:line="360" w:lineRule="auto"/>
        <w:ind w:right="420" w:firstLine="602" w:firstLineChars="25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10.6确定中标供应商</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采购人将按评标委员会推荐的中标候选供应商顺序确定中标供应商。</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10.6.1采购代理机构自评标结束后2个工作日内将评标报告送交采购人确定中标供应商。</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10.6.2采购人收到评标报告后，应当在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10.6.3采购人确定中标供应商过程中，发现中标候选供应商有下列情形之一的，应当不予确定其为中标供应商：</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（1）发现中标候选供应商存在禁止参加本项目采购活动的违法行为的；</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（2）中标候选供应商因不可抗力，不能继续参加政府采购活动；</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（3）中标候选供应商无偿赠与或者低于成本价竞争；</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（4）中标候选供应商提供虚假材料；</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（5）中标候选供应商恶意串通。</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中标候选供应商有本条情形之一的，采购人可以确定后一位中标候选供应商为中标供应商，依次类推。无法确定中标供应商的，应当重新组织采购。</w:t>
      </w:r>
    </w:p>
    <w:p>
      <w:pPr>
        <w:pageBreakBefore w:val="0"/>
        <w:widowControl w:val="0"/>
        <w:tabs>
          <w:tab w:val="left" w:pos="840"/>
        </w:tabs>
        <w:kinsoku/>
        <w:wordWrap/>
        <w:overflowPunct/>
        <w:topLinePunct w:val="0"/>
        <w:autoSpaceDE/>
        <w:autoSpaceDN/>
        <w:bidi w:val="0"/>
        <w:adjustRightInd/>
        <w:snapToGrid/>
        <w:spacing w:line="360" w:lineRule="auto"/>
        <w:ind w:right="420" w:firstLine="602" w:firstLineChars="25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10.7行贿犯罪</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供应商须承诺单位及其法定代表人、主要负责人不得具有行贿犯罪记录。</w:t>
      </w:r>
      <w:r>
        <w:rPr>
          <w:rFonts w:hint="eastAsia" w:ascii="仿宋" w:hAnsi="仿宋" w:eastAsia="仿宋" w:cs="仿宋"/>
          <w:bCs/>
          <w:color w:val="auto"/>
          <w:sz w:val="24"/>
          <w:szCs w:val="24"/>
          <w:highlight w:val="none"/>
        </w:rPr>
        <w:t>中标</w:t>
      </w:r>
      <w:r>
        <w:rPr>
          <w:rFonts w:hint="eastAsia" w:ascii="仿宋" w:hAnsi="仿宋" w:eastAsia="仿宋" w:cs="仿宋"/>
          <w:color w:val="auto"/>
          <w:sz w:val="24"/>
          <w:szCs w:val="24"/>
          <w:highlight w:val="none"/>
        </w:rPr>
        <w:t>候选供应商单位及其现任法定代表人、主要负责人存在行贿犯罪记录的，中标后未签订政府采购合同的，将认定中标无效；中标后签订政府采购合同未履行的，将认定中标无效，同时撤销政府采购合同；中标后签订政府采购合同且已经履行的，将认定采购活动违法，由相关当事人承担赔偿责任。</w:t>
      </w:r>
    </w:p>
    <w:p>
      <w:pPr>
        <w:pageBreakBefore w:val="0"/>
        <w:widowControl w:val="0"/>
        <w:tabs>
          <w:tab w:val="left" w:pos="840"/>
        </w:tabs>
        <w:kinsoku/>
        <w:wordWrap/>
        <w:overflowPunct/>
        <w:topLinePunct w:val="0"/>
        <w:autoSpaceDE/>
        <w:autoSpaceDN/>
        <w:bidi w:val="0"/>
        <w:adjustRightInd/>
        <w:snapToGrid/>
        <w:spacing w:line="360" w:lineRule="auto"/>
        <w:ind w:right="420" w:firstLine="602" w:firstLineChars="25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10.8特别说明</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用最低评标价法的采购项目，提供相同品牌产品的不同供应商参加同一合同项下投标的，以其中通过资格审查、符合性审查且报价最低的参加评标；报价相同的，由采购人确定一个参加评标的供应商，其他投标无效。</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确定一个供应商获得中标供应商推荐资格，其他同品牌供应商不作为中标候选供应商。</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非单一产品采购项目，采购人应当根据采购项目技术构成、产品价格比重等合理确定核心产品，并在招标文件中载明。多家供应商提供的核心产品品牌相同的，按前两款规定处理。</w:t>
      </w:r>
    </w:p>
    <w:p>
      <w:pPr>
        <w:pageBreakBefore w:val="0"/>
        <w:widowControl w:val="0"/>
        <w:tabs>
          <w:tab w:val="left" w:pos="840"/>
        </w:tabs>
        <w:kinsoku/>
        <w:wordWrap/>
        <w:overflowPunct/>
        <w:topLinePunct w:val="0"/>
        <w:autoSpaceDE/>
        <w:autoSpaceDN/>
        <w:bidi w:val="0"/>
        <w:adjustRightInd/>
        <w:snapToGrid/>
        <w:spacing w:line="360" w:lineRule="auto"/>
        <w:ind w:right="420" w:firstLine="602" w:firstLineChars="25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10.9需要补充的其他内容</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ascii="仿宋" w:hAnsi="仿宋" w:eastAsia="仿宋" w:cs="仿宋"/>
          <w:color w:val="auto"/>
          <w:sz w:val="28"/>
          <w:szCs w:val="28"/>
          <w:highlight w:val="none"/>
        </w:rPr>
      </w:pPr>
      <w:r>
        <w:rPr>
          <w:rFonts w:hint="eastAsia" w:ascii="仿宋" w:hAnsi="仿宋" w:eastAsia="仿宋" w:cs="仿宋"/>
          <w:color w:val="auto"/>
          <w:sz w:val="24"/>
          <w:szCs w:val="24"/>
          <w:highlight w:val="none"/>
        </w:rPr>
        <w:t>10.9.1见投标人须知前附表。</w:t>
      </w:r>
    </w:p>
    <w:p>
      <w:pPr>
        <w:tabs>
          <w:tab w:val="left" w:pos="840"/>
        </w:tabs>
        <w:spacing w:line="480" w:lineRule="exact"/>
        <w:ind w:right="420" w:firstLine="600" w:firstLineChars="250"/>
        <w:rPr>
          <w:rFonts w:ascii="仿宋" w:hAnsi="仿宋" w:eastAsia="仿宋" w:cs="仿宋"/>
          <w:color w:val="auto"/>
          <w:sz w:val="24"/>
          <w:highlight w:val="none"/>
        </w:rPr>
      </w:pPr>
    </w:p>
    <w:p>
      <w:pPr>
        <w:pStyle w:val="2"/>
        <w:rPr>
          <w:rFonts w:ascii="仿宋" w:hAnsi="仿宋" w:eastAsia="仿宋" w:cs="仿宋"/>
          <w:color w:val="auto"/>
          <w:sz w:val="24"/>
          <w:highlight w:val="none"/>
        </w:rPr>
      </w:pPr>
    </w:p>
    <w:p>
      <w:pPr>
        <w:pStyle w:val="42"/>
        <w:rPr>
          <w:rFonts w:ascii="仿宋" w:hAnsi="仿宋" w:eastAsia="仿宋" w:cs="仿宋"/>
          <w:color w:val="auto"/>
          <w:sz w:val="24"/>
          <w:highlight w:val="none"/>
        </w:rPr>
      </w:pPr>
    </w:p>
    <w:p>
      <w:pPr>
        <w:pStyle w:val="42"/>
        <w:rPr>
          <w:rFonts w:ascii="仿宋" w:hAnsi="仿宋" w:eastAsia="仿宋" w:cs="仿宋"/>
          <w:color w:val="auto"/>
          <w:sz w:val="24"/>
          <w:highlight w:val="none"/>
        </w:rPr>
      </w:pPr>
    </w:p>
    <w:p>
      <w:pPr>
        <w:pStyle w:val="42"/>
        <w:rPr>
          <w:rFonts w:ascii="仿宋" w:hAnsi="仿宋" w:eastAsia="仿宋" w:cs="仿宋"/>
          <w:color w:val="auto"/>
          <w:sz w:val="24"/>
          <w:highlight w:val="none"/>
        </w:rPr>
      </w:pPr>
    </w:p>
    <w:p>
      <w:pPr>
        <w:rPr>
          <w:rFonts w:hint="eastAsia"/>
          <w:color w:val="auto"/>
          <w:highlight w:val="none"/>
        </w:rPr>
      </w:pPr>
      <w:bookmarkStart w:id="906" w:name="_Toc19598"/>
      <w:bookmarkStart w:id="907" w:name="_Toc26023"/>
      <w:bookmarkStart w:id="908" w:name="_Toc201978758"/>
      <w:bookmarkStart w:id="909" w:name="_Toc514253191"/>
      <w:bookmarkStart w:id="910" w:name="_Toc61260763"/>
      <w:bookmarkStart w:id="911" w:name="_Toc7877"/>
      <w:bookmarkStart w:id="912" w:name="_Toc22781"/>
      <w:r>
        <w:rPr>
          <w:rFonts w:hint="eastAsia"/>
          <w:color w:val="auto"/>
          <w:highlight w:val="none"/>
        </w:rPr>
        <w:br w:type="page"/>
      </w:r>
    </w:p>
    <w:p>
      <w:pPr>
        <w:pStyle w:val="3"/>
        <w:bidi w:val="0"/>
        <w:rPr>
          <w:rFonts w:hint="eastAsia"/>
          <w:color w:val="auto"/>
          <w:highlight w:val="none"/>
        </w:rPr>
      </w:pPr>
      <w:r>
        <w:rPr>
          <w:rFonts w:hint="eastAsia"/>
          <w:color w:val="auto"/>
          <w:highlight w:val="none"/>
        </w:rPr>
        <w:t>第三章  评标办法</w:t>
      </w:r>
      <w:bookmarkEnd w:id="906"/>
      <w:bookmarkEnd w:id="907"/>
      <w:bookmarkEnd w:id="908"/>
      <w:bookmarkEnd w:id="909"/>
      <w:bookmarkEnd w:id="910"/>
      <w:bookmarkEnd w:id="911"/>
      <w:bookmarkEnd w:id="912"/>
      <w:bookmarkStart w:id="913" w:name="_Toc19323"/>
      <w:bookmarkStart w:id="914" w:name="_Toc28940"/>
    </w:p>
    <w:p>
      <w:pPr>
        <w:pStyle w:val="4"/>
        <w:bidi w:val="0"/>
        <w:rPr>
          <w:rFonts w:hint="eastAsia" w:ascii="仿宋" w:hAnsi="仿宋" w:eastAsia="仿宋_GB2312" w:cs="仿宋"/>
          <w:color w:val="auto"/>
          <w:highlight w:val="none"/>
          <w:lang w:eastAsia="zh-CN"/>
        </w:rPr>
      </w:pPr>
      <w:r>
        <w:rPr>
          <w:rFonts w:hint="eastAsia"/>
          <w:color w:val="auto"/>
          <w:highlight w:val="none"/>
        </w:rPr>
        <w:t>一、资格性审查</w:t>
      </w:r>
      <w:bookmarkEnd w:id="913"/>
      <w:bookmarkEnd w:id="91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1.根据《中华人民共和国政府采购法》、《中华人民共和国政府采购法实施条例》、《政府采购货物和服务招标投标管理办法》等法律制度，结合采购项目特点制定本资格审查办法。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 采购代理机构应依据法律法规和本招标文件的规定，对投标文件是否按照规定要求提供资格性证明材料、是否按照规定交纳投标保证金、是否属于禁止参加投标的供应商等进行审查，以确定投标供应商是否具备投标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资格性审查标准见下表：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资格性审查</w:t>
      </w:r>
      <w:r>
        <w:rPr>
          <w:rFonts w:hint="eastAsia" w:ascii="仿宋" w:hAnsi="仿宋" w:eastAsia="仿宋" w:cs="仿宋"/>
          <w:color w:val="auto"/>
          <w:sz w:val="24"/>
          <w:highlight w:val="none"/>
          <w:lang w:val="en-US" w:eastAsia="zh-CN"/>
        </w:rPr>
        <w:t>内容</w:t>
      </w:r>
    </w:p>
    <w:tbl>
      <w:tblPr>
        <w:tblStyle w:val="50"/>
        <w:tblW w:w="52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3670"/>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Align w:val="center"/>
          </w:tcPr>
          <w:p>
            <w:pPr>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3016" w:type="dxa"/>
            <w:vAlign w:val="center"/>
          </w:tcPr>
          <w:p>
            <w:pPr>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资格性审查项</w:t>
            </w:r>
          </w:p>
        </w:tc>
        <w:tc>
          <w:tcPr>
            <w:tcW w:w="5411" w:type="dxa"/>
            <w:vAlign w:val="center"/>
          </w:tcPr>
          <w:p>
            <w:pPr>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552" w:type="dxa"/>
            <w:vAlign w:val="center"/>
          </w:tcPr>
          <w:p>
            <w:pPr>
              <w:spacing w:line="360" w:lineRule="auto"/>
              <w:jc w:val="center"/>
              <w:rPr>
                <w:rFonts w:ascii="仿宋" w:hAnsi="仿宋" w:eastAsia="仿宋" w:cs="仿宋"/>
                <w:bCs/>
                <w:color w:val="auto"/>
                <w:kern w:val="0"/>
                <w:sz w:val="24"/>
                <w:highlight w:val="none"/>
              </w:rPr>
            </w:pPr>
            <w:r>
              <w:rPr>
                <w:rFonts w:hint="eastAsia" w:ascii="仿宋" w:hAnsi="仿宋" w:eastAsia="仿宋" w:cs="仿宋"/>
                <w:color w:val="auto"/>
                <w:kern w:val="0"/>
                <w:sz w:val="24"/>
                <w:highlight w:val="none"/>
              </w:rPr>
              <w:t>1</w:t>
            </w:r>
          </w:p>
        </w:tc>
        <w:tc>
          <w:tcPr>
            <w:tcW w:w="3016" w:type="dxa"/>
            <w:vAlign w:val="center"/>
          </w:tcPr>
          <w:p>
            <w:pPr>
              <w:rPr>
                <w:rFonts w:ascii="仿宋" w:hAnsi="仿宋" w:eastAsia="仿宋" w:cs="仿宋"/>
                <w:color w:val="auto"/>
                <w:sz w:val="24"/>
                <w:highlight w:val="none"/>
              </w:rPr>
            </w:pPr>
            <w:r>
              <w:rPr>
                <w:rFonts w:hint="eastAsia" w:ascii="仿宋" w:hAnsi="仿宋" w:eastAsia="仿宋" w:cs="仿宋"/>
                <w:bCs/>
                <w:color w:val="auto"/>
                <w:sz w:val="24"/>
                <w:highlight w:val="none"/>
              </w:rPr>
              <w:t>具有独立承担民事责任的能力</w:t>
            </w:r>
          </w:p>
        </w:tc>
        <w:tc>
          <w:tcPr>
            <w:tcW w:w="5411" w:type="dxa"/>
            <w:vAlign w:val="center"/>
          </w:tcPr>
          <w:p>
            <w:pPr>
              <w:rPr>
                <w:rFonts w:ascii="仿宋" w:hAnsi="仿宋" w:eastAsia="仿宋" w:cs="仿宋"/>
                <w:color w:val="auto"/>
                <w:sz w:val="24"/>
                <w:highlight w:val="none"/>
              </w:rPr>
            </w:pPr>
            <w:r>
              <w:rPr>
                <w:rFonts w:hint="eastAsia" w:ascii="仿宋" w:hAnsi="仿宋" w:eastAsia="仿宋" w:cs="仿宋"/>
                <w:bCs/>
                <w:color w:val="auto"/>
                <w:sz w:val="24"/>
                <w:highlight w:val="none"/>
              </w:rPr>
              <w:t>提供投标人合法成立的营业执照或法人证书复印件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552" w:type="dxa"/>
            <w:vAlign w:val="center"/>
          </w:tcPr>
          <w:p>
            <w:pPr>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w:t>
            </w:r>
          </w:p>
        </w:tc>
        <w:tc>
          <w:tcPr>
            <w:tcW w:w="3016"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具有良好的商业信誉和健全的财务会计制度</w:t>
            </w:r>
          </w:p>
        </w:tc>
        <w:tc>
          <w:tcPr>
            <w:tcW w:w="5411"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具有健全的财务会计制度的证明材料，由投标人提供相关证明材料【注：提供</w:t>
            </w:r>
            <w:r>
              <w:rPr>
                <w:rFonts w:hint="eastAsia" w:ascii="仿宋" w:hAnsi="仿宋" w:eastAsia="仿宋" w:cs="仿宋"/>
                <w:color w:val="auto"/>
                <w:sz w:val="24"/>
                <w:highlight w:val="none"/>
                <w:lang w:val="en-US" w:eastAsia="zh-CN"/>
              </w:rPr>
              <w:t>2019年、2020年2021年度</w:t>
            </w:r>
            <w:r>
              <w:rPr>
                <w:rFonts w:hint="eastAsia" w:ascii="仿宋" w:hAnsi="仿宋" w:eastAsia="仿宋" w:cs="仿宋"/>
                <w:color w:val="auto"/>
                <w:sz w:val="24"/>
                <w:highlight w:val="none"/>
              </w:rPr>
              <w:t>经审计财务审计报告，新成立企业，以各项资质证书取得的时间，按规定提交财务审计报告，公司成立不足一年的，提供近期财务报表】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52" w:type="dxa"/>
            <w:vAlign w:val="center"/>
          </w:tcPr>
          <w:p>
            <w:pPr>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w:t>
            </w:r>
          </w:p>
        </w:tc>
        <w:tc>
          <w:tcPr>
            <w:tcW w:w="3016" w:type="dxa"/>
            <w:vAlign w:val="center"/>
          </w:tcPr>
          <w:p>
            <w:pPr>
              <w:rPr>
                <w:rFonts w:ascii="仿宋" w:hAnsi="仿宋" w:eastAsia="仿宋" w:cs="仿宋"/>
                <w:bCs/>
                <w:color w:val="auto"/>
                <w:kern w:val="0"/>
                <w:sz w:val="24"/>
                <w:highlight w:val="none"/>
              </w:rPr>
            </w:pPr>
            <w:r>
              <w:rPr>
                <w:rFonts w:hint="eastAsia" w:ascii="仿宋" w:hAnsi="仿宋" w:eastAsia="仿宋" w:cs="仿宋"/>
                <w:bCs/>
                <w:color w:val="auto"/>
                <w:sz w:val="24"/>
                <w:highlight w:val="none"/>
              </w:rPr>
              <w:t>具有履行合同所必需的设备和专业技术能力</w:t>
            </w:r>
          </w:p>
        </w:tc>
        <w:tc>
          <w:tcPr>
            <w:tcW w:w="5411" w:type="dxa"/>
            <w:vAlign w:val="center"/>
          </w:tcPr>
          <w:p>
            <w:pPr>
              <w:rPr>
                <w:rFonts w:ascii="仿宋" w:hAnsi="仿宋" w:eastAsia="仿宋" w:cs="仿宋"/>
                <w:color w:val="auto"/>
                <w:sz w:val="24"/>
                <w:highlight w:val="none"/>
              </w:rPr>
            </w:pPr>
            <w:r>
              <w:rPr>
                <w:rFonts w:hint="eastAsia" w:ascii="仿宋" w:hAnsi="仿宋" w:eastAsia="仿宋" w:cs="仿宋"/>
                <w:bCs/>
                <w:color w:val="auto"/>
                <w:sz w:val="24"/>
                <w:highlight w:val="none"/>
              </w:rPr>
              <w:t>提供投标人可充分满足履行合同所需设备和专业技术能力的证明材料或承诺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2" w:type="dxa"/>
            <w:vAlign w:val="center"/>
          </w:tcPr>
          <w:p>
            <w:pPr>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4</w:t>
            </w:r>
          </w:p>
        </w:tc>
        <w:tc>
          <w:tcPr>
            <w:tcW w:w="3016" w:type="dxa"/>
            <w:vAlign w:val="center"/>
          </w:tcPr>
          <w:p>
            <w:pPr>
              <w:rPr>
                <w:rFonts w:ascii="仿宋" w:hAnsi="仿宋" w:eastAsia="仿宋" w:cs="仿宋"/>
                <w:color w:val="auto"/>
                <w:sz w:val="24"/>
                <w:highlight w:val="none"/>
              </w:rPr>
            </w:pPr>
            <w:r>
              <w:rPr>
                <w:rFonts w:hint="eastAsia" w:ascii="仿宋" w:hAnsi="仿宋" w:eastAsia="仿宋" w:cs="仿宋"/>
                <w:bCs/>
                <w:color w:val="auto"/>
                <w:sz w:val="24"/>
                <w:highlight w:val="none"/>
              </w:rPr>
              <w:t>有依法缴纳税收和社会保障资金的良好记录</w:t>
            </w:r>
          </w:p>
        </w:tc>
        <w:tc>
          <w:tcPr>
            <w:tcW w:w="5411" w:type="dxa"/>
            <w:vAlign w:val="center"/>
          </w:tcPr>
          <w:p>
            <w:pPr>
              <w:rPr>
                <w:rFonts w:ascii="仿宋" w:hAnsi="仿宋" w:eastAsia="仿宋" w:cs="仿宋"/>
                <w:color w:val="auto"/>
                <w:sz w:val="24"/>
                <w:highlight w:val="none"/>
              </w:rPr>
            </w:pPr>
            <w:r>
              <w:rPr>
                <w:rFonts w:hint="eastAsia" w:ascii="仿宋" w:hAnsi="仿宋" w:eastAsia="仿宋" w:cs="仿宋"/>
                <w:bCs/>
                <w:color w:val="auto"/>
                <w:sz w:val="24"/>
                <w:highlight w:val="none"/>
              </w:rPr>
              <w:t>提供投标人</w:t>
            </w:r>
            <w:r>
              <w:rPr>
                <w:rFonts w:hint="eastAsia" w:ascii="仿宋" w:hAnsi="仿宋" w:eastAsia="仿宋" w:cs="仿宋"/>
                <w:bCs/>
                <w:color w:val="auto"/>
                <w:sz w:val="24"/>
                <w:highlight w:val="none"/>
                <w:lang w:val="en-US" w:eastAsia="zh-CN"/>
              </w:rPr>
              <w:t>得完税证明</w:t>
            </w:r>
            <w:r>
              <w:rPr>
                <w:rFonts w:hint="eastAsia" w:ascii="仿宋" w:hAnsi="仿宋" w:eastAsia="仿宋" w:cs="仿宋"/>
                <w:bCs/>
                <w:color w:val="auto"/>
                <w:sz w:val="24"/>
                <w:highlight w:val="none"/>
              </w:rPr>
              <w:t>和社会保障资金缴纳记录证明材料，复印件并加盖投标单位公章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552" w:type="dxa"/>
            <w:vAlign w:val="center"/>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3016" w:type="dxa"/>
            <w:vAlign w:val="center"/>
          </w:tcPr>
          <w:p>
            <w:pPr>
              <w:rPr>
                <w:rFonts w:ascii="仿宋" w:hAnsi="仿宋" w:eastAsia="仿宋" w:cs="仿宋"/>
                <w:color w:val="auto"/>
                <w:kern w:val="0"/>
                <w:sz w:val="24"/>
                <w:highlight w:val="none"/>
              </w:rPr>
            </w:pPr>
            <w:r>
              <w:rPr>
                <w:rFonts w:hint="eastAsia" w:ascii="仿宋" w:hAnsi="仿宋" w:eastAsia="仿宋" w:cs="仿宋"/>
                <w:bCs/>
                <w:color w:val="auto"/>
                <w:sz w:val="24"/>
                <w:highlight w:val="none"/>
              </w:rPr>
              <w:t>参加政府采购活动前三年内，在经营活动中没有重大违法记录</w:t>
            </w:r>
          </w:p>
        </w:tc>
        <w:tc>
          <w:tcPr>
            <w:tcW w:w="5411" w:type="dxa"/>
            <w:vAlign w:val="center"/>
          </w:tcPr>
          <w:p>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提供投标人参加政府采购活动前三年内，在经营活动中没有重大违法记录的书面声明材料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52" w:type="dxa"/>
            <w:vAlign w:val="center"/>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3016" w:type="dxa"/>
            <w:vAlign w:val="center"/>
          </w:tcPr>
          <w:p>
            <w:pPr>
              <w:rPr>
                <w:rFonts w:ascii="仿宋" w:hAnsi="仿宋" w:eastAsia="仿宋" w:cs="仿宋"/>
                <w:color w:val="auto"/>
                <w:kern w:val="0"/>
                <w:sz w:val="24"/>
                <w:highlight w:val="none"/>
              </w:rPr>
            </w:pPr>
            <w:r>
              <w:rPr>
                <w:rFonts w:hint="eastAsia" w:ascii="仿宋" w:hAnsi="仿宋" w:eastAsia="仿宋" w:cs="仿宋"/>
                <w:bCs/>
                <w:color w:val="auto"/>
                <w:sz w:val="24"/>
                <w:highlight w:val="none"/>
              </w:rPr>
              <w:t>法律、行政法规规定的其他条件</w:t>
            </w:r>
          </w:p>
        </w:tc>
        <w:tc>
          <w:tcPr>
            <w:tcW w:w="5411" w:type="dxa"/>
            <w:vAlign w:val="center"/>
          </w:tcPr>
          <w:p>
            <w:pPr>
              <w:rPr>
                <w:rFonts w:ascii="仿宋" w:hAnsi="仿宋" w:eastAsia="仿宋" w:cs="仿宋"/>
                <w:color w:val="auto"/>
                <w:kern w:val="0"/>
                <w:sz w:val="24"/>
                <w:highlight w:val="none"/>
              </w:rPr>
            </w:pPr>
            <w:r>
              <w:rPr>
                <w:rFonts w:hint="eastAsia" w:ascii="仿宋" w:hAnsi="仿宋" w:eastAsia="仿宋" w:cs="仿宋"/>
                <w:color w:val="auto"/>
                <w:sz w:val="24"/>
                <w:highlight w:val="none"/>
              </w:rPr>
              <w:t>提供投标人满足法律、行政法规规定的其他条件承诺函。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52" w:type="dxa"/>
            <w:vAlign w:val="center"/>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3016" w:type="dxa"/>
            <w:vAlign w:val="center"/>
          </w:tcPr>
          <w:p>
            <w:pPr>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rPr>
              <w:t>未被“信用中国”网站（</w:t>
            </w:r>
            <w:r>
              <w:rPr>
                <w:color w:val="auto"/>
                <w:highlight w:val="none"/>
              </w:rPr>
              <w:fldChar w:fldCharType="begin"/>
            </w:r>
            <w:r>
              <w:rPr>
                <w:color w:val="auto"/>
                <w:highlight w:val="none"/>
              </w:rPr>
              <w:instrText xml:space="preserve"> HYPERLINK "http://www.creditchina.gov.cn）中列入失信被执行人和/" </w:instrText>
            </w:r>
            <w:r>
              <w:rPr>
                <w:color w:val="auto"/>
                <w:highlight w:val="none"/>
              </w:rPr>
              <w:fldChar w:fldCharType="separate"/>
            </w:r>
            <w:r>
              <w:rPr>
                <w:rFonts w:hint="eastAsia" w:ascii="仿宋" w:hAnsi="仿宋" w:eastAsia="仿宋" w:cs="仿宋"/>
                <w:bCs/>
                <w:color w:val="auto"/>
                <w:sz w:val="24"/>
                <w:highlight w:val="none"/>
              </w:rPr>
              <w:t>www.creditchina.gov.cn）中列入失信被执行人</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或重大税收违法案件当事人名单的供应商、未被中国政府采购网（www.ccgp.gov.cn）列入政府采购严重违法失信行为记录名单</w:t>
            </w:r>
          </w:p>
        </w:tc>
        <w:tc>
          <w:tcPr>
            <w:tcW w:w="5411" w:type="dxa"/>
            <w:vAlign w:val="center"/>
          </w:tcPr>
          <w:p>
            <w:pP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rPr>
              <w:t>投标人在信用中国网站、中国政府采购网</w:t>
            </w:r>
            <w:r>
              <w:rPr>
                <w:rFonts w:hint="eastAsia" w:ascii="仿宋" w:hAnsi="仿宋" w:eastAsia="仿宋" w:cs="仿宋"/>
                <w:bCs/>
                <w:color w:val="auto"/>
                <w:sz w:val="24"/>
                <w:highlight w:val="none"/>
                <w:lang w:val="en-US" w:eastAsia="zh-CN"/>
              </w:rPr>
              <w:t>无违法</w:t>
            </w:r>
            <w:r>
              <w:rPr>
                <w:rFonts w:hint="eastAsia" w:ascii="仿宋" w:hAnsi="仿宋" w:eastAsia="仿宋" w:cs="仿宋"/>
                <w:bCs/>
                <w:color w:val="auto"/>
                <w:sz w:val="24"/>
                <w:highlight w:val="none"/>
              </w:rPr>
              <w:t>信用记录</w:t>
            </w:r>
          </w:p>
        </w:tc>
      </w:tr>
    </w:tbl>
    <w:p>
      <w:pPr>
        <w:pStyle w:val="4"/>
        <w:bidi w:val="0"/>
        <w:jc w:val="center"/>
        <w:rPr>
          <w:rFonts w:hint="eastAsia"/>
          <w:color w:val="auto"/>
          <w:highlight w:val="none"/>
        </w:rPr>
      </w:pPr>
      <w:bookmarkStart w:id="915" w:name="_Toc24634"/>
      <w:bookmarkStart w:id="916" w:name="_Toc51059385"/>
      <w:bookmarkStart w:id="917" w:name="_Toc13237"/>
      <w:bookmarkStart w:id="918" w:name="_Toc8126"/>
    </w:p>
    <w:p>
      <w:pPr>
        <w:pStyle w:val="4"/>
        <w:bidi w:val="0"/>
        <w:jc w:val="center"/>
        <w:rPr>
          <w:color w:val="auto"/>
          <w:highlight w:val="none"/>
        </w:rPr>
      </w:pPr>
      <w:r>
        <w:rPr>
          <w:rFonts w:hint="eastAsia"/>
          <w:color w:val="auto"/>
          <w:highlight w:val="none"/>
        </w:rPr>
        <w:t>二、符合性审查</w:t>
      </w:r>
      <w:bookmarkEnd w:id="915"/>
      <w:bookmarkEnd w:id="916"/>
      <w:bookmarkEnd w:id="917"/>
      <w:bookmarkEnd w:id="918"/>
    </w:p>
    <w:p>
      <w:pPr>
        <w:tabs>
          <w:tab w:val="left" w:pos="851"/>
        </w:tabs>
        <w:spacing w:line="360" w:lineRule="auto"/>
        <w:ind w:right="42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pPr>
        <w:tabs>
          <w:tab w:val="left" w:pos="851"/>
        </w:tabs>
        <w:spacing w:line="360" w:lineRule="auto"/>
        <w:ind w:right="420" w:firstLine="600" w:firstLineChars="25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符合性审查标准见下表：</w:t>
      </w:r>
    </w:p>
    <w:tbl>
      <w:tblPr>
        <w:tblStyle w:val="50"/>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9"/>
        <w:gridCol w:w="2480"/>
        <w:gridCol w:w="5629"/>
        <w:gridCol w:w="7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569" w:type="dxa"/>
          </w:tcPr>
          <w:p>
            <w:pPr>
              <w:pStyle w:val="222"/>
              <w:spacing w:before="3"/>
              <w:ind w:left="177"/>
              <w:rPr>
                <w:b/>
                <w:sz w:val="21"/>
              </w:rPr>
            </w:pPr>
            <w:r>
              <w:rPr>
                <w:b/>
                <w:w w:val="100"/>
                <w:sz w:val="21"/>
              </w:rPr>
              <w:t>序</w:t>
            </w:r>
          </w:p>
          <w:p>
            <w:pPr>
              <w:pStyle w:val="222"/>
              <w:spacing w:before="139"/>
              <w:ind w:left="177"/>
              <w:rPr>
                <w:b/>
                <w:sz w:val="21"/>
              </w:rPr>
            </w:pPr>
            <w:r>
              <w:rPr>
                <w:b/>
                <w:w w:val="100"/>
                <w:sz w:val="21"/>
              </w:rPr>
              <w:t>号</w:t>
            </w:r>
          </w:p>
        </w:tc>
        <w:tc>
          <w:tcPr>
            <w:tcW w:w="2480" w:type="dxa"/>
          </w:tcPr>
          <w:p>
            <w:pPr>
              <w:pStyle w:val="222"/>
              <w:spacing w:before="2"/>
              <w:rPr>
                <w:b/>
                <w:sz w:val="16"/>
              </w:rPr>
            </w:pPr>
          </w:p>
          <w:p>
            <w:pPr>
              <w:pStyle w:val="222"/>
              <w:ind w:left="71" w:right="61"/>
              <w:jc w:val="center"/>
              <w:rPr>
                <w:b/>
                <w:sz w:val="21"/>
              </w:rPr>
            </w:pPr>
            <w:r>
              <w:rPr>
                <w:b/>
                <w:sz w:val="21"/>
              </w:rPr>
              <w:t>符合性审查项</w:t>
            </w:r>
          </w:p>
        </w:tc>
        <w:tc>
          <w:tcPr>
            <w:tcW w:w="5629" w:type="dxa"/>
          </w:tcPr>
          <w:p>
            <w:pPr>
              <w:pStyle w:val="222"/>
              <w:spacing w:before="2"/>
              <w:rPr>
                <w:b/>
                <w:sz w:val="16"/>
              </w:rPr>
            </w:pPr>
          </w:p>
          <w:p>
            <w:pPr>
              <w:pStyle w:val="222"/>
              <w:ind w:left="2375" w:right="2360"/>
              <w:jc w:val="center"/>
              <w:rPr>
                <w:b/>
                <w:sz w:val="21"/>
              </w:rPr>
            </w:pPr>
            <w:r>
              <w:rPr>
                <w:b/>
                <w:sz w:val="21"/>
              </w:rPr>
              <w:t>通过条件</w:t>
            </w:r>
          </w:p>
        </w:tc>
        <w:tc>
          <w:tcPr>
            <w:tcW w:w="782" w:type="dxa"/>
          </w:tcPr>
          <w:p>
            <w:pPr>
              <w:pStyle w:val="222"/>
              <w:spacing w:before="2"/>
              <w:rPr>
                <w:b/>
                <w:sz w:val="16"/>
              </w:rPr>
            </w:pPr>
          </w:p>
          <w:p>
            <w:pPr>
              <w:pStyle w:val="222"/>
              <w:ind w:left="179"/>
              <w:rPr>
                <w:b/>
                <w:sz w:val="21"/>
              </w:rPr>
            </w:pPr>
            <w:r>
              <w:rPr>
                <w:b/>
                <w:sz w:val="21"/>
              </w:rPr>
              <w:t>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569" w:type="dxa"/>
          </w:tcPr>
          <w:p>
            <w:pPr>
              <w:pStyle w:val="222"/>
              <w:spacing w:before="114"/>
              <w:ind w:right="221"/>
              <w:jc w:val="right"/>
              <w:rPr>
                <w:sz w:val="21"/>
              </w:rPr>
            </w:pPr>
            <w:r>
              <w:rPr>
                <w:w w:val="100"/>
                <w:sz w:val="21"/>
              </w:rPr>
              <w:t>1</w:t>
            </w:r>
          </w:p>
        </w:tc>
        <w:tc>
          <w:tcPr>
            <w:tcW w:w="2480" w:type="dxa"/>
          </w:tcPr>
          <w:p>
            <w:pPr>
              <w:pStyle w:val="222"/>
              <w:spacing w:before="1"/>
              <w:rPr>
                <w:b/>
                <w:sz w:val="14"/>
              </w:rPr>
            </w:pPr>
          </w:p>
          <w:p>
            <w:pPr>
              <w:pStyle w:val="222"/>
              <w:ind w:left="74" w:right="61"/>
              <w:jc w:val="center"/>
              <w:rPr>
                <w:sz w:val="21"/>
              </w:rPr>
            </w:pPr>
            <w:r>
              <w:rPr>
                <w:sz w:val="21"/>
              </w:rPr>
              <w:t>投标文件签署盖章</w:t>
            </w:r>
          </w:p>
        </w:tc>
        <w:tc>
          <w:tcPr>
            <w:tcW w:w="5629" w:type="dxa"/>
          </w:tcPr>
          <w:p>
            <w:pPr>
              <w:pStyle w:val="222"/>
              <w:spacing w:before="46" w:line="242" w:lineRule="auto"/>
              <w:ind w:left="109" w:right="91"/>
              <w:rPr>
                <w:sz w:val="21"/>
              </w:rPr>
            </w:pPr>
            <w:r>
              <w:rPr>
                <w:sz w:val="21"/>
              </w:rPr>
              <w:t>按采购文件要求在规定位置加盖供应商公章和有法定代表人或其授权代表签字加盖人名章的；</w:t>
            </w:r>
          </w:p>
        </w:tc>
        <w:tc>
          <w:tcPr>
            <w:tcW w:w="782" w:type="dxa"/>
          </w:tcPr>
          <w:p>
            <w:pPr>
              <w:pStyle w:val="22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569" w:type="dxa"/>
          </w:tcPr>
          <w:p>
            <w:pPr>
              <w:pStyle w:val="222"/>
              <w:spacing w:before="32"/>
              <w:ind w:right="221"/>
              <w:jc w:val="right"/>
              <w:rPr>
                <w:sz w:val="21"/>
              </w:rPr>
            </w:pPr>
            <w:r>
              <w:rPr>
                <w:w w:val="100"/>
                <w:sz w:val="21"/>
              </w:rPr>
              <w:t>2</w:t>
            </w:r>
          </w:p>
        </w:tc>
        <w:tc>
          <w:tcPr>
            <w:tcW w:w="2480" w:type="dxa"/>
          </w:tcPr>
          <w:p>
            <w:pPr>
              <w:pStyle w:val="222"/>
              <w:spacing w:before="32"/>
              <w:ind w:left="74" w:right="61"/>
              <w:jc w:val="center"/>
              <w:rPr>
                <w:sz w:val="21"/>
              </w:rPr>
            </w:pPr>
            <w:r>
              <w:rPr>
                <w:sz w:val="21"/>
              </w:rPr>
              <w:t>投标有效期</w:t>
            </w:r>
          </w:p>
        </w:tc>
        <w:tc>
          <w:tcPr>
            <w:tcW w:w="5629" w:type="dxa"/>
          </w:tcPr>
          <w:p>
            <w:pPr>
              <w:pStyle w:val="222"/>
              <w:spacing w:before="32"/>
              <w:ind w:left="109"/>
              <w:rPr>
                <w:sz w:val="21"/>
              </w:rPr>
            </w:pPr>
            <w:r>
              <w:rPr>
                <w:sz w:val="21"/>
              </w:rPr>
              <w:t>投标有效期符合采购文件的要求。</w:t>
            </w:r>
          </w:p>
        </w:tc>
        <w:tc>
          <w:tcPr>
            <w:tcW w:w="782" w:type="dxa"/>
          </w:tcPr>
          <w:p>
            <w:pPr>
              <w:pStyle w:val="22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569" w:type="dxa"/>
          </w:tcPr>
          <w:p>
            <w:pPr>
              <w:pStyle w:val="222"/>
              <w:rPr>
                <w:b/>
                <w:sz w:val="20"/>
              </w:rPr>
            </w:pPr>
          </w:p>
          <w:p>
            <w:pPr>
              <w:pStyle w:val="222"/>
              <w:spacing w:before="152"/>
              <w:ind w:right="221"/>
              <w:jc w:val="right"/>
              <w:rPr>
                <w:sz w:val="21"/>
              </w:rPr>
            </w:pPr>
            <w:r>
              <w:rPr>
                <w:w w:val="100"/>
                <w:sz w:val="21"/>
              </w:rPr>
              <w:t>3</w:t>
            </w:r>
          </w:p>
        </w:tc>
        <w:tc>
          <w:tcPr>
            <w:tcW w:w="2480" w:type="dxa"/>
          </w:tcPr>
          <w:p>
            <w:pPr>
              <w:pStyle w:val="222"/>
              <w:spacing w:before="1" w:line="364" w:lineRule="auto"/>
              <w:ind w:left="77" w:right="61"/>
              <w:jc w:val="center"/>
              <w:rPr>
                <w:sz w:val="21"/>
              </w:rPr>
            </w:pPr>
            <w:r>
              <w:rPr>
                <w:sz w:val="21"/>
              </w:rPr>
              <w:t>法定代表人（负责人）身份证复印件或护照复印</w:t>
            </w:r>
          </w:p>
          <w:p>
            <w:pPr>
              <w:pStyle w:val="222"/>
              <w:ind w:left="10"/>
              <w:jc w:val="center"/>
              <w:rPr>
                <w:sz w:val="21"/>
              </w:rPr>
            </w:pPr>
            <w:r>
              <w:rPr>
                <w:w w:val="100"/>
                <w:sz w:val="21"/>
              </w:rPr>
              <w:t>件</w:t>
            </w:r>
          </w:p>
        </w:tc>
        <w:tc>
          <w:tcPr>
            <w:tcW w:w="5629" w:type="dxa"/>
          </w:tcPr>
          <w:p>
            <w:pPr>
              <w:pStyle w:val="222"/>
              <w:spacing w:before="1" w:line="364" w:lineRule="auto"/>
              <w:ind w:left="109" w:right="29"/>
              <w:rPr>
                <w:sz w:val="21"/>
              </w:rPr>
            </w:pPr>
            <w:r>
              <w:rPr>
                <w:sz w:val="21"/>
              </w:rPr>
              <w:t>身份证复印件或护照复印件【注：法定代表人（负责人）身份证复印件（身份证两面均应复印，在有效期内）或护照复</w:t>
            </w:r>
          </w:p>
          <w:p>
            <w:pPr>
              <w:pStyle w:val="222"/>
              <w:ind w:left="109" w:right="-15"/>
              <w:rPr>
                <w:sz w:val="21"/>
              </w:rPr>
            </w:pPr>
            <w:r>
              <w:rPr>
                <w:spacing w:val="-14"/>
                <w:sz w:val="21"/>
              </w:rPr>
              <w:t>印件</w:t>
            </w:r>
            <w:r>
              <w:rPr>
                <w:spacing w:val="-3"/>
                <w:sz w:val="21"/>
              </w:rPr>
              <w:t>（</w:t>
            </w:r>
            <w:r>
              <w:rPr>
                <w:spacing w:val="-8"/>
                <w:sz w:val="21"/>
              </w:rPr>
              <w:t>法定代表人</w:t>
            </w:r>
            <w:r>
              <w:rPr>
                <w:sz w:val="21"/>
              </w:rPr>
              <w:t>（</w:t>
            </w:r>
            <w:r>
              <w:rPr>
                <w:spacing w:val="-2"/>
                <w:sz w:val="21"/>
              </w:rPr>
              <w:t>负责人</w:t>
            </w:r>
            <w:r>
              <w:rPr>
                <w:spacing w:val="-27"/>
                <w:sz w:val="21"/>
              </w:rPr>
              <w:t>）</w:t>
            </w:r>
            <w:r>
              <w:rPr>
                <w:spacing w:val="-7"/>
                <w:sz w:val="21"/>
              </w:rPr>
              <w:t>为外籍人士的，按此提供</w:t>
            </w:r>
            <w:r>
              <w:rPr>
                <w:spacing w:val="-27"/>
                <w:sz w:val="21"/>
              </w:rPr>
              <w:t>）</w:t>
            </w:r>
            <w:r>
              <w:rPr>
                <w:spacing w:val="-14"/>
                <w:sz w:val="21"/>
              </w:rPr>
              <w:t>。】</w:t>
            </w:r>
          </w:p>
        </w:tc>
        <w:tc>
          <w:tcPr>
            <w:tcW w:w="782" w:type="dxa"/>
          </w:tcPr>
          <w:p>
            <w:pPr>
              <w:pStyle w:val="22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569" w:type="dxa"/>
          </w:tcPr>
          <w:p>
            <w:pPr>
              <w:pStyle w:val="222"/>
              <w:rPr>
                <w:b/>
                <w:sz w:val="16"/>
              </w:rPr>
            </w:pPr>
          </w:p>
          <w:p>
            <w:pPr>
              <w:pStyle w:val="222"/>
              <w:ind w:right="221"/>
              <w:jc w:val="right"/>
              <w:rPr>
                <w:sz w:val="21"/>
              </w:rPr>
            </w:pPr>
            <w:r>
              <w:rPr>
                <w:w w:val="100"/>
                <w:sz w:val="21"/>
              </w:rPr>
              <w:t>4</w:t>
            </w:r>
          </w:p>
        </w:tc>
        <w:tc>
          <w:tcPr>
            <w:tcW w:w="2480" w:type="dxa"/>
          </w:tcPr>
          <w:p>
            <w:pPr>
              <w:pStyle w:val="222"/>
              <w:rPr>
                <w:b/>
                <w:sz w:val="16"/>
              </w:rPr>
            </w:pPr>
          </w:p>
          <w:p>
            <w:pPr>
              <w:pStyle w:val="222"/>
              <w:ind w:left="71" w:right="61"/>
              <w:jc w:val="center"/>
              <w:rPr>
                <w:sz w:val="21"/>
              </w:rPr>
            </w:pPr>
            <w:r>
              <w:rPr>
                <w:sz w:val="21"/>
              </w:rPr>
              <w:t>授权代表身份证复印件</w:t>
            </w:r>
          </w:p>
        </w:tc>
        <w:tc>
          <w:tcPr>
            <w:tcW w:w="5629" w:type="dxa"/>
          </w:tcPr>
          <w:p>
            <w:pPr>
              <w:pStyle w:val="222"/>
              <w:spacing w:before="1"/>
              <w:ind w:left="109"/>
              <w:rPr>
                <w:sz w:val="21"/>
              </w:rPr>
            </w:pPr>
            <w:r>
              <w:rPr>
                <w:sz w:val="21"/>
              </w:rPr>
              <w:t>身份证复印件【注：（1）授权代表身份证复印件（身份证</w:t>
            </w:r>
          </w:p>
          <w:p>
            <w:pPr>
              <w:pStyle w:val="222"/>
              <w:spacing w:before="139"/>
              <w:ind w:left="109"/>
              <w:rPr>
                <w:sz w:val="21"/>
              </w:rPr>
            </w:pPr>
            <w:r>
              <w:rPr>
                <w:sz w:val="21"/>
              </w:rPr>
              <w:t>两面均应复印，在有效期内）】</w:t>
            </w:r>
          </w:p>
        </w:tc>
        <w:tc>
          <w:tcPr>
            <w:tcW w:w="782" w:type="dxa"/>
          </w:tcPr>
          <w:p>
            <w:pPr>
              <w:pStyle w:val="22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569" w:type="dxa"/>
          </w:tcPr>
          <w:p>
            <w:pPr>
              <w:pStyle w:val="222"/>
              <w:spacing w:before="39"/>
              <w:ind w:right="221"/>
              <w:jc w:val="right"/>
              <w:rPr>
                <w:rFonts w:hint="eastAsia" w:eastAsia="宋体"/>
                <w:sz w:val="21"/>
                <w:lang w:eastAsia="zh-CN"/>
              </w:rPr>
            </w:pPr>
            <w:r>
              <w:rPr>
                <w:rFonts w:hint="eastAsia"/>
                <w:w w:val="100"/>
                <w:sz w:val="21"/>
                <w:lang w:val="en-US" w:eastAsia="zh-CN"/>
              </w:rPr>
              <w:t>5</w:t>
            </w:r>
          </w:p>
        </w:tc>
        <w:tc>
          <w:tcPr>
            <w:tcW w:w="2480" w:type="dxa"/>
          </w:tcPr>
          <w:p>
            <w:pPr>
              <w:pStyle w:val="222"/>
              <w:spacing w:before="39"/>
              <w:ind w:left="71" w:right="61"/>
              <w:jc w:val="center"/>
              <w:rPr>
                <w:sz w:val="21"/>
              </w:rPr>
            </w:pPr>
            <w:r>
              <w:rPr>
                <w:sz w:val="21"/>
              </w:rPr>
              <w:t>其他实质性要求</w:t>
            </w:r>
          </w:p>
        </w:tc>
        <w:tc>
          <w:tcPr>
            <w:tcW w:w="5629" w:type="dxa"/>
          </w:tcPr>
          <w:p>
            <w:pPr>
              <w:pStyle w:val="222"/>
              <w:spacing w:before="39"/>
              <w:ind w:left="109"/>
              <w:rPr>
                <w:sz w:val="21"/>
              </w:rPr>
            </w:pPr>
            <w:r>
              <w:rPr>
                <w:sz w:val="21"/>
              </w:rPr>
              <w:t>符合采购文件规定的其他实质性要求。</w:t>
            </w:r>
          </w:p>
        </w:tc>
        <w:tc>
          <w:tcPr>
            <w:tcW w:w="782" w:type="dxa"/>
          </w:tcPr>
          <w:p>
            <w:pPr>
              <w:pStyle w:val="222"/>
              <w:rPr>
                <w:rFonts w:ascii="Times New Roman"/>
                <w:sz w:val="22"/>
              </w:rPr>
            </w:pPr>
          </w:p>
        </w:tc>
      </w:tr>
    </w:tbl>
    <w:p>
      <w:pPr>
        <w:pStyle w:val="48"/>
        <w:keepNext w:val="0"/>
        <w:keepLines w:val="0"/>
        <w:pageBreakBefore w:val="0"/>
        <w:widowControl w:val="0"/>
        <w:kinsoku/>
        <w:wordWrap/>
        <w:overflowPunct/>
        <w:topLinePunct w:val="0"/>
        <w:autoSpaceDE/>
        <w:autoSpaceDN/>
        <w:bidi w:val="0"/>
        <w:adjustRightInd/>
        <w:snapToGrid/>
        <w:spacing w:after="0" w:line="360" w:lineRule="auto"/>
        <w:ind w:firstLine="600"/>
        <w:textAlignment w:val="auto"/>
        <w:rPr>
          <w:rFonts w:hint="eastAsia" w:ascii="仿宋" w:hAnsi="仿宋" w:eastAsia="仿宋"/>
          <w:color w:val="auto"/>
          <w:sz w:val="24"/>
          <w:highlight w:val="none"/>
        </w:rPr>
      </w:pPr>
      <w:r>
        <w:rPr>
          <w:b/>
          <w:sz w:val="21"/>
        </w:rPr>
        <w:t>注：1、符合采购文件要求用“○”表示，不符合用“×”表示。有一项不符合要求，结论为不合格。</w:t>
      </w:r>
    </w:p>
    <w:p>
      <w:pPr>
        <w:pStyle w:val="48"/>
        <w:keepNext w:val="0"/>
        <w:keepLines w:val="0"/>
        <w:pageBreakBefore w:val="0"/>
        <w:widowControl w:val="0"/>
        <w:kinsoku/>
        <w:wordWrap/>
        <w:overflowPunct/>
        <w:topLinePunct w:val="0"/>
        <w:autoSpaceDE/>
        <w:autoSpaceDN/>
        <w:bidi w:val="0"/>
        <w:adjustRightInd/>
        <w:snapToGrid/>
        <w:spacing w:after="0" w:line="360" w:lineRule="auto"/>
        <w:ind w:firstLine="600"/>
        <w:textAlignment w:val="auto"/>
        <w:rPr>
          <w:rFonts w:ascii="仿宋" w:hAnsi="仿宋" w:eastAsia="仿宋"/>
          <w:b/>
          <w:bCs/>
          <w:color w:val="auto"/>
          <w:sz w:val="24"/>
          <w:highlight w:val="none"/>
        </w:rPr>
      </w:pPr>
      <w:r>
        <w:rPr>
          <w:rFonts w:hint="eastAsia" w:ascii="仿宋" w:hAnsi="仿宋" w:eastAsia="仿宋"/>
          <w:color w:val="auto"/>
          <w:sz w:val="24"/>
          <w:highlight w:val="none"/>
        </w:rPr>
        <w:t>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pStyle w:val="48"/>
        <w:keepNext w:val="0"/>
        <w:keepLines w:val="0"/>
        <w:pageBreakBefore w:val="0"/>
        <w:widowControl w:val="0"/>
        <w:kinsoku/>
        <w:wordWrap/>
        <w:overflowPunct/>
        <w:topLinePunct w:val="0"/>
        <w:autoSpaceDE/>
        <w:autoSpaceDN/>
        <w:bidi w:val="0"/>
        <w:adjustRightInd/>
        <w:snapToGrid/>
        <w:spacing w:after="0" w:line="360" w:lineRule="auto"/>
        <w:ind w:firstLine="602"/>
        <w:textAlignment w:val="auto"/>
        <w:rPr>
          <w:rFonts w:ascii="仿宋" w:hAnsi="仿宋" w:eastAsia="仿宋"/>
          <w:b/>
          <w:bCs/>
          <w:color w:val="auto"/>
          <w:sz w:val="24"/>
          <w:highlight w:val="none"/>
        </w:rPr>
      </w:pPr>
      <w:r>
        <w:rPr>
          <w:rFonts w:hint="eastAsia" w:ascii="仿宋" w:hAnsi="仿宋" w:eastAsia="仿宋"/>
          <w:b/>
          <w:bCs/>
          <w:color w:val="auto"/>
          <w:sz w:val="24"/>
          <w:highlight w:val="none"/>
        </w:rPr>
        <w:t>特别说明：</w:t>
      </w:r>
      <w:r>
        <w:rPr>
          <w:rFonts w:hint="eastAsia" w:ascii="仿宋" w:hAnsi="仿宋" w:eastAsia="仿宋"/>
          <w:b w:val="0"/>
          <w:bCs w:val="0"/>
          <w:color w:val="auto"/>
          <w:sz w:val="24"/>
          <w:szCs w:val="24"/>
          <w:highlight w:val="none"/>
        </w:rPr>
        <w:t>通过符合性审查的投标人不足3家的，根据《中华人民共和国政府采法》第三十六条在招标采购中，出现下列情形之一的，应予废标：（一）符合专业条件的供应商或者对招标文件作实质响应的供应商不足三家的；（二）出现影响采购公正的违法、违规行为的；（三）投标人的报价均超过了采购预算，采购人不能支付的；（四）因重大变故，采购任务取消的。废标后，采购人应当将废标理由通知所有投标人。</w:t>
      </w:r>
    </w:p>
    <w:p>
      <w:pPr>
        <w:rPr>
          <w:rFonts w:hint="eastAsia"/>
          <w:color w:val="auto"/>
          <w:highlight w:val="none"/>
        </w:rPr>
      </w:pPr>
      <w:bookmarkStart w:id="919" w:name="_Toc14573"/>
      <w:bookmarkStart w:id="920" w:name="_Toc19449"/>
      <w:r>
        <w:rPr>
          <w:rFonts w:hint="eastAsia"/>
          <w:color w:val="auto"/>
          <w:highlight w:val="none"/>
        </w:rPr>
        <w:br w:type="page"/>
      </w:r>
    </w:p>
    <w:p>
      <w:pPr>
        <w:pStyle w:val="4"/>
        <w:numPr>
          <w:ilvl w:val="0"/>
          <w:numId w:val="4"/>
        </w:numPr>
        <w:bidi w:val="0"/>
        <w:ind w:left="3360" w:leftChars="0" w:firstLineChars="0"/>
        <w:jc w:val="left"/>
        <w:rPr>
          <w:rFonts w:hint="eastAsia"/>
          <w:color w:val="auto"/>
          <w:highlight w:val="none"/>
        </w:rPr>
      </w:pPr>
      <w:r>
        <w:rPr>
          <w:rFonts w:hint="eastAsia"/>
          <w:color w:val="auto"/>
          <w:highlight w:val="none"/>
        </w:rPr>
        <w:t>评分标准</w:t>
      </w:r>
      <w:bookmarkEnd w:id="919"/>
      <w:bookmarkEnd w:id="920"/>
    </w:p>
    <w:p>
      <w:pPr>
        <w:rPr>
          <w:rFonts w:asciiTheme="minorEastAsia" w:hAnsiTheme="minorEastAsia" w:eastAsiaTheme="minorEastAsia"/>
        </w:rPr>
      </w:pPr>
    </w:p>
    <w:tbl>
      <w:tblPr>
        <w:tblStyle w:val="50"/>
        <w:tblW w:w="892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86"/>
        <w:gridCol w:w="1246"/>
        <w:gridCol w:w="686"/>
        <w:gridCol w:w="630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7" w:hRule="atLeast"/>
          <w:jc w:val="center"/>
        </w:trPr>
        <w:tc>
          <w:tcPr>
            <w:tcW w:w="686" w:type="dxa"/>
            <w:vAlign w:val="center"/>
          </w:tcPr>
          <w:p>
            <w:pPr>
              <w:pStyle w:val="222"/>
              <w:rPr>
                <w:rFonts w:hint="eastAsia" w:ascii="仿宋" w:hAnsi="仿宋" w:eastAsia="仿宋" w:cs="仿宋"/>
                <w:bCs/>
                <w:color w:val="auto"/>
                <w:spacing w:val="-3"/>
                <w:szCs w:val="21"/>
                <w:lang w:val="zh-CN" w:eastAsia="zh-CN"/>
              </w:rPr>
            </w:pPr>
            <w:r>
              <w:rPr>
                <w:rFonts w:hint="eastAsia" w:ascii="仿宋" w:hAnsi="仿宋" w:eastAsia="仿宋" w:cs="仿宋"/>
                <w:bCs/>
                <w:color w:val="auto"/>
                <w:spacing w:val="-3"/>
                <w:szCs w:val="21"/>
                <w:lang w:val="zh-CN" w:eastAsia="zh-CN"/>
              </w:rPr>
              <w:t>一</w:t>
            </w:r>
          </w:p>
        </w:tc>
        <w:tc>
          <w:tcPr>
            <w:tcW w:w="1246" w:type="dxa"/>
            <w:vAlign w:val="center"/>
          </w:tcPr>
          <w:p>
            <w:pPr>
              <w:pStyle w:val="222"/>
              <w:rPr>
                <w:rFonts w:hint="eastAsia" w:ascii="仿宋" w:hAnsi="仿宋" w:eastAsia="仿宋" w:cs="仿宋"/>
                <w:bCs/>
                <w:color w:val="auto"/>
                <w:spacing w:val="-3"/>
                <w:szCs w:val="21"/>
                <w:lang w:val="zh-CN" w:eastAsia="zh-CN"/>
              </w:rPr>
            </w:pPr>
            <w:r>
              <w:rPr>
                <w:rFonts w:hint="eastAsia" w:ascii="仿宋" w:hAnsi="仿宋" w:eastAsia="仿宋" w:cs="仿宋"/>
                <w:bCs/>
                <w:color w:val="auto"/>
                <w:spacing w:val="-3"/>
                <w:szCs w:val="21"/>
                <w:lang w:val="zh-CN" w:eastAsia="zh-CN"/>
              </w:rPr>
              <w:t>报价</w:t>
            </w:r>
          </w:p>
        </w:tc>
        <w:tc>
          <w:tcPr>
            <w:tcW w:w="686" w:type="dxa"/>
            <w:vAlign w:val="center"/>
          </w:tcPr>
          <w:p>
            <w:pPr>
              <w:pStyle w:val="222"/>
              <w:rPr>
                <w:rFonts w:hint="eastAsia" w:ascii="仿宋" w:hAnsi="仿宋" w:eastAsia="仿宋" w:cs="仿宋"/>
                <w:bCs/>
                <w:color w:val="auto"/>
                <w:spacing w:val="-3"/>
                <w:szCs w:val="21"/>
                <w:lang w:val="zh-CN" w:eastAsia="zh-CN"/>
              </w:rPr>
            </w:pPr>
            <w:r>
              <w:rPr>
                <w:rFonts w:hint="eastAsia" w:ascii="仿宋" w:hAnsi="仿宋" w:eastAsia="仿宋" w:cs="仿宋"/>
                <w:bCs/>
                <w:color w:val="auto"/>
                <w:spacing w:val="-3"/>
                <w:szCs w:val="21"/>
                <w:lang w:val="zh-CN" w:eastAsia="zh-CN"/>
              </w:rPr>
              <w:t>30</w:t>
            </w:r>
          </w:p>
        </w:tc>
        <w:tc>
          <w:tcPr>
            <w:tcW w:w="6306" w:type="dxa"/>
            <w:vAlign w:val="center"/>
          </w:tcPr>
          <w:p>
            <w:pPr>
              <w:pStyle w:val="222"/>
              <w:rPr>
                <w:rFonts w:hint="eastAsia"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根据《政府采购货物和服务招标投标管理办法》（财政部令第87 号）第五十五条规定</w:t>
            </w:r>
          </w:p>
          <w:p>
            <w:pPr>
              <w:pStyle w:val="222"/>
              <w:rPr>
                <w:rFonts w:hint="eastAsia"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货物项目的价格分值占总分值的比重不得低于 30%；服务项目的价格分值占总分值的比重不得低于 10%。执行国家统一定价标准和采用固定价格采购的项目，其价格不列为评审因素。 价格分应当采用低价优先法计算，即满足招标文件要求且投标价格最低的投标报价为评标基准价，其价格分为满分。其他供应商的价格分统一按照下列公式计算：</w:t>
            </w:r>
          </w:p>
          <w:p>
            <w:pPr>
              <w:pStyle w:val="222"/>
              <w:rPr>
                <w:rFonts w:hint="eastAsia"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投标报价得分=(评标基准价／投标报价)×0.30×100</w:t>
            </w:r>
          </w:p>
          <w:p>
            <w:pPr>
              <w:pStyle w:val="222"/>
              <w:rPr>
                <w:rFonts w:hint="eastAsia"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评标过程中，不得去掉报价中的最高报价和最低报价。因落实政府采购政策进行价格调整的，以调整后的价格计算评标基准价和投标报价。</w:t>
            </w:r>
          </w:p>
          <w:p>
            <w:pPr>
              <w:pStyle w:val="222"/>
              <w:rPr>
                <w:rFonts w:hint="eastAsia"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供应商因按政府采购要求提供中小企业证明函，对提供中小企业</w:t>
            </w:r>
          </w:p>
          <w:p>
            <w:pPr>
              <w:pStyle w:val="222"/>
              <w:rPr>
                <w:rFonts w:hint="eastAsia" w:ascii="仿宋" w:hAnsi="仿宋" w:eastAsia="仿宋" w:cs="仿宋"/>
                <w:bCs/>
                <w:color w:val="auto"/>
                <w:spacing w:val="-3"/>
                <w:szCs w:val="21"/>
                <w:lang w:val="zh-CN" w:eastAsia="zh-CN"/>
              </w:rPr>
            </w:pPr>
            <w:r>
              <w:rPr>
                <w:rFonts w:hint="eastAsia" w:ascii="仿宋" w:hAnsi="仿宋" w:eastAsia="仿宋" w:cs="仿宋"/>
                <w:bCs/>
                <w:color w:val="auto"/>
                <w:spacing w:val="-3"/>
                <w:szCs w:val="21"/>
                <w:lang w:val="en-US" w:eastAsia="zh-CN"/>
              </w:rPr>
              <w:t>证明函的企业给与 10%价格扣除。</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2" w:hRule="atLeast"/>
          <w:jc w:val="center"/>
        </w:trPr>
        <w:tc>
          <w:tcPr>
            <w:tcW w:w="686" w:type="dxa"/>
            <w:vAlign w:val="center"/>
          </w:tcPr>
          <w:p>
            <w:pPr>
              <w:pStyle w:val="222"/>
              <w:rPr>
                <w:rFonts w:hint="eastAsia" w:ascii="仿宋" w:hAnsi="仿宋" w:eastAsia="仿宋" w:cs="仿宋"/>
                <w:bCs/>
                <w:color w:val="auto"/>
                <w:spacing w:val="-3"/>
                <w:szCs w:val="21"/>
                <w:lang w:val="zh-CN" w:eastAsia="zh-CN"/>
              </w:rPr>
            </w:pPr>
            <w:r>
              <w:rPr>
                <w:rFonts w:hint="eastAsia" w:ascii="仿宋" w:hAnsi="仿宋" w:eastAsia="仿宋" w:cs="仿宋"/>
                <w:bCs/>
                <w:color w:val="auto"/>
                <w:spacing w:val="-3"/>
                <w:szCs w:val="21"/>
                <w:lang w:val="zh-CN" w:eastAsia="zh-CN"/>
              </w:rPr>
              <w:t>二</w:t>
            </w:r>
          </w:p>
        </w:tc>
        <w:tc>
          <w:tcPr>
            <w:tcW w:w="8238" w:type="dxa"/>
            <w:gridSpan w:val="3"/>
            <w:vAlign w:val="center"/>
          </w:tcPr>
          <w:p>
            <w:pPr>
              <w:pStyle w:val="222"/>
              <w:rPr>
                <w:rFonts w:hint="eastAsia" w:ascii="仿宋" w:hAnsi="仿宋" w:eastAsia="仿宋" w:cs="仿宋"/>
                <w:bCs/>
                <w:color w:val="auto"/>
                <w:spacing w:val="-3"/>
                <w:szCs w:val="21"/>
                <w:lang w:val="zh-CN" w:eastAsia="zh-CN"/>
              </w:rPr>
            </w:pPr>
            <w:r>
              <w:rPr>
                <w:rFonts w:hint="eastAsia" w:ascii="仿宋" w:hAnsi="仿宋" w:eastAsia="仿宋" w:cs="仿宋"/>
                <w:bCs/>
                <w:color w:val="auto"/>
                <w:spacing w:val="-3"/>
                <w:szCs w:val="21"/>
                <w:lang w:val="zh-CN" w:eastAsia="zh-CN"/>
              </w:rPr>
              <w:t>商务部分（</w:t>
            </w:r>
            <w:r>
              <w:rPr>
                <w:rFonts w:hint="eastAsia" w:ascii="仿宋" w:hAnsi="仿宋" w:eastAsia="仿宋" w:cs="仿宋"/>
                <w:bCs/>
                <w:color w:val="auto"/>
                <w:spacing w:val="-3"/>
                <w:szCs w:val="21"/>
                <w:lang w:val="en-US" w:eastAsia="zh-CN"/>
              </w:rPr>
              <w:t>21</w:t>
            </w:r>
            <w:r>
              <w:rPr>
                <w:rFonts w:hint="eastAsia" w:ascii="仿宋" w:hAnsi="仿宋" w:eastAsia="仿宋" w:cs="仿宋"/>
                <w:bCs/>
                <w:color w:val="auto"/>
                <w:spacing w:val="-3"/>
                <w:szCs w:val="21"/>
                <w:lang w:val="zh-CN" w:eastAsia="zh-CN"/>
              </w:rPr>
              <w:t>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6" w:hRule="atLeast"/>
          <w:jc w:val="center"/>
        </w:trPr>
        <w:tc>
          <w:tcPr>
            <w:tcW w:w="686" w:type="dxa"/>
            <w:vAlign w:val="center"/>
          </w:tcPr>
          <w:p>
            <w:pPr>
              <w:pStyle w:val="222"/>
              <w:rPr>
                <w:rFonts w:hint="eastAsia" w:ascii="仿宋" w:hAnsi="仿宋" w:eastAsia="仿宋" w:cs="仿宋"/>
                <w:bCs/>
                <w:color w:val="auto"/>
                <w:spacing w:val="-3"/>
                <w:szCs w:val="21"/>
                <w:highlight w:val="none"/>
                <w:lang w:val="zh-CN" w:eastAsia="zh-CN"/>
              </w:rPr>
            </w:pPr>
            <w:r>
              <w:rPr>
                <w:rFonts w:hint="eastAsia" w:ascii="仿宋" w:hAnsi="仿宋" w:eastAsia="仿宋" w:cs="仿宋"/>
                <w:bCs/>
                <w:color w:val="auto"/>
                <w:spacing w:val="-3"/>
                <w:szCs w:val="21"/>
                <w:highlight w:val="none"/>
                <w:lang w:val="zh-CN" w:eastAsia="zh-CN"/>
              </w:rPr>
              <w:t>1</w:t>
            </w:r>
          </w:p>
        </w:tc>
        <w:tc>
          <w:tcPr>
            <w:tcW w:w="1246" w:type="dxa"/>
            <w:vAlign w:val="center"/>
          </w:tcPr>
          <w:p>
            <w:pPr>
              <w:pStyle w:val="222"/>
              <w:rPr>
                <w:rFonts w:hint="eastAsia" w:ascii="仿宋" w:hAnsi="仿宋" w:eastAsia="仿宋" w:cs="仿宋"/>
                <w:bCs/>
                <w:color w:val="auto"/>
                <w:spacing w:val="-3"/>
                <w:szCs w:val="21"/>
                <w:highlight w:val="none"/>
                <w:lang w:val="en-US" w:eastAsia="zh-CN"/>
              </w:rPr>
            </w:pPr>
            <w:r>
              <w:rPr>
                <w:rFonts w:hint="eastAsia" w:ascii="仿宋" w:hAnsi="仿宋" w:eastAsia="仿宋" w:cs="仿宋"/>
                <w:bCs/>
                <w:color w:val="auto"/>
                <w:spacing w:val="-3"/>
                <w:szCs w:val="21"/>
                <w:highlight w:val="none"/>
                <w:lang w:val="zh-CN" w:eastAsia="zh-CN"/>
              </w:rPr>
              <w:t>业绩</w:t>
            </w:r>
          </w:p>
        </w:tc>
        <w:tc>
          <w:tcPr>
            <w:tcW w:w="686" w:type="dxa"/>
            <w:vAlign w:val="center"/>
          </w:tcPr>
          <w:p>
            <w:pPr>
              <w:pStyle w:val="222"/>
              <w:rPr>
                <w:rFonts w:hint="default" w:ascii="仿宋" w:hAnsi="仿宋" w:eastAsia="仿宋" w:cs="仿宋"/>
                <w:bCs/>
                <w:color w:val="auto"/>
                <w:spacing w:val="-3"/>
                <w:szCs w:val="21"/>
                <w:highlight w:val="none"/>
                <w:lang w:val="en-US" w:eastAsia="zh-CN"/>
              </w:rPr>
            </w:pPr>
            <w:r>
              <w:rPr>
                <w:rFonts w:hint="eastAsia" w:ascii="仿宋" w:hAnsi="仿宋" w:eastAsia="仿宋" w:cs="仿宋"/>
                <w:bCs/>
                <w:color w:val="auto"/>
                <w:spacing w:val="-3"/>
                <w:szCs w:val="21"/>
                <w:highlight w:val="none"/>
                <w:lang w:val="en-US" w:eastAsia="zh-CN"/>
              </w:rPr>
              <w:t>9分</w:t>
            </w:r>
          </w:p>
        </w:tc>
        <w:tc>
          <w:tcPr>
            <w:tcW w:w="6306" w:type="dxa"/>
            <w:vAlign w:val="center"/>
          </w:tcPr>
          <w:p>
            <w:pPr>
              <w:pStyle w:val="222"/>
              <w:rPr>
                <w:rFonts w:hint="eastAsia" w:ascii="仿宋" w:hAnsi="仿宋" w:eastAsia="仿宋" w:cs="仿宋"/>
                <w:bCs/>
                <w:color w:val="auto"/>
                <w:spacing w:val="-3"/>
                <w:szCs w:val="21"/>
                <w:highlight w:val="none"/>
                <w:lang w:val="zh-CN" w:eastAsia="zh-CN"/>
              </w:rPr>
            </w:pPr>
            <w:r>
              <w:rPr>
                <w:rFonts w:hint="eastAsia" w:ascii="仿宋" w:hAnsi="仿宋" w:eastAsia="仿宋" w:cs="仿宋"/>
                <w:bCs/>
                <w:color w:val="auto"/>
                <w:spacing w:val="-3"/>
                <w:szCs w:val="21"/>
                <w:highlight w:val="none"/>
                <w:lang w:val="en-US" w:eastAsia="zh-CN"/>
              </w:rPr>
              <w:t>提供</w:t>
            </w:r>
            <w:r>
              <w:rPr>
                <w:rFonts w:hint="eastAsia" w:ascii="仿宋" w:hAnsi="仿宋" w:eastAsia="仿宋" w:cs="仿宋"/>
                <w:bCs/>
                <w:color w:val="auto"/>
                <w:spacing w:val="-3"/>
                <w:szCs w:val="21"/>
                <w:highlight w:val="none"/>
                <w:lang w:val="zh-CN" w:eastAsia="zh-CN"/>
              </w:rPr>
              <w:t xml:space="preserve"> 20</w:t>
            </w:r>
            <w:r>
              <w:rPr>
                <w:rFonts w:hint="eastAsia" w:ascii="仿宋" w:hAnsi="仿宋" w:eastAsia="仿宋" w:cs="仿宋"/>
                <w:bCs/>
                <w:color w:val="auto"/>
                <w:spacing w:val="-3"/>
                <w:szCs w:val="21"/>
                <w:highlight w:val="none"/>
                <w:lang w:val="en-US" w:eastAsia="zh-CN"/>
              </w:rPr>
              <w:t>20</w:t>
            </w:r>
            <w:r>
              <w:rPr>
                <w:rFonts w:hint="eastAsia" w:ascii="仿宋" w:hAnsi="仿宋" w:eastAsia="仿宋" w:cs="仿宋"/>
                <w:bCs/>
                <w:color w:val="auto"/>
                <w:spacing w:val="-3"/>
                <w:szCs w:val="21"/>
                <w:highlight w:val="none"/>
                <w:lang w:val="zh-CN" w:eastAsia="zh-CN"/>
              </w:rPr>
              <w:t>年 1 月 1 日至今的</w:t>
            </w:r>
            <w:r>
              <w:rPr>
                <w:rFonts w:hint="eastAsia" w:ascii="仿宋" w:hAnsi="仿宋" w:eastAsia="仿宋" w:cs="仿宋"/>
                <w:bCs/>
                <w:color w:val="auto"/>
                <w:spacing w:val="-3"/>
                <w:szCs w:val="21"/>
                <w:highlight w:val="none"/>
                <w:lang w:val="en-US" w:eastAsia="zh-CN"/>
              </w:rPr>
              <w:t>类似业绩，</w:t>
            </w:r>
            <w:r>
              <w:rPr>
                <w:rFonts w:hint="eastAsia" w:ascii="仿宋" w:hAnsi="仿宋" w:eastAsia="仿宋" w:cs="仿宋"/>
                <w:bCs/>
                <w:color w:val="auto"/>
                <w:spacing w:val="-3"/>
                <w:szCs w:val="21"/>
                <w:highlight w:val="none"/>
                <w:lang w:val="zh-CN" w:eastAsia="zh-CN"/>
              </w:rPr>
              <w:t>有 1 个得</w:t>
            </w:r>
            <w:r>
              <w:rPr>
                <w:rFonts w:hint="eastAsia" w:ascii="仿宋" w:hAnsi="仿宋" w:eastAsia="仿宋" w:cs="仿宋"/>
                <w:bCs/>
                <w:color w:val="auto"/>
                <w:spacing w:val="-3"/>
                <w:szCs w:val="21"/>
                <w:highlight w:val="none"/>
                <w:lang w:val="en-US" w:eastAsia="zh-CN"/>
              </w:rPr>
              <w:t>3</w:t>
            </w:r>
            <w:r>
              <w:rPr>
                <w:rFonts w:hint="eastAsia" w:ascii="仿宋" w:hAnsi="仿宋" w:eastAsia="仿宋" w:cs="仿宋"/>
                <w:bCs/>
                <w:color w:val="auto"/>
                <w:spacing w:val="-3"/>
                <w:szCs w:val="21"/>
                <w:highlight w:val="none"/>
                <w:lang w:val="zh-CN" w:eastAsia="zh-CN"/>
              </w:rPr>
              <w:t xml:space="preserve">分，本项最高得 </w:t>
            </w:r>
            <w:r>
              <w:rPr>
                <w:rFonts w:hint="eastAsia" w:ascii="仿宋" w:hAnsi="仿宋" w:eastAsia="仿宋" w:cs="仿宋"/>
                <w:bCs/>
                <w:color w:val="auto"/>
                <w:spacing w:val="-3"/>
                <w:szCs w:val="21"/>
                <w:highlight w:val="none"/>
                <w:lang w:val="en-US" w:eastAsia="zh-CN"/>
              </w:rPr>
              <w:t>9</w:t>
            </w:r>
            <w:r>
              <w:rPr>
                <w:rFonts w:hint="eastAsia" w:ascii="仿宋" w:hAnsi="仿宋" w:eastAsia="仿宋" w:cs="仿宋"/>
                <w:bCs/>
                <w:color w:val="auto"/>
                <w:spacing w:val="-3"/>
                <w:szCs w:val="21"/>
                <w:highlight w:val="none"/>
                <w:lang w:val="zh-CN" w:eastAsia="zh-CN"/>
              </w:rPr>
              <w:t>分。</w:t>
            </w:r>
          </w:p>
          <w:p>
            <w:pPr>
              <w:pStyle w:val="222"/>
              <w:rPr>
                <w:rFonts w:hint="eastAsia" w:ascii="仿宋" w:hAnsi="仿宋" w:eastAsia="仿宋" w:cs="仿宋"/>
                <w:bCs/>
                <w:color w:val="auto"/>
                <w:spacing w:val="-3"/>
                <w:szCs w:val="21"/>
                <w:highlight w:val="none"/>
                <w:lang w:val="zh-CN" w:eastAsia="zh-CN"/>
              </w:rPr>
            </w:pPr>
            <w:r>
              <w:rPr>
                <w:rFonts w:hint="eastAsia" w:ascii="仿宋" w:hAnsi="仿宋" w:eastAsia="仿宋" w:cs="仿宋"/>
                <w:bCs/>
                <w:color w:val="auto"/>
                <w:spacing w:val="-3"/>
                <w:szCs w:val="21"/>
                <w:highlight w:val="none"/>
                <w:lang w:val="zh-CN" w:eastAsia="zh-CN"/>
              </w:rPr>
              <w:t xml:space="preserve">注：提供合同或中标通知书复印件，并加盖公章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74" w:hRule="atLeast"/>
          <w:jc w:val="center"/>
        </w:trPr>
        <w:tc>
          <w:tcPr>
            <w:tcW w:w="686" w:type="dxa"/>
            <w:vAlign w:val="center"/>
          </w:tcPr>
          <w:p>
            <w:pPr>
              <w:pStyle w:val="222"/>
              <w:rPr>
                <w:rFonts w:hint="eastAsia" w:ascii="仿宋" w:hAnsi="仿宋" w:eastAsia="仿宋" w:cs="仿宋"/>
                <w:bCs/>
                <w:color w:val="auto"/>
                <w:spacing w:val="-3"/>
                <w:szCs w:val="21"/>
                <w:highlight w:val="none"/>
                <w:lang w:val="zh-CN" w:eastAsia="zh-CN"/>
              </w:rPr>
            </w:pPr>
            <w:r>
              <w:rPr>
                <w:rFonts w:hint="eastAsia" w:ascii="仿宋" w:hAnsi="仿宋" w:eastAsia="仿宋" w:cs="仿宋"/>
                <w:bCs/>
                <w:color w:val="auto"/>
                <w:spacing w:val="-3"/>
                <w:szCs w:val="21"/>
                <w:highlight w:val="none"/>
                <w:lang w:val="zh-CN" w:eastAsia="zh-CN"/>
              </w:rPr>
              <w:t>2</w:t>
            </w:r>
          </w:p>
        </w:tc>
        <w:tc>
          <w:tcPr>
            <w:tcW w:w="1246" w:type="dxa"/>
            <w:vAlign w:val="center"/>
          </w:tcPr>
          <w:p>
            <w:pPr>
              <w:pStyle w:val="222"/>
              <w:rPr>
                <w:rFonts w:hint="eastAsia" w:ascii="仿宋" w:hAnsi="仿宋" w:eastAsia="仿宋" w:cs="仿宋"/>
                <w:bCs/>
                <w:color w:val="auto"/>
                <w:spacing w:val="-3"/>
                <w:szCs w:val="21"/>
                <w:highlight w:val="none"/>
                <w:lang w:val="zh-CN" w:eastAsia="zh-CN"/>
              </w:rPr>
            </w:pPr>
          </w:p>
          <w:p>
            <w:pPr>
              <w:pStyle w:val="222"/>
              <w:rPr>
                <w:rFonts w:hint="eastAsia" w:ascii="仿宋" w:hAnsi="仿宋" w:eastAsia="仿宋" w:cs="仿宋"/>
                <w:bCs/>
                <w:color w:val="auto"/>
                <w:spacing w:val="-3"/>
                <w:szCs w:val="21"/>
                <w:highlight w:val="none"/>
                <w:lang w:val="zh-CN" w:eastAsia="zh-CN"/>
              </w:rPr>
            </w:pPr>
            <w:r>
              <w:rPr>
                <w:rFonts w:hint="eastAsia" w:ascii="仿宋" w:hAnsi="仿宋" w:eastAsia="仿宋" w:cs="仿宋"/>
                <w:bCs/>
                <w:color w:val="auto"/>
                <w:spacing w:val="-3"/>
                <w:szCs w:val="21"/>
                <w:highlight w:val="none"/>
                <w:lang w:val="zh-CN" w:eastAsia="zh-CN"/>
              </w:rPr>
              <w:t>企业实力</w:t>
            </w:r>
          </w:p>
          <w:p>
            <w:pPr>
              <w:pStyle w:val="222"/>
              <w:rPr>
                <w:rFonts w:hint="eastAsia" w:ascii="仿宋" w:hAnsi="仿宋" w:eastAsia="仿宋" w:cs="仿宋"/>
                <w:bCs/>
                <w:color w:val="auto"/>
                <w:spacing w:val="-3"/>
                <w:szCs w:val="21"/>
                <w:highlight w:val="none"/>
                <w:lang w:val="zh-CN" w:eastAsia="zh-CN"/>
              </w:rPr>
            </w:pPr>
          </w:p>
        </w:tc>
        <w:tc>
          <w:tcPr>
            <w:tcW w:w="686" w:type="dxa"/>
            <w:vAlign w:val="center"/>
          </w:tcPr>
          <w:p>
            <w:pPr>
              <w:pStyle w:val="222"/>
              <w:rPr>
                <w:rFonts w:hint="eastAsia" w:ascii="仿宋" w:hAnsi="仿宋" w:eastAsia="仿宋" w:cs="仿宋"/>
                <w:bCs/>
                <w:color w:val="auto"/>
                <w:spacing w:val="-3"/>
                <w:szCs w:val="21"/>
                <w:highlight w:val="none"/>
                <w:lang w:val="zh-CN" w:eastAsia="zh-CN"/>
              </w:rPr>
            </w:pPr>
            <w:r>
              <w:rPr>
                <w:rFonts w:hint="eastAsia" w:ascii="仿宋" w:hAnsi="仿宋" w:eastAsia="仿宋" w:cs="仿宋"/>
                <w:bCs/>
                <w:color w:val="auto"/>
                <w:spacing w:val="-3"/>
                <w:szCs w:val="21"/>
                <w:highlight w:val="none"/>
                <w:lang w:val="en-US" w:eastAsia="zh-CN"/>
              </w:rPr>
              <w:t>4</w:t>
            </w:r>
            <w:r>
              <w:rPr>
                <w:rFonts w:hint="eastAsia" w:ascii="仿宋" w:hAnsi="仿宋" w:eastAsia="仿宋" w:cs="仿宋"/>
                <w:bCs/>
                <w:color w:val="auto"/>
                <w:spacing w:val="-3"/>
                <w:szCs w:val="21"/>
                <w:highlight w:val="none"/>
                <w:lang w:val="zh-CN" w:eastAsia="zh-CN"/>
              </w:rPr>
              <w:t>分</w:t>
            </w:r>
          </w:p>
        </w:tc>
        <w:tc>
          <w:tcPr>
            <w:tcW w:w="6306" w:type="dxa"/>
            <w:vAlign w:val="center"/>
          </w:tcPr>
          <w:p>
            <w:pPr>
              <w:pStyle w:val="222"/>
              <w:rPr>
                <w:rFonts w:hint="eastAsia" w:ascii="仿宋" w:hAnsi="仿宋" w:eastAsia="仿宋" w:cs="仿宋"/>
                <w:bCs/>
                <w:color w:val="auto"/>
                <w:spacing w:val="-3"/>
                <w:szCs w:val="21"/>
                <w:highlight w:val="none"/>
                <w:lang w:val="zh-CN" w:eastAsia="zh-CN"/>
              </w:rPr>
            </w:pPr>
            <w:r>
              <w:rPr>
                <w:rFonts w:hint="eastAsia" w:ascii="仿宋" w:hAnsi="仿宋" w:eastAsia="仿宋" w:cs="仿宋"/>
                <w:bCs/>
                <w:color w:val="auto"/>
                <w:spacing w:val="-3"/>
                <w:szCs w:val="21"/>
                <w:highlight w:val="none"/>
                <w:lang w:val="zh-CN" w:eastAsia="zh-CN"/>
              </w:rPr>
              <w:t xml:space="preserve">具备市政公用工程施工总承包三级及以上得 </w:t>
            </w:r>
            <w:r>
              <w:rPr>
                <w:rFonts w:hint="eastAsia" w:ascii="仿宋" w:hAnsi="仿宋" w:eastAsia="仿宋" w:cs="仿宋"/>
                <w:bCs/>
                <w:color w:val="auto"/>
                <w:spacing w:val="-3"/>
                <w:szCs w:val="21"/>
                <w:highlight w:val="none"/>
                <w:lang w:val="en-US" w:eastAsia="zh-CN"/>
              </w:rPr>
              <w:t>4</w:t>
            </w:r>
            <w:r>
              <w:rPr>
                <w:rFonts w:hint="eastAsia" w:ascii="仿宋" w:hAnsi="仿宋" w:eastAsia="仿宋" w:cs="仿宋"/>
                <w:bCs/>
                <w:color w:val="auto"/>
                <w:spacing w:val="-3"/>
                <w:szCs w:val="21"/>
                <w:highlight w:val="none"/>
                <w:lang w:val="zh-CN" w:eastAsia="zh-CN"/>
              </w:rPr>
              <w:t>分；</w:t>
            </w:r>
          </w:p>
          <w:p>
            <w:pPr>
              <w:pStyle w:val="222"/>
              <w:rPr>
                <w:rFonts w:hint="eastAsia" w:ascii="仿宋" w:hAnsi="仿宋" w:eastAsia="仿宋" w:cs="仿宋"/>
                <w:bCs/>
                <w:color w:val="auto"/>
                <w:spacing w:val="-3"/>
                <w:szCs w:val="21"/>
                <w:highlight w:val="none"/>
                <w:lang w:val="zh-CN" w:eastAsia="zh-CN"/>
              </w:rPr>
            </w:pPr>
            <w:r>
              <w:rPr>
                <w:rFonts w:hint="eastAsia" w:ascii="仿宋" w:hAnsi="仿宋" w:eastAsia="仿宋" w:cs="仿宋"/>
                <w:bCs/>
                <w:color w:val="auto"/>
                <w:spacing w:val="-3"/>
                <w:szCs w:val="21"/>
                <w:highlight w:val="none"/>
                <w:lang w:val="zh-CN" w:eastAsia="zh-CN"/>
              </w:rPr>
              <w:t xml:space="preserve"> 注：提供证明材料复印件，并加盖公章</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6" w:hRule="atLeast"/>
          <w:jc w:val="center"/>
        </w:trPr>
        <w:tc>
          <w:tcPr>
            <w:tcW w:w="686" w:type="dxa"/>
            <w:vAlign w:val="center"/>
          </w:tcPr>
          <w:p>
            <w:pPr>
              <w:pStyle w:val="222"/>
              <w:rPr>
                <w:rFonts w:hint="eastAsia" w:ascii="仿宋" w:hAnsi="仿宋" w:eastAsia="仿宋" w:cs="仿宋"/>
                <w:bCs/>
                <w:color w:val="auto"/>
                <w:spacing w:val="-3"/>
                <w:szCs w:val="21"/>
                <w:lang w:val="zh-CN" w:eastAsia="zh-CN"/>
              </w:rPr>
            </w:pPr>
            <w:r>
              <w:rPr>
                <w:rFonts w:hint="eastAsia" w:ascii="仿宋" w:hAnsi="仿宋" w:eastAsia="仿宋" w:cs="仿宋"/>
                <w:bCs/>
                <w:color w:val="auto"/>
                <w:spacing w:val="-3"/>
                <w:szCs w:val="21"/>
                <w:lang w:val="zh-CN" w:eastAsia="zh-CN"/>
              </w:rPr>
              <w:t>3</w:t>
            </w:r>
          </w:p>
        </w:tc>
        <w:tc>
          <w:tcPr>
            <w:tcW w:w="1246" w:type="dxa"/>
            <w:vAlign w:val="center"/>
          </w:tcPr>
          <w:p>
            <w:pPr>
              <w:pStyle w:val="222"/>
              <w:rPr>
                <w:rFonts w:hint="eastAsia" w:ascii="仿宋" w:hAnsi="仿宋" w:eastAsia="仿宋" w:cs="仿宋"/>
                <w:bCs/>
                <w:color w:val="auto"/>
                <w:spacing w:val="-3"/>
                <w:szCs w:val="21"/>
                <w:lang w:val="zh-CN" w:eastAsia="zh-CN"/>
              </w:rPr>
            </w:pPr>
            <w:r>
              <w:rPr>
                <w:rFonts w:hint="eastAsia" w:ascii="仿宋" w:hAnsi="仿宋" w:eastAsia="仿宋" w:cs="仿宋"/>
                <w:bCs/>
                <w:color w:val="auto"/>
                <w:spacing w:val="-3"/>
                <w:szCs w:val="21"/>
                <w:lang w:val="zh-CN" w:eastAsia="zh-CN"/>
              </w:rPr>
              <w:t>人员配置</w:t>
            </w:r>
          </w:p>
          <w:p>
            <w:pPr>
              <w:pStyle w:val="222"/>
              <w:rPr>
                <w:rFonts w:hint="eastAsia" w:ascii="仿宋" w:hAnsi="仿宋" w:eastAsia="仿宋" w:cs="仿宋"/>
                <w:bCs/>
                <w:color w:val="auto"/>
                <w:spacing w:val="-3"/>
                <w:szCs w:val="21"/>
                <w:lang w:val="zh-CN" w:eastAsia="zh-CN"/>
              </w:rPr>
            </w:pPr>
          </w:p>
        </w:tc>
        <w:tc>
          <w:tcPr>
            <w:tcW w:w="686" w:type="dxa"/>
            <w:vAlign w:val="center"/>
          </w:tcPr>
          <w:p>
            <w:pPr>
              <w:pStyle w:val="222"/>
              <w:rPr>
                <w:rFonts w:hint="eastAsia" w:ascii="仿宋" w:hAnsi="仿宋" w:eastAsia="仿宋" w:cs="仿宋"/>
                <w:bCs/>
                <w:color w:val="auto"/>
                <w:spacing w:val="-3"/>
                <w:szCs w:val="21"/>
                <w:lang w:val="zh-CN" w:eastAsia="zh-CN"/>
              </w:rPr>
            </w:pPr>
            <w:r>
              <w:rPr>
                <w:rFonts w:hint="eastAsia" w:ascii="仿宋" w:hAnsi="仿宋" w:eastAsia="仿宋" w:cs="仿宋"/>
                <w:bCs/>
                <w:color w:val="auto"/>
                <w:spacing w:val="-3"/>
                <w:szCs w:val="21"/>
                <w:lang w:val="en-US" w:eastAsia="zh-CN"/>
              </w:rPr>
              <w:t>8</w:t>
            </w:r>
            <w:r>
              <w:rPr>
                <w:rFonts w:hint="eastAsia" w:ascii="仿宋" w:hAnsi="仿宋" w:eastAsia="仿宋" w:cs="仿宋"/>
                <w:bCs/>
                <w:color w:val="auto"/>
                <w:spacing w:val="-3"/>
                <w:szCs w:val="21"/>
                <w:lang w:val="zh-CN" w:eastAsia="zh-CN"/>
              </w:rPr>
              <w:t>分</w:t>
            </w:r>
          </w:p>
        </w:tc>
        <w:tc>
          <w:tcPr>
            <w:tcW w:w="6306" w:type="dxa"/>
            <w:vAlign w:val="center"/>
          </w:tcPr>
          <w:p>
            <w:pPr>
              <w:pStyle w:val="222"/>
              <w:rPr>
                <w:rFonts w:hint="eastAsia" w:ascii="仿宋" w:hAnsi="仿宋" w:eastAsia="仿宋" w:cs="仿宋"/>
                <w:bCs/>
                <w:color w:val="auto"/>
                <w:spacing w:val="-3"/>
                <w:szCs w:val="21"/>
                <w:lang w:val="zh-CN" w:eastAsia="zh-CN"/>
              </w:rPr>
            </w:pPr>
            <w:r>
              <w:rPr>
                <w:rFonts w:hint="eastAsia" w:ascii="仿宋" w:hAnsi="仿宋" w:eastAsia="仿宋" w:cs="仿宋"/>
                <w:bCs/>
                <w:color w:val="auto"/>
                <w:spacing w:val="-3"/>
                <w:szCs w:val="21"/>
                <w:lang w:val="zh-CN" w:eastAsia="zh-CN"/>
              </w:rPr>
              <w:t>1、拟派本项目的项目经理须具备有效</w:t>
            </w:r>
            <w:r>
              <w:rPr>
                <w:rFonts w:hint="eastAsia" w:ascii="仿宋" w:hAnsi="仿宋" w:eastAsia="仿宋" w:cs="仿宋"/>
                <w:bCs/>
                <w:color w:val="auto"/>
                <w:spacing w:val="-3"/>
                <w:szCs w:val="21"/>
                <w:lang w:val="en-US" w:eastAsia="zh-CN"/>
              </w:rPr>
              <w:t>市政工程师证书，</w:t>
            </w:r>
            <w:r>
              <w:rPr>
                <w:rFonts w:hint="eastAsia" w:ascii="仿宋" w:hAnsi="仿宋" w:eastAsia="仿宋" w:cs="仿宋"/>
                <w:bCs/>
                <w:color w:val="auto"/>
                <w:spacing w:val="-3"/>
                <w:szCs w:val="21"/>
                <w:lang w:val="zh-CN" w:eastAsia="zh-CN"/>
              </w:rPr>
              <w:t>且未担任其他在建工程项目的项目经理得</w:t>
            </w:r>
            <w:r>
              <w:rPr>
                <w:rFonts w:hint="eastAsia" w:ascii="仿宋" w:hAnsi="仿宋" w:eastAsia="仿宋" w:cs="仿宋"/>
                <w:bCs/>
                <w:color w:val="auto"/>
                <w:spacing w:val="-3"/>
                <w:szCs w:val="21"/>
                <w:lang w:val="en-US" w:eastAsia="zh-CN"/>
              </w:rPr>
              <w:t>3</w:t>
            </w:r>
            <w:r>
              <w:rPr>
                <w:rFonts w:hint="eastAsia" w:ascii="仿宋" w:hAnsi="仿宋" w:eastAsia="仿宋" w:cs="仿宋"/>
                <w:bCs/>
                <w:color w:val="auto"/>
                <w:spacing w:val="-3"/>
                <w:szCs w:val="21"/>
                <w:lang w:val="zh-CN" w:eastAsia="zh-CN"/>
              </w:rPr>
              <w:t>分， 不提供不得分。</w:t>
            </w:r>
          </w:p>
          <w:p>
            <w:pPr>
              <w:pStyle w:val="222"/>
              <w:rPr>
                <w:rFonts w:hint="eastAsia" w:ascii="仿宋" w:hAnsi="仿宋" w:eastAsia="仿宋" w:cs="仿宋"/>
                <w:bCs/>
                <w:color w:val="auto"/>
                <w:spacing w:val="-3"/>
                <w:szCs w:val="21"/>
                <w:lang w:val="zh-CN" w:eastAsia="zh-CN"/>
              </w:rPr>
            </w:pPr>
            <w:r>
              <w:rPr>
                <w:rFonts w:hint="eastAsia" w:ascii="仿宋" w:hAnsi="仿宋" w:eastAsia="仿宋" w:cs="仿宋"/>
                <w:bCs/>
                <w:color w:val="auto"/>
                <w:spacing w:val="-3"/>
                <w:szCs w:val="21"/>
                <w:lang w:val="zh-CN" w:eastAsia="zh-CN"/>
              </w:rPr>
              <w:t>2、拟派本项目的技术人员中有施工员、质量员、安全员、材料员及劳务员五大员齐全的得 5 分：缺一个扣 1 分；缺 4 个以上（含 4 个）不得分。</w:t>
            </w:r>
          </w:p>
          <w:p>
            <w:pPr>
              <w:pStyle w:val="222"/>
              <w:rPr>
                <w:rFonts w:hint="eastAsia" w:ascii="仿宋" w:hAnsi="仿宋" w:eastAsia="仿宋" w:cs="仿宋"/>
                <w:bCs/>
                <w:color w:val="auto"/>
                <w:spacing w:val="-3"/>
                <w:szCs w:val="21"/>
                <w:lang w:val="zh-CN" w:eastAsia="zh-CN"/>
              </w:rPr>
            </w:pPr>
            <w:r>
              <w:rPr>
                <w:rFonts w:hint="eastAsia" w:ascii="仿宋" w:hAnsi="仿宋" w:eastAsia="仿宋" w:cs="仿宋"/>
                <w:bCs/>
                <w:color w:val="auto"/>
                <w:spacing w:val="-3"/>
                <w:szCs w:val="21"/>
                <w:lang w:val="zh-CN" w:eastAsia="zh-CN"/>
              </w:rPr>
              <w:t>注：1.提供以上的人员不叠加得分；</w:t>
            </w:r>
          </w:p>
          <w:p>
            <w:pPr>
              <w:pStyle w:val="222"/>
              <w:rPr>
                <w:rFonts w:hint="eastAsia" w:ascii="仿宋" w:hAnsi="仿宋" w:eastAsia="仿宋" w:cs="仿宋"/>
                <w:bCs/>
                <w:color w:val="auto"/>
                <w:spacing w:val="-3"/>
                <w:szCs w:val="21"/>
                <w:lang w:val="zh-CN" w:eastAsia="zh-CN"/>
              </w:rPr>
            </w:pPr>
            <w:r>
              <w:rPr>
                <w:rFonts w:hint="eastAsia" w:ascii="仿宋" w:hAnsi="仿宋" w:eastAsia="仿宋" w:cs="仿宋"/>
                <w:bCs/>
                <w:color w:val="auto"/>
                <w:spacing w:val="-3"/>
                <w:szCs w:val="21"/>
                <w:lang w:val="zh-CN" w:eastAsia="zh-CN"/>
              </w:rPr>
              <w:t>2.证书复印件及身份证复印件，并加盖公章</w:t>
            </w:r>
          </w:p>
          <w:p>
            <w:pPr>
              <w:pStyle w:val="222"/>
              <w:rPr>
                <w:rFonts w:hint="eastAsia" w:ascii="仿宋" w:hAnsi="仿宋" w:eastAsia="仿宋" w:cs="仿宋"/>
                <w:bCs/>
                <w:color w:val="auto"/>
                <w:spacing w:val="-3"/>
                <w:szCs w:val="21"/>
                <w:lang w:val="zh-CN"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00" w:hRule="atLeast"/>
          <w:jc w:val="center"/>
        </w:trPr>
        <w:tc>
          <w:tcPr>
            <w:tcW w:w="686" w:type="dxa"/>
            <w:vAlign w:val="center"/>
          </w:tcPr>
          <w:p>
            <w:pPr>
              <w:pStyle w:val="222"/>
              <w:rPr>
                <w:rFonts w:hint="eastAsia" w:ascii="仿宋" w:hAnsi="仿宋" w:eastAsia="仿宋" w:cs="仿宋"/>
                <w:bCs/>
                <w:color w:val="auto"/>
                <w:spacing w:val="-3"/>
                <w:szCs w:val="21"/>
                <w:lang w:val="zh-CN" w:eastAsia="zh-CN"/>
              </w:rPr>
            </w:pPr>
            <w:r>
              <w:rPr>
                <w:rFonts w:hint="eastAsia" w:ascii="仿宋" w:hAnsi="仿宋" w:eastAsia="仿宋" w:cs="仿宋"/>
                <w:bCs/>
                <w:color w:val="auto"/>
                <w:spacing w:val="-3"/>
                <w:szCs w:val="21"/>
                <w:lang w:val="zh-CN" w:eastAsia="zh-CN"/>
              </w:rPr>
              <w:t>三</w:t>
            </w:r>
          </w:p>
        </w:tc>
        <w:tc>
          <w:tcPr>
            <w:tcW w:w="8238" w:type="dxa"/>
            <w:gridSpan w:val="3"/>
            <w:vAlign w:val="center"/>
          </w:tcPr>
          <w:p>
            <w:pPr>
              <w:pStyle w:val="222"/>
              <w:rPr>
                <w:rFonts w:hint="eastAsia" w:ascii="仿宋" w:hAnsi="仿宋" w:eastAsia="仿宋" w:cs="仿宋"/>
                <w:bCs/>
                <w:color w:val="auto"/>
                <w:spacing w:val="-3"/>
                <w:szCs w:val="21"/>
                <w:lang w:val="zh-CN" w:eastAsia="zh-CN"/>
              </w:rPr>
            </w:pPr>
            <w:r>
              <w:rPr>
                <w:rFonts w:hint="eastAsia" w:ascii="仿宋" w:hAnsi="仿宋" w:eastAsia="仿宋" w:cs="仿宋"/>
                <w:bCs/>
                <w:color w:val="auto"/>
                <w:spacing w:val="-3"/>
                <w:szCs w:val="21"/>
                <w:lang w:val="zh-CN" w:eastAsia="zh-CN"/>
              </w:rPr>
              <w:t>技术部分（</w:t>
            </w:r>
            <w:r>
              <w:rPr>
                <w:rFonts w:hint="eastAsia" w:ascii="仿宋" w:hAnsi="仿宋" w:eastAsia="仿宋" w:cs="仿宋"/>
                <w:bCs/>
                <w:color w:val="auto"/>
                <w:spacing w:val="-3"/>
                <w:szCs w:val="21"/>
                <w:lang w:val="en-US" w:eastAsia="zh-CN"/>
              </w:rPr>
              <w:t>49</w:t>
            </w:r>
            <w:r>
              <w:rPr>
                <w:rFonts w:hint="eastAsia" w:ascii="仿宋" w:hAnsi="仿宋" w:eastAsia="仿宋" w:cs="仿宋"/>
                <w:bCs/>
                <w:color w:val="auto"/>
                <w:spacing w:val="-3"/>
                <w:szCs w:val="21"/>
                <w:lang w:val="zh-CN" w:eastAsia="zh-CN"/>
              </w:rPr>
              <w:t>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39" w:hRule="atLeast"/>
          <w:jc w:val="center"/>
        </w:trPr>
        <w:tc>
          <w:tcPr>
            <w:tcW w:w="686" w:type="dxa"/>
            <w:vAlign w:val="center"/>
          </w:tcPr>
          <w:p>
            <w:pPr>
              <w:pStyle w:val="222"/>
              <w:rPr>
                <w:rFonts w:hint="eastAsia" w:ascii="仿宋" w:hAnsi="仿宋" w:eastAsia="仿宋" w:cs="仿宋"/>
                <w:bCs/>
                <w:color w:val="auto"/>
                <w:spacing w:val="-3"/>
                <w:szCs w:val="21"/>
                <w:lang w:val="zh-CN" w:eastAsia="zh-CN"/>
              </w:rPr>
            </w:pPr>
            <w:r>
              <w:rPr>
                <w:rFonts w:hint="eastAsia" w:ascii="仿宋" w:hAnsi="仿宋" w:eastAsia="仿宋" w:cs="仿宋"/>
                <w:bCs/>
                <w:color w:val="auto"/>
                <w:spacing w:val="-3"/>
                <w:szCs w:val="21"/>
                <w:lang w:val="zh-CN" w:eastAsia="zh-CN"/>
              </w:rPr>
              <w:t>1</w:t>
            </w:r>
          </w:p>
        </w:tc>
        <w:tc>
          <w:tcPr>
            <w:tcW w:w="1246" w:type="dxa"/>
            <w:vAlign w:val="center"/>
          </w:tcPr>
          <w:p>
            <w:pPr>
              <w:pStyle w:val="222"/>
              <w:rPr>
                <w:rFonts w:hint="eastAsia"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整体方案</w:t>
            </w:r>
          </w:p>
        </w:tc>
        <w:tc>
          <w:tcPr>
            <w:tcW w:w="686" w:type="dxa"/>
            <w:vAlign w:val="center"/>
          </w:tcPr>
          <w:p>
            <w:pPr>
              <w:pStyle w:val="222"/>
              <w:rPr>
                <w:rFonts w:hint="default"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49分</w:t>
            </w:r>
          </w:p>
        </w:tc>
        <w:tc>
          <w:tcPr>
            <w:tcW w:w="6306" w:type="dxa"/>
            <w:vAlign w:val="center"/>
          </w:tcPr>
          <w:p>
            <w:pPr>
              <w:pStyle w:val="222"/>
              <w:rPr>
                <w:rFonts w:hint="eastAsia"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根据供应商针对本项目提供的整体方案，包括但不限于：1.主要工序的施工方法、2.确保工期目标的技术组织措施、3.拟投入的主要物资计划、4.拟投入的主要施工机械、5.劳动力安排计划、6.确保文明施工的技术组织措施、7.质量保证等。</w:t>
            </w:r>
          </w:p>
          <w:p>
            <w:pPr>
              <w:pStyle w:val="222"/>
              <w:rPr>
                <w:rFonts w:hint="default"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每提供一条</w:t>
            </w:r>
            <w:r>
              <w:rPr>
                <w:rFonts w:hint="default" w:ascii="仿宋" w:hAnsi="仿宋" w:eastAsia="仿宋" w:cs="仿宋"/>
                <w:bCs/>
                <w:color w:val="auto"/>
                <w:spacing w:val="-3"/>
                <w:szCs w:val="21"/>
                <w:lang w:val="en-US" w:eastAsia="zh-CN"/>
              </w:rPr>
              <w:t>方案措施完善合理，满足采购人要求的得</w:t>
            </w:r>
            <w:r>
              <w:rPr>
                <w:rFonts w:hint="eastAsia" w:ascii="仿宋" w:hAnsi="仿宋" w:eastAsia="仿宋" w:cs="仿宋"/>
                <w:bCs/>
                <w:color w:val="auto"/>
                <w:spacing w:val="-3"/>
                <w:szCs w:val="21"/>
                <w:lang w:val="en-US" w:eastAsia="zh-CN"/>
              </w:rPr>
              <w:t>7</w:t>
            </w:r>
            <w:r>
              <w:rPr>
                <w:rFonts w:hint="default" w:ascii="仿宋" w:hAnsi="仿宋" w:eastAsia="仿宋" w:cs="仿宋"/>
                <w:bCs/>
                <w:color w:val="auto"/>
                <w:spacing w:val="-3"/>
                <w:szCs w:val="21"/>
                <w:lang w:val="en-US" w:eastAsia="zh-CN"/>
              </w:rPr>
              <w:t>分；</w:t>
            </w:r>
          </w:p>
          <w:p>
            <w:pPr>
              <w:pStyle w:val="222"/>
              <w:rPr>
                <w:rFonts w:hint="default" w:ascii="仿宋" w:hAnsi="仿宋" w:eastAsia="仿宋" w:cs="仿宋"/>
                <w:bCs/>
                <w:color w:val="auto"/>
                <w:spacing w:val="-3"/>
                <w:szCs w:val="21"/>
                <w:lang w:val="en-US" w:eastAsia="zh-CN"/>
              </w:rPr>
            </w:pPr>
            <w:r>
              <w:rPr>
                <w:rFonts w:hint="default" w:ascii="仿宋" w:hAnsi="仿宋" w:eastAsia="仿宋" w:cs="仿宋"/>
                <w:bCs/>
                <w:color w:val="auto"/>
                <w:spacing w:val="-3"/>
                <w:szCs w:val="21"/>
                <w:lang w:val="en-US" w:eastAsia="zh-CN"/>
              </w:rPr>
              <w:t>措施较完善合理，</w:t>
            </w:r>
            <w:r>
              <w:rPr>
                <w:rFonts w:hint="eastAsia" w:ascii="仿宋" w:hAnsi="仿宋" w:eastAsia="仿宋" w:cs="仿宋"/>
                <w:bCs/>
                <w:color w:val="auto"/>
                <w:spacing w:val="-3"/>
                <w:szCs w:val="21"/>
                <w:lang w:val="en-US" w:eastAsia="zh-CN"/>
              </w:rPr>
              <w:t>有部分缺陷，</w:t>
            </w:r>
            <w:r>
              <w:rPr>
                <w:rFonts w:hint="default" w:ascii="仿宋" w:hAnsi="仿宋" w:eastAsia="仿宋" w:cs="仿宋"/>
                <w:bCs/>
                <w:color w:val="auto"/>
                <w:spacing w:val="-3"/>
                <w:szCs w:val="21"/>
                <w:lang w:val="en-US" w:eastAsia="zh-CN"/>
              </w:rPr>
              <w:t>基本满足采购人要求的得</w:t>
            </w:r>
            <w:r>
              <w:rPr>
                <w:rFonts w:hint="eastAsia" w:ascii="仿宋" w:hAnsi="仿宋" w:eastAsia="仿宋" w:cs="仿宋"/>
                <w:bCs/>
                <w:color w:val="auto"/>
                <w:spacing w:val="-3"/>
                <w:szCs w:val="21"/>
                <w:lang w:val="en-US" w:eastAsia="zh-CN"/>
              </w:rPr>
              <w:t>4</w:t>
            </w:r>
            <w:r>
              <w:rPr>
                <w:rFonts w:hint="default" w:ascii="仿宋" w:hAnsi="仿宋" w:eastAsia="仿宋" w:cs="仿宋"/>
                <w:bCs/>
                <w:color w:val="auto"/>
                <w:spacing w:val="-3"/>
                <w:szCs w:val="21"/>
                <w:lang w:val="en-US" w:eastAsia="zh-CN"/>
              </w:rPr>
              <w:t>分；</w:t>
            </w:r>
          </w:p>
          <w:p>
            <w:pPr>
              <w:pStyle w:val="222"/>
              <w:rPr>
                <w:rFonts w:hint="eastAsia" w:ascii="仿宋" w:hAnsi="仿宋" w:eastAsia="仿宋" w:cs="仿宋"/>
                <w:bCs/>
                <w:color w:val="auto"/>
                <w:spacing w:val="-3"/>
                <w:szCs w:val="21"/>
                <w:lang w:val="en-US" w:eastAsia="zh-CN"/>
              </w:rPr>
            </w:pPr>
            <w:r>
              <w:rPr>
                <w:rFonts w:hint="default" w:ascii="仿宋" w:hAnsi="仿宋" w:eastAsia="仿宋" w:cs="仿宋"/>
                <w:bCs/>
                <w:color w:val="auto"/>
                <w:spacing w:val="-3"/>
                <w:szCs w:val="21"/>
                <w:lang w:val="en-US" w:eastAsia="zh-CN"/>
              </w:rPr>
              <w:t>措施不完善不合理、不能满足要求的得0分</w:t>
            </w:r>
            <w:r>
              <w:rPr>
                <w:rFonts w:hint="eastAsia" w:ascii="仿宋" w:hAnsi="仿宋" w:eastAsia="仿宋" w:cs="仿宋"/>
                <w:bCs/>
                <w:color w:val="auto"/>
                <w:spacing w:val="-3"/>
                <w:szCs w:val="21"/>
                <w:lang w:val="en-US" w:eastAsia="zh-CN"/>
              </w:rPr>
              <w:t>。</w:t>
            </w:r>
          </w:p>
          <w:p>
            <w:pPr>
              <w:pStyle w:val="222"/>
              <w:rPr>
                <w:rFonts w:hint="default"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本项最高得49分。</w:t>
            </w:r>
          </w:p>
          <w:p>
            <w:pPr>
              <w:pStyle w:val="222"/>
              <w:rPr>
                <w:rFonts w:hint="default" w:ascii="仿宋" w:hAnsi="仿宋" w:eastAsia="仿宋" w:cs="仿宋"/>
                <w:bCs/>
                <w:color w:val="auto"/>
                <w:spacing w:val="-3"/>
                <w:szCs w:val="21"/>
                <w:lang w:val="en-US" w:eastAsia="zh-CN"/>
              </w:rPr>
            </w:pPr>
            <w:r>
              <w:rPr>
                <w:rFonts w:hint="default" w:ascii="仿宋" w:hAnsi="仿宋" w:eastAsia="仿宋" w:cs="仿宋"/>
                <w:bCs/>
                <w:color w:val="auto"/>
                <w:spacing w:val="-3"/>
                <w:szCs w:val="21"/>
                <w:lang w:val="en-US" w:eastAsia="zh-CN"/>
              </w:rPr>
              <w:t>注：方案内容有缺陷指：</w:t>
            </w:r>
          </w:p>
          <w:p>
            <w:pPr>
              <w:pStyle w:val="222"/>
              <w:rPr>
                <w:rFonts w:hint="default" w:ascii="仿宋" w:hAnsi="仿宋" w:eastAsia="仿宋" w:cs="仿宋"/>
                <w:bCs/>
                <w:color w:val="auto"/>
                <w:spacing w:val="-3"/>
                <w:szCs w:val="21"/>
                <w:lang w:val="en-US" w:eastAsia="zh-CN"/>
              </w:rPr>
            </w:pPr>
            <w:r>
              <w:rPr>
                <w:rFonts w:hint="default" w:ascii="仿宋" w:hAnsi="仿宋" w:eastAsia="仿宋" w:cs="仿宋"/>
                <w:bCs/>
                <w:color w:val="auto"/>
                <w:spacing w:val="-3"/>
                <w:szCs w:val="21"/>
                <w:lang w:val="en-US" w:eastAsia="zh-CN"/>
              </w:rPr>
              <w:t>（1）方案内容存在不适用项目实际情况的情形；</w:t>
            </w:r>
          </w:p>
          <w:p>
            <w:pPr>
              <w:pStyle w:val="222"/>
              <w:rPr>
                <w:rFonts w:hint="default" w:ascii="仿宋" w:hAnsi="仿宋" w:eastAsia="仿宋" w:cs="仿宋"/>
                <w:bCs/>
                <w:color w:val="auto"/>
                <w:spacing w:val="-3"/>
                <w:szCs w:val="21"/>
                <w:lang w:val="en-US" w:eastAsia="zh-CN"/>
              </w:rPr>
            </w:pPr>
            <w:r>
              <w:rPr>
                <w:rFonts w:hint="default" w:ascii="仿宋" w:hAnsi="仿宋" w:eastAsia="仿宋" w:cs="仿宋"/>
                <w:bCs/>
                <w:color w:val="auto"/>
                <w:spacing w:val="-3"/>
                <w:szCs w:val="21"/>
                <w:lang w:val="en-US" w:eastAsia="zh-CN"/>
              </w:rPr>
              <w:t>（2）方案内容凭空编造；</w:t>
            </w:r>
          </w:p>
          <w:p>
            <w:pPr>
              <w:pStyle w:val="222"/>
              <w:rPr>
                <w:rFonts w:hint="eastAsia" w:ascii="仿宋" w:hAnsi="仿宋" w:eastAsia="仿宋" w:cs="仿宋"/>
                <w:bCs/>
                <w:color w:val="auto"/>
                <w:spacing w:val="-3"/>
                <w:szCs w:val="21"/>
                <w:lang w:val="zh-CN" w:eastAsia="zh-CN"/>
              </w:rPr>
            </w:pPr>
            <w:r>
              <w:rPr>
                <w:rFonts w:hint="default" w:ascii="仿宋" w:hAnsi="仿宋" w:eastAsia="仿宋" w:cs="仿宋"/>
                <w:bCs/>
                <w:color w:val="auto"/>
                <w:spacing w:val="-3"/>
                <w:szCs w:val="21"/>
                <w:lang w:val="en-US" w:eastAsia="zh-CN"/>
              </w:rPr>
              <w:t>（3）方案内容前后不一致、前后逻辑混乱、涉及的规范及标准错误、地点区域错误；</w:t>
            </w:r>
          </w:p>
        </w:tc>
      </w:tr>
    </w:tbl>
    <w:p>
      <w:pPr>
        <w:spacing w:line="360" w:lineRule="auto"/>
        <w:jc w:val="both"/>
        <w:rPr>
          <w:rFonts w:hint="eastAsia" w:ascii="仿宋" w:hAnsi="仿宋" w:eastAsia="仿宋" w:cs="仿宋"/>
          <w:b/>
          <w:bCs/>
          <w:color w:val="FF0000"/>
          <w:sz w:val="32"/>
          <w:szCs w:val="24"/>
          <w:lang w:val="en-US" w:eastAsia="zh-CN"/>
        </w:rPr>
      </w:pPr>
    </w:p>
    <w:p>
      <w:pPr>
        <w:rPr>
          <w:rFonts w:hint="eastAsia"/>
          <w:lang w:val="en-US" w:eastAsia="zh-CN"/>
        </w:rPr>
      </w:pPr>
      <w:r>
        <w:rPr>
          <w:rFonts w:hint="eastAsia" w:ascii="仿宋" w:hAnsi="仿宋" w:eastAsia="仿宋" w:cs="仿宋"/>
          <w:b/>
          <w:bCs/>
          <w:color w:val="FF0000"/>
          <w:sz w:val="32"/>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1、有下列情形之一的，视为投标人相互串通投标：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（1）不同投标人的投标文件由同一单位或者个人编制；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（2）不同投标人委托同一单位或者个人办理投标事宜；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（3）不同投标人的投标文件载明的项目管理成员或者联系人员为同一人；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（4）不同投标人的投标文件异常一致或者投标报价呈规律性差异；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（5）不同投标人的投标文件相互混装；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（6）不同投标人的投标保证金从同一单位或者个人的账户转出。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2、有下列情形之一的，属于提供虚假材料谋取中标的行为：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（1）使用伪造、变造的许可证件；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（2）提供虚假的财务状况或者业绩；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（3）提供虚假的项目负责人或者主要技术人员简历、劳动关系证明；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（4）提供虚假的信用状况；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（5）其他弄虚作假的行为。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3、</w:t>
      </w:r>
      <w:r>
        <w:rPr>
          <w:rFonts w:hint="eastAsia" w:ascii="仿宋" w:hAnsi="仿宋" w:eastAsia="仿宋" w:cs="仿宋"/>
          <w:b/>
          <w:bCs w:val="0"/>
          <w:color w:val="auto"/>
          <w:sz w:val="24"/>
          <w:szCs w:val="24"/>
          <w:highlight w:val="none"/>
        </w:rPr>
        <w:t>价格扣除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根据《政府采购促进中小企业发展管理办法》（</w:t>
      </w:r>
      <w:r>
        <w:rPr>
          <w:rFonts w:hint="eastAsia" w:ascii="仿宋" w:hAnsi="仿宋" w:eastAsia="仿宋" w:cs="仿宋"/>
          <w:bCs/>
          <w:color w:val="auto"/>
          <w:sz w:val="24"/>
          <w:highlight w:val="none"/>
        </w:rPr>
        <w:t>财库[202</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19</w:t>
      </w:r>
      <w:r>
        <w:rPr>
          <w:rFonts w:hint="eastAsia" w:ascii="仿宋" w:hAnsi="仿宋" w:eastAsia="仿宋" w:cs="仿宋"/>
          <w:bCs/>
          <w:color w:val="auto"/>
          <w:sz w:val="24"/>
          <w:highlight w:val="none"/>
        </w:rPr>
        <w:t>号）</w:t>
      </w:r>
      <w:r>
        <w:rPr>
          <w:rFonts w:hint="eastAsia" w:ascii="仿宋" w:hAnsi="仿宋" w:eastAsia="仿宋" w:cs="仿宋"/>
          <w:b w:val="0"/>
          <w:bCs/>
          <w:color w:val="auto"/>
          <w:sz w:val="24"/>
          <w:szCs w:val="24"/>
          <w:highlight w:val="none"/>
        </w:rPr>
        <w:t>的规定，对于非专门面向中小企业的项目，对提供声明函（并对声明的真实性负责）的小型和微型企业（残疾人福利性单位、监狱企业视同小微企业）产品的价格给予</w:t>
      </w:r>
      <w:r>
        <w:rPr>
          <w:rFonts w:hint="eastAsia" w:ascii="仿宋" w:hAnsi="仿宋" w:eastAsia="仿宋" w:cs="仿宋"/>
          <w:b w:val="0"/>
          <w:bCs/>
          <w:color w:val="auto"/>
          <w:sz w:val="24"/>
          <w:szCs w:val="24"/>
          <w:highlight w:val="none"/>
          <w:lang w:val="en-US" w:eastAsia="zh-CN"/>
        </w:rPr>
        <w:t>10</w:t>
      </w:r>
      <w:r>
        <w:rPr>
          <w:rFonts w:hint="eastAsia" w:ascii="仿宋" w:hAnsi="仿宋" w:eastAsia="仿宋" w:cs="仿宋"/>
          <w:b w:val="0"/>
          <w:bCs/>
          <w:color w:val="auto"/>
          <w:sz w:val="24"/>
          <w:szCs w:val="24"/>
          <w:highlight w:val="none"/>
        </w:rPr>
        <w:t>%的扣除，用扣除后的价格参与评审，不重复享受政策，按照以下比例给予相应的价格扣除：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评标价＝总报价—小型和微型企业产品的价格×</w:t>
      </w:r>
      <w:r>
        <w:rPr>
          <w:rFonts w:hint="eastAsia" w:ascii="仿宋" w:hAnsi="仿宋" w:eastAsia="仿宋" w:cs="仿宋"/>
          <w:b w:val="0"/>
          <w:bCs/>
          <w:color w:val="auto"/>
          <w:sz w:val="24"/>
          <w:szCs w:val="24"/>
          <w:highlight w:val="none"/>
          <w:lang w:val="en-US" w:eastAsia="zh-CN"/>
        </w:rPr>
        <w:t>10</w:t>
      </w:r>
      <w:r>
        <w:rPr>
          <w:rFonts w:hint="eastAsia" w:ascii="仿宋" w:hAnsi="仿宋" w:eastAsia="仿宋" w:cs="仿宋"/>
          <w:b w:val="0"/>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注：①中型企业不享受以上优惠；②小型、微型企业提供中型企业制造的货物的，视同为中型企业。③小型和微型企业产品包括货物及其提供的服务与工程。④监狱企业视同小微企业，监狱企业报价的提供由省级以上监狱管理局、戒毒管理局(含新疆生产建设兵团)出具的属于监狱企业的证明文件，不再提供《中小微企业声明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供应商按《关于促进残疾人就业政府采购政策的通知》(财库〔2017〕141号)认定为残疾人福利性单位的，在政府采购活动中，残疾人福利性单位视同小型、微型企业。符合条件的残疾人福利性单位在参加政府采购活动时，应当提供本通知规定的《残疾人福利性单位声明函》，并对声明的真实性负责。⑤大中型企事业单位与小型、微型企业组成联合体共同参加本次政府采购活动的，联合体投标协议中约定，小型、微型企业的协议合同金额占到联合体投标协议合同总金额30%以上的，可给予联合体3%的价格扣除。但组成联合体的大中型企事业单位与小型、微型企业之间不得存在投资关系。⑥联合体各方均为小型、微型企业的，联合体视同为小型、微型企业享受规定的扶持政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、评标机构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1.1采购人依法组建评标委员会，评标专家从西藏自治区省级专家库中随机抽取。</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1.2按照《中华人民共和国政府采购法》和国家有关规定，依法组建评标委员会，由采购人代表和评审专家会由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人组成，其中</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szCs w:val="24"/>
          <w:highlight w:val="none"/>
        </w:rPr>
        <w:t>专家不少于成员总数的三分之二。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、评标纪律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.1评标委员会的成员应严格遵守评标活动“</w:t>
      </w:r>
      <w:r>
        <w:rPr>
          <w:rFonts w:hint="eastAsia" w:ascii="仿宋" w:hAnsi="仿宋" w:eastAsia="仿宋" w:cs="仿宋"/>
          <w:b/>
          <w:bCs/>
          <w:color w:val="auto"/>
          <w:sz w:val="24"/>
          <w:szCs w:val="24"/>
          <w:highlight w:val="none"/>
        </w:rPr>
        <w:t>公平、公正、科学、择优</w:t>
      </w:r>
      <w:r>
        <w:rPr>
          <w:rFonts w:hint="eastAsia" w:ascii="仿宋" w:hAnsi="仿宋" w:eastAsia="仿宋" w:cs="仿宋"/>
          <w:color w:val="auto"/>
          <w:sz w:val="24"/>
          <w:szCs w:val="24"/>
          <w:highlight w:val="none"/>
        </w:rPr>
        <w:t>”的原则，严格自律，自觉接受有关部门的监督。</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.2 评标过程中，评标委员会成员不得擅离职守，影响评标程序正常进行。</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.3评标委员会成员不得与供应商、其他厉害关系人私下接触，不得向供应商、其他厉害关系人泄漏对投标文件的评审、比较、中标候选人的推荐以及与评标有关的其它情况。</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.4评标过程中，不允许任何人把投标文件及其汇总材料带出评标会场，完成评标后所有材料如数交还。</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.5评标过程中，评标委员会成员及工作人员以外的人员不得随意进入评标会场。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、评标原则及程序</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本项目按下列步骤进行评标：</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.1评审准备</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评委会在进行评标前，应认真阅读招标文件，了解和熟悉以下内容：</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.1.1招标文件中规定的主要技术要求、标准和商务条款；</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.1.2招标文件规定的评标方法和在评标过程中考虑的相关因素。</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.2资格审查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根据《中华人民共和国财政部令第87号——政府采购货物和服务招标投标管理办法》第四十四条公开招标采购项目开标结束后，采购人或者采购代理机构应当依法对供应商的资格进行审查。</w:t>
      </w:r>
      <w:r>
        <w:rPr>
          <w:rFonts w:hint="eastAsia" w:ascii="仿宋" w:hAnsi="仿宋" w:eastAsia="仿宋" w:cs="仿宋"/>
          <w:b w:val="0"/>
          <w:bCs w:val="0"/>
          <w:color w:val="auto"/>
          <w:sz w:val="24"/>
          <w:szCs w:val="24"/>
          <w:highlight w:val="none"/>
        </w:rPr>
        <w:t>资格审查内容见第三章评标办法资格审查表。</w:t>
      </w:r>
      <w:r>
        <w:rPr>
          <w:rFonts w:hint="eastAsia" w:ascii="仿宋" w:hAnsi="仿宋" w:eastAsia="仿宋" w:cs="仿宋"/>
          <w:color w:val="auto"/>
          <w:sz w:val="24"/>
          <w:szCs w:val="24"/>
          <w:highlight w:val="none"/>
        </w:rPr>
        <w:t>有一项不符合评审标准的，其资格审查不通过。</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.3符合性审查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.3.1评标委员会对通过资格审查的供应商进行符合性审查，评标委员会成员要认真审阅投标文件，对投标文件中含义不明确、表述不一致或者有明显文字和计算错误的内容作必要的澄清或补正。</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.3.2评标委员会发现供应商以他人的名义投标、串通投标、以行贿手段谋取中标或者以其他弄虚作假方式投标的，该供应商的投标应作废标处理。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.3.3评委会要审查每一投标文件是否对招标文件提出的所有实质性要求和条件作出响应。未能在实质上响应招标文件的投标文件，将由评委会决定是否接受其投标。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.3.4投标文件有下列情形之一的，由评标委员会初审后按废标处理：</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无单位盖章并无法定代表人或法定代表人授权的代理人签字或盖章的；</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未按规定的格式填写，内容不全或关键字迹模糊、无法辨认的；</w:t>
      </w:r>
    </w:p>
    <w:p>
      <w:pPr>
        <w:keepNext w:val="0"/>
        <w:keepLines w:val="0"/>
        <w:pageBreakBefore w:val="0"/>
        <w:widowControl w:val="0"/>
        <w:numPr>
          <w:ilvl w:val="0"/>
          <w:numId w:val="5"/>
        </w:numPr>
        <w:tabs>
          <w:tab w:val="left" w:pos="426"/>
          <w:tab w:val="clear" w:pos="1019"/>
        </w:tabs>
        <w:kinsoku/>
        <w:wordWrap/>
        <w:overflowPunct/>
        <w:topLinePunct w:val="0"/>
        <w:autoSpaceDE/>
        <w:autoSpaceDN/>
        <w:bidi w:val="0"/>
        <w:adjustRightInd/>
        <w:snapToGrid/>
        <w:spacing w:line="360" w:lineRule="auto"/>
        <w:ind w:hanging="453"/>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供应商递交两份或多份内容不同的投标文件，或在一份投标文件中对同一招标项目报有两个或多个报价，且未声明哪一个有效；</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未按照招标文件的要求提供投标保证金的；</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投标文件载明的招标项目完成期限超过招标文件规定的期限；</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明显不符合技术规格、技术标准的要求；</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投标文件载明的成果检验标准和方法等不符合招标文件的要求；</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投标文件附有采购人不能接受的条件；</w:t>
      </w:r>
    </w:p>
    <w:p>
      <w:pPr>
        <w:keepNext w:val="0"/>
        <w:keepLines w:val="0"/>
        <w:pageBreakBefore w:val="0"/>
        <w:widowControl w:val="0"/>
        <w:kinsoku/>
        <w:wordWrap/>
        <w:overflowPunct/>
        <w:topLinePunct w:val="0"/>
        <w:autoSpaceDE/>
        <w:autoSpaceDN/>
        <w:bidi w:val="0"/>
        <w:adjustRightInd/>
        <w:snapToGrid/>
        <w:spacing w:line="360" w:lineRule="auto"/>
        <w:ind w:left="56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（10）不符合投标文件中规定的其他实质性要求。</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.4 详细评审</w:t>
      </w:r>
    </w:p>
    <w:p>
      <w:pPr>
        <w:keepNext w:val="0"/>
        <w:keepLines w:val="0"/>
        <w:pageBreakBefore w:val="0"/>
        <w:widowControl w:val="0"/>
        <w:kinsoku/>
        <w:wordWrap/>
        <w:overflowPunct/>
        <w:topLinePunct w:val="0"/>
        <w:autoSpaceDE/>
        <w:autoSpaceDN/>
        <w:bidi w:val="0"/>
        <w:adjustRightInd/>
        <w:snapToGrid/>
        <w:spacing w:line="360" w:lineRule="auto"/>
        <w:ind w:right="-288" w:rightChars="-137" w:firstLine="42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评标委员会对通过初步评审的供应商进行详细评审，评标采用百分制综合评分法。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6</w:t>
      </w:r>
      <w:r>
        <w:rPr>
          <w:rFonts w:hint="eastAsia" w:ascii="仿宋" w:hAnsi="仿宋" w:eastAsia="仿宋" w:cs="仿宋"/>
          <w:b/>
          <w:bCs w:val="0"/>
          <w:color w:val="auto"/>
          <w:sz w:val="24"/>
          <w:szCs w:val="24"/>
          <w:highlight w:val="none"/>
        </w:rPr>
        <w:t>.4.1评标的基本方式</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25"/>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根据招标文件的规定及要求，客观比较投标单位对招标文件规定的要求及应答的情况，按照</w:t>
      </w:r>
      <w:r>
        <w:rPr>
          <w:rFonts w:hint="eastAsia" w:ascii="仿宋" w:hAnsi="仿宋" w:eastAsia="仿宋" w:cs="仿宋"/>
          <w:color w:val="auto"/>
          <w:sz w:val="24"/>
          <w:szCs w:val="24"/>
          <w:highlight w:val="none"/>
        </w:rPr>
        <w:t>投标报价、业绩</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资质证件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组织实施方案</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服务、工期和质量承诺及违约承诺、信誉</w:t>
      </w:r>
      <w:r>
        <w:rPr>
          <w:rFonts w:hint="eastAsia" w:ascii="仿宋" w:hAnsi="仿宋" w:eastAsia="仿宋" w:cs="仿宋"/>
          <w:bCs/>
          <w:color w:val="auto"/>
          <w:sz w:val="24"/>
          <w:szCs w:val="24"/>
          <w:highlight w:val="none"/>
        </w:rPr>
        <w:t>等对供应商评分，并按照供应商得分高低推荐中标候选人，若总分并列时，报价评分高的供应商为第一中标候选人；若报价评分得分也相等时，组织实施方案得分高的为第一中标候选人；若总分、报价、组织实施方案得分均相同时通过抽签确定排名顺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统分原则：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（1）评委应首先对各供应商投标文件进行评审，写出书面意见并按招标文件规定分值评分；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（2）除投标报价评分外，其余部分由各评委自主评分并签字确认；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（3）单项统分原则：计算评委评审打分算术平均分值为供应商的该项得分（保留小数点后两位）。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（4）统分办法：计算各评委评分的算术平均值为供应商的评标总得分（保留小数点后两位）。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、评标委员会评分时，应遵守下列规则</w:t>
      </w:r>
    </w:p>
    <w:p>
      <w:pPr>
        <w:keepNext w:val="0"/>
        <w:keepLines w:val="0"/>
        <w:pageBreakBefore w:val="0"/>
        <w:widowControl w:val="0"/>
        <w:kinsoku/>
        <w:wordWrap/>
        <w:overflowPunct/>
        <w:topLinePunct w:val="0"/>
        <w:autoSpaceDE/>
        <w:autoSpaceDN/>
        <w:bidi w:val="0"/>
        <w:adjustRightInd/>
        <w:snapToGrid/>
        <w:spacing w:line="360" w:lineRule="auto"/>
        <w:ind w:firstLine="408" w:firstLineChars="1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.1评标委员会成员应按招标文件的要求，认真审查、评审各供应商的投标文件，并写出书面审查和评审意见。</w:t>
      </w:r>
    </w:p>
    <w:p>
      <w:pPr>
        <w:keepNext w:val="0"/>
        <w:keepLines w:val="0"/>
        <w:pageBreakBefore w:val="0"/>
        <w:widowControl w:val="0"/>
        <w:kinsoku/>
        <w:wordWrap/>
        <w:overflowPunct/>
        <w:topLinePunct w:val="0"/>
        <w:autoSpaceDE/>
        <w:autoSpaceDN/>
        <w:bidi w:val="0"/>
        <w:adjustRightInd/>
        <w:snapToGrid/>
        <w:spacing w:line="360" w:lineRule="auto"/>
        <w:ind w:firstLine="408" w:firstLineChars="1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.2评标委员会各成员应自主评分，并签字确认。</w:t>
      </w:r>
    </w:p>
    <w:p>
      <w:pPr>
        <w:keepNext w:val="0"/>
        <w:keepLines w:val="0"/>
        <w:pageBreakBefore w:val="0"/>
        <w:widowControl w:val="0"/>
        <w:kinsoku/>
        <w:wordWrap/>
        <w:overflowPunct/>
        <w:topLinePunct w:val="0"/>
        <w:autoSpaceDE/>
        <w:autoSpaceDN/>
        <w:bidi w:val="0"/>
        <w:adjustRightInd/>
        <w:snapToGrid/>
        <w:spacing w:line="360" w:lineRule="auto"/>
        <w:ind w:firstLine="408" w:firstLineChars="1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.3评标中若遇特殊问题，由评标委员会根据有关法律、法规、规定研究决定。</w:t>
      </w:r>
    </w:p>
    <w:p>
      <w:pPr>
        <w:keepNext w:val="0"/>
        <w:keepLines w:val="0"/>
        <w:pageBreakBefore w:val="0"/>
        <w:widowControl w:val="0"/>
        <w:kinsoku/>
        <w:wordWrap/>
        <w:overflowPunct/>
        <w:topLinePunct w:val="0"/>
        <w:autoSpaceDE/>
        <w:autoSpaceDN/>
        <w:bidi w:val="0"/>
        <w:adjustRightInd/>
        <w:snapToGrid/>
        <w:spacing w:line="360" w:lineRule="auto"/>
        <w:ind w:firstLine="408" w:firstLineChars="1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4评标委员会完成评标后，应当向采购人提出书面评标报告，并抄送有关行政监督部门。评标委员会的评标报告应由评标委员会全体成员签字。对评标结论有异议的评标委员会成员可以书面方式阐述其不同意见和理由。评标委员会成员拒绝在评标报告上签字且不以书面阐述其不同意见和理由的，视为同意评标结论。评标委员会应当对此作出书面说明并记录在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.5本次评标按照最终得分由高到低的顺序推荐中标候选人，最终得分最高的供应商推荐为第一中标候选人，如出现最终得分相同时以投标总报价最低者优先。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、评标争议处理规则。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、供应商应当书面澄清、说明或者更正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2供应商应当书面澄清、说明或者更正，并加盖公章或签字确认（供应商为法人的，应当由其法定代表人/单位负责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.3评标委员会要求供应商澄清、说明或者更正，不得超出招标文件的范围，不得以此让供应商实质改变投标文件的内容，不得影响供应商公平竞争。本项目下列内容不得澄清：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（一）按财政部规定应当在评标时不予承认的投标文件内容事项；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（二）投标文件中已经明确的内容事项；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.4 本项目采购过程中，投标文件报价出现前后不一致的，按照下列规定修正：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（一）投标文件中开标一览表（报价表）内容与投标文件中相应内容不一致的，以开标一览表（报价表）为准；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同时出现两种以上不一致的，按照前款规定的顺序修正。修正后的报价按照本章</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.3的规定经投标人确认后产生约束力，投标人不确认的，其投标无效。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注：评标委员会当积极履行澄清、说明或者更正的职责，不得滥用权力。供应商的投标文件应当要求澄清、说明或者更正的，不得未经澄清、说明或者更正而直接作无效投标处理。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、低于成本价投标处理。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认为投标人的报价明显低于其他通过符合性审查投标人的报价，有可能影响产品质量、服务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、招标采购单位现场复核评标结果。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1评标结果汇总完成后，评标委员会拟出具评标报告前，招标采购单位或代理机构应当组织2名以上的本单位工作人员，在采购现场监督人员的监督之下，依据有关的法律制度和采购文件对评标结果进行复核，出具复核报告。除下列情形外，任何人不得修改评标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（一）分值汇总计算错误的；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（二）分项评分超出评分标准范围的；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（三）客观评分不一致的；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（四）经评标委员会认定评分畸高畸低的。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.2有下列情形之一的，不得修改评标结果或者重新评审：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（一）招标采购单位现场复核时，复核工作人员数量不足的；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（二）招标采购单位现场复核时，没有采购监督人员现场监督的；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（三）招标采购单位现场复核内容超出规定范围的；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（四）招标采购单位未提供书面建议的。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、废标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本次政府采购活动中，出现下列情形之一的，予以废标：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（1）符合专业条件的供应商或者对招标文件作实质响应的供应商不足三家的；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（2）出现影响采购公正的违法、违规行为的；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（3）投标人的报价均超过了采购预算，采购人不能支付的；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（4）因重大变故，采购任务取消的。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废标后，采购代理机构应在政府采购网上公告，并公告废标的情形。投标人需要知晓导致废标情形的具体原因和理由的，可以通过书面形式询问招标采购单位。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对于评标过程中废标的采购项目，评标委员会应当对招标文件是否存在倾向性和歧视性、是否存在不合理条款进行论证，并出具书面论证意见。</w:t>
      </w:r>
    </w:p>
    <w:p>
      <w:pPr>
        <w:spacing w:line="480" w:lineRule="exact"/>
        <w:ind w:firstLine="420" w:firstLineChars="200"/>
        <w:rPr>
          <w:rFonts w:ascii="仿宋" w:hAnsi="仿宋" w:eastAsia="仿宋" w:cs="仿宋"/>
          <w:color w:val="auto"/>
          <w:highlight w:val="none"/>
        </w:rPr>
      </w:pPr>
    </w:p>
    <w:p>
      <w:pPr>
        <w:spacing w:line="480" w:lineRule="exact"/>
        <w:rPr>
          <w:rFonts w:ascii="仿宋" w:hAnsi="仿宋" w:eastAsia="仿宋" w:cs="仿宋"/>
          <w:color w:val="auto"/>
          <w:sz w:val="24"/>
          <w:highlight w:val="none"/>
        </w:rPr>
      </w:pPr>
    </w:p>
    <w:p>
      <w:pPr>
        <w:spacing w:line="480" w:lineRule="exact"/>
        <w:ind w:firstLine="357" w:firstLineChars="170"/>
        <w:rPr>
          <w:rFonts w:ascii="仿宋" w:hAnsi="仿宋" w:eastAsia="仿宋" w:cs="仿宋"/>
          <w:color w:val="auto"/>
          <w:highlight w:val="none"/>
        </w:rPr>
      </w:pPr>
    </w:p>
    <w:p>
      <w:pPr>
        <w:pStyle w:val="3"/>
        <w:spacing w:line="480" w:lineRule="exact"/>
        <w:rPr>
          <w:rFonts w:ascii="仿宋" w:hAnsi="仿宋" w:eastAsia="仿宋" w:cs="仿宋"/>
          <w:color w:val="auto"/>
          <w:highlight w:val="none"/>
        </w:rPr>
      </w:pPr>
      <w:bookmarkStart w:id="921" w:name="_Toc27149"/>
      <w:bookmarkStart w:id="922" w:name="_Toc514253193"/>
      <w:bookmarkStart w:id="923" w:name="_Toc22014"/>
      <w:r>
        <w:rPr>
          <w:rFonts w:hint="eastAsia" w:ascii="仿宋" w:hAnsi="仿宋" w:eastAsia="仿宋" w:cs="仿宋"/>
          <w:color w:val="auto"/>
          <w:highlight w:val="none"/>
        </w:rPr>
        <w:br w:type="page"/>
      </w:r>
      <w:bookmarkStart w:id="924" w:name="_Toc61260767"/>
      <w:bookmarkStart w:id="925" w:name="_Toc20614"/>
      <w:r>
        <w:rPr>
          <w:rFonts w:hint="eastAsia" w:ascii="仿宋" w:hAnsi="仿宋" w:eastAsia="仿宋" w:cs="仿宋"/>
          <w:color w:val="auto"/>
          <w:highlight w:val="none"/>
        </w:rPr>
        <w:t>第四章 合同条款格式</w:t>
      </w:r>
      <w:bookmarkEnd w:id="921"/>
      <w:bookmarkEnd w:id="922"/>
      <w:bookmarkEnd w:id="923"/>
      <w:bookmarkEnd w:id="924"/>
      <w:bookmarkEnd w:id="925"/>
    </w:p>
    <w:p>
      <w:pPr>
        <w:jc w:val="center"/>
        <w:rPr>
          <w:rFonts w:hint="eastAsia" w:ascii="仿宋" w:hAnsi="仿宋" w:eastAsia="仿宋" w:cs="仿宋"/>
          <w:color w:val="auto"/>
          <w:sz w:val="28"/>
          <w:szCs w:val="28"/>
          <w:highlight w:val="none"/>
        </w:rPr>
      </w:pPr>
    </w:p>
    <w:p>
      <w:pPr>
        <w:jc w:val="center"/>
        <w:rPr>
          <w:rFonts w:ascii="仿宋" w:hAnsi="仿宋" w:eastAsia="仿宋" w:cs="仿宋"/>
          <w:color w:val="auto"/>
          <w:sz w:val="28"/>
          <w:szCs w:val="28"/>
        </w:rPr>
      </w:pPr>
      <w:r>
        <w:rPr>
          <w:rFonts w:hint="eastAsia" w:ascii="仿宋" w:hAnsi="仿宋" w:eastAsia="仿宋" w:cs="仿宋"/>
          <w:color w:val="auto"/>
          <w:sz w:val="28"/>
          <w:szCs w:val="28"/>
        </w:rPr>
        <w:t>（仅供参考，最终合同内容中标后甲乙双方协商）</w:t>
      </w:r>
    </w:p>
    <w:p>
      <w:pPr>
        <w:rPr>
          <w:rFonts w:ascii="仿宋" w:hAnsi="仿宋" w:eastAsia="仿宋" w:cs="仿宋"/>
          <w:color w:val="auto"/>
        </w:rPr>
      </w:pPr>
    </w:p>
    <w:p>
      <w:pPr>
        <w:keepNext w:val="0"/>
        <w:keepLines w:val="0"/>
        <w:pageBreakBefore w:val="0"/>
        <w:widowControl w:val="0"/>
        <w:kinsoku/>
        <w:wordWrap/>
        <w:overflowPunct/>
        <w:topLinePunct w:val="0"/>
        <w:autoSpaceDE/>
        <w:autoSpaceDN/>
        <w:bidi w:val="0"/>
        <w:adjustRightInd/>
        <w:spacing w:line="360" w:lineRule="auto"/>
        <w:ind w:left="300"/>
        <w:textAlignment w:val="auto"/>
        <w:rPr>
          <w:rFonts w:hint="eastAsia" w:ascii="仿宋" w:hAnsi="仿宋" w:eastAsia="仿宋" w:cs="仿宋"/>
          <w:b/>
          <w:color w:val="auto"/>
          <w:sz w:val="24"/>
        </w:rPr>
      </w:pPr>
      <w:r>
        <w:rPr>
          <w:rFonts w:hint="eastAsia" w:ascii="仿宋" w:hAnsi="仿宋" w:eastAsia="仿宋" w:cs="仿宋"/>
          <w:b/>
          <w:color w:val="auto"/>
          <w:sz w:val="24"/>
        </w:rPr>
        <w:t xml:space="preserve">  1、定义</w:t>
      </w:r>
    </w:p>
    <w:p>
      <w:pPr>
        <w:keepNext w:val="0"/>
        <w:keepLines w:val="0"/>
        <w:pageBreakBefore w:val="0"/>
        <w:widowControl w:val="0"/>
        <w:kinsoku/>
        <w:wordWrap/>
        <w:overflowPunct/>
        <w:topLinePunct w:val="0"/>
        <w:autoSpaceDE/>
        <w:autoSpaceDN/>
        <w:bidi w:val="0"/>
        <w:adjustRightInd/>
        <w:spacing w:line="360" w:lineRule="auto"/>
        <w:ind w:left="300"/>
        <w:textAlignment w:val="auto"/>
        <w:rPr>
          <w:rFonts w:hint="eastAsia" w:ascii="仿宋" w:hAnsi="仿宋" w:eastAsia="仿宋" w:cs="仿宋"/>
          <w:color w:val="auto"/>
          <w:sz w:val="24"/>
        </w:rPr>
      </w:pPr>
      <w:r>
        <w:rPr>
          <w:rFonts w:hint="eastAsia" w:ascii="仿宋" w:hAnsi="仿宋" w:eastAsia="仿宋" w:cs="仿宋"/>
          <w:color w:val="auto"/>
          <w:sz w:val="24"/>
        </w:rPr>
        <w:t xml:space="preserve">  本合同中的下列术语应解释为：</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（1）“合同”系指买卖双方签署的、合同格式中载明的买卖双方所达成的协议，包括所有的附件、附录和构成合同的所有文件。</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（2）“合同价”系指根据合同规定，乙方在完全履行合同义务后甲方应付给乙方的价格；</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（3）“货物”系指乙方根据合同规定须向甲方提供的一切设备、机械、仪表、备件、工具、其他材料；</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（4）“服务”系指根据合同规定乙方承担与供货方有关的辅助服务，如运输、保险以及其它的伴随服务，如安装、调试、提供技术援助、培训和合同中规定乙方应承担的其它服务。</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（5）“合同条款”是指本合同条款；</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（6）“甲方” 指具体使用货物和接受服务的单位；</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（7）“乙方”指向甲方提供货物和服务的供应商；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（8）“天”指日历天数。</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color w:val="auto"/>
          <w:sz w:val="24"/>
        </w:rPr>
      </w:pPr>
      <w:r>
        <w:rPr>
          <w:rFonts w:hint="eastAsia" w:ascii="仿宋" w:hAnsi="仿宋" w:eastAsia="仿宋" w:cs="仿宋"/>
          <w:b/>
          <w:color w:val="auto"/>
          <w:sz w:val="24"/>
        </w:rPr>
        <w:t>2、适用性</w:t>
      </w:r>
    </w:p>
    <w:p>
      <w:pPr>
        <w:keepNext w:val="0"/>
        <w:keepLines w:val="0"/>
        <w:pageBreakBefore w:val="0"/>
        <w:widowControl w:val="0"/>
        <w:kinsoku/>
        <w:wordWrap/>
        <w:overflowPunct/>
        <w:topLinePunct w:val="0"/>
        <w:autoSpaceDE/>
        <w:autoSpaceDN/>
        <w:bidi w:val="0"/>
        <w:adjustRightInd/>
        <w:spacing w:line="360" w:lineRule="auto"/>
        <w:ind w:firstLine="585"/>
        <w:textAlignment w:val="auto"/>
        <w:rPr>
          <w:rFonts w:hint="eastAsia" w:ascii="仿宋" w:hAnsi="仿宋" w:eastAsia="仿宋" w:cs="仿宋"/>
          <w:color w:val="auto"/>
          <w:sz w:val="24"/>
        </w:rPr>
      </w:pPr>
      <w:r>
        <w:rPr>
          <w:rFonts w:hint="eastAsia" w:ascii="仿宋" w:hAnsi="仿宋" w:eastAsia="仿宋" w:cs="仿宋"/>
          <w:color w:val="auto"/>
          <w:sz w:val="24"/>
        </w:rPr>
        <w:t>本合同条款适用于没有被本合同其它部分的条款所取代的范围。</w:t>
      </w:r>
    </w:p>
    <w:p>
      <w:pPr>
        <w:keepNext w:val="0"/>
        <w:keepLines w:val="0"/>
        <w:pageBreakBefore w:val="0"/>
        <w:widowControl w:val="0"/>
        <w:kinsoku/>
        <w:wordWrap/>
        <w:overflowPunct/>
        <w:topLinePunct w:val="0"/>
        <w:autoSpaceDE/>
        <w:autoSpaceDN/>
        <w:bidi w:val="0"/>
        <w:adjustRightInd/>
        <w:spacing w:line="360" w:lineRule="auto"/>
        <w:ind w:firstLine="585"/>
        <w:textAlignment w:val="auto"/>
        <w:rPr>
          <w:rFonts w:hint="eastAsia" w:ascii="仿宋" w:hAnsi="仿宋" w:eastAsia="仿宋" w:cs="仿宋"/>
          <w:b/>
          <w:color w:val="auto"/>
          <w:sz w:val="24"/>
        </w:rPr>
      </w:pPr>
      <w:r>
        <w:rPr>
          <w:rFonts w:hint="eastAsia" w:ascii="仿宋" w:hAnsi="仿宋" w:eastAsia="仿宋" w:cs="仿宋"/>
          <w:b/>
          <w:color w:val="auto"/>
          <w:sz w:val="24"/>
        </w:rPr>
        <w:t>3、技术规格</w:t>
      </w:r>
    </w:p>
    <w:p>
      <w:pPr>
        <w:keepNext w:val="0"/>
        <w:keepLines w:val="0"/>
        <w:pageBreakBefore w:val="0"/>
        <w:widowControl w:val="0"/>
        <w:kinsoku/>
        <w:wordWrap/>
        <w:overflowPunct/>
        <w:topLinePunct w:val="0"/>
        <w:autoSpaceDE/>
        <w:autoSpaceDN/>
        <w:bidi w:val="0"/>
        <w:adjustRightInd/>
        <w:spacing w:line="360" w:lineRule="auto"/>
        <w:ind w:firstLine="585"/>
        <w:textAlignment w:val="auto"/>
        <w:rPr>
          <w:rFonts w:hint="eastAsia" w:ascii="仿宋" w:hAnsi="仿宋" w:eastAsia="仿宋" w:cs="仿宋"/>
          <w:color w:val="auto"/>
          <w:sz w:val="24"/>
        </w:rPr>
      </w:pPr>
      <w:r>
        <w:rPr>
          <w:rFonts w:hint="eastAsia" w:ascii="仿宋" w:hAnsi="仿宋" w:eastAsia="仿宋" w:cs="仿宋"/>
          <w:color w:val="auto"/>
          <w:sz w:val="24"/>
        </w:rPr>
        <w:t>3.1 提供和交付的货物技术规格应与招标技术规格以及所附的技术规格响应表相一致；</w:t>
      </w:r>
    </w:p>
    <w:p>
      <w:pPr>
        <w:keepNext w:val="0"/>
        <w:keepLines w:val="0"/>
        <w:pageBreakBefore w:val="0"/>
        <w:widowControl w:val="0"/>
        <w:kinsoku/>
        <w:wordWrap/>
        <w:overflowPunct/>
        <w:topLinePunct w:val="0"/>
        <w:autoSpaceDE/>
        <w:autoSpaceDN/>
        <w:bidi w:val="0"/>
        <w:adjustRightInd/>
        <w:spacing w:line="360" w:lineRule="auto"/>
        <w:ind w:firstLine="585"/>
        <w:textAlignment w:val="auto"/>
        <w:rPr>
          <w:rFonts w:hint="eastAsia" w:ascii="仿宋" w:hAnsi="仿宋" w:eastAsia="仿宋" w:cs="仿宋"/>
          <w:color w:val="auto"/>
          <w:sz w:val="24"/>
        </w:rPr>
      </w:pPr>
      <w:r>
        <w:rPr>
          <w:rFonts w:hint="eastAsia" w:ascii="仿宋" w:hAnsi="仿宋" w:eastAsia="仿宋" w:cs="仿宋"/>
          <w:color w:val="auto"/>
          <w:sz w:val="24"/>
        </w:rPr>
        <w:t>3.2 除技术规格另有规定外、计量单位应使用公制。</w:t>
      </w:r>
    </w:p>
    <w:p>
      <w:pPr>
        <w:keepNext w:val="0"/>
        <w:keepLines w:val="0"/>
        <w:pageBreakBefore w:val="0"/>
        <w:widowControl w:val="0"/>
        <w:kinsoku/>
        <w:wordWrap/>
        <w:overflowPunct/>
        <w:topLinePunct w:val="0"/>
        <w:autoSpaceDE/>
        <w:autoSpaceDN/>
        <w:bidi w:val="0"/>
        <w:adjustRightInd/>
        <w:spacing w:line="360" w:lineRule="auto"/>
        <w:ind w:firstLine="585"/>
        <w:textAlignment w:val="auto"/>
        <w:rPr>
          <w:rFonts w:hint="eastAsia" w:ascii="仿宋" w:hAnsi="仿宋" w:eastAsia="仿宋" w:cs="仿宋"/>
          <w:b/>
          <w:color w:val="auto"/>
          <w:sz w:val="24"/>
        </w:rPr>
      </w:pPr>
      <w:r>
        <w:rPr>
          <w:rFonts w:hint="eastAsia" w:ascii="仿宋" w:hAnsi="仿宋" w:eastAsia="仿宋" w:cs="仿宋"/>
          <w:b/>
          <w:color w:val="auto"/>
          <w:sz w:val="24"/>
        </w:rPr>
        <w:t>4、专利权</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乙方应保护甲方在使用该货物或其任何一部分时不受第三方提出侵犯其专利权、商标权和工业设计权的起诉。</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rPr>
        <w:t xml:space="preserve"> 5、产权担保</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rPr>
        <w:t xml:space="preserve"> 乙方保证所交付的货物的所有权完全属于乙方且无任何抵押、查封等产权瑕疵。</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rPr>
        <w:t xml:space="preserve"> 6、履约保证金</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rPr>
        <w:t xml:space="preserve"> 乙方交纳人民币元作为本合同的履约保证金。</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rPr>
        <w:t xml:space="preserve"> 7、转包或分包</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7.1本合同范围的货物，应由乙方直接供应，不得转让他人供应；</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7.2除非得到甲方的书面同意，乙方不得将本合同范围的货物全部或部分分包给他人供应；</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7.3如有转让和未经甲方同意的分包行为，甲方有权解除合同，没收履约保证金并追究乙方的违约责任。</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8、质保期和质保金</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color w:val="auto"/>
          <w:sz w:val="24"/>
          <w:u w:val="single"/>
        </w:rPr>
      </w:pPr>
      <w:r>
        <w:rPr>
          <w:rFonts w:hint="eastAsia" w:ascii="仿宋" w:hAnsi="仿宋" w:eastAsia="仿宋" w:cs="仿宋"/>
          <w:b/>
          <w:bCs/>
          <w:color w:val="auto"/>
          <w:sz w:val="24"/>
        </w:rPr>
        <w:t>8.1质保期</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u w:val="single"/>
          <w:lang w:val="en-US" w:eastAsia="zh-CN"/>
        </w:rPr>
        <w:t xml:space="preserve"> </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rPr>
        <w:t>年。（自交货验收合格之日起计）</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color w:val="auto"/>
          <w:sz w:val="24"/>
          <w:u w:val="single"/>
        </w:rPr>
      </w:pPr>
      <w:r>
        <w:rPr>
          <w:rFonts w:hint="eastAsia" w:ascii="仿宋" w:hAnsi="仿宋" w:eastAsia="仿宋" w:cs="仿宋"/>
          <w:b/>
          <w:bCs/>
          <w:color w:val="auto"/>
          <w:sz w:val="24"/>
          <w:u w:val="single"/>
        </w:rPr>
        <w:t>8.2质保金 （以合同约定为准）。（履约保证金在中标</w:t>
      </w:r>
      <w:r>
        <w:rPr>
          <w:rFonts w:hint="eastAsia" w:ascii="仿宋" w:hAnsi="仿宋" w:eastAsia="仿宋" w:cs="仿宋"/>
          <w:b/>
          <w:bCs/>
          <w:color w:val="auto"/>
          <w:sz w:val="24"/>
          <w:u w:val="single"/>
          <w:lang w:eastAsia="zh-CN"/>
        </w:rPr>
        <w:t>供应商</w:t>
      </w:r>
      <w:r>
        <w:rPr>
          <w:rFonts w:hint="eastAsia" w:ascii="仿宋" w:hAnsi="仿宋" w:eastAsia="仿宋" w:cs="仿宋"/>
          <w:b/>
          <w:bCs/>
          <w:color w:val="auto"/>
          <w:sz w:val="24"/>
          <w:u w:val="single"/>
        </w:rPr>
        <w:t>按合同约定交货验收合格后自行转为质保金，质保金应相当于合同总额的  %。如果所交的履约保证金低于合同总额的  %的，乙方同意直接从货款中扣足  %。若货物质量上没有瑕疵，质保期满后无息支付。）</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9、</w:t>
      </w:r>
      <w:r>
        <w:rPr>
          <w:rFonts w:hint="eastAsia" w:ascii="仿宋" w:hAnsi="仿宋" w:eastAsia="仿宋" w:cs="仿宋"/>
          <w:color w:val="auto"/>
          <w:sz w:val="24"/>
          <w:lang w:eastAsia="zh-CN"/>
        </w:rPr>
        <w:t>供货</w:t>
      </w:r>
      <w:r>
        <w:rPr>
          <w:rFonts w:hint="eastAsia" w:ascii="仿宋" w:hAnsi="仿宋" w:eastAsia="仿宋" w:cs="仿宋"/>
          <w:color w:val="auto"/>
          <w:sz w:val="24"/>
        </w:rPr>
        <w:t>周期、交货方式及</w:t>
      </w:r>
      <w:r>
        <w:rPr>
          <w:rFonts w:hint="eastAsia" w:ascii="仿宋" w:hAnsi="仿宋" w:eastAsia="仿宋" w:cs="仿宋"/>
          <w:color w:val="auto"/>
          <w:sz w:val="24"/>
          <w:lang w:eastAsia="zh-CN"/>
        </w:rPr>
        <w:t>交货</w:t>
      </w:r>
      <w:r>
        <w:rPr>
          <w:rFonts w:hint="eastAsia" w:ascii="仿宋" w:hAnsi="仿宋" w:eastAsia="仿宋" w:cs="仿宋"/>
          <w:color w:val="auto"/>
          <w:sz w:val="24"/>
        </w:rPr>
        <w:t>地点</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u w:val="single"/>
          <w:lang w:val="en-US" w:eastAsia="zh-CN"/>
        </w:rPr>
      </w:pPr>
      <w:r>
        <w:rPr>
          <w:rFonts w:hint="eastAsia" w:ascii="仿宋" w:hAnsi="仿宋" w:eastAsia="仿宋" w:cs="仿宋"/>
          <w:color w:val="auto"/>
          <w:sz w:val="24"/>
        </w:rPr>
        <w:t>9.1</w:t>
      </w:r>
      <w:r>
        <w:rPr>
          <w:rFonts w:hint="eastAsia" w:ascii="仿宋" w:hAnsi="仿宋" w:eastAsia="仿宋" w:cs="仿宋"/>
          <w:color w:val="auto"/>
          <w:sz w:val="24"/>
          <w:lang w:eastAsia="zh-CN"/>
        </w:rPr>
        <w:t>供货</w:t>
      </w:r>
      <w:r>
        <w:rPr>
          <w:rFonts w:hint="eastAsia" w:ascii="仿宋" w:hAnsi="仿宋" w:eastAsia="仿宋" w:cs="仿宋"/>
          <w:color w:val="auto"/>
          <w:sz w:val="24"/>
        </w:rPr>
        <w:t>周期：</w:t>
      </w:r>
      <w:r>
        <w:rPr>
          <w:rFonts w:hint="eastAsia" w:ascii="仿宋" w:hAnsi="仿宋" w:eastAsia="仿宋" w:cs="仿宋"/>
          <w:color w:val="auto"/>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9.2交货方式：</w:t>
      </w:r>
      <w:r>
        <w:rPr>
          <w:rFonts w:hint="eastAsia" w:ascii="仿宋" w:hAnsi="仿宋" w:eastAsia="仿宋" w:cs="仿宋"/>
          <w:color w:val="auto"/>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lang w:val="en-US"/>
        </w:rPr>
      </w:pPr>
      <w:r>
        <w:rPr>
          <w:rFonts w:hint="eastAsia" w:ascii="仿宋" w:hAnsi="仿宋" w:eastAsia="仿宋" w:cs="仿宋"/>
          <w:color w:val="auto"/>
          <w:sz w:val="24"/>
        </w:rPr>
        <w:t>9.3</w:t>
      </w:r>
      <w:r>
        <w:rPr>
          <w:rFonts w:hint="eastAsia" w:ascii="仿宋" w:hAnsi="仿宋" w:eastAsia="仿宋" w:cs="仿宋"/>
          <w:color w:val="auto"/>
          <w:sz w:val="24"/>
          <w:lang w:eastAsia="zh-CN"/>
        </w:rPr>
        <w:t>交货</w:t>
      </w:r>
      <w:r>
        <w:rPr>
          <w:rFonts w:hint="eastAsia" w:ascii="仿宋" w:hAnsi="仿宋" w:eastAsia="仿宋" w:cs="仿宋"/>
          <w:color w:val="auto"/>
          <w:sz w:val="24"/>
        </w:rPr>
        <w:t>地点：</w:t>
      </w:r>
      <w:r>
        <w:rPr>
          <w:rFonts w:hint="eastAsia" w:ascii="仿宋" w:hAnsi="仿宋" w:eastAsia="仿宋" w:cs="仿宋"/>
          <w:color w:val="auto"/>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10、货款支付：</w:t>
      </w:r>
      <w:r>
        <w:rPr>
          <w:rFonts w:hint="eastAsia" w:ascii="仿宋" w:hAnsi="仿宋" w:eastAsia="仿宋" w:cs="仿宋"/>
          <w:b/>
          <w:bCs/>
          <w:color w:val="auto"/>
          <w:sz w:val="24"/>
          <w:u w:val="single"/>
        </w:rPr>
        <w:t>以合同约定为准。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10.1付款方式：</w:t>
      </w:r>
      <w:r>
        <w:rPr>
          <w:rFonts w:hint="eastAsia" w:ascii="仿宋" w:hAnsi="仿宋" w:eastAsia="仿宋" w:cs="仿宋"/>
          <w:b/>
          <w:bCs/>
          <w:color w:val="auto"/>
          <w:sz w:val="24"/>
          <w:u w:val="single"/>
        </w:rPr>
        <w:t>以合同约定为准。</w:t>
      </w:r>
    </w:p>
    <w:p>
      <w:pPr>
        <w:keepNext w:val="0"/>
        <w:keepLines w:val="0"/>
        <w:pageBreakBefore w:val="0"/>
        <w:widowControl w:val="0"/>
        <w:kinsoku/>
        <w:wordWrap/>
        <w:overflowPunct/>
        <w:topLinePunct w:val="0"/>
        <w:autoSpaceDE/>
        <w:autoSpaceDN/>
        <w:bidi w:val="0"/>
        <w:adjustRightInd/>
        <w:spacing w:line="360" w:lineRule="auto"/>
        <w:ind w:firstLine="570"/>
        <w:textAlignment w:val="auto"/>
        <w:rPr>
          <w:rFonts w:hint="eastAsia" w:ascii="仿宋" w:hAnsi="仿宋" w:eastAsia="仿宋" w:cs="仿宋"/>
          <w:color w:val="auto"/>
          <w:sz w:val="24"/>
        </w:rPr>
      </w:pPr>
      <w:r>
        <w:rPr>
          <w:rFonts w:hint="eastAsia" w:ascii="仿宋" w:hAnsi="仿宋" w:eastAsia="仿宋" w:cs="仿宋"/>
          <w:color w:val="auto"/>
          <w:sz w:val="24"/>
        </w:rPr>
        <w:t>10.2当采购数量与实际使用数量不一致时，乙方应根据实际使用量供货，合同的最终结算金额按实际使用量乘以中标单价进行计算。</w:t>
      </w:r>
    </w:p>
    <w:p>
      <w:pPr>
        <w:keepNext w:val="0"/>
        <w:keepLines w:val="0"/>
        <w:pageBreakBefore w:val="0"/>
        <w:widowControl w:val="0"/>
        <w:kinsoku/>
        <w:wordWrap/>
        <w:overflowPunct/>
        <w:topLinePunct w:val="0"/>
        <w:autoSpaceDE/>
        <w:autoSpaceDN/>
        <w:bidi w:val="0"/>
        <w:adjustRightInd/>
        <w:spacing w:line="360" w:lineRule="auto"/>
        <w:ind w:firstLine="570"/>
        <w:textAlignment w:val="auto"/>
        <w:rPr>
          <w:rFonts w:hint="eastAsia" w:ascii="仿宋" w:hAnsi="仿宋" w:eastAsia="仿宋" w:cs="仿宋"/>
          <w:color w:val="auto"/>
          <w:sz w:val="24"/>
        </w:rPr>
      </w:pPr>
      <w:r>
        <w:rPr>
          <w:rFonts w:hint="eastAsia" w:ascii="仿宋" w:hAnsi="仿宋" w:eastAsia="仿宋" w:cs="仿宋"/>
          <w:color w:val="auto"/>
          <w:sz w:val="24"/>
        </w:rPr>
        <w:t>10.3乙方应按照双方签订的合同规定交货，并向甲方合法正规票据，采购人按合同规定审核后按合同条款付款计划付款。</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10.4</w:t>
      </w:r>
      <w:r>
        <w:rPr>
          <w:rFonts w:hint="eastAsia" w:ascii="仿宋" w:hAnsi="仿宋" w:eastAsia="仿宋" w:cs="仿宋"/>
          <w:color w:val="auto"/>
          <w:sz w:val="24"/>
          <w:u w:val="single"/>
        </w:rPr>
        <w:t xml:space="preserve"> 付款方式：</w:t>
      </w:r>
      <w:r>
        <w:rPr>
          <w:rFonts w:hint="eastAsia" w:ascii="仿宋" w:hAnsi="仿宋" w:eastAsia="仿宋" w:cs="仿宋"/>
          <w:b/>
          <w:bCs/>
          <w:color w:val="auto"/>
          <w:sz w:val="24"/>
          <w:u w:val="single"/>
        </w:rPr>
        <w:t>以合同约定为准。</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11、税费</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本合同执行中相关的一切税费均由乙方负担。</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11.1根据现行税法对乙方征收的与本合同有关的一切税费均由乙方负担；</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11.2根据现行税法对甲方征收的与合同有关的一切税费均由甲方负担。</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11.3在中国以外发生的与本合同有关的一切税费均由乙方负担。</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12、质量保证及售后服务</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12.1乙方应按</w:t>
      </w:r>
      <w:r>
        <w:rPr>
          <w:rFonts w:hint="eastAsia" w:ascii="仿宋" w:hAnsi="仿宋" w:eastAsia="仿宋" w:cs="仿宋"/>
          <w:color w:val="auto"/>
          <w:sz w:val="24"/>
          <w:lang w:val="en-US" w:eastAsia="zh-CN"/>
        </w:rPr>
        <w:t>招标</w:t>
      </w:r>
      <w:r>
        <w:rPr>
          <w:rFonts w:hint="eastAsia" w:ascii="仿宋" w:hAnsi="仿宋" w:eastAsia="仿宋" w:cs="仿宋"/>
          <w:color w:val="auto"/>
          <w:sz w:val="24"/>
          <w:lang w:eastAsia="zh-CN"/>
        </w:rPr>
        <w:t>文件</w:t>
      </w:r>
      <w:r>
        <w:rPr>
          <w:rFonts w:hint="eastAsia" w:ascii="仿宋" w:hAnsi="仿宋" w:eastAsia="仿宋" w:cs="仿宋"/>
          <w:color w:val="auto"/>
          <w:sz w:val="24"/>
        </w:rPr>
        <w:t>规定的货物性能、技术要求、质量标准向甲方提供未经使用的全新产品。乙方应保证货物是全新、未使用过的，是用一流的工艺和最佳材料制造而成的正品，并完全符合合同规定的质量、规格和性能的要求。乙方并保证其货物业经正确安装、正常运转和保养在其使用寿命内应具有满意的性能。在货物最终验收后规定的质量保证期内，乙方应对由于设计、工艺或材料的缺陷而发生的故障负责。</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12.2甲方应该以书面形式通知乙方保证期内所发生的质量问题；</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12.3如在使用在发生质量问题，乙方收到通知后应在接到甲方通知后在小时内到达甲方现场，在规定的时间内免费维修或更换有缺陷的货物或部件。</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12.4如果乙方收到通知后在规定的时间内没有弥补缺陷，甲方可采取必要的补救措施，但风险和费用将由乙方承担。</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12.5乙方提供的货物在质保期内因货物本身的质量问题发生故障，乙方应负责免费更换。对达不到技术要求者，根据实际情况，经双方协商，可按以下办法处理：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⑴更换：由乙方承担所发生的全部费用。</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⑵贬值处理：由甲乙双方合议定价。</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⑶退货处理：乙方应退还甲方支付的合同款，同时应承担该货物的直接费用（运输、保险、检验、货款利息及银行手续费等）。</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12.6在质保期内，乙方应对货物出现的质量及安全问题负责处理解决并承担一切费用。</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12.7上述的货物免费保修期为年，因人为因素出现的故障不在免费保修范围</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内。超过保修期的机器设备，终生维修，维修时只收部件成本费。</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12.8乙方保证提供的产品不侵犯任何第三方的知识产权并不受追诉，保证提供的产品不存在仿制、贴牌和假冒伪劣等情形；在货物验收、使用过程中，如发现乙方提供的货物存在与合同约定不符、质量及隐蔽瑕疵或商品存在仿制、贴牌、假冒伪劣等情形的，甲方有权解除合同，拒绝支付合同价款，已经支付的款项，有权要求乙方双倍返还，造成的一切损失由乙方另行赔偿。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12.9属于乙方产品质量问题而导致使用乙方产品的甲方客户或其他第三方的经济损失时，由乙方承担相应责任并赔偿经济损失。 </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rPr>
        <w:t xml:space="preserve"> 12.10在产品验收、使用过程中，如发现乙方提供的货物存在与合同约定不符，质量及隐蔽瑕疵等情形的，乙方应当在甲方提出纠正之日起两周内无条件更换。如乙方迟延更换，甲方有权要求乙方支付合同总额每日3%的违约金或解除本合同，并要求乙方赔偿损失。</w:t>
      </w:r>
    </w:p>
    <w:p>
      <w:pPr>
        <w:keepNext w:val="0"/>
        <w:keepLines w:val="0"/>
        <w:pageBreakBefore w:val="0"/>
        <w:widowControl w:val="0"/>
        <w:kinsoku/>
        <w:wordWrap/>
        <w:overflowPunct/>
        <w:topLinePunct w:val="0"/>
        <w:autoSpaceDE/>
        <w:autoSpaceDN/>
        <w:bidi w:val="0"/>
        <w:adjustRightInd/>
        <w:spacing w:line="360" w:lineRule="auto"/>
        <w:ind w:firstLine="240" w:firstLineChars="100"/>
        <w:textAlignment w:val="auto"/>
        <w:rPr>
          <w:rFonts w:hint="eastAsia" w:ascii="仿宋" w:hAnsi="仿宋" w:eastAsia="仿宋" w:cs="仿宋"/>
          <w:color w:val="auto"/>
          <w:sz w:val="24"/>
        </w:rPr>
      </w:pPr>
      <w:r>
        <w:rPr>
          <w:rFonts w:hint="eastAsia" w:ascii="仿宋" w:hAnsi="仿宋" w:eastAsia="仿宋" w:cs="仿宋"/>
          <w:color w:val="auto"/>
          <w:sz w:val="24"/>
        </w:rPr>
        <w:t xml:space="preserve">  12.11售后服务标准：乙方保证向甲方提供保修期限内的免费保修服务。 </w:t>
      </w:r>
    </w:p>
    <w:p>
      <w:pPr>
        <w:keepNext w:val="0"/>
        <w:keepLines w:val="0"/>
        <w:pageBreakBefore w:val="0"/>
        <w:widowControl w:val="0"/>
        <w:kinsoku/>
        <w:wordWrap/>
        <w:overflowPunct/>
        <w:topLinePunct w:val="0"/>
        <w:autoSpaceDE/>
        <w:autoSpaceDN/>
        <w:bidi w:val="0"/>
        <w:adjustRightInd/>
        <w:spacing w:line="360" w:lineRule="auto"/>
        <w:ind w:firstLine="240" w:firstLineChars="100"/>
        <w:textAlignment w:val="auto"/>
        <w:rPr>
          <w:rFonts w:hint="eastAsia" w:ascii="仿宋" w:hAnsi="仿宋" w:eastAsia="仿宋" w:cs="仿宋"/>
          <w:color w:val="auto"/>
          <w:sz w:val="24"/>
        </w:rPr>
      </w:pPr>
      <w:r>
        <w:rPr>
          <w:rFonts w:hint="eastAsia" w:ascii="仿宋" w:hAnsi="仿宋" w:eastAsia="仿宋" w:cs="仿宋"/>
          <w:color w:val="auto"/>
          <w:sz w:val="24"/>
        </w:rPr>
        <w:t xml:space="preserve">  12.12设备保修 </w:t>
      </w:r>
    </w:p>
    <w:p>
      <w:pPr>
        <w:keepNext w:val="0"/>
        <w:keepLines w:val="0"/>
        <w:pageBreakBefore w:val="0"/>
        <w:widowControl w:val="0"/>
        <w:kinsoku/>
        <w:wordWrap/>
        <w:overflowPunct/>
        <w:topLinePunct w:val="0"/>
        <w:autoSpaceDE/>
        <w:autoSpaceDN/>
        <w:bidi w:val="0"/>
        <w:adjustRightInd/>
        <w:spacing w:line="360" w:lineRule="auto"/>
        <w:ind w:firstLine="120" w:firstLineChars="50"/>
        <w:textAlignment w:val="auto"/>
        <w:rPr>
          <w:rFonts w:hint="eastAsia" w:ascii="仿宋" w:hAnsi="仿宋" w:eastAsia="仿宋" w:cs="仿宋"/>
          <w:color w:val="auto"/>
          <w:sz w:val="24"/>
        </w:rPr>
      </w:pPr>
      <w:r>
        <w:rPr>
          <w:rFonts w:hint="eastAsia" w:ascii="仿宋" w:hAnsi="仿宋" w:eastAsia="仿宋" w:cs="仿宋"/>
          <w:color w:val="auto"/>
          <w:sz w:val="24"/>
        </w:rPr>
        <w:t xml:space="preserve">   （1）服务期限：保修期年，保修期自货物经甲方验收合格之日起计算。保修期满后乙方有责任继续为甲方提供货物维修，且只向甲方收取零部件成本费用、实际差旅费和工资费用。 </w:t>
      </w:r>
    </w:p>
    <w:p>
      <w:pPr>
        <w:keepNext w:val="0"/>
        <w:keepLines w:val="0"/>
        <w:pageBreakBefore w:val="0"/>
        <w:widowControl w:val="0"/>
        <w:kinsoku/>
        <w:wordWrap/>
        <w:overflowPunct/>
        <w:topLinePunct w:val="0"/>
        <w:autoSpaceDE/>
        <w:autoSpaceDN/>
        <w:bidi w:val="0"/>
        <w:adjustRightInd/>
        <w:spacing w:line="360" w:lineRule="auto"/>
        <w:ind w:firstLine="120" w:firstLineChars="50"/>
        <w:textAlignment w:val="auto"/>
        <w:rPr>
          <w:rFonts w:hint="eastAsia" w:ascii="仿宋" w:hAnsi="仿宋" w:eastAsia="仿宋" w:cs="仿宋"/>
          <w:color w:val="auto"/>
          <w:sz w:val="24"/>
        </w:rPr>
      </w:pPr>
      <w:r>
        <w:rPr>
          <w:rFonts w:hint="eastAsia" w:ascii="仿宋" w:hAnsi="仿宋" w:eastAsia="仿宋" w:cs="仿宋"/>
          <w:color w:val="auto"/>
          <w:sz w:val="24"/>
        </w:rPr>
        <w:t xml:space="preserve">   （2）保修服务内容包括但不限于：维护和保修，技术咨询服务。 </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 xml:space="preserve">    （3）提供24小时免费服务电话</w:t>
      </w:r>
      <w:r>
        <w:rPr>
          <w:rFonts w:hint="eastAsia" w:ascii="仿宋" w:hAnsi="仿宋" w:eastAsia="仿宋" w:cs="仿宋"/>
          <w:color w:val="auto"/>
          <w:sz w:val="24"/>
          <w:lang w:eastAsia="zh-CN"/>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12.13售后服务承诺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乙方郑重承诺：向甲方用户提供良好的长期保修、维护、服务和终身维修。具体为： </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rPr>
        <w:t xml:space="preserve"> （1）乙方提供24小时电话热线和互联网即时通信支持服务。如甲方需要技术咨询或所购货物出现问题时，通过电话或互联网与乙方联系，乙方必须在4小时内给予实质性响应，并给出解决办法或应急措施；乙方在电话支持服务不能解决问题时，必须提供现场服务。 </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rPr>
        <w:t xml:space="preserve"> （2）保修期内，乙方保证货物维护、部件更换时使用原厂商全新配（备）件。被替换下来的配件属于乙方财产，而替换配件为甲方财产。 </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rPr>
        <w:t xml:space="preserve"> （3）保证为甲方提供货物的备件，可满足甲方日常使用、排除故障、升级等要求。 </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rPr>
        <w:t xml:space="preserve"> （4）建立甲方用户意见反馈渠道，对甲方用户意见处理解决后，及时通报甲方； </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12.14保修内容：乙方保证所提供货物故障部件的维修或更换。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12.15保修期满后，乙方应履行维修义务，乙方在收到甲方故障、维修通知后应立即给予答复，并组织人员到甲方进行维修，维修费用由甲方承担。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12.16乙方不按合同规定履行售后服务的，甲方可另行雇用专业人员，所产生的费用从乙方质保金中扣取，当质保金不足时，甲方可向乙方另行主张。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12.17保修期内，乙方未能在合同约定的期限内履行保修义务，每延迟一天，乙方向甲方支付合同金额1%的违约金并赔偿甲方其他经济损失，违约金累计总额不超过合同总额的30%，乙方超过三十天仍未履行保修义务的，甲方有权解除合同并要求赔偿经济损失；乙方未能在接到甲方通知三十天内将设备维修至正常状态，甲方有权要求乙方换货或解除合同并要求乙方赔偿经济损失。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12.18保修期后，乙方未能在合同约定的期限内履行维修义务，每延迟一天，乙方向甲方支付合同金额1%的违约金并赔偿甲方其他经济损失，违约金累计总额不超过合同总额的30%。 </w:t>
      </w:r>
    </w:p>
    <w:p>
      <w:pPr>
        <w:keepNext w:val="0"/>
        <w:keepLines w:val="0"/>
        <w:pageBreakBefore w:val="0"/>
        <w:widowControl w:val="0"/>
        <w:kinsoku/>
        <w:wordWrap/>
        <w:overflowPunct/>
        <w:topLinePunct w:val="0"/>
        <w:autoSpaceDE/>
        <w:autoSpaceDN/>
        <w:bidi w:val="0"/>
        <w:adjustRightInd/>
        <w:spacing w:line="360" w:lineRule="auto"/>
        <w:ind w:firstLine="361" w:firstLineChars="150"/>
        <w:textAlignment w:val="auto"/>
        <w:rPr>
          <w:rFonts w:hint="eastAsia" w:ascii="仿宋" w:hAnsi="仿宋" w:eastAsia="仿宋" w:cs="仿宋"/>
          <w:b/>
          <w:color w:val="auto"/>
          <w:sz w:val="24"/>
        </w:rPr>
      </w:pPr>
      <w:r>
        <w:rPr>
          <w:rFonts w:hint="eastAsia" w:ascii="仿宋" w:hAnsi="仿宋" w:eastAsia="仿宋" w:cs="仿宋"/>
          <w:b/>
          <w:color w:val="auto"/>
          <w:sz w:val="24"/>
        </w:rPr>
        <w:t>13、调试和验收</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rPr>
        <w:t>13.1甲方对乙方提交的货物依据</w:t>
      </w:r>
      <w:r>
        <w:rPr>
          <w:rFonts w:hint="eastAsia" w:ascii="仿宋" w:hAnsi="仿宋" w:eastAsia="仿宋" w:cs="仿宋"/>
          <w:color w:val="auto"/>
          <w:sz w:val="24"/>
          <w:lang w:eastAsia="zh-CN"/>
        </w:rPr>
        <w:t>招标文件</w:t>
      </w:r>
      <w:r>
        <w:rPr>
          <w:rFonts w:hint="eastAsia" w:ascii="仿宋" w:hAnsi="仿宋" w:eastAsia="仿宋" w:cs="仿宋"/>
          <w:color w:val="auto"/>
          <w:sz w:val="24"/>
        </w:rPr>
        <w:t>上的技术规格要求和国家有关质量标准进行现场初步验收，外观、说明书符合</w:t>
      </w:r>
      <w:r>
        <w:rPr>
          <w:rFonts w:hint="eastAsia" w:ascii="仿宋" w:hAnsi="仿宋" w:eastAsia="仿宋" w:cs="仿宋"/>
          <w:color w:val="auto"/>
          <w:sz w:val="24"/>
          <w:lang w:eastAsia="zh-CN"/>
        </w:rPr>
        <w:t>招标文件</w:t>
      </w:r>
      <w:r>
        <w:rPr>
          <w:rFonts w:hint="eastAsia" w:ascii="仿宋" w:hAnsi="仿宋" w:eastAsia="仿宋" w:cs="仿宋"/>
          <w:color w:val="auto"/>
          <w:sz w:val="24"/>
        </w:rPr>
        <w:t>技术要求的，给予签收，初步验收不合格的不予签收。货到后，甲方需在五个工作日内验收。</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rPr>
        <w:t>13.2乙方交货前应对产品作出全面检查和对验收文件进行整理，并列出清单，作为甲方收货验收和使用的技术条件依据，检验的结果应随货物交甲方。</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13.3甲方对乙方提供的货物在使用前进行调试时，乙方需负责安装并培训甲方的使用操作人员，并协助甲方一起调试，直到符合技术要求，甲方才做最终验收。</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13.4对技术复杂的货物，甲方应请国家认可的专业检测机构参与初步验收及最终验收，并由其出具质量检测报告。</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13.5验收时乙方必须在现场，验收完毕后作出验收结果报告；验收费用由乙方负责。</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rPr>
        <w:t xml:space="preserve"> 13.6货物到达甲方指定地点后，甲、乙双方人员（乙方验收人员应提交授权书）共同查验货物。查验内容为： </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（1）货物外包装是否破损、变形、有无运输损坏； </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（2）产品说明书、合格证、保修单、检测报告等文件是否齐全。 </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（3）实际交付的货物，特别是货物型号、数量等，与本协议及各证明文件所列内容是否相符；</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rPr>
        <w:t xml:space="preserve"> （4）</w:t>
      </w:r>
      <w:r>
        <w:rPr>
          <w:rFonts w:hint="eastAsia" w:ascii="仿宋" w:hAnsi="仿宋" w:eastAsia="仿宋" w:cs="仿宋"/>
          <w:color w:val="auto"/>
          <w:sz w:val="24"/>
          <w:lang w:eastAsia="zh-CN"/>
        </w:rPr>
        <w:t>招标文件</w:t>
      </w:r>
      <w:r>
        <w:rPr>
          <w:rFonts w:hint="eastAsia" w:ascii="仿宋" w:hAnsi="仿宋" w:eastAsia="仿宋" w:cs="仿宋"/>
          <w:color w:val="auto"/>
          <w:sz w:val="24"/>
        </w:rPr>
        <w:t xml:space="preserve">要求需提供样品的，在合同履行验收时，凭样品验收，与样品不一致的，不予以验收，由此造成的一切损失，由乙方独立承担； </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rPr>
        <w:t xml:space="preserve"> 13.7若查验发现外包装损坏，甲方与乙方在2天内共同进行开箱检查。如果甲方认为货物不符合合同约定决定拒收或检查发现货物有损坏或不符合本合同的约定，需要进行更换，乙方均须在甲方拒收或发现损坏之日起 14 日内为甲方更换。如乙方迟延更换，甲方有权要求乙方支付合同总额每日3%的违约金或解除本合同，并要求乙方赔偿损失。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sz w:val="24"/>
        </w:rPr>
        <w:t>13.8甲方根据查验的实际情况填写,并与乙方(或其指定的运输公司)共同签署收货单，甲方应在该收货单上明确做出是否接受货物的表述。</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14、货物包装、发运及运输</w:t>
      </w:r>
    </w:p>
    <w:p>
      <w:pPr>
        <w:keepNext w:val="0"/>
        <w:keepLines w:val="0"/>
        <w:pageBreakBefore w:val="0"/>
        <w:widowControl w:val="0"/>
        <w:kinsoku/>
        <w:wordWrap/>
        <w:overflowPunct/>
        <w:topLinePunct w:val="0"/>
        <w:autoSpaceDE/>
        <w:autoSpaceDN/>
        <w:bidi w:val="0"/>
        <w:adjustRightInd/>
        <w:spacing w:line="360" w:lineRule="auto"/>
        <w:ind w:firstLine="585"/>
        <w:textAlignment w:val="auto"/>
        <w:rPr>
          <w:rFonts w:hint="eastAsia" w:ascii="仿宋" w:hAnsi="仿宋" w:eastAsia="仿宋" w:cs="仿宋"/>
          <w:color w:val="auto"/>
          <w:sz w:val="24"/>
        </w:rPr>
      </w:pPr>
      <w:r>
        <w:rPr>
          <w:rFonts w:hint="eastAsia" w:ascii="仿宋" w:hAnsi="仿宋" w:eastAsia="仿宋" w:cs="仿宋"/>
          <w:color w:val="auto"/>
          <w:sz w:val="24"/>
        </w:rPr>
        <w:t>14.1乙方应在货物发运前对其进行满足运输距离、防潮、防震、防锈和防破损装卸等要求包装，以保证货物安全运达甲方指定地点。除合同另有规定外，乙方供应的全部货物，均应按标准保护措施进行包装。该包装应适用于远距离运输、防潮、防震、防锈和防野蛮装卸，确保货物安全无损运抵现场。由于包装不善所引起的货物锈蚀、损坏和损失均由乙方承担。</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14.2使用说明书、质量检验证明书、随配附件和工具、一份详细装箱单、质量合格证以及清单一并附于货物内。</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14.3乙方在货物发运手续办理完毕后24小时内或货到甲方48小时前通知甲方，以准备接货。</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14.4货物在交付甲方前发生的风险均由乙方负责。</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14.5货物在规定的交付期限内由乙方送达甲方指定的地点视为交付，乙方同时需通知甲方货物已送达。</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15、违约责任</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15.1甲方无正当理由拒收货物的，甲方向乙方偿付拒收货款总值的5%违约金。</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15.2甲方无故逾期验收和办理货款支付手续的,甲方应按逾期付款总额每日万分之五向乙方支付违约金。</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15.3乙方逾期交付货物的，乙方应按逾期交货总额每日</w:t>
      </w:r>
      <w:r>
        <w:rPr>
          <w:rFonts w:hint="eastAsia" w:ascii="仿宋" w:hAnsi="仿宋" w:eastAsia="仿宋" w:cs="仿宋"/>
          <w:color w:val="auto"/>
          <w:sz w:val="24"/>
          <w:u w:val="single"/>
        </w:rPr>
        <w:t>6‰</w:t>
      </w:r>
      <w:r>
        <w:rPr>
          <w:rFonts w:hint="eastAsia" w:ascii="仿宋" w:hAnsi="仿宋" w:eastAsia="仿宋" w:cs="仿宋"/>
          <w:color w:val="auto"/>
          <w:sz w:val="24"/>
        </w:rPr>
        <w:t xml:space="preserve">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15.4乙方所交的货物品种、型号、规格、技术参数、质量不符合合同规定及</w:t>
      </w:r>
      <w:r>
        <w:rPr>
          <w:rFonts w:hint="eastAsia" w:ascii="仿宋" w:hAnsi="仿宋" w:eastAsia="仿宋" w:cs="仿宋"/>
          <w:color w:val="auto"/>
          <w:sz w:val="24"/>
          <w:lang w:eastAsia="zh-CN"/>
        </w:rPr>
        <w:t>招标文件</w:t>
      </w:r>
      <w:r>
        <w:rPr>
          <w:rFonts w:hint="eastAsia" w:ascii="仿宋" w:hAnsi="仿宋" w:eastAsia="仿宋" w:cs="仿宋"/>
          <w:color w:val="auto"/>
          <w:sz w:val="24"/>
        </w:rPr>
        <w:t>规定标准的，甲方有权拒收该货物，乙方愿意更换货物但逾期交货的，按乙方逾期交货处理。乙方拒绝更换货物的，甲方可单方面解除合同。</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15.6由于乙方责任逾期安装和调试，从逾期之日起，每天向甲方支付合同额</w:t>
      </w:r>
      <w:bookmarkStart w:id="926" w:name="OLE_LINK7"/>
      <w:r>
        <w:rPr>
          <w:rFonts w:hint="eastAsia" w:ascii="仿宋" w:hAnsi="仿宋" w:eastAsia="仿宋" w:cs="仿宋"/>
          <w:color w:val="auto"/>
          <w:sz w:val="24"/>
          <w:u w:val="single"/>
        </w:rPr>
        <w:t xml:space="preserve"> 3‰</w:t>
      </w:r>
      <w:bookmarkEnd w:id="926"/>
      <w:r>
        <w:rPr>
          <w:rFonts w:hint="eastAsia" w:ascii="仿宋" w:hAnsi="仿宋" w:eastAsia="仿宋" w:cs="仿宋"/>
          <w:color w:val="auto"/>
          <w:sz w:val="24"/>
        </w:rPr>
        <w:t xml:space="preserve">的违约金，但违约金不能超过合同总额的10%。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15.7因货物质量不合格、验收不合格等需要更换货物或其他乙方原因造成的延期，乙方应按合同总额的每日3%向甲方支付违约金，并赔偿甲方损失。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15.8任何一方违反本合同其他约定造成违约，应按合同总金额的10%向守约方支付违约金。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sz w:val="24"/>
        </w:rPr>
        <w:t>15.9任何一方违反本协议的相关规定，给对方造成损失的，还应赔偿因此给对方造成的全部损失（包括但不限于甲方为维护自身权益所支付的调查费、律师费和交通费等</w:t>
      </w:r>
      <w:r>
        <w:rPr>
          <w:rFonts w:hint="eastAsia" w:ascii="仿宋" w:hAnsi="仿宋" w:eastAsia="仿宋" w:cs="仿宋"/>
          <w:color w:val="auto"/>
          <w:kern w:val="0"/>
          <w:sz w:val="24"/>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0"/>
          <w:sz w:val="24"/>
          <w:u w:val="single"/>
        </w:rPr>
      </w:pPr>
      <w:r>
        <w:rPr>
          <w:rFonts w:hint="eastAsia" w:ascii="仿宋" w:hAnsi="仿宋" w:eastAsia="仿宋" w:cs="仿宋"/>
          <w:color w:val="auto"/>
          <w:kern w:val="0"/>
          <w:sz w:val="24"/>
          <w:u w:val="single"/>
        </w:rPr>
        <w:t>15.10货物交验后，如甲方在使用过程中，发现货物有不符合</w:t>
      </w:r>
      <w:r>
        <w:rPr>
          <w:rFonts w:hint="eastAsia" w:ascii="仿宋" w:hAnsi="仿宋" w:eastAsia="仿宋" w:cs="仿宋"/>
          <w:color w:val="auto"/>
          <w:kern w:val="0"/>
          <w:sz w:val="24"/>
          <w:u w:val="single"/>
          <w:lang w:eastAsia="zh-CN"/>
        </w:rPr>
        <w:t>招标文件</w:t>
      </w:r>
      <w:r>
        <w:rPr>
          <w:rFonts w:hint="eastAsia" w:ascii="仿宋" w:hAnsi="仿宋" w:eastAsia="仿宋" w:cs="仿宋"/>
          <w:color w:val="auto"/>
          <w:kern w:val="0"/>
          <w:sz w:val="24"/>
          <w:u w:val="single"/>
        </w:rPr>
        <w:t>要求的瑕疵，甲方有权要求退换货，或解除合同。</w:t>
      </w:r>
      <w:r>
        <w:rPr>
          <w:rFonts w:hint="eastAsia" w:ascii="仿宋" w:hAnsi="仿宋" w:eastAsia="仿宋" w:cs="仿宋"/>
          <w:color w:val="auto"/>
          <w:sz w:val="24"/>
          <w:u w:val="single"/>
        </w:rPr>
        <w:t>乙方应按中标总额的  %向甲方支付违约金，并承担由此造成的一切损失。该损失包括但不限于直接损失、间接损失、诉讼费、鉴定费、交通费、检验费、律师费等。</w:t>
      </w:r>
    </w:p>
    <w:p>
      <w:pPr>
        <w:keepNext w:val="0"/>
        <w:keepLines w:val="0"/>
        <w:pageBreakBefore w:val="0"/>
        <w:widowControl w:val="0"/>
        <w:kinsoku/>
        <w:wordWrap/>
        <w:overflowPunct/>
        <w:topLinePunct w:val="0"/>
        <w:autoSpaceDE/>
        <w:autoSpaceDN/>
        <w:bidi w:val="0"/>
        <w:adjustRightInd/>
        <w:spacing w:line="360" w:lineRule="auto"/>
        <w:ind w:left="570"/>
        <w:textAlignment w:val="auto"/>
        <w:rPr>
          <w:rFonts w:hint="eastAsia" w:ascii="仿宋" w:hAnsi="仿宋" w:eastAsia="仿宋" w:cs="仿宋"/>
          <w:b/>
          <w:color w:val="auto"/>
          <w:sz w:val="24"/>
        </w:rPr>
      </w:pPr>
      <w:r>
        <w:rPr>
          <w:rFonts w:hint="eastAsia" w:ascii="仿宋" w:hAnsi="仿宋" w:eastAsia="仿宋" w:cs="仿宋"/>
          <w:b/>
          <w:color w:val="auto"/>
          <w:sz w:val="24"/>
        </w:rPr>
        <w:t>16、索赔</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16.1根据当地有关部门出具的检验证书向乙方提出索赔，责任应由保险公司或运输部门承担的除外；</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16.2如果乙方对偏差负有责任而甲方在合同条款第14、15条或合同的其他地方规定的检验、安装、调试、质量保证期内提出了索赔，乙方应按照甲方同意的下列一种或几种方式结合起来解决索赔事宜；</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(1)乙方同意退货，并用合同中规定的同种货币将货款退还给甲方，并承担由此发生的一切损失和费用，包括利息、手续费、运费、保险费、检验费、仓储费、装卸费以及保护拒收的货物所需的其它必要费用。</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(2)根据货物低劣程度、损坏程度以及甲方所遭受损失的数额，经买卖双方商定同意降低货物的价格。</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(3)用符合合同规定的规格、质量和性能要求的新零件、部件或设备来更换有缺陷的部分，乙方应承担一切费用和风险并负担甲方所遭受的一切直接损失。同时，乙方应按合同14.1条规定，对更换件相应延长质量保证期。1）、由于乙方责任逾期安装和调试，从逾期之日起，每天向甲方支付合同额</w:t>
      </w:r>
      <w:r>
        <w:rPr>
          <w:rFonts w:hint="eastAsia" w:ascii="仿宋" w:hAnsi="仿宋" w:eastAsia="仿宋" w:cs="仿宋"/>
          <w:color w:val="auto"/>
          <w:sz w:val="24"/>
          <w:u w:val="single"/>
        </w:rPr>
        <w:t xml:space="preserve">   ‰</w:t>
      </w:r>
      <w:r>
        <w:rPr>
          <w:rFonts w:hint="eastAsia" w:ascii="仿宋" w:hAnsi="仿宋" w:eastAsia="仿宋" w:cs="仿宋"/>
          <w:color w:val="auto"/>
          <w:sz w:val="24"/>
        </w:rPr>
        <w:t>的违约金，但违约金不能超过合同总额的</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(4)因货物质量不合格、验收不合格等需要更换货物或其他乙方原因造成的延期，乙方应按合同总额的每日3%向甲方支付违约金，并赔偿甲方损失。 </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(5)任何一方违反本合同其他约定造成违约，应按合同总金额的10%向守约方支付违约金。 </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(6)任何一方违反本协议的相关规定，给对方造成损失的，还应赔偿因此给对方造成的全部损失（包括但不限于甲方为维护自身权益所支付的调查费、律师费和交通费等）。</w:t>
      </w:r>
    </w:p>
    <w:p>
      <w:pPr>
        <w:keepNext w:val="0"/>
        <w:keepLines w:val="0"/>
        <w:pageBreakBefore w:val="0"/>
        <w:widowControl w:val="0"/>
        <w:kinsoku/>
        <w:wordWrap/>
        <w:overflowPunct/>
        <w:topLinePunct w:val="0"/>
        <w:autoSpaceDE/>
        <w:autoSpaceDN/>
        <w:bidi w:val="0"/>
        <w:adjustRightInd/>
        <w:spacing w:line="360" w:lineRule="auto"/>
        <w:ind w:firstLine="510"/>
        <w:textAlignment w:val="auto"/>
        <w:rPr>
          <w:rFonts w:hint="eastAsia" w:ascii="仿宋" w:hAnsi="仿宋" w:eastAsia="仿宋" w:cs="仿宋"/>
          <w:color w:val="auto"/>
          <w:sz w:val="24"/>
        </w:rPr>
      </w:pPr>
      <w:r>
        <w:rPr>
          <w:rFonts w:hint="eastAsia" w:ascii="仿宋" w:hAnsi="仿宋" w:eastAsia="仿宋" w:cs="仿宋"/>
          <w:color w:val="auto"/>
          <w:sz w:val="24"/>
        </w:rPr>
        <w:t>16.3如果在甲方发出索赔通知后15天内，乙方未作答复，上述索赔应视为已被乙方接受。如果乙方未能在甲方提出索赔通知后30天内或甲方同意的更长时间内，按照本合同第16.2条规定的任何一种方法解决索赔事宜，甲方将从货款或从乙方开具的履约保证金中扣回索赔金额；</w:t>
      </w:r>
    </w:p>
    <w:p>
      <w:pPr>
        <w:keepNext w:val="0"/>
        <w:keepLines w:val="0"/>
        <w:pageBreakBefore w:val="0"/>
        <w:widowControl w:val="0"/>
        <w:kinsoku/>
        <w:wordWrap/>
        <w:overflowPunct/>
        <w:topLinePunct w:val="0"/>
        <w:autoSpaceDE/>
        <w:autoSpaceDN/>
        <w:bidi w:val="0"/>
        <w:adjustRightInd/>
        <w:spacing w:line="360" w:lineRule="auto"/>
        <w:ind w:left="570"/>
        <w:textAlignment w:val="auto"/>
        <w:rPr>
          <w:rFonts w:hint="eastAsia" w:ascii="仿宋" w:hAnsi="仿宋" w:eastAsia="仿宋" w:cs="仿宋"/>
          <w:b/>
          <w:color w:val="auto"/>
          <w:sz w:val="24"/>
        </w:rPr>
      </w:pPr>
      <w:r>
        <w:rPr>
          <w:rFonts w:hint="eastAsia" w:ascii="仿宋" w:hAnsi="仿宋" w:eastAsia="仿宋" w:cs="仿宋"/>
          <w:b/>
          <w:color w:val="auto"/>
          <w:sz w:val="24"/>
        </w:rPr>
        <w:t>17、迟交货</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17.1乙方应按照买卖双方签订的合同规定的交货时间交货和提供服务；</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17.2如果乙方毫无理由地拖延交货，将受到以下制裁：没收履约保证金，加收罚款和\或终止合同；</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17.3在履约合同过程中，如果乙方遇到不能按时交货和提供服务的情况，应及时以书面形式将不能按时交货的理由、延误时间通知甲方。甲方在收到乙方通知后，应对情况进行分析，并确定是否通过修改合同，酌情延长交货时间；</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color w:val="auto"/>
          <w:sz w:val="24"/>
        </w:rPr>
      </w:pP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24"/>
        </w:rPr>
        <w:t>18、误期赔偿</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除合同条款第20条规定外，如果乙方没有按照合同条款前附表规定的交货期交货和提供服务，乙方应缴纳误期赔偿费，赔偿费按每周迟交货物或末提供服务合同价的</w:t>
      </w:r>
      <w:r>
        <w:rPr>
          <w:rFonts w:hint="eastAsia" w:ascii="仿宋" w:hAnsi="仿宋" w:eastAsia="仿宋" w:cs="仿宋"/>
          <w:color w:val="auto"/>
          <w:sz w:val="24"/>
          <w:u w:val="single"/>
        </w:rPr>
        <w:t xml:space="preserve">  </w:t>
      </w:r>
      <w:r>
        <w:rPr>
          <w:rFonts w:hint="eastAsia" w:ascii="仿宋" w:hAnsi="仿宋" w:eastAsia="仿宋" w:cs="仿宋"/>
          <w:color w:val="auto"/>
          <w:sz w:val="24"/>
        </w:rPr>
        <w:t>％计收，从货款中扣除，但罚金的最高限额为迟交货物或提供服务合同价的</w:t>
      </w:r>
      <w:r>
        <w:rPr>
          <w:rFonts w:hint="eastAsia" w:ascii="仿宋" w:hAnsi="仿宋" w:eastAsia="仿宋" w:cs="仿宋"/>
          <w:color w:val="auto"/>
          <w:sz w:val="24"/>
          <w:u w:val="single"/>
        </w:rPr>
        <w:t xml:space="preserve">  </w:t>
      </w:r>
      <w:r>
        <w:rPr>
          <w:rFonts w:hint="eastAsia" w:ascii="仿宋" w:hAnsi="仿宋" w:eastAsia="仿宋" w:cs="仿宋"/>
          <w:color w:val="auto"/>
          <w:sz w:val="24"/>
        </w:rPr>
        <w:t>％，一周按7天计算。如果达到最高限额，甲方有权终止合同。</w:t>
      </w:r>
    </w:p>
    <w:p>
      <w:pPr>
        <w:keepNext w:val="0"/>
        <w:keepLines w:val="0"/>
        <w:pageBreakBefore w:val="0"/>
        <w:widowControl w:val="0"/>
        <w:kinsoku/>
        <w:wordWrap/>
        <w:overflowPunct/>
        <w:topLinePunct w:val="0"/>
        <w:autoSpaceDE/>
        <w:autoSpaceDN/>
        <w:bidi w:val="0"/>
        <w:adjustRightInd/>
        <w:spacing w:line="360" w:lineRule="auto"/>
        <w:ind w:firstLine="585"/>
        <w:textAlignment w:val="auto"/>
        <w:rPr>
          <w:rFonts w:hint="eastAsia" w:ascii="仿宋" w:hAnsi="仿宋" w:eastAsia="仿宋" w:cs="仿宋"/>
          <w:b/>
          <w:color w:val="auto"/>
          <w:sz w:val="24"/>
        </w:rPr>
      </w:pPr>
      <w:r>
        <w:rPr>
          <w:rFonts w:hint="eastAsia" w:ascii="仿宋" w:hAnsi="仿宋" w:eastAsia="仿宋" w:cs="仿宋"/>
          <w:b/>
          <w:color w:val="auto"/>
          <w:sz w:val="24"/>
        </w:rPr>
        <w:t>19、违约终止合同</w:t>
      </w:r>
    </w:p>
    <w:p>
      <w:pPr>
        <w:keepNext w:val="0"/>
        <w:keepLines w:val="0"/>
        <w:pageBreakBefore w:val="0"/>
        <w:widowControl w:val="0"/>
        <w:kinsoku/>
        <w:wordWrap/>
        <w:overflowPunct/>
        <w:topLinePunct w:val="0"/>
        <w:autoSpaceDE/>
        <w:autoSpaceDN/>
        <w:bidi w:val="0"/>
        <w:adjustRightInd/>
        <w:spacing w:line="360" w:lineRule="auto"/>
        <w:ind w:firstLine="585"/>
        <w:textAlignment w:val="auto"/>
        <w:rPr>
          <w:rFonts w:hint="eastAsia" w:ascii="仿宋" w:hAnsi="仿宋" w:eastAsia="仿宋" w:cs="仿宋"/>
          <w:color w:val="auto"/>
          <w:sz w:val="24"/>
        </w:rPr>
      </w:pPr>
      <w:r>
        <w:rPr>
          <w:rFonts w:hint="eastAsia" w:ascii="仿宋" w:hAnsi="仿宋" w:eastAsia="仿宋" w:cs="仿宋"/>
          <w:color w:val="auto"/>
          <w:sz w:val="24"/>
        </w:rPr>
        <w:t>19.1乙方违约时，在甲方对乙方违约而采取的任何补救措施不受影响的情况下，甲方有权单方面向乙方发出书面违约通知书，并提出终止部分或全部合同；甲方向乙方发出书机终止部分或全部合同通知，自该书面终止合同通知书到达乙方之日，合同终止。</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（1）如果乙方未能在合同规定的限期或甲方根据合同条款第20条的规定同意延长的限期内提供部分或全部货物；</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（2）如果乙方未能履行合同规定的其它任何义务；</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（3）如果甲方认为乙方在本合同的竞争和实施过程中有腐败和欺诈行为。为此目的，定义下述条件：</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A“腐败行为”是指提供、给予、接受或索取任何有价值的东西来影响公共官员在采购过程或合同实施过程中的行为；</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B“欺诈行为”是指为了影响采购过程或合同实施过程而谎报事实，损害甲方的利益，包括</w:t>
      </w:r>
      <w:r>
        <w:rPr>
          <w:rFonts w:hint="eastAsia" w:ascii="仿宋" w:hAnsi="仿宋" w:eastAsia="仿宋" w:cs="仿宋"/>
          <w:color w:val="auto"/>
          <w:sz w:val="24"/>
          <w:lang w:eastAsia="zh-CN"/>
        </w:rPr>
        <w:t>供应商</w:t>
      </w:r>
      <w:r>
        <w:rPr>
          <w:rFonts w:hint="eastAsia" w:ascii="仿宋" w:hAnsi="仿宋" w:eastAsia="仿宋" w:cs="仿宋"/>
          <w:color w:val="auto"/>
          <w:sz w:val="24"/>
        </w:rPr>
        <w:t>之间串通投标（递交投标书之前和之后），人为地使各投标价丧失竞争性，剥夺业主从自由公开竞争所能获得的权益。</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19.2如果甲方根据上述第19.1条的规定，终止了全部或部分合同，甲方可以依据其认为适当的条件和方法购买与未交货物类似的货物，乙方应对购买货物所超出的那部分费用负责。但是，乙方应继续执行未终止的部分。</w:t>
      </w:r>
    </w:p>
    <w:p>
      <w:pPr>
        <w:keepNext w:val="0"/>
        <w:keepLines w:val="0"/>
        <w:pageBreakBefore w:val="0"/>
        <w:widowControl w:val="0"/>
        <w:kinsoku/>
        <w:wordWrap/>
        <w:overflowPunct/>
        <w:topLinePunct w:val="0"/>
        <w:autoSpaceDE/>
        <w:autoSpaceDN/>
        <w:bidi w:val="0"/>
        <w:adjustRightInd/>
        <w:spacing w:line="360" w:lineRule="auto"/>
        <w:ind w:left="585"/>
        <w:textAlignment w:val="auto"/>
        <w:rPr>
          <w:rFonts w:hint="eastAsia" w:ascii="仿宋" w:hAnsi="仿宋" w:eastAsia="仿宋" w:cs="仿宋"/>
          <w:b/>
          <w:color w:val="auto"/>
          <w:sz w:val="24"/>
        </w:rPr>
      </w:pPr>
      <w:r>
        <w:rPr>
          <w:rFonts w:hint="eastAsia" w:ascii="仿宋" w:hAnsi="仿宋" w:eastAsia="仿宋" w:cs="仿宋"/>
          <w:b/>
          <w:color w:val="auto"/>
          <w:sz w:val="24"/>
        </w:rPr>
        <w:t>20、不可抗力</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20.1尽管有合同条款第15、16、17、18条的规定，如果乙方因不可抗力而导致合同实施延误或不能履行合同义务的话，在不可抗力影响的范围内不应该被没收履约保证金，也不应该承担误期赔偿或终止合同的责任。</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20.2本条所述的“不可抗力”系数指那些乙方无法控制，不可预见的事件，但不包括乙方的违约或疏忽。这些事件包括战争、严重火灾、洪水、台风、地震及其他双方同意的情况。</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20.3在不可抗力事件发生后，乙方应尽快以书面形式将不可抗力的情况和原因通知甲方，除甲方书面另行要求外，乙方应尽实际可能继续履行合同义务，以及寻求采取合理的方案履行不受不可抗力影响的其他事项。如果不可抗力事件影响延续超过120天，双方应通过友好协商在合理的时间内就进一步实施合同达成协议。</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21、履约保证金</w:t>
      </w:r>
    </w:p>
    <w:p>
      <w:pPr>
        <w:pStyle w:val="24"/>
        <w:keepNext w:val="0"/>
        <w:keepLines w:val="0"/>
        <w:pageBreakBefore w:val="0"/>
        <w:widowControl w:val="0"/>
        <w:kinsoku/>
        <w:wordWrap/>
        <w:overflowPunct/>
        <w:topLinePunct w:val="0"/>
        <w:autoSpaceDE/>
        <w:autoSpaceDN/>
        <w:bidi w:val="0"/>
        <w:adjustRightInd/>
        <w:snapToGrid w:val="0"/>
        <w:spacing w:line="360" w:lineRule="auto"/>
        <w:ind w:left="408" w:hanging="408" w:hangingChars="170"/>
        <w:textAlignment w:val="auto"/>
        <w:rPr>
          <w:rFonts w:hint="eastAsia" w:ascii="仿宋" w:hAnsi="仿宋" w:eastAsia="仿宋" w:cs="仿宋"/>
          <w:color w:val="auto"/>
          <w:sz w:val="24"/>
        </w:rPr>
      </w:pPr>
      <w:r>
        <w:rPr>
          <w:rFonts w:hint="eastAsia" w:ascii="仿宋" w:hAnsi="仿宋" w:eastAsia="仿宋" w:cs="仿宋"/>
          <w:color w:val="auto"/>
          <w:sz w:val="24"/>
        </w:rPr>
        <w:t xml:space="preserve">   中标人在收到中标通知书后，向</w:t>
      </w:r>
      <w:r>
        <w:rPr>
          <w:rFonts w:hint="eastAsia" w:ascii="仿宋" w:hAnsi="仿宋" w:eastAsia="仿宋" w:cs="仿宋"/>
          <w:color w:val="auto"/>
          <w:sz w:val="24"/>
          <w:lang w:eastAsia="zh-CN"/>
        </w:rPr>
        <w:t>采购人</w:t>
      </w:r>
      <w:r>
        <w:rPr>
          <w:rFonts w:hint="eastAsia" w:ascii="仿宋" w:hAnsi="仿宋" w:eastAsia="仿宋" w:cs="仿宋"/>
          <w:color w:val="auto"/>
          <w:sz w:val="24"/>
        </w:rPr>
        <w:t>缴纳元的履约保证金；</w:t>
      </w:r>
    </w:p>
    <w:p>
      <w:pPr>
        <w:keepNext w:val="0"/>
        <w:keepLines w:val="0"/>
        <w:pageBreakBefore w:val="0"/>
        <w:widowControl w:val="0"/>
        <w:kinsoku/>
        <w:wordWrap/>
        <w:overflowPunct/>
        <w:topLinePunct w:val="0"/>
        <w:autoSpaceDE/>
        <w:autoSpaceDN/>
        <w:bidi w:val="0"/>
        <w:adjustRightInd/>
        <w:spacing w:line="360" w:lineRule="auto"/>
        <w:ind w:firstLine="361" w:firstLineChars="150"/>
        <w:textAlignment w:val="auto"/>
        <w:rPr>
          <w:rFonts w:hint="eastAsia" w:ascii="仿宋" w:hAnsi="仿宋" w:eastAsia="仿宋" w:cs="仿宋"/>
          <w:color w:val="auto"/>
          <w:sz w:val="24"/>
        </w:rPr>
      </w:pPr>
      <w:r>
        <w:rPr>
          <w:rFonts w:hint="eastAsia" w:ascii="仿宋" w:hAnsi="仿宋" w:eastAsia="仿宋" w:cs="仿宋"/>
          <w:b/>
          <w:bCs/>
          <w:color w:val="auto"/>
          <w:sz w:val="24"/>
        </w:rPr>
        <w:t>22、转包或分包</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rPr>
        <w:t>22.1本合同范围的服务，应由乙方直接供应，不得转让他人供应；</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rPr>
        <w:t>22.2除非得到甲方的书面同意，乙方不得将本合同范围的服务全部或部分分包给他人供应；</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rPr>
        <w:t>22.3如有转让和未经甲方同意的分包行为，甲方有权解除合同，没收履约保证金并追究乙方的违约责任。</w:t>
      </w:r>
    </w:p>
    <w:p>
      <w:pPr>
        <w:keepNext w:val="0"/>
        <w:keepLines w:val="0"/>
        <w:pageBreakBefore w:val="0"/>
        <w:widowControl w:val="0"/>
        <w:kinsoku/>
        <w:wordWrap/>
        <w:overflowPunct/>
        <w:topLinePunct w:val="0"/>
        <w:autoSpaceDE/>
        <w:autoSpaceDN/>
        <w:bidi w:val="0"/>
        <w:adjustRightInd/>
        <w:spacing w:line="360" w:lineRule="auto"/>
        <w:ind w:firstLine="570"/>
        <w:textAlignment w:val="auto"/>
        <w:rPr>
          <w:rFonts w:hint="eastAsia" w:ascii="仿宋" w:hAnsi="仿宋" w:eastAsia="仿宋" w:cs="仿宋"/>
          <w:b/>
          <w:color w:val="auto"/>
          <w:sz w:val="24"/>
        </w:rPr>
      </w:pPr>
      <w:r>
        <w:rPr>
          <w:rFonts w:hint="eastAsia" w:ascii="仿宋" w:hAnsi="仿宋" w:eastAsia="仿宋" w:cs="仿宋"/>
          <w:b/>
          <w:color w:val="auto"/>
          <w:sz w:val="24"/>
        </w:rPr>
        <w:t>24、争端的解决</w:t>
      </w:r>
    </w:p>
    <w:p>
      <w:pPr>
        <w:keepNext w:val="0"/>
        <w:keepLines w:val="0"/>
        <w:pageBreakBefore w:val="0"/>
        <w:widowControl w:val="0"/>
        <w:kinsoku/>
        <w:wordWrap/>
        <w:overflowPunct/>
        <w:topLinePunct w:val="0"/>
        <w:autoSpaceDE/>
        <w:autoSpaceDN/>
        <w:bidi w:val="0"/>
        <w:adjustRightInd/>
        <w:spacing w:line="360" w:lineRule="auto"/>
        <w:ind w:firstLine="570"/>
        <w:textAlignment w:val="auto"/>
        <w:rPr>
          <w:rFonts w:hint="eastAsia" w:ascii="仿宋" w:hAnsi="仿宋" w:eastAsia="仿宋" w:cs="仿宋"/>
          <w:color w:val="auto"/>
          <w:sz w:val="24"/>
        </w:rPr>
      </w:pPr>
      <w:r>
        <w:rPr>
          <w:rFonts w:hint="eastAsia" w:ascii="仿宋" w:hAnsi="仿宋" w:eastAsia="仿宋" w:cs="仿宋"/>
          <w:color w:val="auto"/>
          <w:sz w:val="24"/>
        </w:rPr>
        <w:t>24.1 在执行本合同所发生的或与本合同有关的一切争端时，买卖双方应通过友好协商解决，如果协商在60天内仍不能解决，双方可将争端提交仲裁。</w:t>
      </w:r>
    </w:p>
    <w:p>
      <w:pPr>
        <w:keepNext w:val="0"/>
        <w:keepLines w:val="0"/>
        <w:pageBreakBefore w:val="0"/>
        <w:widowControl w:val="0"/>
        <w:kinsoku/>
        <w:wordWrap/>
        <w:overflowPunct/>
        <w:topLinePunct w:val="0"/>
        <w:autoSpaceDE/>
        <w:autoSpaceDN/>
        <w:bidi w:val="0"/>
        <w:adjustRightInd/>
        <w:spacing w:line="360" w:lineRule="auto"/>
        <w:ind w:firstLine="570"/>
        <w:textAlignment w:val="auto"/>
        <w:rPr>
          <w:rFonts w:hint="eastAsia" w:ascii="仿宋" w:hAnsi="仿宋" w:eastAsia="仿宋" w:cs="仿宋"/>
          <w:color w:val="auto"/>
          <w:sz w:val="24"/>
        </w:rPr>
      </w:pPr>
      <w:r>
        <w:rPr>
          <w:rFonts w:hint="eastAsia" w:ascii="仿宋" w:hAnsi="仿宋" w:eastAsia="仿宋" w:cs="仿宋"/>
          <w:color w:val="auto"/>
          <w:sz w:val="24"/>
        </w:rPr>
        <w:t>24.2 仲裁应由甲方当地（省或市、县）有资格的仲裁机构根据其仲裁程序进行仲裁。</w:t>
      </w:r>
    </w:p>
    <w:p>
      <w:pPr>
        <w:keepNext w:val="0"/>
        <w:keepLines w:val="0"/>
        <w:pageBreakBefore w:val="0"/>
        <w:widowControl w:val="0"/>
        <w:kinsoku/>
        <w:wordWrap/>
        <w:overflowPunct/>
        <w:topLinePunct w:val="0"/>
        <w:autoSpaceDE/>
        <w:autoSpaceDN/>
        <w:bidi w:val="0"/>
        <w:adjustRightInd/>
        <w:spacing w:line="360" w:lineRule="auto"/>
        <w:ind w:firstLine="570"/>
        <w:textAlignment w:val="auto"/>
        <w:rPr>
          <w:rFonts w:hint="eastAsia" w:ascii="仿宋" w:hAnsi="仿宋" w:eastAsia="仿宋" w:cs="仿宋"/>
          <w:color w:val="auto"/>
          <w:sz w:val="24"/>
        </w:rPr>
      </w:pPr>
      <w:r>
        <w:rPr>
          <w:rFonts w:hint="eastAsia" w:ascii="仿宋" w:hAnsi="仿宋" w:eastAsia="仿宋" w:cs="仿宋"/>
          <w:color w:val="auto"/>
          <w:sz w:val="24"/>
        </w:rPr>
        <w:t>24.3 仲裁裁决应为终局裁决，对双方均有约束力；</w:t>
      </w:r>
    </w:p>
    <w:p>
      <w:pPr>
        <w:keepNext w:val="0"/>
        <w:keepLines w:val="0"/>
        <w:pageBreakBefore w:val="0"/>
        <w:widowControl w:val="0"/>
        <w:kinsoku/>
        <w:wordWrap/>
        <w:overflowPunct/>
        <w:topLinePunct w:val="0"/>
        <w:autoSpaceDE/>
        <w:autoSpaceDN/>
        <w:bidi w:val="0"/>
        <w:adjustRightInd/>
        <w:spacing w:line="360" w:lineRule="auto"/>
        <w:ind w:left="460" w:leftChars="219"/>
        <w:textAlignment w:val="auto"/>
        <w:rPr>
          <w:rFonts w:hint="eastAsia" w:ascii="仿宋" w:hAnsi="仿宋" w:eastAsia="仿宋" w:cs="仿宋"/>
          <w:color w:val="auto"/>
          <w:sz w:val="24"/>
        </w:rPr>
      </w:pPr>
      <w:r>
        <w:rPr>
          <w:rFonts w:hint="eastAsia" w:ascii="仿宋" w:hAnsi="仿宋" w:eastAsia="仿宋" w:cs="仿宋"/>
          <w:color w:val="auto"/>
          <w:sz w:val="24"/>
        </w:rPr>
        <w:t>24.4 仲裁费用由败诉方负担；</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24．5 在仲裁期间，除正在进行仲裁的部分外，本合同其它部分应继续执行。</w:t>
      </w:r>
    </w:p>
    <w:p>
      <w:pPr>
        <w:keepNext w:val="0"/>
        <w:keepLines w:val="0"/>
        <w:pageBreakBefore w:val="0"/>
        <w:widowControl w:val="0"/>
        <w:kinsoku/>
        <w:wordWrap/>
        <w:overflowPunct/>
        <w:topLinePunct w:val="0"/>
        <w:autoSpaceDE/>
        <w:autoSpaceDN/>
        <w:bidi w:val="0"/>
        <w:adjustRightInd/>
        <w:spacing w:line="360" w:lineRule="auto"/>
        <w:ind w:left="570"/>
        <w:textAlignment w:val="auto"/>
        <w:rPr>
          <w:rFonts w:hint="eastAsia" w:ascii="仿宋" w:hAnsi="仿宋" w:eastAsia="仿宋" w:cs="仿宋"/>
          <w:b/>
          <w:color w:val="auto"/>
          <w:sz w:val="24"/>
        </w:rPr>
      </w:pPr>
      <w:r>
        <w:rPr>
          <w:rFonts w:hint="eastAsia" w:ascii="仿宋" w:hAnsi="仿宋" w:eastAsia="仿宋" w:cs="仿宋"/>
          <w:b/>
          <w:color w:val="auto"/>
          <w:sz w:val="24"/>
        </w:rPr>
        <w:t>25、破产终止合同</w:t>
      </w:r>
    </w:p>
    <w:p>
      <w:pPr>
        <w:keepNext w:val="0"/>
        <w:keepLines w:val="0"/>
        <w:pageBreakBefore w:val="0"/>
        <w:widowControl w:val="0"/>
        <w:kinsoku/>
        <w:wordWrap/>
        <w:overflowPunct/>
        <w:topLinePunct w:val="0"/>
        <w:autoSpaceDE/>
        <w:autoSpaceDN/>
        <w:bidi w:val="0"/>
        <w:adjustRightInd/>
        <w:spacing w:line="360" w:lineRule="auto"/>
        <w:ind w:firstLine="585"/>
        <w:textAlignment w:val="auto"/>
        <w:rPr>
          <w:rFonts w:hint="eastAsia" w:ascii="仿宋" w:hAnsi="仿宋" w:eastAsia="仿宋" w:cs="仿宋"/>
          <w:color w:val="auto"/>
          <w:sz w:val="24"/>
        </w:rPr>
      </w:pPr>
      <w:r>
        <w:rPr>
          <w:rFonts w:hint="eastAsia" w:ascii="仿宋" w:hAnsi="仿宋" w:eastAsia="仿宋" w:cs="仿宋"/>
          <w:color w:val="auto"/>
          <w:sz w:val="24"/>
        </w:rPr>
        <w:t>如果乙方破产或无清偿能力时，甲方在任何时候以书面形式通知乙方提出终止合同而不给乙方补偿。该终止合同将不损害或影响甲方已经采取或将要采取的补救措施的权利。</w:t>
      </w:r>
    </w:p>
    <w:p>
      <w:pPr>
        <w:keepNext w:val="0"/>
        <w:keepLines w:val="0"/>
        <w:pageBreakBefore w:val="0"/>
        <w:widowControl w:val="0"/>
        <w:kinsoku/>
        <w:wordWrap/>
        <w:overflowPunct/>
        <w:topLinePunct w:val="0"/>
        <w:autoSpaceDE/>
        <w:autoSpaceDN/>
        <w:bidi w:val="0"/>
        <w:adjustRightInd/>
        <w:spacing w:line="360" w:lineRule="auto"/>
        <w:ind w:firstLine="585"/>
        <w:textAlignment w:val="auto"/>
        <w:rPr>
          <w:rFonts w:hint="eastAsia" w:ascii="仿宋" w:hAnsi="仿宋" w:eastAsia="仿宋" w:cs="仿宋"/>
          <w:b/>
          <w:color w:val="auto"/>
          <w:sz w:val="24"/>
        </w:rPr>
      </w:pPr>
      <w:r>
        <w:rPr>
          <w:rFonts w:hint="eastAsia" w:ascii="仿宋" w:hAnsi="仿宋" w:eastAsia="仿宋" w:cs="仿宋"/>
          <w:b/>
          <w:color w:val="auto"/>
          <w:sz w:val="24"/>
        </w:rPr>
        <w:t>26、转让</w:t>
      </w:r>
    </w:p>
    <w:p>
      <w:pPr>
        <w:pStyle w:val="27"/>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rPr>
      </w:pPr>
      <w:r>
        <w:rPr>
          <w:rFonts w:hint="eastAsia" w:ascii="仿宋" w:hAnsi="仿宋" w:eastAsia="仿宋" w:cs="仿宋"/>
          <w:color w:val="auto"/>
        </w:rPr>
        <w:t>除甲方事先书面同意外，乙方不得部分转让或全部转让其应履行的合同义务。</w:t>
      </w:r>
    </w:p>
    <w:p>
      <w:pPr>
        <w:keepNext w:val="0"/>
        <w:keepLines w:val="0"/>
        <w:pageBreakBefore w:val="0"/>
        <w:widowControl w:val="0"/>
        <w:kinsoku/>
        <w:wordWrap/>
        <w:overflowPunct/>
        <w:topLinePunct w:val="0"/>
        <w:autoSpaceDE/>
        <w:autoSpaceDN/>
        <w:bidi w:val="0"/>
        <w:adjustRightInd/>
        <w:spacing w:line="360" w:lineRule="auto"/>
        <w:ind w:firstLine="585"/>
        <w:textAlignment w:val="auto"/>
        <w:rPr>
          <w:rFonts w:hint="eastAsia" w:ascii="仿宋" w:hAnsi="仿宋" w:eastAsia="仿宋" w:cs="仿宋"/>
          <w:b/>
          <w:color w:val="auto"/>
          <w:sz w:val="24"/>
        </w:rPr>
      </w:pPr>
      <w:r>
        <w:rPr>
          <w:rFonts w:hint="eastAsia" w:ascii="仿宋" w:hAnsi="仿宋" w:eastAsia="仿宋" w:cs="仿宋"/>
          <w:b/>
          <w:color w:val="auto"/>
          <w:sz w:val="24"/>
        </w:rPr>
        <w:t>27、适用法律</w:t>
      </w:r>
    </w:p>
    <w:p>
      <w:pPr>
        <w:keepNext w:val="0"/>
        <w:keepLines w:val="0"/>
        <w:pageBreakBefore w:val="0"/>
        <w:widowControl w:val="0"/>
        <w:kinsoku/>
        <w:wordWrap/>
        <w:overflowPunct/>
        <w:topLinePunct w:val="0"/>
        <w:autoSpaceDE/>
        <w:autoSpaceDN/>
        <w:bidi w:val="0"/>
        <w:adjustRightInd/>
        <w:spacing w:line="360" w:lineRule="auto"/>
        <w:ind w:firstLine="585"/>
        <w:textAlignment w:val="auto"/>
        <w:rPr>
          <w:rFonts w:hint="eastAsia" w:ascii="仿宋" w:hAnsi="仿宋" w:eastAsia="仿宋" w:cs="仿宋"/>
          <w:color w:val="auto"/>
          <w:sz w:val="24"/>
        </w:rPr>
      </w:pPr>
      <w:r>
        <w:rPr>
          <w:rFonts w:hint="eastAsia" w:ascii="仿宋" w:hAnsi="仿宋" w:eastAsia="仿宋" w:cs="仿宋"/>
          <w:color w:val="auto"/>
          <w:sz w:val="24"/>
        </w:rPr>
        <w:t>本合同应按中华人民共和国法律进行解释。</w:t>
      </w:r>
    </w:p>
    <w:p>
      <w:pPr>
        <w:keepNext w:val="0"/>
        <w:keepLines w:val="0"/>
        <w:pageBreakBefore w:val="0"/>
        <w:widowControl w:val="0"/>
        <w:kinsoku/>
        <w:wordWrap/>
        <w:overflowPunct/>
        <w:topLinePunct w:val="0"/>
        <w:autoSpaceDE/>
        <w:autoSpaceDN/>
        <w:bidi w:val="0"/>
        <w:adjustRightInd/>
        <w:spacing w:line="360" w:lineRule="auto"/>
        <w:ind w:firstLine="585"/>
        <w:textAlignment w:val="auto"/>
        <w:rPr>
          <w:rFonts w:hint="eastAsia" w:ascii="仿宋" w:hAnsi="仿宋" w:eastAsia="仿宋" w:cs="仿宋"/>
          <w:b/>
          <w:color w:val="auto"/>
          <w:sz w:val="24"/>
        </w:rPr>
      </w:pPr>
      <w:r>
        <w:rPr>
          <w:rFonts w:hint="eastAsia" w:ascii="仿宋" w:hAnsi="仿宋" w:eastAsia="仿宋" w:cs="仿宋"/>
          <w:b/>
          <w:color w:val="auto"/>
          <w:sz w:val="24"/>
        </w:rPr>
        <w:t>28、合同生效及其它</w:t>
      </w:r>
    </w:p>
    <w:p>
      <w:pPr>
        <w:keepNext w:val="0"/>
        <w:keepLines w:val="0"/>
        <w:pageBreakBefore w:val="0"/>
        <w:widowControl w:val="0"/>
        <w:kinsoku/>
        <w:wordWrap/>
        <w:overflowPunct/>
        <w:topLinePunct w:val="0"/>
        <w:autoSpaceDE/>
        <w:autoSpaceDN/>
        <w:bidi w:val="0"/>
        <w:adjustRightInd/>
        <w:spacing w:line="360" w:lineRule="auto"/>
        <w:ind w:firstLine="585"/>
        <w:textAlignment w:val="auto"/>
        <w:rPr>
          <w:rFonts w:hint="eastAsia" w:ascii="仿宋" w:hAnsi="仿宋" w:eastAsia="仿宋" w:cs="仿宋"/>
          <w:color w:val="auto"/>
          <w:sz w:val="24"/>
        </w:rPr>
      </w:pPr>
      <w:r>
        <w:rPr>
          <w:rFonts w:hint="eastAsia" w:ascii="仿宋" w:hAnsi="仿宋" w:eastAsia="仿宋" w:cs="仿宋"/>
          <w:color w:val="auto"/>
          <w:sz w:val="24"/>
        </w:rPr>
        <w:t>28.1 合同应在双方签字并在招标机构或甲方收到乙方提供的履约保证金后即生效。</w:t>
      </w:r>
    </w:p>
    <w:p>
      <w:pPr>
        <w:pStyle w:val="2"/>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rPr>
        <w:t>28.2 本合同一式八份，其中：买卖双方各执三份、代理机构二份</w:t>
      </w: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3"/>
        <w:numPr>
          <w:ilvl w:val="0"/>
          <w:numId w:val="6"/>
        </w:numPr>
        <w:bidi w:val="0"/>
        <w:ind w:left="2422" w:leftChars="0" w:firstLine="0" w:firstLineChars="0"/>
        <w:jc w:val="both"/>
        <w:rPr>
          <w:rFonts w:hint="eastAsia" w:ascii="仿宋" w:hAnsi="仿宋" w:eastAsia="仿宋" w:cs="仿宋"/>
          <w:color w:val="auto"/>
          <w:highlight w:val="none"/>
        </w:rPr>
      </w:pPr>
      <w:bookmarkStart w:id="927" w:name="_Toc23107"/>
      <w:bookmarkStart w:id="928" w:name="_Toc61260768"/>
      <w:r>
        <w:rPr>
          <w:rFonts w:hint="eastAsia" w:ascii="仿宋" w:hAnsi="仿宋" w:eastAsia="仿宋" w:cs="仿宋"/>
          <w:color w:val="auto"/>
          <w:highlight w:val="none"/>
        </w:rPr>
        <w:t>采购内容及商务要求</w:t>
      </w:r>
      <w:bookmarkEnd w:id="927"/>
      <w:bookmarkEnd w:id="928"/>
    </w:p>
    <w:p>
      <w:pPr>
        <w:pStyle w:val="24"/>
        <w:rPr>
          <w:rFonts w:hint="eastAsia" w:ascii="仿宋" w:hAnsi="仿宋" w:eastAsia="仿宋" w:cs="仿宋"/>
          <w:color w:val="auto"/>
          <w:kern w:val="0"/>
          <w:position w:val="-6"/>
          <w:sz w:val="24"/>
          <w:szCs w:val="24"/>
          <w:highlight w:val="none"/>
          <w:lang w:val="en-US" w:eastAsia="zh-CN" w:bidi="ar"/>
        </w:rPr>
      </w:pPr>
    </w:p>
    <w:p>
      <w:pPr>
        <w:pStyle w:val="9"/>
      </w:pPr>
      <w:r>
        <w:t>一、项目概况</w:t>
      </w:r>
    </w:p>
    <w:p>
      <w:pPr>
        <w:pStyle w:val="2"/>
        <w:spacing w:before="161"/>
        <w:ind w:left="696"/>
      </w:pPr>
      <w:r>
        <w:t>1、项目名称：关于采购城市绿化养护队伍采购项目</w:t>
      </w:r>
    </w:p>
    <w:p>
      <w:pPr>
        <w:pStyle w:val="2"/>
        <w:spacing w:before="160"/>
        <w:ind w:left="696"/>
      </w:pPr>
      <w:r>
        <w:t>2、服务期限：一年或资金达到限价顶额。</w:t>
      </w:r>
    </w:p>
    <w:p>
      <w:pPr>
        <w:pStyle w:val="2"/>
        <w:spacing w:before="159"/>
        <w:ind w:left="696"/>
      </w:pPr>
      <w:r>
        <w:t>3、服务标准：达到国家及行业验收合格标准。</w:t>
      </w:r>
    </w:p>
    <w:p>
      <w:pPr>
        <w:pStyle w:val="9"/>
        <w:spacing w:before="160"/>
      </w:pPr>
      <w:r>
        <w:t>二、服务内容</w:t>
      </w:r>
    </w:p>
    <w:p>
      <w:pPr>
        <w:pStyle w:val="2"/>
        <w:spacing w:before="159" w:line="364" w:lineRule="auto"/>
        <w:ind w:left="216" w:right="567" w:firstLine="480"/>
      </w:pPr>
      <w:r>
        <w:rPr>
          <w:spacing w:val="-13"/>
        </w:rPr>
        <w:t>采购一家城市绿化养护队伍，用于市政绿化带的日常养护、施肥、防虫、涂白、浇水、</w:t>
      </w:r>
      <w:r>
        <w:t>修建、补裁、管理以及应急处置等工作。</w:t>
      </w:r>
    </w:p>
    <w:tbl>
      <w:tblPr>
        <w:tblStyle w:val="50"/>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166"/>
        <w:gridCol w:w="2497"/>
        <w:gridCol w:w="1544"/>
        <w:gridCol w:w="2295"/>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9461" w:type="dxa"/>
            <w:gridSpan w:val="6"/>
          </w:tcPr>
          <w:p>
            <w:pPr>
              <w:pStyle w:val="222"/>
              <w:spacing w:before="2"/>
              <w:ind w:left="3563" w:right="3556"/>
              <w:jc w:val="center"/>
              <w:rPr>
                <w:b/>
                <w:sz w:val="24"/>
              </w:rPr>
            </w:pPr>
            <w:r>
              <w:rPr>
                <w:b/>
                <w:sz w:val="24"/>
              </w:rPr>
              <w:t>2022 年绿化养护明细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725" w:type="dxa"/>
          </w:tcPr>
          <w:p>
            <w:pPr>
              <w:pStyle w:val="222"/>
              <w:spacing w:before="1"/>
              <w:ind w:left="132" w:right="123"/>
              <w:jc w:val="center"/>
              <w:rPr>
                <w:sz w:val="21"/>
              </w:rPr>
            </w:pPr>
            <w:r>
              <w:rPr>
                <w:sz w:val="21"/>
              </w:rPr>
              <w:t>序号</w:t>
            </w:r>
          </w:p>
        </w:tc>
        <w:tc>
          <w:tcPr>
            <w:tcW w:w="1166" w:type="dxa"/>
          </w:tcPr>
          <w:p>
            <w:pPr>
              <w:pStyle w:val="222"/>
              <w:spacing w:before="1"/>
              <w:ind w:left="143" w:right="132"/>
              <w:jc w:val="center"/>
              <w:rPr>
                <w:sz w:val="21"/>
              </w:rPr>
            </w:pPr>
            <w:r>
              <w:rPr>
                <w:sz w:val="21"/>
              </w:rPr>
              <w:t>项目名称</w:t>
            </w:r>
          </w:p>
        </w:tc>
        <w:tc>
          <w:tcPr>
            <w:tcW w:w="2497" w:type="dxa"/>
          </w:tcPr>
          <w:p>
            <w:pPr>
              <w:pStyle w:val="222"/>
              <w:spacing w:before="1"/>
              <w:ind w:left="21" w:right="9"/>
              <w:jc w:val="center"/>
              <w:rPr>
                <w:sz w:val="21"/>
              </w:rPr>
            </w:pPr>
            <w:r>
              <w:rPr>
                <w:sz w:val="21"/>
              </w:rPr>
              <w:t>养护面积</w:t>
            </w:r>
          </w:p>
        </w:tc>
        <w:tc>
          <w:tcPr>
            <w:tcW w:w="1544" w:type="dxa"/>
          </w:tcPr>
          <w:p>
            <w:pPr>
              <w:pStyle w:val="222"/>
              <w:spacing w:before="1"/>
              <w:ind w:left="138" w:right="128"/>
              <w:jc w:val="center"/>
              <w:rPr>
                <w:sz w:val="21"/>
              </w:rPr>
            </w:pPr>
            <w:r>
              <w:rPr>
                <w:sz w:val="21"/>
              </w:rPr>
              <w:t>路段</w:t>
            </w:r>
          </w:p>
        </w:tc>
        <w:tc>
          <w:tcPr>
            <w:tcW w:w="2295" w:type="dxa"/>
          </w:tcPr>
          <w:p>
            <w:pPr>
              <w:pStyle w:val="222"/>
              <w:spacing w:before="1"/>
              <w:ind w:left="82" w:right="70"/>
              <w:jc w:val="center"/>
              <w:rPr>
                <w:sz w:val="21"/>
              </w:rPr>
            </w:pPr>
            <w:r>
              <w:rPr>
                <w:sz w:val="21"/>
              </w:rPr>
              <w:t>树种</w:t>
            </w:r>
          </w:p>
        </w:tc>
        <w:tc>
          <w:tcPr>
            <w:tcW w:w="1234" w:type="dxa"/>
          </w:tcPr>
          <w:p>
            <w:pPr>
              <w:pStyle w:val="222"/>
              <w:spacing w:before="1"/>
              <w:ind w:left="407"/>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725" w:type="dxa"/>
            <w:vMerge w:val="restart"/>
          </w:tcPr>
          <w:p>
            <w:pPr>
              <w:pStyle w:val="222"/>
              <w:rPr>
                <w:color w:val="auto"/>
                <w:sz w:val="20"/>
              </w:rPr>
            </w:pPr>
          </w:p>
          <w:p>
            <w:pPr>
              <w:pStyle w:val="222"/>
              <w:rPr>
                <w:color w:val="auto"/>
                <w:sz w:val="20"/>
              </w:rPr>
            </w:pPr>
          </w:p>
          <w:p>
            <w:pPr>
              <w:pStyle w:val="222"/>
              <w:rPr>
                <w:color w:val="auto"/>
                <w:sz w:val="20"/>
              </w:rPr>
            </w:pPr>
          </w:p>
          <w:p>
            <w:pPr>
              <w:pStyle w:val="222"/>
              <w:rPr>
                <w:color w:val="auto"/>
                <w:sz w:val="20"/>
              </w:rPr>
            </w:pPr>
          </w:p>
          <w:p>
            <w:pPr>
              <w:pStyle w:val="222"/>
              <w:spacing w:before="176"/>
              <w:ind w:left="9"/>
              <w:jc w:val="center"/>
              <w:rPr>
                <w:color w:val="auto"/>
                <w:sz w:val="21"/>
              </w:rPr>
            </w:pPr>
            <w:r>
              <w:rPr>
                <w:color w:val="auto"/>
                <w:w w:val="100"/>
                <w:sz w:val="21"/>
              </w:rPr>
              <w:t>1</w:t>
            </w:r>
          </w:p>
        </w:tc>
        <w:tc>
          <w:tcPr>
            <w:tcW w:w="1166" w:type="dxa"/>
            <w:vMerge w:val="restart"/>
          </w:tcPr>
          <w:p>
            <w:pPr>
              <w:pStyle w:val="222"/>
              <w:rPr>
                <w:color w:val="auto"/>
                <w:sz w:val="20"/>
              </w:rPr>
            </w:pPr>
          </w:p>
          <w:p>
            <w:pPr>
              <w:pStyle w:val="222"/>
              <w:rPr>
                <w:color w:val="auto"/>
                <w:sz w:val="20"/>
              </w:rPr>
            </w:pPr>
          </w:p>
          <w:p>
            <w:pPr>
              <w:pStyle w:val="222"/>
              <w:spacing w:before="153" w:line="242" w:lineRule="auto"/>
              <w:ind w:left="477" w:right="111" w:hanging="288"/>
              <w:rPr>
                <w:color w:val="auto"/>
                <w:sz w:val="21"/>
              </w:rPr>
            </w:pPr>
            <w:r>
              <w:rPr>
                <w:color w:val="auto"/>
                <w:sz w:val="21"/>
              </w:rPr>
              <w:t>工业园 A 区</w:t>
            </w:r>
          </w:p>
        </w:tc>
        <w:tc>
          <w:tcPr>
            <w:tcW w:w="2497" w:type="dxa"/>
          </w:tcPr>
          <w:p>
            <w:pPr>
              <w:pStyle w:val="222"/>
              <w:spacing w:before="1"/>
              <w:ind w:left="21" w:right="10"/>
              <w:jc w:val="center"/>
              <w:rPr>
                <w:color w:val="auto"/>
                <w:sz w:val="21"/>
              </w:rPr>
            </w:pPr>
            <w:r>
              <w:rPr>
                <w:color w:val="auto"/>
                <w:sz w:val="21"/>
              </w:rPr>
              <w:t>草坪面积 11299 ㎡</w:t>
            </w:r>
          </w:p>
        </w:tc>
        <w:tc>
          <w:tcPr>
            <w:tcW w:w="1544" w:type="dxa"/>
          </w:tcPr>
          <w:p>
            <w:pPr>
              <w:pStyle w:val="222"/>
              <w:spacing w:before="1"/>
              <w:ind w:left="136" w:right="128"/>
              <w:jc w:val="center"/>
              <w:rPr>
                <w:color w:val="auto"/>
                <w:sz w:val="21"/>
              </w:rPr>
            </w:pPr>
            <w:r>
              <w:rPr>
                <w:color w:val="auto"/>
                <w:sz w:val="21"/>
              </w:rPr>
              <w:t>工业园 A 区</w:t>
            </w:r>
          </w:p>
        </w:tc>
        <w:tc>
          <w:tcPr>
            <w:tcW w:w="2295" w:type="dxa"/>
          </w:tcPr>
          <w:p>
            <w:pPr>
              <w:pStyle w:val="222"/>
              <w:spacing w:before="1"/>
              <w:ind w:left="84" w:right="70"/>
              <w:jc w:val="center"/>
              <w:rPr>
                <w:color w:val="auto"/>
                <w:sz w:val="21"/>
              </w:rPr>
            </w:pPr>
            <w:r>
              <w:rPr>
                <w:color w:val="auto"/>
                <w:sz w:val="21"/>
              </w:rPr>
              <w:t>松树、柳树</w:t>
            </w:r>
          </w:p>
        </w:tc>
        <w:tc>
          <w:tcPr>
            <w:tcW w:w="1234" w:type="dxa"/>
          </w:tcPr>
          <w:p>
            <w:pPr>
              <w:pStyle w:val="222"/>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25" w:type="dxa"/>
            <w:vMerge w:val="continue"/>
            <w:tcBorders>
              <w:top w:val="nil"/>
            </w:tcBorders>
          </w:tcPr>
          <w:p>
            <w:pPr>
              <w:rPr>
                <w:color w:val="auto"/>
                <w:sz w:val="2"/>
                <w:szCs w:val="2"/>
              </w:rPr>
            </w:pPr>
          </w:p>
        </w:tc>
        <w:tc>
          <w:tcPr>
            <w:tcW w:w="1166" w:type="dxa"/>
            <w:vMerge w:val="continue"/>
            <w:tcBorders>
              <w:top w:val="nil"/>
            </w:tcBorders>
          </w:tcPr>
          <w:p>
            <w:pPr>
              <w:rPr>
                <w:color w:val="auto"/>
                <w:sz w:val="2"/>
                <w:szCs w:val="2"/>
              </w:rPr>
            </w:pPr>
          </w:p>
        </w:tc>
        <w:tc>
          <w:tcPr>
            <w:tcW w:w="2497" w:type="dxa"/>
          </w:tcPr>
          <w:p>
            <w:pPr>
              <w:pStyle w:val="222"/>
              <w:spacing w:before="1"/>
              <w:ind w:left="21" w:right="10"/>
              <w:jc w:val="center"/>
              <w:rPr>
                <w:color w:val="auto"/>
                <w:sz w:val="21"/>
              </w:rPr>
            </w:pPr>
            <w:r>
              <w:rPr>
                <w:color w:val="auto"/>
                <w:sz w:val="21"/>
              </w:rPr>
              <w:t>树种面积 2925 ㎡</w:t>
            </w:r>
          </w:p>
        </w:tc>
        <w:tc>
          <w:tcPr>
            <w:tcW w:w="1544" w:type="dxa"/>
          </w:tcPr>
          <w:p>
            <w:pPr>
              <w:pStyle w:val="222"/>
              <w:spacing w:before="1"/>
              <w:ind w:left="136" w:right="128"/>
              <w:jc w:val="center"/>
              <w:rPr>
                <w:color w:val="auto"/>
                <w:sz w:val="21"/>
              </w:rPr>
            </w:pPr>
            <w:r>
              <w:rPr>
                <w:color w:val="auto"/>
                <w:sz w:val="21"/>
              </w:rPr>
              <w:t>工业园 A 区</w:t>
            </w:r>
          </w:p>
        </w:tc>
        <w:tc>
          <w:tcPr>
            <w:tcW w:w="2295" w:type="dxa"/>
          </w:tcPr>
          <w:p>
            <w:pPr>
              <w:pStyle w:val="222"/>
              <w:spacing w:before="1"/>
              <w:ind w:left="82" w:right="70"/>
              <w:jc w:val="center"/>
              <w:rPr>
                <w:color w:val="auto"/>
                <w:sz w:val="21"/>
              </w:rPr>
            </w:pPr>
            <w:r>
              <w:rPr>
                <w:color w:val="auto"/>
                <w:sz w:val="21"/>
              </w:rPr>
              <w:t>松树</w:t>
            </w:r>
          </w:p>
        </w:tc>
        <w:tc>
          <w:tcPr>
            <w:tcW w:w="1234" w:type="dxa"/>
          </w:tcPr>
          <w:p>
            <w:pPr>
              <w:pStyle w:val="222"/>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725" w:type="dxa"/>
            <w:vMerge w:val="continue"/>
            <w:tcBorders>
              <w:top w:val="nil"/>
            </w:tcBorders>
          </w:tcPr>
          <w:p>
            <w:pPr>
              <w:rPr>
                <w:color w:val="auto"/>
                <w:sz w:val="2"/>
                <w:szCs w:val="2"/>
              </w:rPr>
            </w:pPr>
          </w:p>
        </w:tc>
        <w:tc>
          <w:tcPr>
            <w:tcW w:w="1166" w:type="dxa"/>
            <w:vMerge w:val="continue"/>
            <w:tcBorders>
              <w:top w:val="nil"/>
            </w:tcBorders>
          </w:tcPr>
          <w:p>
            <w:pPr>
              <w:rPr>
                <w:color w:val="auto"/>
                <w:sz w:val="2"/>
                <w:szCs w:val="2"/>
              </w:rPr>
            </w:pPr>
          </w:p>
        </w:tc>
        <w:tc>
          <w:tcPr>
            <w:tcW w:w="2497" w:type="dxa"/>
          </w:tcPr>
          <w:p>
            <w:pPr>
              <w:pStyle w:val="222"/>
              <w:spacing w:before="1"/>
              <w:ind w:left="21" w:right="10"/>
              <w:jc w:val="center"/>
              <w:rPr>
                <w:color w:val="auto"/>
                <w:sz w:val="21"/>
              </w:rPr>
            </w:pPr>
            <w:r>
              <w:rPr>
                <w:color w:val="auto"/>
                <w:sz w:val="21"/>
              </w:rPr>
              <w:t xml:space="preserve">管委会院内 </w:t>
            </w:r>
            <w:bookmarkStart w:id="1053" w:name="_GoBack"/>
            <w:bookmarkEnd w:id="1053"/>
            <w:r>
              <w:rPr>
                <w:color w:val="auto"/>
                <w:sz w:val="21"/>
              </w:rPr>
              <w:t>5900 ㎡</w:t>
            </w:r>
          </w:p>
        </w:tc>
        <w:tc>
          <w:tcPr>
            <w:tcW w:w="1544" w:type="dxa"/>
          </w:tcPr>
          <w:p>
            <w:pPr>
              <w:pStyle w:val="222"/>
              <w:spacing w:before="1"/>
              <w:ind w:left="136" w:right="128"/>
              <w:jc w:val="center"/>
              <w:rPr>
                <w:color w:val="auto"/>
                <w:sz w:val="21"/>
              </w:rPr>
            </w:pPr>
            <w:r>
              <w:rPr>
                <w:color w:val="auto"/>
                <w:sz w:val="21"/>
              </w:rPr>
              <w:t>工业园 A 区</w:t>
            </w:r>
          </w:p>
        </w:tc>
        <w:tc>
          <w:tcPr>
            <w:tcW w:w="2295" w:type="dxa"/>
          </w:tcPr>
          <w:p>
            <w:pPr>
              <w:pStyle w:val="222"/>
              <w:spacing w:before="1"/>
              <w:ind w:left="84" w:right="70"/>
              <w:jc w:val="center"/>
              <w:rPr>
                <w:color w:val="auto"/>
                <w:sz w:val="21"/>
              </w:rPr>
            </w:pPr>
            <w:r>
              <w:rPr>
                <w:color w:val="auto"/>
                <w:sz w:val="21"/>
              </w:rPr>
              <w:t>松树、柳树</w:t>
            </w:r>
          </w:p>
        </w:tc>
        <w:tc>
          <w:tcPr>
            <w:tcW w:w="1234" w:type="dxa"/>
          </w:tcPr>
          <w:p>
            <w:pPr>
              <w:pStyle w:val="222"/>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725" w:type="dxa"/>
            <w:vMerge w:val="continue"/>
            <w:tcBorders>
              <w:top w:val="nil"/>
            </w:tcBorders>
          </w:tcPr>
          <w:p>
            <w:pPr>
              <w:rPr>
                <w:color w:val="auto"/>
                <w:sz w:val="2"/>
                <w:szCs w:val="2"/>
              </w:rPr>
            </w:pPr>
          </w:p>
        </w:tc>
        <w:tc>
          <w:tcPr>
            <w:tcW w:w="1166" w:type="dxa"/>
            <w:vMerge w:val="continue"/>
            <w:tcBorders>
              <w:top w:val="nil"/>
            </w:tcBorders>
          </w:tcPr>
          <w:p>
            <w:pPr>
              <w:rPr>
                <w:color w:val="auto"/>
                <w:sz w:val="2"/>
                <w:szCs w:val="2"/>
              </w:rPr>
            </w:pPr>
          </w:p>
        </w:tc>
        <w:tc>
          <w:tcPr>
            <w:tcW w:w="2497" w:type="dxa"/>
          </w:tcPr>
          <w:p>
            <w:pPr>
              <w:pStyle w:val="222"/>
              <w:spacing w:before="1"/>
              <w:ind w:left="21" w:right="10"/>
              <w:jc w:val="center"/>
              <w:rPr>
                <w:color w:val="auto"/>
                <w:sz w:val="21"/>
              </w:rPr>
            </w:pPr>
            <w:r>
              <w:rPr>
                <w:color w:val="auto"/>
                <w:sz w:val="21"/>
              </w:rPr>
              <w:t>109 国道移植树木9520 ㎡</w:t>
            </w:r>
          </w:p>
        </w:tc>
        <w:tc>
          <w:tcPr>
            <w:tcW w:w="1544" w:type="dxa"/>
          </w:tcPr>
          <w:p>
            <w:pPr>
              <w:pStyle w:val="222"/>
              <w:spacing w:before="1"/>
              <w:ind w:left="136" w:right="128"/>
              <w:jc w:val="center"/>
              <w:rPr>
                <w:color w:val="auto"/>
                <w:sz w:val="21"/>
              </w:rPr>
            </w:pPr>
            <w:r>
              <w:rPr>
                <w:color w:val="auto"/>
                <w:sz w:val="21"/>
              </w:rPr>
              <w:t>工业园 A 区</w:t>
            </w:r>
          </w:p>
        </w:tc>
        <w:tc>
          <w:tcPr>
            <w:tcW w:w="2295" w:type="dxa"/>
          </w:tcPr>
          <w:p>
            <w:pPr>
              <w:pStyle w:val="222"/>
              <w:spacing w:before="1"/>
              <w:ind w:left="82" w:right="70"/>
              <w:jc w:val="center"/>
              <w:rPr>
                <w:color w:val="auto"/>
                <w:sz w:val="21"/>
              </w:rPr>
            </w:pPr>
            <w:r>
              <w:rPr>
                <w:color w:val="auto"/>
                <w:sz w:val="21"/>
              </w:rPr>
              <w:t>杨树</w:t>
            </w:r>
          </w:p>
        </w:tc>
        <w:tc>
          <w:tcPr>
            <w:tcW w:w="1234" w:type="dxa"/>
          </w:tcPr>
          <w:p>
            <w:pPr>
              <w:pStyle w:val="222"/>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725" w:type="dxa"/>
            <w:vMerge w:val="restart"/>
          </w:tcPr>
          <w:p>
            <w:pPr>
              <w:pStyle w:val="222"/>
              <w:spacing w:before="1"/>
              <w:ind w:left="9"/>
              <w:jc w:val="center"/>
              <w:rPr>
                <w:color w:val="auto"/>
                <w:sz w:val="21"/>
              </w:rPr>
            </w:pPr>
            <w:r>
              <w:rPr>
                <w:color w:val="auto"/>
                <w:w w:val="100"/>
                <w:sz w:val="21"/>
              </w:rPr>
              <w:t>2</w:t>
            </w:r>
          </w:p>
        </w:tc>
        <w:tc>
          <w:tcPr>
            <w:tcW w:w="1166" w:type="dxa"/>
            <w:vMerge w:val="restart"/>
          </w:tcPr>
          <w:p>
            <w:pPr>
              <w:pStyle w:val="222"/>
              <w:spacing w:before="1" w:line="242" w:lineRule="auto"/>
              <w:ind w:left="477" w:right="111" w:hanging="288"/>
              <w:rPr>
                <w:color w:val="auto"/>
                <w:sz w:val="21"/>
              </w:rPr>
            </w:pPr>
            <w:r>
              <w:rPr>
                <w:color w:val="auto"/>
                <w:sz w:val="21"/>
              </w:rPr>
              <w:t>工业园 B 区</w:t>
            </w:r>
          </w:p>
        </w:tc>
        <w:tc>
          <w:tcPr>
            <w:tcW w:w="2497" w:type="dxa"/>
          </w:tcPr>
          <w:p>
            <w:pPr>
              <w:pStyle w:val="222"/>
              <w:spacing w:before="1"/>
              <w:ind w:left="21" w:right="10"/>
              <w:jc w:val="center"/>
              <w:rPr>
                <w:color w:val="auto"/>
                <w:sz w:val="21"/>
              </w:rPr>
            </w:pPr>
            <w:r>
              <w:rPr>
                <w:color w:val="auto"/>
                <w:sz w:val="21"/>
              </w:rPr>
              <w:t>绿篱面积 7177 ㎡</w:t>
            </w:r>
          </w:p>
        </w:tc>
        <w:tc>
          <w:tcPr>
            <w:tcW w:w="1544" w:type="dxa"/>
          </w:tcPr>
          <w:p>
            <w:pPr>
              <w:pStyle w:val="222"/>
              <w:spacing w:before="1"/>
              <w:ind w:left="136" w:right="128"/>
              <w:jc w:val="center"/>
              <w:rPr>
                <w:color w:val="auto"/>
                <w:sz w:val="21"/>
              </w:rPr>
            </w:pPr>
            <w:r>
              <w:rPr>
                <w:color w:val="auto"/>
                <w:sz w:val="21"/>
              </w:rPr>
              <w:t>工业园 B 区</w:t>
            </w:r>
          </w:p>
        </w:tc>
        <w:tc>
          <w:tcPr>
            <w:tcW w:w="2295" w:type="dxa"/>
          </w:tcPr>
          <w:p>
            <w:pPr>
              <w:pStyle w:val="222"/>
              <w:spacing w:before="1"/>
              <w:ind w:left="82" w:right="70"/>
              <w:jc w:val="center"/>
              <w:rPr>
                <w:color w:val="auto"/>
                <w:sz w:val="21"/>
              </w:rPr>
            </w:pPr>
            <w:r>
              <w:rPr>
                <w:color w:val="auto"/>
                <w:sz w:val="21"/>
              </w:rPr>
              <w:t>松树</w:t>
            </w:r>
          </w:p>
        </w:tc>
        <w:tc>
          <w:tcPr>
            <w:tcW w:w="1234" w:type="dxa"/>
          </w:tcPr>
          <w:p>
            <w:pPr>
              <w:pStyle w:val="222"/>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725" w:type="dxa"/>
            <w:vMerge w:val="continue"/>
            <w:tcBorders>
              <w:top w:val="nil"/>
            </w:tcBorders>
          </w:tcPr>
          <w:p>
            <w:pPr>
              <w:rPr>
                <w:color w:val="auto"/>
                <w:sz w:val="2"/>
                <w:szCs w:val="2"/>
              </w:rPr>
            </w:pPr>
          </w:p>
        </w:tc>
        <w:tc>
          <w:tcPr>
            <w:tcW w:w="1166" w:type="dxa"/>
            <w:vMerge w:val="continue"/>
            <w:tcBorders>
              <w:top w:val="nil"/>
            </w:tcBorders>
          </w:tcPr>
          <w:p>
            <w:pPr>
              <w:rPr>
                <w:color w:val="auto"/>
                <w:sz w:val="2"/>
                <w:szCs w:val="2"/>
              </w:rPr>
            </w:pPr>
          </w:p>
        </w:tc>
        <w:tc>
          <w:tcPr>
            <w:tcW w:w="2497" w:type="dxa"/>
          </w:tcPr>
          <w:p>
            <w:pPr>
              <w:pStyle w:val="222"/>
              <w:spacing w:before="1"/>
              <w:ind w:left="21" w:right="10"/>
              <w:jc w:val="center"/>
              <w:rPr>
                <w:color w:val="auto"/>
                <w:sz w:val="21"/>
              </w:rPr>
            </w:pPr>
            <w:r>
              <w:rPr>
                <w:color w:val="auto"/>
                <w:sz w:val="21"/>
              </w:rPr>
              <w:t>人行道树 4202 棵</w:t>
            </w:r>
          </w:p>
        </w:tc>
        <w:tc>
          <w:tcPr>
            <w:tcW w:w="1544" w:type="dxa"/>
          </w:tcPr>
          <w:p>
            <w:pPr>
              <w:pStyle w:val="222"/>
              <w:spacing w:before="1"/>
              <w:ind w:left="136" w:right="128"/>
              <w:jc w:val="center"/>
              <w:rPr>
                <w:color w:val="auto"/>
                <w:sz w:val="21"/>
              </w:rPr>
            </w:pPr>
            <w:r>
              <w:rPr>
                <w:color w:val="auto"/>
                <w:sz w:val="21"/>
              </w:rPr>
              <w:t>工业园 B 区</w:t>
            </w:r>
          </w:p>
        </w:tc>
        <w:tc>
          <w:tcPr>
            <w:tcW w:w="2295" w:type="dxa"/>
          </w:tcPr>
          <w:p>
            <w:pPr>
              <w:pStyle w:val="222"/>
              <w:spacing w:before="1"/>
              <w:ind w:left="82" w:right="70"/>
              <w:jc w:val="center"/>
              <w:rPr>
                <w:color w:val="auto"/>
                <w:sz w:val="21"/>
              </w:rPr>
            </w:pPr>
            <w:r>
              <w:rPr>
                <w:color w:val="auto"/>
                <w:sz w:val="21"/>
              </w:rPr>
              <w:t>柳树</w:t>
            </w:r>
          </w:p>
        </w:tc>
        <w:tc>
          <w:tcPr>
            <w:tcW w:w="1234" w:type="dxa"/>
          </w:tcPr>
          <w:p>
            <w:pPr>
              <w:pStyle w:val="222"/>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5" w:hRule="atLeast"/>
        </w:trPr>
        <w:tc>
          <w:tcPr>
            <w:tcW w:w="725" w:type="dxa"/>
          </w:tcPr>
          <w:p>
            <w:pPr>
              <w:pStyle w:val="222"/>
              <w:spacing w:before="1"/>
              <w:ind w:left="9"/>
              <w:jc w:val="center"/>
              <w:rPr>
                <w:color w:val="auto"/>
                <w:sz w:val="21"/>
              </w:rPr>
            </w:pPr>
            <w:r>
              <w:rPr>
                <w:color w:val="auto"/>
                <w:w w:val="100"/>
                <w:sz w:val="21"/>
              </w:rPr>
              <w:t>3</w:t>
            </w:r>
          </w:p>
        </w:tc>
        <w:tc>
          <w:tcPr>
            <w:tcW w:w="1166" w:type="dxa"/>
          </w:tcPr>
          <w:p>
            <w:pPr>
              <w:pStyle w:val="222"/>
              <w:spacing w:before="1"/>
              <w:ind w:left="141" w:right="132"/>
              <w:jc w:val="center"/>
              <w:rPr>
                <w:color w:val="auto"/>
                <w:sz w:val="21"/>
              </w:rPr>
            </w:pPr>
            <w:r>
              <w:rPr>
                <w:color w:val="auto"/>
                <w:sz w:val="21"/>
              </w:rPr>
              <w:t>城区</w:t>
            </w:r>
          </w:p>
        </w:tc>
        <w:tc>
          <w:tcPr>
            <w:tcW w:w="2497" w:type="dxa"/>
          </w:tcPr>
          <w:p>
            <w:pPr>
              <w:pStyle w:val="222"/>
              <w:spacing w:before="1"/>
              <w:ind w:left="21" w:right="10"/>
              <w:jc w:val="center"/>
              <w:rPr>
                <w:color w:val="auto"/>
                <w:sz w:val="21"/>
              </w:rPr>
            </w:pPr>
            <w:r>
              <w:rPr>
                <w:color w:val="auto"/>
                <w:sz w:val="21"/>
              </w:rPr>
              <w:t>种树面积 144292 ㎡</w:t>
            </w:r>
          </w:p>
        </w:tc>
        <w:tc>
          <w:tcPr>
            <w:tcW w:w="1544" w:type="dxa"/>
          </w:tcPr>
          <w:p>
            <w:pPr>
              <w:pStyle w:val="222"/>
              <w:spacing w:before="1" w:line="242" w:lineRule="auto"/>
              <w:ind w:left="141" w:right="128"/>
              <w:jc w:val="center"/>
              <w:rPr>
                <w:color w:val="auto"/>
                <w:sz w:val="21"/>
              </w:rPr>
            </w:pPr>
            <w:r>
              <w:rPr>
                <w:color w:val="auto"/>
                <w:sz w:val="21"/>
              </w:rPr>
              <w:t>109</w:t>
            </w:r>
            <w:r>
              <w:rPr>
                <w:color w:val="auto"/>
                <w:spacing w:val="-12"/>
                <w:sz w:val="21"/>
              </w:rPr>
              <w:t xml:space="preserve"> 国道堆龙</w:t>
            </w:r>
            <w:r>
              <w:rPr>
                <w:color w:val="auto"/>
                <w:spacing w:val="-6"/>
                <w:sz w:val="21"/>
              </w:rPr>
              <w:t xml:space="preserve">德庆区城区 </w:t>
            </w:r>
            <w:r>
              <w:rPr>
                <w:color w:val="auto"/>
                <w:spacing w:val="-7"/>
                <w:sz w:val="21"/>
              </w:rPr>
              <w:t>段、团结路、</w:t>
            </w:r>
            <w:r>
              <w:rPr>
                <w:color w:val="auto"/>
                <w:spacing w:val="-5"/>
                <w:sz w:val="21"/>
              </w:rPr>
              <w:t>东嘎路、德庆</w:t>
            </w:r>
          </w:p>
          <w:p>
            <w:pPr>
              <w:pStyle w:val="222"/>
              <w:spacing w:before="2" w:line="244" w:lineRule="auto"/>
              <w:ind w:left="107" w:right="-15"/>
              <w:jc w:val="center"/>
              <w:rPr>
                <w:color w:val="auto"/>
                <w:sz w:val="21"/>
              </w:rPr>
            </w:pPr>
            <w:r>
              <w:rPr>
                <w:color w:val="auto"/>
                <w:spacing w:val="-10"/>
                <w:sz w:val="21"/>
              </w:rPr>
              <w:t>大道、柳东路、</w:t>
            </w:r>
            <w:r>
              <w:rPr>
                <w:color w:val="auto"/>
                <w:spacing w:val="-1"/>
                <w:sz w:val="21"/>
              </w:rPr>
              <w:t>区政府大院</w:t>
            </w:r>
          </w:p>
        </w:tc>
        <w:tc>
          <w:tcPr>
            <w:tcW w:w="2295" w:type="dxa"/>
          </w:tcPr>
          <w:p>
            <w:pPr>
              <w:pStyle w:val="222"/>
              <w:spacing w:before="1" w:line="242" w:lineRule="auto"/>
              <w:ind w:left="109" w:right="70"/>
              <w:jc w:val="center"/>
              <w:rPr>
                <w:color w:val="auto"/>
                <w:sz w:val="21"/>
              </w:rPr>
            </w:pPr>
            <w:r>
              <w:rPr>
                <w:color w:val="auto"/>
                <w:sz w:val="21"/>
              </w:rPr>
              <w:t>法桐，柳树，小云衫， 侧柏，丛生红叶李，红叶李，洒金柏球，金叶复叶槭，金叶女贞，月季，红叶碧桃，丛生红叶李，大叶女贞，白皮松</w:t>
            </w:r>
          </w:p>
        </w:tc>
        <w:tc>
          <w:tcPr>
            <w:tcW w:w="1234" w:type="dxa"/>
          </w:tcPr>
          <w:p>
            <w:pPr>
              <w:pStyle w:val="222"/>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725" w:type="dxa"/>
          </w:tcPr>
          <w:p>
            <w:pPr>
              <w:pStyle w:val="222"/>
              <w:spacing w:before="3"/>
              <w:ind w:left="9"/>
              <w:jc w:val="center"/>
              <w:rPr>
                <w:color w:val="auto"/>
                <w:sz w:val="21"/>
              </w:rPr>
            </w:pPr>
            <w:r>
              <w:rPr>
                <w:color w:val="auto"/>
                <w:w w:val="100"/>
                <w:sz w:val="21"/>
              </w:rPr>
              <w:t>4</w:t>
            </w:r>
          </w:p>
        </w:tc>
        <w:tc>
          <w:tcPr>
            <w:tcW w:w="1166" w:type="dxa"/>
          </w:tcPr>
          <w:p>
            <w:pPr>
              <w:pStyle w:val="222"/>
              <w:spacing w:before="3"/>
              <w:ind w:left="141" w:right="132"/>
              <w:jc w:val="center"/>
              <w:rPr>
                <w:color w:val="auto"/>
                <w:sz w:val="21"/>
              </w:rPr>
            </w:pPr>
            <w:r>
              <w:rPr>
                <w:color w:val="auto"/>
                <w:sz w:val="21"/>
              </w:rPr>
              <w:t>花坛</w:t>
            </w:r>
          </w:p>
        </w:tc>
        <w:tc>
          <w:tcPr>
            <w:tcW w:w="2497" w:type="dxa"/>
          </w:tcPr>
          <w:p>
            <w:pPr>
              <w:pStyle w:val="222"/>
              <w:spacing w:before="3"/>
              <w:ind w:left="21" w:right="10"/>
              <w:jc w:val="center"/>
              <w:rPr>
                <w:color w:val="auto"/>
                <w:sz w:val="21"/>
              </w:rPr>
            </w:pPr>
            <w:r>
              <w:rPr>
                <w:color w:val="auto"/>
                <w:sz w:val="21"/>
              </w:rPr>
              <w:t>沿线150 个花坛，每个3.5</w:t>
            </w:r>
          </w:p>
          <w:p>
            <w:pPr>
              <w:pStyle w:val="222"/>
              <w:spacing w:before="2"/>
              <w:ind w:left="21" w:right="9"/>
              <w:jc w:val="center"/>
              <w:rPr>
                <w:color w:val="auto"/>
                <w:sz w:val="21"/>
              </w:rPr>
            </w:pPr>
            <w:r>
              <w:rPr>
                <w:color w:val="auto"/>
                <w:sz w:val="21"/>
              </w:rPr>
              <w:t>㎡，525 ㎡</w:t>
            </w:r>
          </w:p>
        </w:tc>
        <w:tc>
          <w:tcPr>
            <w:tcW w:w="1544" w:type="dxa"/>
          </w:tcPr>
          <w:p>
            <w:pPr>
              <w:pStyle w:val="222"/>
              <w:spacing w:before="3"/>
              <w:ind w:left="136" w:right="128"/>
              <w:jc w:val="center"/>
              <w:rPr>
                <w:color w:val="auto"/>
                <w:sz w:val="21"/>
              </w:rPr>
            </w:pPr>
            <w:r>
              <w:rPr>
                <w:color w:val="auto"/>
                <w:sz w:val="21"/>
              </w:rPr>
              <w:t>主干线沿道</w:t>
            </w:r>
          </w:p>
        </w:tc>
        <w:tc>
          <w:tcPr>
            <w:tcW w:w="2295" w:type="dxa"/>
          </w:tcPr>
          <w:p>
            <w:pPr>
              <w:pStyle w:val="222"/>
              <w:spacing w:before="3"/>
              <w:ind w:left="82" w:right="70"/>
              <w:jc w:val="center"/>
              <w:rPr>
                <w:color w:val="auto"/>
                <w:sz w:val="21"/>
              </w:rPr>
            </w:pPr>
            <w:r>
              <w:rPr>
                <w:color w:val="auto"/>
                <w:sz w:val="21"/>
              </w:rPr>
              <w:t>万年青、万寿菊</w:t>
            </w:r>
          </w:p>
        </w:tc>
        <w:tc>
          <w:tcPr>
            <w:tcW w:w="1234" w:type="dxa"/>
          </w:tcPr>
          <w:p>
            <w:pPr>
              <w:pStyle w:val="222"/>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725" w:type="dxa"/>
          </w:tcPr>
          <w:p>
            <w:pPr>
              <w:pStyle w:val="222"/>
              <w:spacing w:before="1"/>
              <w:ind w:left="9"/>
              <w:jc w:val="center"/>
              <w:rPr>
                <w:color w:val="auto"/>
                <w:sz w:val="21"/>
              </w:rPr>
            </w:pPr>
            <w:r>
              <w:rPr>
                <w:color w:val="auto"/>
                <w:w w:val="100"/>
                <w:sz w:val="21"/>
              </w:rPr>
              <w:t>5</w:t>
            </w:r>
          </w:p>
        </w:tc>
        <w:tc>
          <w:tcPr>
            <w:tcW w:w="1166" w:type="dxa"/>
          </w:tcPr>
          <w:p>
            <w:pPr>
              <w:pStyle w:val="222"/>
              <w:spacing w:before="1" w:line="242" w:lineRule="auto"/>
              <w:ind w:left="265" w:right="148" w:hanging="104"/>
              <w:rPr>
                <w:color w:val="auto"/>
                <w:sz w:val="21"/>
              </w:rPr>
            </w:pPr>
            <w:r>
              <w:rPr>
                <w:color w:val="auto"/>
                <w:sz w:val="21"/>
              </w:rPr>
              <w:t>柳东大桥延伸段</w:t>
            </w:r>
          </w:p>
        </w:tc>
        <w:tc>
          <w:tcPr>
            <w:tcW w:w="2497" w:type="dxa"/>
          </w:tcPr>
          <w:p>
            <w:pPr>
              <w:pStyle w:val="222"/>
              <w:spacing w:before="1"/>
              <w:ind w:left="21" w:right="10"/>
              <w:jc w:val="center"/>
              <w:rPr>
                <w:color w:val="auto"/>
                <w:sz w:val="21"/>
              </w:rPr>
            </w:pPr>
            <w:r>
              <w:rPr>
                <w:color w:val="auto"/>
                <w:sz w:val="21"/>
              </w:rPr>
              <w:t>行道树 691 棵，中央分隔</w:t>
            </w:r>
          </w:p>
          <w:p>
            <w:pPr>
              <w:pStyle w:val="222"/>
              <w:spacing w:before="2"/>
              <w:ind w:left="21" w:right="9"/>
              <w:jc w:val="center"/>
              <w:rPr>
                <w:color w:val="auto"/>
                <w:sz w:val="21"/>
              </w:rPr>
            </w:pPr>
            <w:r>
              <w:rPr>
                <w:color w:val="auto"/>
                <w:sz w:val="21"/>
              </w:rPr>
              <w:t>带 4354 ㎡</w:t>
            </w:r>
          </w:p>
        </w:tc>
        <w:tc>
          <w:tcPr>
            <w:tcW w:w="1544" w:type="dxa"/>
          </w:tcPr>
          <w:p>
            <w:pPr>
              <w:pStyle w:val="222"/>
              <w:spacing w:before="1" w:line="242" w:lineRule="auto"/>
              <w:ind w:left="455" w:right="128" w:hanging="315"/>
              <w:rPr>
                <w:color w:val="auto"/>
                <w:sz w:val="21"/>
              </w:rPr>
            </w:pPr>
            <w:r>
              <w:rPr>
                <w:color w:val="auto"/>
                <w:sz w:val="21"/>
              </w:rPr>
              <w:t>柳东大桥至园区南路</w:t>
            </w:r>
          </w:p>
        </w:tc>
        <w:tc>
          <w:tcPr>
            <w:tcW w:w="2295" w:type="dxa"/>
          </w:tcPr>
          <w:p>
            <w:pPr>
              <w:pStyle w:val="222"/>
              <w:spacing w:before="1" w:line="242" w:lineRule="auto"/>
              <w:ind w:left="203" w:right="70" w:hanging="94"/>
              <w:rPr>
                <w:color w:val="auto"/>
                <w:sz w:val="21"/>
              </w:rPr>
            </w:pPr>
            <w:r>
              <w:rPr>
                <w:color w:val="auto"/>
                <w:sz w:val="21"/>
              </w:rPr>
              <w:t>国槐、雪松、紫叶李、大叶黄杨、金叶女贞</w:t>
            </w:r>
          </w:p>
        </w:tc>
        <w:tc>
          <w:tcPr>
            <w:tcW w:w="1234" w:type="dxa"/>
          </w:tcPr>
          <w:p>
            <w:pPr>
              <w:pStyle w:val="222"/>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891" w:type="dxa"/>
            <w:gridSpan w:val="2"/>
          </w:tcPr>
          <w:p>
            <w:pPr>
              <w:pStyle w:val="222"/>
              <w:spacing w:before="1"/>
              <w:ind w:left="549"/>
              <w:rPr>
                <w:color w:val="auto"/>
                <w:sz w:val="21"/>
              </w:rPr>
            </w:pPr>
            <w:r>
              <w:rPr>
                <w:color w:val="auto"/>
                <w:sz w:val="21"/>
              </w:rPr>
              <w:t>1-5 合计</w:t>
            </w:r>
          </w:p>
        </w:tc>
        <w:tc>
          <w:tcPr>
            <w:tcW w:w="7570" w:type="dxa"/>
            <w:gridSpan w:val="4"/>
          </w:tcPr>
          <w:p>
            <w:pPr>
              <w:pStyle w:val="222"/>
              <w:spacing w:before="1"/>
              <w:ind w:right="92"/>
              <w:jc w:val="right"/>
              <w:rPr>
                <w:color w:val="auto"/>
                <w:sz w:val="21"/>
              </w:rPr>
            </w:pPr>
            <w:r>
              <w:rPr>
                <w:color w:val="auto"/>
                <w:sz w:val="21"/>
              </w:rPr>
              <w:t>185992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2" w:hRule="atLeast"/>
        </w:trPr>
        <w:tc>
          <w:tcPr>
            <w:tcW w:w="725" w:type="dxa"/>
          </w:tcPr>
          <w:p>
            <w:pPr>
              <w:pStyle w:val="222"/>
              <w:spacing w:before="3"/>
              <w:ind w:left="9"/>
              <w:jc w:val="center"/>
              <w:rPr>
                <w:color w:val="auto"/>
                <w:sz w:val="21"/>
              </w:rPr>
            </w:pPr>
            <w:r>
              <w:rPr>
                <w:color w:val="auto"/>
                <w:w w:val="100"/>
                <w:sz w:val="21"/>
              </w:rPr>
              <w:t>6</w:t>
            </w:r>
          </w:p>
        </w:tc>
        <w:tc>
          <w:tcPr>
            <w:tcW w:w="1166" w:type="dxa"/>
          </w:tcPr>
          <w:p>
            <w:pPr>
              <w:pStyle w:val="222"/>
              <w:spacing w:before="3"/>
              <w:ind w:left="141" w:right="132"/>
              <w:jc w:val="center"/>
              <w:rPr>
                <w:color w:val="auto"/>
                <w:sz w:val="21"/>
              </w:rPr>
            </w:pPr>
            <w:r>
              <w:rPr>
                <w:color w:val="auto"/>
                <w:sz w:val="21"/>
              </w:rPr>
              <w:t>西环</w:t>
            </w:r>
          </w:p>
        </w:tc>
        <w:tc>
          <w:tcPr>
            <w:tcW w:w="2497" w:type="dxa"/>
          </w:tcPr>
          <w:p>
            <w:pPr>
              <w:pStyle w:val="222"/>
              <w:spacing w:before="3"/>
              <w:ind w:left="21" w:right="10"/>
              <w:jc w:val="center"/>
              <w:rPr>
                <w:color w:val="auto"/>
                <w:sz w:val="21"/>
              </w:rPr>
            </w:pPr>
            <w:r>
              <w:rPr>
                <w:color w:val="auto"/>
                <w:sz w:val="21"/>
              </w:rPr>
              <w:t>行道树 819 棵，中央绿化</w:t>
            </w:r>
          </w:p>
          <w:p>
            <w:pPr>
              <w:pStyle w:val="222"/>
              <w:spacing w:before="2"/>
              <w:ind w:left="21" w:right="9"/>
              <w:jc w:val="center"/>
              <w:rPr>
                <w:color w:val="auto"/>
                <w:sz w:val="21"/>
              </w:rPr>
            </w:pPr>
            <w:r>
              <w:rPr>
                <w:color w:val="auto"/>
                <w:sz w:val="21"/>
              </w:rPr>
              <w:t>带 8818 ㎡</w:t>
            </w:r>
          </w:p>
        </w:tc>
        <w:tc>
          <w:tcPr>
            <w:tcW w:w="1544" w:type="dxa"/>
          </w:tcPr>
          <w:p>
            <w:pPr>
              <w:pStyle w:val="222"/>
              <w:spacing w:before="3" w:line="242" w:lineRule="auto"/>
              <w:ind w:left="107" w:right="-15"/>
              <w:rPr>
                <w:color w:val="auto"/>
                <w:sz w:val="21"/>
              </w:rPr>
            </w:pPr>
            <w:r>
              <w:rPr>
                <w:color w:val="auto"/>
                <w:spacing w:val="-13"/>
                <w:sz w:val="21"/>
              </w:rPr>
              <w:t>拉贡路</w:t>
            </w:r>
            <w:r>
              <w:rPr>
                <w:color w:val="auto"/>
                <w:spacing w:val="-3"/>
                <w:sz w:val="21"/>
              </w:rPr>
              <w:t>（</w:t>
            </w:r>
            <w:r>
              <w:rPr>
                <w:color w:val="auto"/>
                <w:spacing w:val="-6"/>
                <w:sz w:val="21"/>
              </w:rPr>
              <w:t xml:space="preserve">起点： </w:t>
            </w:r>
            <w:r>
              <w:rPr>
                <w:color w:val="auto"/>
                <w:spacing w:val="-2"/>
                <w:sz w:val="21"/>
              </w:rPr>
              <w:t>开发区建行十</w:t>
            </w:r>
            <w:r>
              <w:rPr>
                <w:color w:val="auto"/>
                <w:spacing w:val="-10"/>
                <w:sz w:val="21"/>
              </w:rPr>
              <w:t xml:space="preserve">字路口，终点： </w:t>
            </w:r>
            <w:r>
              <w:rPr>
                <w:color w:val="auto"/>
                <w:spacing w:val="-2"/>
                <w:sz w:val="21"/>
              </w:rPr>
              <w:t>拉贡路与南环</w:t>
            </w:r>
            <w:r>
              <w:rPr>
                <w:color w:val="auto"/>
                <w:spacing w:val="-3"/>
                <w:sz w:val="21"/>
              </w:rPr>
              <w:t>路十字路口</w:t>
            </w:r>
            <w:r>
              <w:rPr>
                <w:color w:val="auto"/>
                <w:sz w:val="21"/>
              </w:rPr>
              <w:t>）</w:t>
            </w:r>
          </w:p>
        </w:tc>
        <w:tc>
          <w:tcPr>
            <w:tcW w:w="2295" w:type="dxa"/>
          </w:tcPr>
          <w:p>
            <w:pPr>
              <w:pStyle w:val="222"/>
              <w:spacing w:before="3" w:line="242" w:lineRule="auto"/>
              <w:ind w:left="109" w:right="70"/>
              <w:jc w:val="both"/>
              <w:rPr>
                <w:color w:val="auto"/>
                <w:sz w:val="21"/>
              </w:rPr>
            </w:pPr>
            <w:r>
              <w:rPr>
                <w:color w:val="auto"/>
                <w:sz w:val="21"/>
              </w:rPr>
              <w:t>雪松、红叶李、白蜡、红叶李球、银边黄杨、金叶女贞、云杉、连翘</w:t>
            </w:r>
          </w:p>
        </w:tc>
        <w:tc>
          <w:tcPr>
            <w:tcW w:w="1234" w:type="dxa"/>
          </w:tcPr>
          <w:p>
            <w:pPr>
              <w:pStyle w:val="222"/>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25" w:type="dxa"/>
          </w:tcPr>
          <w:p>
            <w:pPr>
              <w:pStyle w:val="222"/>
              <w:spacing w:before="1"/>
              <w:ind w:left="9"/>
              <w:jc w:val="center"/>
              <w:rPr>
                <w:color w:val="auto"/>
                <w:sz w:val="21"/>
              </w:rPr>
            </w:pPr>
            <w:r>
              <w:rPr>
                <w:color w:val="auto"/>
                <w:w w:val="100"/>
                <w:sz w:val="21"/>
              </w:rPr>
              <w:t>7</w:t>
            </w:r>
          </w:p>
        </w:tc>
        <w:tc>
          <w:tcPr>
            <w:tcW w:w="1166" w:type="dxa"/>
          </w:tcPr>
          <w:p>
            <w:pPr>
              <w:pStyle w:val="222"/>
              <w:spacing w:before="1"/>
              <w:ind w:left="141" w:right="132"/>
              <w:jc w:val="center"/>
              <w:rPr>
                <w:color w:val="auto"/>
                <w:sz w:val="21"/>
              </w:rPr>
            </w:pPr>
            <w:r>
              <w:rPr>
                <w:color w:val="auto"/>
                <w:sz w:val="21"/>
              </w:rPr>
              <w:t>西环</w:t>
            </w:r>
          </w:p>
        </w:tc>
        <w:tc>
          <w:tcPr>
            <w:tcW w:w="2497" w:type="dxa"/>
          </w:tcPr>
          <w:p>
            <w:pPr>
              <w:pStyle w:val="222"/>
              <w:spacing w:before="1"/>
              <w:ind w:left="19" w:right="10"/>
              <w:jc w:val="center"/>
              <w:rPr>
                <w:color w:val="auto"/>
                <w:sz w:val="21"/>
              </w:rPr>
            </w:pPr>
            <w:r>
              <w:rPr>
                <w:color w:val="auto"/>
                <w:sz w:val="21"/>
              </w:rPr>
              <w:t>行道树 1090 棵，中央绿</w:t>
            </w:r>
          </w:p>
        </w:tc>
        <w:tc>
          <w:tcPr>
            <w:tcW w:w="1544" w:type="dxa"/>
          </w:tcPr>
          <w:p>
            <w:pPr>
              <w:pStyle w:val="222"/>
              <w:spacing w:before="1"/>
              <w:ind w:left="107" w:right="-15"/>
              <w:rPr>
                <w:color w:val="auto"/>
                <w:sz w:val="21"/>
              </w:rPr>
            </w:pPr>
            <w:r>
              <w:rPr>
                <w:color w:val="auto"/>
                <w:spacing w:val="-13"/>
                <w:sz w:val="21"/>
              </w:rPr>
              <w:t>西环段</w:t>
            </w:r>
            <w:r>
              <w:rPr>
                <w:color w:val="auto"/>
                <w:spacing w:val="-3"/>
                <w:sz w:val="21"/>
              </w:rPr>
              <w:t>（</w:t>
            </w:r>
            <w:r>
              <w:rPr>
                <w:color w:val="auto"/>
                <w:spacing w:val="-6"/>
                <w:sz w:val="21"/>
              </w:rPr>
              <w:t>起点：</w:t>
            </w:r>
          </w:p>
          <w:p>
            <w:pPr>
              <w:pStyle w:val="222"/>
              <w:spacing w:before="4" w:line="250" w:lineRule="exact"/>
              <w:ind w:left="107" w:right="-15"/>
              <w:rPr>
                <w:color w:val="auto"/>
                <w:sz w:val="21"/>
              </w:rPr>
            </w:pPr>
            <w:r>
              <w:rPr>
                <w:color w:val="auto"/>
                <w:spacing w:val="-9"/>
                <w:sz w:val="21"/>
              </w:rPr>
              <w:t>西货场，终点：</w:t>
            </w:r>
          </w:p>
        </w:tc>
        <w:tc>
          <w:tcPr>
            <w:tcW w:w="2295" w:type="dxa"/>
          </w:tcPr>
          <w:p>
            <w:pPr>
              <w:pStyle w:val="222"/>
              <w:spacing w:before="1"/>
              <w:ind w:left="109"/>
              <w:rPr>
                <w:color w:val="auto"/>
                <w:sz w:val="21"/>
              </w:rPr>
            </w:pPr>
            <w:r>
              <w:rPr>
                <w:color w:val="auto"/>
                <w:spacing w:val="-6"/>
                <w:sz w:val="21"/>
              </w:rPr>
              <w:t>云杉、黄刺玫、洒金柏</w:t>
            </w:r>
          </w:p>
          <w:p>
            <w:pPr>
              <w:pStyle w:val="222"/>
              <w:spacing w:before="4" w:line="250" w:lineRule="exact"/>
              <w:ind w:left="109"/>
              <w:rPr>
                <w:color w:val="auto"/>
                <w:sz w:val="21"/>
              </w:rPr>
            </w:pPr>
            <w:r>
              <w:rPr>
                <w:color w:val="auto"/>
                <w:spacing w:val="-6"/>
                <w:sz w:val="21"/>
              </w:rPr>
              <w:t>球、紫丁香、侧柏、马</w:t>
            </w:r>
          </w:p>
        </w:tc>
        <w:tc>
          <w:tcPr>
            <w:tcW w:w="1234" w:type="dxa"/>
          </w:tcPr>
          <w:p>
            <w:pPr>
              <w:pStyle w:val="222"/>
              <w:rPr>
                <w:rFonts w:ascii="Times New Roman"/>
                <w:color w:val="auto"/>
                <w:sz w:val="22"/>
              </w:rPr>
            </w:pPr>
          </w:p>
        </w:tc>
      </w:tr>
    </w:tbl>
    <w:p>
      <w:pPr>
        <w:spacing w:after="0"/>
        <w:rPr>
          <w:rFonts w:ascii="Times New Roman"/>
          <w:color w:val="auto"/>
          <w:sz w:val="22"/>
        </w:rPr>
        <w:sectPr>
          <w:footerReference r:id="rId12" w:type="default"/>
          <w:pgSz w:w="11910" w:h="16840"/>
          <w:pgMar w:top="1400" w:right="560" w:bottom="1180" w:left="1200" w:header="0" w:footer="995" w:gutter="0"/>
          <w:pgNumType w:start="38"/>
          <w:cols w:space="720" w:num="1"/>
        </w:sectPr>
      </w:pPr>
    </w:p>
    <w:tbl>
      <w:tblPr>
        <w:tblStyle w:val="50"/>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162"/>
        <w:gridCol w:w="2502"/>
        <w:gridCol w:w="1544"/>
        <w:gridCol w:w="2295"/>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725" w:type="dxa"/>
          </w:tcPr>
          <w:p>
            <w:pPr>
              <w:pStyle w:val="222"/>
              <w:rPr>
                <w:rFonts w:ascii="Times New Roman"/>
                <w:color w:val="auto"/>
                <w:sz w:val="20"/>
              </w:rPr>
            </w:pPr>
          </w:p>
        </w:tc>
        <w:tc>
          <w:tcPr>
            <w:tcW w:w="1162" w:type="dxa"/>
          </w:tcPr>
          <w:p>
            <w:pPr>
              <w:pStyle w:val="222"/>
              <w:rPr>
                <w:rFonts w:ascii="Times New Roman"/>
                <w:color w:val="auto"/>
                <w:sz w:val="20"/>
              </w:rPr>
            </w:pPr>
          </w:p>
        </w:tc>
        <w:tc>
          <w:tcPr>
            <w:tcW w:w="2502" w:type="dxa"/>
          </w:tcPr>
          <w:p>
            <w:pPr>
              <w:pStyle w:val="222"/>
              <w:spacing w:before="1"/>
              <w:ind w:left="287" w:right="274"/>
              <w:jc w:val="center"/>
              <w:rPr>
                <w:color w:val="auto"/>
                <w:sz w:val="21"/>
              </w:rPr>
            </w:pPr>
            <w:r>
              <w:rPr>
                <w:color w:val="auto"/>
                <w:sz w:val="21"/>
              </w:rPr>
              <w:t>化带 11600 ㎡</w:t>
            </w:r>
          </w:p>
        </w:tc>
        <w:tc>
          <w:tcPr>
            <w:tcW w:w="1544" w:type="dxa"/>
          </w:tcPr>
          <w:p>
            <w:pPr>
              <w:pStyle w:val="222"/>
              <w:spacing w:before="1" w:line="244" w:lineRule="auto"/>
              <w:ind w:left="140" w:right="129"/>
              <w:rPr>
                <w:color w:val="auto"/>
                <w:sz w:val="21"/>
              </w:rPr>
            </w:pPr>
            <w:r>
              <w:rPr>
                <w:color w:val="auto"/>
                <w:sz w:val="21"/>
              </w:rPr>
              <w:t>波玛路与堆龙大道十字路口</w:t>
            </w:r>
          </w:p>
        </w:tc>
        <w:tc>
          <w:tcPr>
            <w:tcW w:w="2295" w:type="dxa"/>
          </w:tcPr>
          <w:p>
            <w:pPr>
              <w:pStyle w:val="222"/>
              <w:spacing w:before="1" w:line="242" w:lineRule="auto"/>
              <w:ind w:left="108" w:right="-15"/>
              <w:rPr>
                <w:color w:val="auto"/>
                <w:sz w:val="21"/>
              </w:rPr>
            </w:pPr>
            <w:r>
              <w:rPr>
                <w:color w:val="auto"/>
                <w:spacing w:val="-17"/>
                <w:sz w:val="21"/>
              </w:rPr>
              <w:t>蔺、紫叶矮樱、馒头柳、</w:t>
            </w:r>
            <w:r>
              <w:rPr>
                <w:color w:val="auto"/>
                <w:spacing w:val="-6"/>
                <w:sz w:val="21"/>
              </w:rPr>
              <w:t>紫丁香、榆叶梅、南天</w:t>
            </w:r>
            <w:r>
              <w:rPr>
                <w:color w:val="auto"/>
                <w:spacing w:val="-4"/>
                <w:sz w:val="21"/>
              </w:rPr>
              <w:t>竹、国槐、银白杨等</w:t>
            </w:r>
          </w:p>
        </w:tc>
        <w:tc>
          <w:tcPr>
            <w:tcW w:w="1234" w:type="dxa"/>
          </w:tcPr>
          <w:p>
            <w:pPr>
              <w:pStyle w:val="22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5" w:hRule="atLeast"/>
        </w:trPr>
        <w:tc>
          <w:tcPr>
            <w:tcW w:w="725" w:type="dxa"/>
          </w:tcPr>
          <w:p>
            <w:pPr>
              <w:pStyle w:val="222"/>
              <w:spacing w:before="1"/>
              <w:ind w:right="299"/>
              <w:jc w:val="right"/>
              <w:rPr>
                <w:color w:val="auto"/>
                <w:sz w:val="21"/>
              </w:rPr>
            </w:pPr>
            <w:r>
              <w:rPr>
                <w:color w:val="auto"/>
                <w:w w:val="100"/>
                <w:sz w:val="21"/>
              </w:rPr>
              <w:t>8</w:t>
            </w:r>
          </w:p>
        </w:tc>
        <w:tc>
          <w:tcPr>
            <w:tcW w:w="1162" w:type="dxa"/>
          </w:tcPr>
          <w:p>
            <w:pPr>
              <w:pStyle w:val="222"/>
              <w:spacing w:before="1" w:line="242" w:lineRule="auto"/>
              <w:ind w:left="162" w:right="144"/>
              <w:rPr>
                <w:color w:val="auto"/>
                <w:sz w:val="21"/>
              </w:rPr>
            </w:pPr>
            <w:r>
              <w:rPr>
                <w:color w:val="auto"/>
                <w:sz w:val="21"/>
              </w:rPr>
              <w:t>拉萨市北环延长线</w:t>
            </w:r>
          </w:p>
        </w:tc>
        <w:tc>
          <w:tcPr>
            <w:tcW w:w="2502" w:type="dxa"/>
          </w:tcPr>
          <w:p>
            <w:pPr>
              <w:pStyle w:val="222"/>
              <w:spacing w:before="1"/>
              <w:ind w:left="147"/>
              <w:rPr>
                <w:color w:val="auto"/>
                <w:sz w:val="21"/>
              </w:rPr>
            </w:pPr>
            <w:r>
              <w:rPr>
                <w:color w:val="auto"/>
                <w:sz w:val="21"/>
              </w:rPr>
              <w:t>行道树 1040 株，中央绿</w:t>
            </w:r>
          </w:p>
          <w:p>
            <w:pPr>
              <w:pStyle w:val="222"/>
              <w:spacing w:before="2" w:line="244" w:lineRule="auto"/>
              <w:ind w:left="385" w:right="133" w:hanging="238"/>
              <w:rPr>
                <w:color w:val="auto"/>
                <w:sz w:val="21"/>
              </w:rPr>
            </w:pPr>
            <w:r>
              <w:rPr>
                <w:color w:val="auto"/>
                <w:spacing w:val="-17"/>
                <w:sz w:val="21"/>
              </w:rPr>
              <w:t xml:space="preserve">化带 </w:t>
            </w:r>
            <w:r>
              <w:rPr>
                <w:color w:val="auto"/>
                <w:sz w:val="21"/>
              </w:rPr>
              <w:t>4420</w:t>
            </w:r>
            <w:r>
              <w:rPr>
                <w:color w:val="auto"/>
                <w:spacing w:val="-13"/>
                <w:sz w:val="21"/>
              </w:rPr>
              <w:t xml:space="preserve"> ㎡、绿地</w:t>
            </w:r>
            <w:r>
              <w:rPr>
                <w:color w:val="auto"/>
                <w:sz w:val="21"/>
              </w:rPr>
              <w:t>（</w:t>
            </w:r>
            <w:r>
              <w:rPr>
                <w:color w:val="auto"/>
                <w:spacing w:val="-14"/>
                <w:sz w:val="21"/>
              </w:rPr>
              <w:t>人</w:t>
            </w:r>
            <w:r>
              <w:rPr>
                <w:color w:val="auto"/>
                <w:spacing w:val="-1"/>
                <w:sz w:val="21"/>
              </w:rPr>
              <w:t>行道外侧</w:t>
            </w:r>
            <w:r>
              <w:rPr>
                <w:color w:val="auto"/>
                <w:sz w:val="21"/>
              </w:rPr>
              <w:t>）4500</w:t>
            </w:r>
            <w:r>
              <w:rPr>
                <w:color w:val="auto"/>
                <w:spacing w:val="-27"/>
                <w:sz w:val="21"/>
              </w:rPr>
              <w:t xml:space="preserve"> ㎡</w:t>
            </w:r>
          </w:p>
        </w:tc>
        <w:tc>
          <w:tcPr>
            <w:tcW w:w="1544" w:type="dxa"/>
          </w:tcPr>
          <w:p>
            <w:pPr>
              <w:pStyle w:val="222"/>
              <w:spacing w:before="1" w:line="242" w:lineRule="auto"/>
              <w:ind w:left="560" w:right="129" w:hanging="420"/>
              <w:rPr>
                <w:color w:val="auto"/>
                <w:sz w:val="21"/>
              </w:rPr>
            </w:pPr>
            <w:r>
              <w:rPr>
                <w:color w:val="auto"/>
                <w:sz w:val="21"/>
              </w:rPr>
              <w:t>水泥厂至人和立交</w:t>
            </w:r>
          </w:p>
        </w:tc>
        <w:tc>
          <w:tcPr>
            <w:tcW w:w="2295" w:type="dxa"/>
          </w:tcPr>
          <w:p>
            <w:pPr>
              <w:pStyle w:val="222"/>
              <w:spacing w:before="1" w:line="242" w:lineRule="auto"/>
              <w:ind w:left="108" w:right="-15"/>
              <w:rPr>
                <w:color w:val="auto"/>
                <w:sz w:val="21"/>
              </w:rPr>
            </w:pPr>
            <w:r>
              <w:rPr>
                <w:color w:val="auto"/>
                <w:spacing w:val="-17"/>
                <w:sz w:val="21"/>
              </w:rPr>
              <w:t>雪松、白蜡、红叶李球、垂柳、国槐、大叶女贞、</w:t>
            </w:r>
            <w:r>
              <w:rPr>
                <w:color w:val="auto"/>
                <w:spacing w:val="-5"/>
                <w:sz w:val="21"/>
              </w:rPr>
              <w:t>日本晚樱、香花槐、红</w:t>
            </w:r>
            <w:r>
              <w:rPr>
                <w:color w:val="auto"/>
                <w:spacing w:val="-7"/>
                <w:sz w:val="21"/>
              </w:rPr>
              <w:t>叶李球、塔柏柱子、碧</w:t>
            </w:r>
            <w:r>
              <w:rPr>
                <w:color w:val="auto"/>
                <w:spacing w:val="-6"/>
                <w:sz w:val="21"/>
              </w:rPr>
              <w:t>桃、榆叶梅、红叶石楠</w:t>
            </w:r>
            <w:r>
              <w:rPr>
                <w:color w:val="auto"/>
                <w:spacing w:val="-7"/>
                <w:sz w:val="21"/>
              </w:rPr>
              <w:t>球、大叶黄杨球、侧柏球、洒金柏球、银边黄杨、金叶女贞、红叶小</w:t>
            </w:r>
            <w:r>
              <w:rPr>
                <w:color w:val="auto"/>
                <w:spacing w:val="-18"/>
                <w:sz w:val="21"/>
              </w:rPr>
              <w:t>檗、洒金柏、贴梗海棠、</w:t>
            </w:r>
            <w:r>
              <w:rPr>
                <w:color w:val="auto"/>
                <w:spacing w:val="-6"/>
                <w:sz w:val="21"/>
              </w:rPr>
              <w:t>黄刺玫、紫丁香、红叶</w:t>
            </w:r>
            <w:r>
              <w:rPr>
                <w:color w:val="auto"/>
                <w:spacing w:val="-4"/>
                <w:sz w:val="21"/>
              </w:rPr>
              <w:t>石楠球、鸢尾、草坪</w:t>
            </w:r>
          </w:p>
        </w:tc>
        <w:tc>
          <w:tcPr>
            <w:tcW w:w="1234" w:type="dxa"/>
          </w:tcPr>
          <w:p>
            <w:pPr>
              <w:pStyle w:val="22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725" w:type="dxa"/>
          </w:tcPr>
          <w:p>
            <w:pPr>
              <w:pStyle w:val="222"/>
              <w:spacing w:before="1"/>
              <w:ind w:right="299"/>
              <w:jc w:val="right"/>
              <w:rPr>
                <w:color w:val="auto"/>
                <w:sz w:val="21"/>
              </w:rPr>
            </w:pPr>
            <w:r>
              <w:rPr>
                <w:color w:val="auto"/>
                <w:w w:val="100"/>
                <w:sz w:val="21"/>
              </w:rPr>
              <w:t>9</w:t>
            </w:r>
          </w:p>
        </w:tc>
        <w:tc>
          <w:tcPr>
            <w:tcW w:w="1162" w:type="dxa"/>
          </w:tcPr>
          <w:p>
            <w:pPr>
              <w:pStyle w:val="222"/>
              <w:spacing w:before="1"/>
              <w:ind w:left="162"/>
              <w:rPr>
                <w:color w:val="auto"/>
                <w:sz w:val="21"/>
              </w:rPr>
            </w:pPr>
            <w:r>
              <w:rPr>
                <w:color w:val="auto"/>
                <w:sz w:val="21"/>
              </w:rPr>
              <w:t>柳东大桥</w:t>
            </w:r>
          </w:p>
        </w:tc>
        <w:tc>
          <w:tcPr>
            <w:tcW w:w="2502" w:type="dxa"/>
          </w:tcPr>
          <w:p>
            <w:pPr>
              <w:pStyle w:val="222"/>
              <w:spacing w:before="1"/>
              <w:ind w:left="288" w:right="274"/>
              <w:jc w:val="center"/>
              <w:rPr>
                <w:color w:val="auto"/>
                <w:sz w:val="21"/>
              </w:rPr>
            </w:pPr>
            <w:r>
              <w:rPr>
                <w:color w:val="auto"/>
                <w:sz w:val="21"/>
              </w:rPr>
              <w:t>中央绿化带 2025 ㎡</w:t>
            </w:r>
          </w:p>
        </w:tc>
        <w:tc>
          <w:tcPr>
            <w:tcW w:w="1544" w:type="dxa"/>
          </w:tcPr>
          <w:p>
            <w:pPr>
              <w:pStyle w:val="222"/>
              <w:spacing w:before="1"/>
              <w:ind w:left="348"/>
              <w:rPr>
                <w:color w:val="auto"/>
                <w:sz w:val="21"/>
              </w:rPr>
            </w:pPr>
            <w:r>
              <w:rPr>
                <w:color w:val="auto"/>
                <w:sz w:val="21"/>
              </w:rPr>
              <w:t>柳东大桥</w:t>
            </w:r>
          </w:p>
        </w:tc>
        <w:tc>
          <w:tcPr>
            <w:tcW w:w="2295" w:type="dxa"/>
          </w:tcPr>
          <w:p>
            <w:pPr>
              <w:pStyle w:val="222"/>
              <w:spacing w:before="1"/>
              <w:ind w:left="80" w:right="70"/>
              <w:jc w:val="center"/>
              <w:rPr>
                <w:color w:val="auto"/>
                <w:sz w:val="21"/>
              </w:rPr>
            </w:pPr>
            <w:r>
              <w:rPr>
                <w:color w:val="auto"/>
                <w:sz w:val="21"/>
              </w:rPr>
              <w:t>云杉</w:t>
            </w:r>
          </w:p>
        </w:tc>
        <w:tc>
          <w:tcPr>
            <w:tcW w:w="1234" w:type="dxa"/>
          </w:tcPr>
          <w:p>
            <w:pPr>
              <w:pStyle w:val="22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887" w:type="dxa"/>
            <w:gridSpan w:val="2"/>
          </w:tcPr>
          <w:p>
            <w:pPr>
              <w:pStyle w:val="222"/>
              <w:spacing w:before="1"/>
              <w:ind w:left="443"/>
              <w:rPr>
                <w:color w:val="auto"/>
                <w:sz w:val="21"/>
              </w:rPr>
            </w:pPr>
            <w:r>
              <w:rPr>
                <w:color w:val="auto"/>
                <w:sz w:val="21"/>
              </w:rPr>
              <w:t>6-9 合计：</w:t>
            </w:r>
          </w:p>
        </w:tc>
        <w:tc>
          <w:tcPr>
            <w:tcW w:w="7575" w:type="dxa"/>
            <w:gridSpan w:val="4"/>
          </w:tcPr>
          <w:p>
            <w:pPr>
              <w:pStyle w:val="222"/>
              <w:spacing w:before="1"/>
              <w:ind w:right="93"/>
              <w:jc w:val="right"/>
              <w:rPr>
                <w:color w:val="auto"/>
                <w:sz w:val="21"/>
              </w:rPr>
            </w:pPr>
            <w:r>
              <w:rPr>
                <w:color w:val="auto"/>
                <w:sz w:val="21"/>
              </w:rPr>
              <w:t>31143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887" w:type="dxa"/>
            <w:gridSpan w:val="2"/>
          </w:tcPr>
          <w:p>
            <w:pPr>
              <w:pStyle w:val="222"/>
              <w:spacing w:before="1"/>
              <w:ind w:left="626"/>
              <w:rPr>
                <w:color w:val="auto"/>
                <w:sz w:val="21"/>
              </w:rPr>
            </w:pPr>
            <w:r>
              <w:rPr>
                <w:color w:val="auto"/>
                <w:sz w:val="21"/>
              </w:rPr>
              <w:t>共计：</w:t>
            </w:r>
          </w:p>
        </w:tc>
        <w:tc>
          <w:tcPr>
            <w:tcW w:w="7575" w:type="dxa"/>
            <w:gridSpan w:val="4"/>
          </w:tcPr>
          <w:p>
            <w:pPr>
              <w:pStyle w:val="222"/>
              <w:spacing w:before="1"/>
              <w:ind w:right="93"/>
              <w:jc w:val="right"/>
              <w:rPr>
                <w:color w:val="auto"/>
                <w:sz w:val="21"/>
              </w:rPr>
            </w:pPr>
            <w:r>
              <w:rPr>
                <w:color w:val="auto"/>
                <w:sz w:val="21"/>
              </w:rPr>
              <w:t>217135 ㎡</w:t>
            </w:r>
          </w:p>
        </w:tc>
      </w:tr>
    </w:tbl>
    <w:p>
      <w:pPr>
        <w:pStyle w:val="2"/>
        <w:spacing w:before="1"/>
        <w:rPr>
          <w:color w:val="auto"/>
          <w:sz w:val="23"/>
        </w:rPr>
      </w:pPr>
    </w:p>
    <w:p>
      <w:pPr>
        <w:pStyle w:val="9"/>
        <w:spacing w:before="66"/>
        <w:rPr>
          <w:color w:val="auto"/>
        </w:rPr>
      </w:pPr>
      <w:r>
        <w:rPr>
          <w:color w:val="auto"/>
        </w:rPr>
        <w:t>三、商务要求</w:t>
      </w:r>
    </w:p>
    <w:p>
      <w:pPr>
        <w:pStyle w:val="2"/>
        <w:spacing w:before="159"/>
        <w:ind w:left="696"/>
      </w:pPr>
      <w:r>
        <w:t>1、服务期限：一年或资金达到限价顶额。</w:t>
      </w:r>
    </w:p>
    <w:p>
      <w:pPr>
        <w:pStyle w:val="2"/>
        <w:spacing w:before="160"/>
        <w:ind w:left="696"/>
      </w:pPr>
      <w:r>
        <w:t>2、服务地点：拉萨市堆龙德庆区</w:t>
      </w:r>
    </w:p>
    <w:p>
      <w:pPr>
        <w:pStyle w:val="2"/>
        <w:spacing w:before="158"/>
        <w:ind w:left="696"/>
        <w:rPr>
          <w:rFonts w:hint="eastAsia" w:eastAsia="宋体"/>
          <w:lang w:eastAsia="zh-CN"/>
        </w:rPr>
      </w:pPr>
      <w:r>
        <w:t>3、合同价款的结算</w:t>
      </w:r>
      <w:r>
        <w:rPr>
          <w:rFonts w:hint="eastAsia"/>
          <w:lang w:eastAsia="zh-CN"/>
        </w:rPr>
        <w:t>：根据采购人与供应商签订的政府采购合同为准。</w:t>
      </w:r>
    </w:p>
    <w:p>
      <w:pPr>
        <w:pStyle w:val="2"/>
        <w:spacing w:before="159"/>
        <w:ind w:left="696"/>
        <w:rPr>
          <w:rFonts w:hint="eastAsia" w:eastAsia="宋体"/>
          <w:lang w:eastAsia="zh-CN"/>
        </w:rPr>
      </w:pPr>
      <w:r>
        <w:rPr>
          <w:rFonts w:eastAsia="宋体"/>
        </w:rPr>
        <w:t>4、付款方式</w:t>
      </w:r>
      <w:r>
        <w:rPr>
          <w:rFonts w:hint="eastAsia" w:eastAsia="宋体"/>
          <w:lang w:eastAsia="zh-CN"/>
        </w:rPr>
        <w:t>：</w:t>
      </w:r>
      <w:r>
        <w:rPr>
          <w:rFonts w:eastAsia="宋体"/>
        </w:rPr>
        <w:t>按采购合同约定</w:t>
      </w:r>
    </w:p>
    <w:p>
      <w:pPr>
        <w:pStyle w:val="2"/>
        <w:spacing w:before="159"/>
        <w:ind w:left="696"/>
        <w:rPr>
          <w:rFonts w:eastAsia="宋体"/>
        </w:rPr>
      </w:pPr>
      <w:r>
        <w:rPr>
          <w:rFonts w:eastAsia="宋体"/>
        </w:rPr>
        <w:t>5、其他要求：无</w:t>
      </w:r>
    </w:p>
    <w:p>
      <w:pPr>
        <w:pStyle w:val="24"/>
        <w:rPr>
          <w:rFonts w:hint="eastAsia" w:ascii="仿宋" w:hAnsi="仿宋" w:eastAsia="仿宋" w:cs="仿宋"/>
          <w:sz w:val="24"/>
          <w:szCs w:val="24"/>
          <w:lang w:val="en-US" w:eastAsia="zh-CN"/>
        </w:rPr>
      </w:pPr>
    </w:p>
    <w:p>
      <w:pPr>
        <w:pStyle w:val="2"/>
        <w:rPr>
          <w:rFonts w:hint="eastAsia"/>
          <w:color w:val="auto"/>
          <w:highlight w:val="none"/>
          <w:lang w:val="en-US" w:eastAsia="zh-CN"/>
        </w:rPr>
      </w:pPr>
    </w:p>
    <w:p>
      <w:pPr>
        <w:pStyle w:val="24"/>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pStyle w:val="24"/>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pStyle w:val="24"/>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pStyle w:val="24"/>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pStyle w:val="24"/>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pStyle w:val="24"/>
        <w:rPr>
          <w:rFonts w:hint="eastAsia"/>
          <w:color w:val="auto"/>
          <w:highlight w:val="none"/>
          <w:lang w:val="en-US" w:eastAsia="zh-CN"/>
        </w:rPr>
      </w:pPr>
    </w:p>
    <w:p>
      <w:pPr>
        <w:rPr>
          <w:rFonts w:hint="eastAsia"/>
          <w:color w:val="auto"/>
          <w:highlight w:val="none"/>
          <w:lang w:val="en-US" w:eastAsia="zh-CN"/>
        </w:rPr>
      </w:pPr>
    </w:p>
    <w:p>
      <w:pPr>
        <w:pStyle w:val="3"/>
        <w:bidi w:val="0"/>
        <w:jc w:val="center"/>
        <w:rPr>
          <w:color w:val="auto"/>
          <w:highlight w:val="none"/>
        </w:rPr>
      </w:pPr>
      <w:bookmarkStart w:id="929" w:name="_Toc14479"/>
      <w:bookmarkStart w:id="930" w:name="_Toc18101"/>
      <w:bookmarkStart w:id="931" w:name="_Toc32193"/>
      <w:bookmarkStart w:id="932" w:name="_Toc514253195"/>
      <w:bookmarkStart w:id="933" w:name="_Toc61260769"/>
      <w:bookmarkStart w:id="934" w:name="_Toc7669"/>
      <w:bookmarkStart w:id="935" w:name="_Toc201978765"/>
      <w:r>
        <w:rPr>
          <w:rFonts w:hint="eastAsia"/>
          <w:color w:val="auto"/>
          <w:highlight w:val="none"/>
        </w:rPr>
        <w:t>第六章  投标文件格式</w:t>
      </w:r>
      <w:bookmarkEnd w:id="929"/>
      <w:bookmarkEnd w:id="930"/>
      <w:bookmarkEnd w:id="931"/>
      <w:bookmarkEnd w:id="932"/>
      <w:bookmarkEnd w:id="933"/>
    </w:p>
    <w:p>
      <w:pPr>
        <w:spacing w:line="900" w:lineRule="exact"/>
        <w:jc w:val="center"/>
        <w:rPr>
          <w:rFonts w:ascii="仿宋" w:hAnsi="仿宋" w:eastAsia="仿宋" w:cs="仿宋"/>
          <w:color w:val="auto"/>
          <w:highlight w:val="none"/>
        </w:rPr>
      </w:pPr>
      <w:r>
        <w:rPr>
          <w:rFonts w:hint="eastAsia" w:ascii="仿宋" w:hAnsi="仿宋" w:eastAsia="仿宋" w:cs="仿宋"/>
          <w:color w:val="auto"/>
          <w:highlight w:val="none"/>
        </w:rPr>
        <w:br w:type="page"/>
      </w:r>
      <w:bookmarkEnd w:id="934"/>
      <w:bookmarkEnd w:id="935"/>
    </w:p>
    <w:p>
      <w:pPr>
        <w:spacing w:line="360" w:lineRule="auto"/>
        <w:jc w:val="center"/>
        <w:rPr>
          <w:rFonts w:ascii="仿宋" w:hAnsi="仿宋" w:eastAsia="仿宋" w:cs="仿宋"/>
          <w:b/>
          <w:color w:val="auto"/>
          <w:spacing w:val="-16"/>
          <w:sz w:val="52"/>
          <w:szCs w:val="44"/>
          <w:highlight w:val="none"/>
        </w:rPr>
      </w:pPr>
    </w:p>
    <w:p>
      <w:pPr>
        <w:pStyle w:val="2"/>
        <w:rPr>
          <w:color w:val="auto"/>
          <w:highlight w:val="none"/>
        </w:rPr>
      </w:pPr>
    </w:p>
    <w:p>
      <w:pPr>
        <w:spacing w:line="360" w:lineRule="auto"/>
        <w:jc w:val="center"/>
        <w:rPr>
          <w:rFonts w:hint="default" w:ascii="仿宋" w:hAnsi="仿宋" w:eastAsia="仿宋" w:cs="仿宋"/>
          <w:b/>
          <w:color w:val="auto"/>
          <w:spacing w:val="-16"/>
          <w:sz w:val="52"/>
          <w:szCs w:val="44"/>
          <w:highlight w:val="none"/>
          <w:lang w:val="en-US"/>
        </w:rPr>
      </w:pPr>
      <w:r>
        <w:rPr>
          <w:rFonts w:hint="eastAsia" w:ascii="仿宋" w:hAnsi="仿宋" w:eastAsia="仿宋" w:cs="仿宋"/>
          <w:b/>
          <w:color w:val="auto"/>
          <w:spacing w:val="-16"/>
          <w:sz w:val="52"/>
          <w:szCs w:val="44"/>
          <w:highlight w:val="none"/>
          <w:lang w:eastAsia="zh-CN"/>
        </w:rPr>
        <w:t>项目</w:t>
      </w:r>
      <w:r>
        <w:rPr>
          <w:rFonts w:hint="eastAsia" w:ascii="仿宋" w:hAnsi="仿宋" w:eastAsia="仿宋" w:cs="仿宋"/>
          <w:b/>
          <w:color w:val="auto"/>
          <w:spacing w:val="-16"/>
          <w:sz w:val="52"/>
          <w:szCs w:val="44"/>
          <w:highlight w:val="none"/>
          <w:lang w:val="en-US" w:eastAsia="zh-CN"/>
        </w:rPr>
        <w:t>名称</w:t>
      </w:r>
    </w:p>
    <w:p>
      <w:pPr>
        <w:spacing w:line="360" w:lineRule="auto"/>
        <w:jc w:val="center"/>
        <w:rPr>
          <w:rFonts w:ascii="仿宋" w:hAnsi="仿宋" w:eastAsia="仿宋" w:cs="仿宋"/>
          <w:b/>
          <w:color w:val="auto"/>
          <w:spacing w:val="-16"/>
          <w:sz w:val="52"/>
          <w:szCs w:val="44"/>
          <w:highlight w:val="none"/>
        </w:rPr>
      </w:pPr>
    </w:p>
    <w:p>
      <w:pPr>
        <w:spacing w:line="360" w:lineRule="auto"/>
        <w:jc w:val="center"/>
        <w:rPr>
          <w:rFonts w:ascii="仿宋" w:hAnsi="仿宋" w:eastAsia="仿宋" w:cs="仿宋"/>
          <w:color w:val="auto"/>
          <w:highlight w:val="none"/>
        </w:rPr>
      </w:pPr>
    </w:p>
    <w:p>
      <w:pPr>
        <w:spacing w:line="360" w:lineRule="auto"/>
        <w:jc w:val="center"/>
        <w:rPr>
          <w:rFonts w:ascii="仿宋" w:hAnsi="仿宋" w:eastAsia="仿宋" w:cs="仿宋"/>
          <w:b/>
          <w:bCs/>
          <w:color w:val="auto"/>
          <w:spacing w:val="20"/>
          <w:sz w:val="72"/>
          <w:szCs w:val="120"/>
          <w:highlight w:val="none"/>
        </w:rPr>
      </w:pPr>
      <w:r>
        <w:rPr>
          <w:rFonts w:hint="eastAsia" w:ascii="仿宋" w:hAnsi="仿宋" w:eastAsia="仿宋" w:cs="仿宋"/>
          <w:b/>
          <w:bCs/>
          <w:color w:val="auto"/>
          <w:spacing w:val="20"/>
          <w:sz w:val="72"/>
          <w:szCs w:val="120"/>
          <w:highlight w:val="none"/>
        </w:rPr>
        <w:t>投标文件</w:t>
      </w:r>
    </w:p>
    <w:p>
      <w:pPr>
        <w:spacing w:before="120" w:beforeLines="50" w:line="360" w:lineRule="auto"/>
        <w:ind w:firstLine="3614" w:firstLineChars="100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项目编号：</w:t>
      </w:r>
    </w:p>
    <w:p>
      <w:pPr>
        <w:pStyle w:val="2"/>
        <w:rPr>
          <w:rFonts w:ascii="仿宋" w:hAnsi="仿宋" w:eastAsia="仿宋" w:cs="仿宋"/>
          <w:color w:val="auto"/>
          <w:highlight w:val="none"/>
        </w:rPr>
      </w:pPr>
    </w:p>
    <w:p>
      <w:pPr>
        <w:jc w:val="cente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spacing w:line="800" w:lineRule="exact"/>
        <w:ind w:left="798" w:leftChars="380"/>
        <w:rPr>
          <w:rFonts w:ascii="仿宋" w:hAnsi="仿宋" w:eastAsia="仿宋" w:cs="仿宋"/>
          <w:color w:val="auto"/>
          <w:sz w:val="32"/>
          <w:szCs w:val="32"/>
          <w:highlight w:val="none"/>
        </w:rPr>
      </w:pPr>
    </w:p>
    <w:p>
      <w:pPr>
        <w:pStyle w:val="2"/>
        <w:rPr>
          <w:rFonts w:ascii="仿宋" w:hAnsi="仿宋" w:eastAsia="仿宋" w:cs="仿宋"/>
          <w:color w:val="auto"/>
          <w:sz w:val="32"/>
          <w:szCs w:val="32"/>
          <w:highlight w:val="none"/>
        </w:rPr>
      </w:pPr>
    </w:p>
    <w:p>
      <w:pPr>
        <w:pStyle w:val="23"/>
        <w:rPr>
          <w:color w:val="auto"/>
          <w:highlight w:val="none"/>
        </w:rPr>
      </w:pPr>
    </w:p>
    <w:p>
      <w:pPr>
        <w:spacing w:line="800" w:lineRule="exact"/>
        <w:ind w:firstLine="800" w:firstLineChars="250"/>
        <w:rPr>
          <w:rFonts w:hint="eastAsia" w:ascii="仿宋" w:hAnsi="仿宋" w:eastAsia="仿宋" w:cs="仿宋"/>
          <w:color w:val="auto"/>
          <w:sz w:val="32"/>
          <w:szCs w:val="32"/>
          <w:highlight w:val="none"/>
        </w:rPr>
      </w:pPr>
    </w:p>
    <w:p>
      <w:pPr>
        <w:spacing w:line="800" w:lineRule="exact"/>
        <w:ind w:firstLine="800" w:firstLineChars="25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投 标 人：（盖章）                 </w:t>
      </w:r>
    </w:p>
    <w:p>
      <w:pPr>
        <w:spacing w:line="800" w:lineRule="exact"/>
        <w:ind w:left="798" w:leftChars="38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日    期：  年  月  日</w:t>
      </w:r>
    </w:p>
    <w:p>
      <w:pPr>
        <w:pStyle w:val="42"/>
        <w:rPr>
          <w:rFonts w:hint="eastAsia" w:ascii="仿宋" w:hAnsi="仿宋" w:eastAsia="仿宋" w:cs="仿宋"/>
          <w:color w:val="auto"/>
          <w:sz w:val="20"/>
          <w:szCs w:val="20"/>
          <w:highlight w:val="none"/>
        </w:rPr>
      </w:pPr>
    </w:p>
    <w:p>
      <w:pPr>
        <w:spacing w:line="540" w:lineRule="exact"/>
        <w:rPr>
          <w:rFonts w:hint="eastAsia" w:ascii="仿宋" w:hAnsi="仿宋" w:eastAsia="仿宋" w:cs="仿宋"/>
          <w:color w:val="auto"/>
          <w:sz w:val="20"/>
          <w:szCs w:val="20"/>
          <w:highlight w:val="none"/>
        </w:rPr>
      </w:pPr>
    </w:p>
    <w:p>
      <w:pPr>
        <w:pStyle w:val="2"/>
        <w:rPr>
          <w:rFonts w:hint="eastAsia" w:ascii="仿宋" w:hAnsi="仿宋" w:eastAsia="仿宋" w:cs="仿宋"/>
          <w:color w:val="auto"/>
          <w:sz w:val="20"/>
          <w:szCs w:val="20"/>
          <w:highlight w:val="none"/>
        </w:rPr>
      </w:pPr>
    </w:p>
    <w:p>
      <w:pPr>
        <w:pStyle w:val="35"/>
        <w:rPr>
          <w:rFonts w:hint="eastAsia" w:ascii="仿宋" w:hAnsi="仿宋" w:eastAsia="仿宋" w:cs="仿宋"/>
          <w:color w:val="auto"/>
          <w:sz w:val="20"/>
          <w:szCs w:val="20"/>
          <w:highlight w:val="none"/>
        </w:rPr>
      </w:pPr>
    </w:p>
    <w:p>
      <w:pPr>
        <w:rPr>
          <w:rFonts w:hint="eastAsia"/>
        </w:rPr>
      </w:pPr>
    </w:p>
    <w:p>
      <w:pPr>
        <w:pStyle w:val="4"/>
        <w:bidi w:val="0"/>
        <w:rPr>
          <w:rFonts w:hint="eastAsia"/>
          <w:color w:val="auto"/>
          <w:highlight w:val="none"/>
        </w:rPr>
      </w:pPr>
      <w:r>
        <w:rPr>
          <w:rFonts w:hint="eastAsia"/>
          <w:color w:val="auto"/>
          <w:highlight w:val="none"/>
        </w:rPr>
        <w:t>开标一览表</w:t>
      </w:r>
    </w:p>
    <w:p>
      <w:pPr>
        <w:tabs>
          <w:tab w:val="left" w:pos="900"/>
          <w:tab w:val="left" w:pos="1080"/>
          <w:tab w:val="left" w:pos="1620"/>
        </w:tabs>
        <w:spacing w:line="360" w:lineRule="auto"/>
        <w:ind w:left="1077" w:hanging="1077"/>
        <w:rPr>
          <w:rFonts w:hint="eastAsia" w:ascii="仿宋" w:hAnsi="仿宋" w:eastAsia="仿宋" w:cs="仿宋"/>
          <w:bCs/>
          <w:color w:val="auto"/>
          <w:sz w:val="24"/>
          <w:highlight w:val="none"/>
        </w:rPr>
      </w:pPr>
      <w:r>
        <w:rPr>
          <w:rFonts w:hint="eastAsia" w:ascii="仿宋" w:hAnsi="仿宋" w:eastAsia="仿宋" w:cs="仿宋"/>
          <w:color w:val="auto"/>
          <w:sz w:val="24"/>
          <w:highlight w:val="none"/>
        </w:rPr>
        <w:t>项目名称：</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1755"/>
        <w:gridCol w:w="1401"/>
        <w:gridCol w:w="1512"/>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634"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投标单位名称</w:t>
            </w:r>
          </w:p>
        </w:tc>
        <w:tc>
          <w:tcPr>
            <w:tcW w:w="1755"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投标总报价</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元</w:t>
            </w:r>
            <w:r>
              <w:rPr>
                <w:rFonts w:hint="eastAsia" w:ascii="仿宋" w:hAnsi="仿宋" w:eastAsia="仿宋" w:cs="仿宋"/>
                <w:color w:val="auto"/>
                <w:sz w:val="24"/>
                <w:highlight w:val="none"/>
              </w:rPr>
              <w:t>）</w:t>
            </w:r>
          </w:p>
        </w:tc>
        <w:tc>
          <w:tcPr>
            <w:tcW w:w="1401"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施工/服</w:t>
            </w:r>
            <w:r>
              <w:rPr>
                <w:rFonts w:hint="eastAsia" w:ascii="仿宋" w:hAnsi="仿宋" w:eastAsia="仿宋" w:cs="仿宋"/>
                <w:color w:val="auto"/>
                <w:sz w:val="24"/>
                <w:highlight w:val="none"/>
              </w:rPr>
              <w:t>期限</w:t>
            </w:r>
          </w:p>
        </w:tc>
        <w:tc>
          <w:tcPr>
            <w:tcW w:w="1512"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施工/服务</w:t>
            </w:r>
            <w:r>
              <w:rPr>
                <w:rFonts w:hint="eastAsia" w:ascii="仿宋" w:hAnsi="仿宋" w:eastAsia="仿宋" w:cs="仿宋"/>
                <w:color w:val="auto"/>
                <w:sz w:val="24"/>
                <w:highlight w:val="none"/>
              </w:rPr>
              <w:t>地点</w:t>
            </w:r>
          </w:p>
        </w:tc>
        <w:tc>
          <w:tcPr>
            <w:tcW w:w="1878"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trPr>
        <w:tc>
          <w:tcPr>
            <w:tcW w:w="2634" w:type="dxa"/>
            <w:vMerge w:val="restart"/>
            <w:vAlign w:val="center"/>
          </w:tcPr>
          <w:p>
            <w:pPr>
              <w:jc w:val="center"/>
              <w:rPr>
                <w:rFonts w:hint="eastAsia" w:ascii="仿宋" w:hAnsi="仿宋" w:eastAsia="仿宋" w:cs="仿宋"/>
                <w:color w:val="auto"/>
                <w:sz w:val="24"/>
                <w:highlight w:val="none"/>
              </w:rPr>
            </w:pPr>
          </w:p>
        </w:tc>
        <w:tc>
          <w:tcPr>
            <w:tcW w:w="1755" w:type="dxa"/>
            <w:tcBorders>
              <w:bottom w:val="single" w:color="auto" w:sz="4" w:space="0"/>
            </w:tcBorders>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大写：</w:t>
            </w:r>
          </w:p>
        </w:tc>
        <w:tc>
          <w:tcPr>
            <w:tcW w:w="1401" w:type="dxa"/>
            <w:vMerge w:val="restart"/>
            <w:vAlign w:val="center"/>
          </w:tcPr>
          <w:p>
            <w:pPr>
              <w:jc w:val="center"/>
              <w:rPr>
                <w:rFonts w:hint="eastAsia" w:ascii="仿宋" w:hAnsi="仿宋" w:eastAsia="仿宋" w:cs="仿宋"/>
                <w:color w:val="auto"/>
                <w:sz w:val="24"/>
                <w:highlight w:val="none"/>
              </w:rPr>
            </w:pPr>
          </w:p>
        </w:tc>
        <w:tc>
          <w:tcPr>
            <w:tcW w:w="1512" w:type="dxa"/>
            <w:vMerge w:val="restart"/>
            <w:vAlign w:val="center"/>
          </w:tcPr>
          <w:p>
            <w:pPr>
              <w:jc w:val="center"/>
              <w:rPr>
                <w:rFonts w:hint="eastAsia" w:ascii="仿宋" w:hAnsi="仿宋" w:eastAsia="仿宋" w:cs="仿宋"/>
                <w:color w:val="auto"/>
                <w:highlight w:val="none"/>
              </w:rPr>
            </w:pPr>
          </w:p>
        </w:tc>
        <w:tc>
          <w:tcPr>
            <w:tcW w:w="1878"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trPr>
        <w:tc>
          <w:tcPr>
            <w:tcW w:w="2634" w:type="dxa"/>
            <w:vMerge w:val="continue"/>
            <w:tcBorders>
              <w:bottom w:val="single" w:color="auto" w:sz="4" w:space="0"/>
            </w:tcBorders>
            <w:vAlign w:val="center"/>
          </w:tcPr>
          <w:p>
            <w:pPr>
              <w:jc w:val="center"/>
              <w:rPr>
                <w:rFonts w:hint="eastAsia" w:ascii="仿宋" w:hAnsi="仿宋" w:eastAsia="仿宋" w:cs="仿宋"/>
                <w:color w:val="auto"/>
                <w:highlight w:val="none"/>
              </w:rPr>
            </w:pPr>
          </w:p>
        </w:tc>
        <w:tc>
          <w:tcPr>
            <w:tcW w:w="1755" w:type="dxa"/>
            <w:tcBorders>
              <w:bottom w:val="single" w:color="auto" w:sz="4" w:space="0"/>
            </w:tcBorders>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小写：</w:t>
            </w:r>
          </w:p>
        </w:tc>
        <w:tc>
          <w:tcPr>
            <w:tcW w:w="1401" w:type="dxa"/>
            <w:vMerge w:val="continue"/>
            <w:vAlign w:val="center"/>
          </w:tcPr>
          <w:p>
            <w:pPr>
              <w:jc w:val="center"/>
              <w:rPr>
                <w:rFonts w:hint="eastAsia" w:ascii="仿宋" w:hAnsi="仿宋" w:eastAsia="仿宋" w:cs="仿宋"/>
                <w:color w:val="auto"/>
                <w:sz w:val="24"/>
                <w:highlight w:val="none"/>
              </w:rPr>
            </w:pPr>
          </w:p>
        </w:tc>
        <w:tc>
          <w:tcPr>
            <w:tcW w:w="1512" w:type="dxa"/>
            <w:vMerge w:val="continue"/>
            <w:vAlign w:val="center"/>
          </w:tcPr>
          <w:p>
            <w:pPr>
              <w:jc w:val="center"/>
              <w:rPr>
                <w:rFonts w:hint="eastAsia" w:ascii="仿宋" w:hAnsi="仿宋" w:eastAsia="仿宋" w:cs="仿宋"/>
                <w:color w:val="auto"/>
                <w:sz w:val="24"/>
                <w:highlight w:val="none"/>
              </w:rPr>
            </w:pPr>
          </w:p>
        </w:tc>
        <w:tc>
          <w:tcPr>
            <w:tcW w:w="1878"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2" w:hRule="atLeast"/>
        </w:trPr>
        <w:tc>
          <w:tcPr>
            <w:tcW w:w="9180" w:type="dxa"/>
            <w:gridSpan w:val="5"/>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      章）</w:t>
            </w: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（签字或盖章）</w:t>
            </w:r>
          </w:p>
          <w:p>
            <w:pPr>
              <w:rPr>
                <w:rFonts w:hint="eastAsia" w:ascii="仿宋" w:hAnsi="仿宋" w:eastAsia="仿宋" w:cs="仿宋"/>
                <w:color w:val="auto"/>
                <w:sz w:val="24"/>
                <w:highlight w:val="none"/>
              </w:rPr>
            </w:pPr>
          </w:p>
          <w:p>
            <w:pPr>
              <w:ind w:firstLine="3885"/>
              <w:jc w:val="right"/>
              <w:rPr>
                <w:rFonts w:hint="eastAsia" w:ascii="仿宋" w:hAnsi="仿宋" w:eastAsia="仿宋" w:cs="仿宋"/>
                <w:color w:val="auto"/>
                <w:sz w:val="24"/>
                <w:highlight w:val="none"/>
              </w:rPr>
            </w:pPr>
          </w:p>
          <w:p>
            <w:pPr>
              <w:ind w:firstLine="3885"/>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5" w:hRule="atLeast"/>
        </w:trPr>
        <w:tc>
          <w:tcPr>
            <w:tcW w:w="9180" w:type="dxa"/>
            <w:gridSpan w:val="5"/>
            <w:vAlign w:val="center"/>
          </w:tcPr>
          <w:p>
            <w:pPr>
              <w:pStyle w:val="2"/>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注：1.开标一览表必须同时具有签字、盖章（鲜章）。</w:t>
            </w:r>
          </w:p>
          <w:p>
            <w:pPr>
              <w:pStyle w:val="2"/>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2.开标一览表的报价必须同时具有大小写，大小写不一致的以大写为准。</w:t>
            </w:r>
          </w:p>
        </w:tc>
      </w:tr>
    </w:tbl>
    <w:p>
      <w:pPr>
        <w:rPr>
          <w:rFonts w:hint="eastAsia"/>
          <w:color w:val="auto"/>
          <w:highlight w:val="none"/>
        </w:rPr>
      </w:pPr>
    </w:p>
    <w:p>
      <w:pPr>
        <w:rPr>
          <w:rFonts w:hint="eastAsia"/>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color w:val="auto"/>
          <w:highlight w:val="none"/>
        </w:rPr>
      </w:pPr>
      <w:bookmarkStart w:id="936" w:name="_Toc61260771"/>
      <w:bookmarkStart w:id="937" w:name="_Toc514253196"/>
      <w:bookmarkStart w:id="938" w:name="_Toc4981"/>
      <w:bookmarkStart w:id="939" w:name="_Toc25154"/>
      <w:bookmarkStart w:id="940" w:name="_Toc78272829"/>
      <w:bookmarkStart w:id="941" w:name="_Toc7865"/>
      <w:r>
        <w:rPr>
          <w:rFonts w:hint="eastAsia"/>
          <w:color w:val="auto"/>
          <w:highlight w:val="none"/>
        </w:rPr>
        <w:br w:type="page"/>
      </w:r>
    </w:p>
    <w:p>
      <w:pPr>
        <w:pStyle w:val="4"/>
        <w:bidi w:val="0"/>
        <w:rPr>
          <w:rFonts w:hint="eastAsia"/>
          <w:color w:val="auto"/>
          <w:highlight w:val="none"/>
        </w:rPr>
      </w:pPr>
      <w:r>
        <w:rPr>
          <w:rFonts w:hint="eastAsia"/>
          <w:color w:val="auto"/>
          <w:highlight w:val="none"/>
        </w:rPr>
        <w:t>一、投 标 函</w:t>
      </w:r>
      <w:bookmarkEnd w:id="936"/>
      <w:bookmarkEnd w:id="937"/>
      <w:bookmarkEnd w:id="938"/>
      <w:bookmarkEnd w:id="939"/>
      <w:bookmarkEnd w:id="940"/>
      <w:bookmarkEnd w:id="941"/>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采购</w:t>
      </w:r>
      <w:r>
        <w:rPr>
          <w:rFonts w:hint="eastAsia" w:ascii="仿宋" w:hAnsi="仿宋" w:eastAsia="仿宋" w:cs="仿宋"/>
          <w:color w:val="auto"/>
          <w:sz w:val="24"/>
          <w:highlight w:val="none"/>
          <w:u w:val="single"/>
        </w:rPr>
        <w:t xml:space="preserve">人)    </w:t>
      </w:r>
    </w:p>
    <w:p>
      <w:pPr>
        <w:spacing w:line="4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（投标人全称) </w:t>
      </w:r>
      <w:r>
        <w:rPr>
          <w:rFonts w:hint="eastAsia" w:ascii="仿宋" w:hAnsi="仿宋" w:eastAsia="仿宋" w:cs="仿宋"/>
          <w:color w:val="auto"/>
          <w:sz w:val="24"/>
          <w:highlight w:val="none"/>
        </w:rPr>
        <w:t>授权</w:t>
      </w:r>
      <w:r>
        <w:rPr>
          <w:rFonts w:hint="eastAsia" w:ascii="仿宋" w:hAnsi="仿宋" w:eastAsia="仿宋" w:cs="仿宋"/>
          <w:color w:val="auto"/>
          <w:sz w:val="24"/>
          <w:highlight w:val="none"/>
          <w:u w:val="none"/>
        </w:rPr>
        <w:t>____________</w:t>
      </w:r>
      <w:r>
        <w:rPr>
          <w:rFonts w:hint="eastAsia" w:ascii="仿宋" w:hAnsi="仿宋" w:eastAsia="仿宋" w:cs="仿宋"/>
          <w:color w:val="auto"/>
          <w:sz w:val="24"/>
          <w:highlight w:val="none"/>
        </w:rPr>
        <w:t>（授权代表姓名)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(职务)为全权代表提交</w:t>
      </w:r>
      <w:r>
        <w:rPr>
          <w:rFonts w:hint="eastAsia" w:ascii="仿宋" w:hAnsi="仿宋" w:eastAsia="仿宋" w:cs="仿宋"/>
          <w:color w:val="auto"/>
          <w:sz w:val="24"/>
          <w:highlight w:val="none"/>
          <w:lang w:val="en-US" w:eastAsia="zh-CN"/>
        </w:rPr>
        <w:t>响应文件</w:t>
      </w:r>
      <w:r>
        <w:rPr>
          <w:rFonts w:hint="eastAsia" w:ascii="仿宋" w:hAnsi="仿宋" w:eastAsia="仿宋" w:cs="仿宋"/>
          <w:color w:val="auto"/>
          <w:sz w:val="24"/>
          <w:highlight w:val="none"/>
        </w:rPr>
        <w:t>，参加贵方组织的</w:t>
      </w:r>
      <w:r>
        <w:rPr>
          <w:rFonts w:hint="eastAsia" w:ascii="仿宋" w:hAnsi="仿宋" w:eastAsia="仿宋" w:cs="仿宋"/>
          <w:color w:val="auto"/>
          <w:sz w:val="24"/>
          <w:highlight w:val="none"/>
          <w:u w:val="single"/>
        </w:rPr>
        <w:t xml:space="preserve">                                     </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(项目编号、招标项目名称)招标的有关活动，并对</w:t>
      </w:r>
      <w:r>
        <w:rPr>
          <w:rFonts w:hint="eastAsia" w:ascii="仿宋" w:hAnsi="仿宋" w:eastAsia="仿宋" w:cs="仿宋"/>
          <w:color w:val="auto"/>
          <w:sz w:val="24"/>
          <w:highlight w:val="none"/>
          <w:u w:val="single"/>
        </w:rPr>
        <w:t xml:space="preserve">             （项目编号、项目名称)</w:t>
      </w:r>
      <w:r>
        <w:rPr>
          <w:rFonts w:hint="eastAsia" w:ascii="仿宋" w:hAnsi="仿宋" w:eastAsia="仿宋" w:cs="仿宋"/>
          <w:color w:val="auto"/>
          <w:sz w:val="24"/>
          <w:highlight w:val="none"/>
        </w:rPr>
        <w:t>进行投标。为此：</w:t>
      </w:r>
    </w:p>
    <w:p>
      <w:pPr>
        <w:spacing w:line="480" w:lineRule="exact"/>
        <w:ind w:left="567" w:leftChars="27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（1）投标函</w:t>
      </w:r>
    </w:p>
    <w:p>
      <w:pPr>
        <w:spacing w:line="480" w:lineRule="exact"/>
        <w:ind w:left="567" w:leftChars="270"/>
        <w:rPr>
          <w:rFonts w:hint="eastAsia" w:ascii="仿宋" w:hAnsi="仿宋" w:eastAsia="仿宋" w:cs="仿宋"/>
          <w:color w:val="auto"/>
          <w:sz w:val="24"/>
          <w:highlight w:val="none"/>
        </w:rPr>
      </w:pPr>
      <w:r>
        <w:rPr>
          <w:rFonts w:hint="eastAsia" w:ascii="仿宋" w:hAnsi="仿宋" w:eastAsia="仿宋" w:cs="仿宋"/>
          <w:color w:val="auto"/>
          <w:sz w:val="24"/>
          <w:highlight w:val="none"/>
        </w:rPr>
        <w:t>（2）法定代表人身份证明书</w:t>
      </w:r>
    </w:p>
    <w:p>
      <w:pPr>
        <w:spacing w:line="480" w:lineRule="exact"/>
        <w:ind w:left="567" w:leftChars="27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（3）投标文件签署授权委托书</w:t>
      </w:r>
    </w:p>
    <w:p>
      <w:pPr>
        <w:spacing w:line="480" w:lineRule="exact"/>
        <w:ind w:left="567" w:leftChars="270"/>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（4）投标保证金凭证复印件</w:t>
      </w:r>
    </w:p>
    <w:p>
      <w:pPr>
        <w:spacing w:line="480" w:lineRule="exact"/>
        <w:ind w:left="567" w:leftChars="270"/>
        <w:rPr>
          <w:rFonts w:hint="eastAsia" w:ascii="仿宋" w:hAnsi="仿宋" w:eastAsia="仿宋" w:cs="仿宋"/>
          <w:color w:val="auto"/>
          <w:sz w:val="24"/>
          <w:highlight w:val="none"/>
        </w:rPr>
      </w:pPr>
      <w:r>
        <w:rPr>
          <w:rFonts w:hint="eastAsia" w:ascii="仿宋" w:hAnsi="仿宋" w:eastAsia="仿宋" w:cs="仿宋"/>
          <w:color w:val="auto"/>
          <w:sz w:val="24"/>
          <w:highlight w:val="none"/>
        </w:rPr>
        <w:t>（5）项目投标报价明细表</w:t>
      </w:r>
    </w:p>
    <w:p>
      <w:pPr>
        <w:spacing w:line="480" w:lineRule="exact"/>
        <w:ind w:left="567" w:leftChars="270"/>
        <w:rPr>
          <w:rFonts w:hint="eastAsia" w:ascii="仿宋" w:hAnsi="仿宋" w:eastAsia="仿宋" w:cs="仿宋"/>
          <w:color w:val="auto"/>
          <w:sz w:val="24"/>
          <w:highlight w:val="none"/>
        </w:rPr>
      </w:pPr>
      <w:r>
        <w:rPr>
          <w:rFonts w:hint="eastAsia" w:ascii="仿宋" w:hAnsi="仿宋" w:eastAsia="仿宋" w:cs="仿宋"/>
          <w:color w:val="auto"/>
          <w:sz w:val="24"/>
          <w:highlight w:val="none"/>
        </w:rPr>
        <w:t>（6）技术条款偏离表</w:t>
      </w:r>
    </w:p>
    <w:p>
      <w:pPr>
        <w:spacing w:line="480" w:lineRule="exact"/>
        <w:ind w:left="567" w:leftChars="270"/>
        <w:rPr>
          <w:rFonts w:hint="eastAsia" w:ascii="仿宋" w:hAnsi="仿宋" w:eastAsia="仿宋" w:cs="仿宋"/>
          <w:color w:val="auto"/>
          <w:sz w:val="24"/>
          <w:highlight w:val="none"/>
        </w:rPr>
      </w:pPr>
      <w:r>
        <w:rPr>
          <w:rFonts w:hint="eastAsia" w:ascii="仿宋" w:hAnsi="仿宋" w:eastAsia="仿宋" w:cs="仿宋"/>
          <w:color w:val="auto"/>
          <w:sz w:val="24"/>
          <w:highlight w:val="none"/>
        </w:rPr>
        <w:t>（7）商务条款偏离表</w:t>
      </w:r>
    </w:p>
    <w:p>
      <w:pPr>
        <w:spacing w:line="480" w:lineRule="exact"/>
        <w:ind w:left="567" w:leftChars="270"/>
        <w:rPr>
          <w:rFonts w:hint="eastAsia" w:ascii="仿宋" w:hAnsi="仿宋" w:eastAsia="仿宋" w:cs="仿宋"/>
          <w:color w:val="auto"/>
          <w:sz w:val="24"/>
          <w:highlight w:val="none"/>
        </w:rPr>
      </w:pPr>
      <w:r>
        <w:rPr>
          <w:rFonts w:hint="eastAsia" w:ascii="仿宋" w:hAnsi="仿宋" w:eastAsia="仿宋" w:cs="仿宋"/>
          <w:color w:val="auto"/>
          <w:sz w:val="24"/>
          <w:highlight w:val="none"/>
        </w:rPr>
        <w:t>（8）资格审查资料</w:t>
      </w:r>
    </w:p>
    <w:p>
      <w:pPr>
        <w:spacing w:line="480" w:lineRule="exact"/>
        <w:ind w:left="567" w:leftChars="270"/>
        <w:rPr>
          <w:rFonts w:hint="eastAsia" w:ascii="仿宋" w:hAnsi="仿宋" w:eastAsia="仿宋" w:cs="仿宋"/>
          <w:color w:val="auto"/>
          <w:sz w:val="24"/>
          <w:highlight w:val="none"/>
        </w:rPr>
      </w:pPr>
      <w:r>
        <w:rPr>
          <w:rFonts w:hint="eastAsia" w:ascii="仿宋" w:hAnsi="仿宋" w:eastAsia="仿宋" w:cs="仿宋"/>
          <w:color w:val="auto"/>
          <w:sz w:val="24"/>
          <w:highlight w:val="none"/>
        </w:rPr>
        <w:t>（9）后续服务承诺</w:t>
      </w:r>
    </w:p>
    <w:p>
      <w:pPr>
        <w:spacing w:line="480" w:lineRule="exact"/>
        <w:ind w:left="567" w:leftChars="270"/>
        <w:rPr>
          <w:rFonts w:hint="eastAsia" w:ascii="仿宋" w:hAnsi="仿宋" w:eastAsia="仿宋" w:cs="仿宋"/>
          <w:color w:val="auto"/>
          <w:sz w:val="24"/>
          <w:highlight w:val="none"/>
        </w:rPr>
      </w:pPr>
      <w:r>
        <w:rPr>
          <w:rFonts w:hint="eastAsia" w:ascii="仿宋" w:hAnsi="仿宋" w:eastAsia="仿宋" w:cs="仿宋"/>
          <w:color w:val="auto"/>
          <w:sz w:val="24"/>
          <w:highlight w:val="none"/>
        </w:rPr>
        <w:t>（10）技术方案（技术支持材料）</w:t>
      </w:r>
    </w:p>
    <w:p>
      <w:pPr>
        <w:spacing w:line="480" w:lineRule="exact"/>
        <w:ind w:left="567" w:leftChars="270"/>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（11）投标人认为需提供的其他资质证件</w:t>
      </w:r>
    </w:p>
    <w:p>
      <w:pPr>
        <w:spacing w:line="480" w:lineRule="exact"/>
        <w:ind w:left="567" w:leftChars="270"/>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"_Toc61260783"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中小企业声明函</w:t>
      </w:r>
      <w:r>
        <w:rPr>
          <w:rFonts w:hint="eastAsia" w:ascii="仿宋" w:hAnsi="仿宋" w:eastAsia="仿宋" w:cs="仿宋"/>
          <w:color w:val="auto"/>
          <w:sz w:val="24"/>
          <w:highlight w:val="none"/>
        </w:rPr>
        <w:fldChar w:fldCharType="end"/>
      </w:r>
    </w:p>
    <w:p>
      <w:pPr>
        <w:spacing w:line="480" w:lineRule="exact"/>
        <w:ind w:left="567" w:leftChars="270"/>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"_Toc61260784"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监狱企业的证明文件（若有）</w:t>
      </w:r>
      <w:r>
        <w:rPr>
          <w:rFonts w:hint="eastAsia" w:ascii="仿宋" w:hAnsi="仿宋" w:eastAsia="仿宋" w:cs="仿宋"/>
          <w:color w:val="auto"/>
          <w:sz w:val="24"/>
          <w:highlight w:val="none"/>
        </w:rPr>
        <w:fldChar w:fldCharType="end"/>
      </w:r>
    </w:p>
    <w:p>
      <w:pPr>
        <w:spacing w:line="480" w:lineRule="exact"/>
        <w:ind w:left="567" w:leftChars="270"/>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"_Toc61260785"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残疾人福利性单位声明函（若有）</w:t>
      </w:r>
      <w:r>
        <w:rPr>
          <w:rFonts w:hint="eastAsia" w:ascii="仿宋" w:hAnsi="仿宋" w:eastAsia="仿宋" w:cs="仿宋"/>
          <w:color w:val="auto"/>
          <w:sz w:val="24"/>
          <w:highlight w:val="none"/>
        </w:rPr>
        <w:fldChar w:fldCharType="end"/>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投标文件的上述组成部分如存在内容不一致的，以投标函为准。</w:t>
      </w:r>
    </w:p>
    <w:p>
      <w:pPr>
        <w:spacing w:line="480" w:lineRule="exact"/>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1、保证遵守招标文件中的有关规定和收费标准。</w:t>
      </w:r>
    </w:p>
    <w:p>
      <w:pPr>
        <w:spacing w:line="480" w:lineRule="exact"/>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2、保证忠实地执行买卖双方所签的经济合同，并承担合同规定的责任义务。</w:t>
      </w:r>
    </w:p>
    <w:p>
      <w:pPr>
        <w:spacing w:line="480" w:lineRule="exact"/>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3、愿意向贵方提供任何与该项投标有关的数据、情况和技术资料。</w:t>
      </w:r>
    </w:p>
    <w:p>
      <w:pPr>
        <w:spacing w:line="480" w:lineRule="exact"/>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4、我公司响应的投标有效期为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pPr>
        <w:spacing w:line="480" w:lineRule="exact"/>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5、我方承诺除商务和技术偏差表列出的偏差外，我方响应招标文件的全部要求。</w:t>
      </w:r>
    </w:p>
    <w:p>
      <w:pPr>
        <w:spacing w:line="480" w:lineRule="exact"/>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6、我方承诺在招标文件规定的投标有效期内不撤销投标文件。</w:t>
      </w:r>
    </w:p>
    <w:p>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7、如我方中标，我方承诺：</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（1）在收到中标通知书后，在中标通知书规定的期限内与你方签订合同；</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（2）在签订合同时不向你方提出附加条件；</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（3）按照招标文件要求提交履约保证金；</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（4）在合同约定的期限内完成合同规定的全部义务。</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8、我方在此声明，所递交的投标文件及有关资料内容完整、真实和准确，且不存在第二章“投标人须知”规定的任何一种情形。</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（其他补充说明）</w:t>
      </w:r>
      <w:r>
        <w:rPr>
          <w:rFonts w:hint="eastAsia" w:ascii="仿宋" w:hAnsi="仿宋" w:eastAsia="仿宋" w:cs="仿宋"/>
          <w:color w:val="auto"/>
          <w:sz w:val="24"/>
          <w:highlight w:val="none"/>
        </w:rPr>
        <w:t>。</w:t>
      </w:r>
    </w:p>
    <w:p>
      <w:pPr>
        <w:spacing w:line="480" w:lineRule="exact"/>
        <w:rPr>
          <w:rFonts w:hint="eastAsia" w:ascii="仿宋" w:hAnsi="仿宋" w:eastAsia="仿宋" w:cs="仿宋"/>
          <w:color w:val="auto"/>
          <w:sz w:val="24"/>
          <w:highlight w:val="none"/>
        </w:rPr>
      </w:pP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 标 人：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（盖单位章）</w:t>
      </w:r>
    </w:p>
    <w:p>
      <w:pPr>
        <w:pStyle w:val="2"/>
        <w:rPr>
          <w:rFonts w:hint="eastAsia" w:ascii="仿宋" w:hAnsi="仿宋" w:eastAsia="仿宋" w:cs="仿宋"/>
          <w:color w:val="auto"/>
          <w:highlight w:val="none"/>
        </w:rPr>
      </w:pP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法定代表人（单位负责人）或其委托代理人：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（签字）</w:t>
      </w:r>
    </w:p>
    <w:p>
      <w:pPr>
        <w:spacing w:line="480" w:lineRule="exact"/>
        <w:rPr>
          <w:rFonts w:hint="eastAsia" w:ascii="仿宋" w:hAnsi="仿宋" w:eastAsia="仿宋" w:cs="仿宋"/>
          <w:color w:val="auto"/>
          <w:sz w:val="24"/>
          <w:highlight w:val="none"/>
        </w:rPr>
      </w:pP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p>
    <w:p>
      <w:pPr>
        <w:pStyle w:val="2"/>
        <w:rPr>
          <w:rFonts w:hint="eastAsia" w:ascii="仿宋" w:hAnsi="仿宋" w:eastAsia="仿宋" w:cs="仿宋"/>
          <w:color w:val="auto"/>
          <w:highlight w:val="none"/>
        </w:rPr>
      </w:pP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p>
    <w:p>
      <w:pPr>
        <w:pStyle w:val="2"/>
        <w:rPr>
          <w:rFonts w:hint="eastAsia" w:ascii="仿宋" w:hAnsi="仿宋" w:eastAsia="仿宋" w:cs="仿宋"/>
          <w:color w:val="auto"/>
          <w:highlight w:val="none"/>
        </w:rPr>
      </w:pP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480" w:lineRule="exact"/>
        <w:ind w:firstLine="480" w:firstLineChars="200"/>
        <w:rPr>
          <w:rFonts w:hint="eastAsia" w:ascii="仿宋" w:hAnsi="仿宋" w:eastAsia="仿宋" w:cs="仿宋"/>
          <w:color w:val="auto"/>
          <w:sz w:val="24"/>
          <w:highlight w:val="none"/>
        </w:rPr>
      </w:pPr>
    </w:p>
    <w:p>
      <w:pPr>
        <w:spacing w:line="480" w:lineRule="exact"/>
        <w:ind w:firstLine="480" w:firstLineChars="200"/>
        <w:rPr>
          <w:rFonts w:hint="eastAsia" w:ascii="仿宋" w:hAnsi="仿宋" w:eastAsia="仿宋" w:cs="仿宋"/>
          <w:color w:val="auto"/>
          <w:sz w:val="24"/>
          <w:highlight w:val="none"/>
        </w:rPr>
      </w:pPr>
    </w:p>
    <w:p>
      <w:pPr>
        <w:spacing w:line="480" w:lineRule="exact"/>
        <w:ind w:firstLine="480" w:firstLineChars="200"/>
        <w:rPr>
          <w:rFonts w:hint="eastAsia" w:ascii="仿宋" w:hAnsi="仿宋" w:eastAsia="仿宋" w:cs="仿宋"/>
          <w:color w:val="auto"/>
          <w:sz w:val="24"/>
          <w:highlight w:val="none"/>
        </w:rPr>
      </w:pPr>
    </w:p>
    <w:p>
      <w:pPr>
        <w:spacing w:line="480" w:lineRule="exact"/>
        <w:ind w:firstLine="480" w:firstLineChars="200"/>
        <w:rPr>
          <w:rFonts w:hint="eastAsia" w:ascii="仿宋" w:hAnsi="仿宋" w:eastAsia="仿宋" w:cs="仿宋"/>
          <w:color w:val="auto"/>
          <w:sz w:val="24"/>
          <w:highlight w:val="none"/>
        </w:rPr>
      </w:pPr>
    </w:p>
    <w:p>
      <w:pPr>
        <w:pStyle w:val="4"/>
        <w:tabs>
          <w:tab w:val="clear" w:pos="618"/>
          <w:tab w:val="clear" w:pos="927"/>
        </w:tabs>
        <w:rPr>
          <w:rFonts w:hint="eastAsia" w:ascii="仿宋" w:hAnsi="仿宋" w:eastAsia="仿宋" w:cs="仿宋"/>
          <w:color w:val="auto"/>
          <w:highlight w:val="none"/>
        </w:rPr>
      </w:pPr>
      <w:bookmarkStart w:id="942" w:name="_Toc514253197"/>
      <w:bookmarkStart w:id="943" w:name="_Toc224"/>
      <w:bookmarkStart w:id="944" w:name="_Toc26681"/>
      <w:r>
        <w:rPr>
          <w:rFonts w:hint="eastAsia" w:ascii="仿宋" w:hAnsi="仿宋" w:eastAsia="仿宋" w:cs="仿宋"/>
          <w:color w:val="auto"/>
          <w:highlight w:val="none"/>
        </w:rPr>
        <w:br w:type="page"/>
      </w:r>
      <w:bookmarkStart w:id="945" w:name="_Toc78272830"/>
      <w:bookmarkStart w:id="946" w:name="_Toc61260772"/>
      <w:bookmarkStart w:id="947" w:name="_Toc31726"/>
      <w:r>
        <w:rPr>
          <w:rFonts w:hint="eastAsia" w:ascii="仿宋" w:hAnsi="仿宋" w:eastAsia="仿宋" w:cs="仿宋"/>
          <w:color w:val="auto"/>
          <w:highlight w:val="none"/>
        </w:rPr>
        <w:t>二、法定代表人身份证明书</w:t>
      </w:r>
      <w:bookmarkEnd w:id="942"/>
      <w:bookmarkEnd w:id="943"/>
      <w:bookmarkEnd w:id="944"/>
      <w:bookmarkEnd w:id="945"/>
      <w:bookmarkEnd w:id="946"/>
      <w:bookmarkEnd w:id="947"/>
    </w:p>
    <w:p>
      <w:pPr>
        <w:ind w:left="3573"/>
        <w:jc w:val="center"/>
        <w:rPr>
          <w:rFonts w:hint="eastAsia" w:ascii="仿宋" w:hAnsi="仿宋" w:eastAsia="仿宋" w:cs="仿宋"/>
          <w:b/>
          <w:color w:val="auto"/>
          <w:sz w:val="32"/>
          <w:highlight w:val="none"/>
        </w:rPr>
      </w:pPr>
    </w:p>
    <w:p>
      <w:pPr>
        <w:ind w:left="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单位名称：</w:t>
      </w:r>
    </w:p>
    <w:p>
      <w:pPr>
        <w:ind w:left="540"/>
        <w:rPr>
          <w:rFonts w:hint="eastAsia" w:ascii="仿宋" w:hAnsi="仿宋" w:eastAsia="仿宋" w:cs="仿宋"/>
          <w:color w:val="auto"/>
          <w:sz w:val="24"/>
          <w:highlight w:val="none"/>
        </w:rPr>
      </w:pPr>
    </w:p>
    <w:p>
      <w:pPr>
        <w:ind w:left="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单位性质：</w:t>
      </w:r>
    </w:p>
    <w:p>
      <w:pPr>
        <w:ind w:left="540"/>
        <w:rPr>
          <w:rFonts w:hint="eastAsia" w:ascii="仿宋" w:hAnsi="仿宋" w:eastAsia="仿宋" w:cs="仿宋"/>
          <w:color w:val="auto"/>
          <w:sz w:val="24"/>
          <w:highlight w:val="none"/>
        </w:rPr>
      </w:pPr>
    </w:p>
    <w:p>
      <w:pPr>
        <w:ind w:left="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p>
    <w:p>
      <w:pPr>
        <w:ind w:left="540"/>
        <w:rPr>
          <w:rFonts w:hint="eastAsia" w:ascii="仿宋" w:hAnsi="仿宋" w:eastAsia="仿宋" w:cs="仿宋"/>
          <w:color w:val="auto"/>
          <w:sz w:val="24"/>
          <w:highlight w:val="none"/>
        </w:rPr>
      </w:pPr>
    </w:p>
    <w:p>
      <w:pPr>
        <w:ind w:left="540"/>
        <w:rPr>
          <w:rFonts w:hint="eastAsia" w:ascii="仿宋" w:hAnsi="仿宋" w:eastAsia="仿宋" w:cs="仿宋"/>
          <w:color w:val="auto"/>
          <w:sz w:val="24"/>
          <w:highlight w:val="none"/>
        </w:rPr>
      </w:pPr>
      <w:r>
        <w:rPr>
          <w:rFonts w:hint="eastAsia" w:ascii="仿宋" w:hAnsi="仿宋" w:eastAsia="仿宋" w:cs="仿宋"/>
          <w:color w:val="auto"/>
          <w:sz w:val="24"/>
          <w:highlight w:val="none"/>
        </w:rPr>
        <w:t>成立时间：年月日</w:t>
      </w:r>
    </w:p>
    <w:p>
      <w:pPr>
        <w:ind w:left="540"/>
        <w:rPr>
          <w:rFonts w:hint="eastAsia" w:ascii="仿宋" w:hAnsi="仿宋" w:eastAsia="仿宋" w:cs="仿宋"/>
          <w:color w:val="auto"/>
          <w:sz w:val="24"/>
          <w:highlight w:val="none"/>
        </w:rPr>
      </w:pPr>
    </w:p>
    <w:p>
      <w:pPr>
        <w:ind w:left="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经营期限：</w:t>
      </w:r>
    </w:p>
    <w:p>
      <w:pPr>
        <w:ind w:left="540"/>
        <w:rPr>
          <w:rFonts w:hint="eastAsia" w:ascii="仿宋" w:hAnsi="仿宋" w:eastAsia="仿宋" w:cs="仿宋"/>
          <w:color w:val="auto"/>
          <w:sz w:val="24"/>
          <w:highlight w:val="none"/>
        </w:rPr>
      </w:pPr>
    </w:p>
    <w:p>
      <w:pPr>
        <w:ind w:left="540"/>
        <w:rPr>
          <w:rFonts w:hint="eastAsia" w:ascii="仿宋" w:hAnsi="仿宋" w:eastAsia="仿宋" w:cs="仿宋"/>
          <w:color w:val="auto"/>
          <w:sz w:val="24"/>
          <w:highlight w:val="none"/>
        </w:rPr>
      </w:pPr>
      <w:r>
        <w:rPr>
          <w:rFonts w:hint="eastAsia" w:ascii="仿宋" w:hAnsi="仿宋" w:eastAsia="仿宋" w:cs="仿宋"/>
          <w:color w:val="auto"/>
          <w:sz w:val="24"/>
          <w:highlight w:val="none"/>
        </w:rPr>
        <w:t>姓名：性别：年龄：职务：</w:t>
      </w:r>
    </w:p>
    <w:p>
      <w:pPr>
        <w:ind w:left="540"/>
        <w:rPr>
          <w:rFonts w:hint="eastAsia" w:ascii="仿宋" w:hAnsi="仿宋" w:eastAsia="仿宋" w:cs="仿宋"/>
          <w:color w:val="auto"/>
          <w:sz w:val="24"/>
          <w:highlight w:val="none"/>
        </w:rPr>
      </w:pPr>
    </w:p>
    <w:p>
      <w:pPr>
        <w:ind w:left="540"/>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(投标人名称) </w:t>
      </w:r>
      <w:r>
        <w:rPr>
          <w:rFonts w:hint="eastAsia" w:ascii="仿宋" w:hAnsi="仿宋" w:eastAsia="仿宋" w:cs="仿宋"/>
          <w:color w:val="auto"/>
          <w:sz w:val="24"/>
          <w:highlight w:val="none"/>
        </w:rPr>
        <w:t>的法定代表人。</w:t>
      </w:r>
    </w:p>
    <w:p>
      <w:pPr>
        <w:tabs>
          <w:tab w:val="left" w:pos="1515"/>
        </w:tabs>
        <w:ind w:left="540"/>
        <w:rPr>
          <w:rFonts w:hint="eastAsia" w:ascii="仿宋" w:hAnsi="仿宋" w:eastAsia="仿宋" w:cs="仿宋"/>
          <w:color w:val="auto"/>
          <w:sz w:val="24"/>
          <w:highlight w:val="none"/>
        </w:rPr>
      </w:pPr>
    </w:p>
    <w:p>
      <w:pPr>
        <w:tabs>
          <w:tab w:val="left" w:pos="1515"/>
        </w:tabs>
        <w:ind w:left="540"/>
        <w:rPr>
          <w:rFonts w:hint="eastAsia" w:ascii="仿宋" w:hAnsi="仿宋" w:eastAsia="仿宋" w:cs="仿宋"/>
          <w:color w:val="auto"/>
          <w:sz w:val="24"/>
          <w:highlight w:val="none"/>
        </w:rPr>
      </w:pPr>
    </w:p>
    <w:p>
      <w:pPr>
        <w:tabs>
          <w:tab w:val="left" w:pos="1515"/>
        </w:tabs>
        <w:ind w:left="54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r>
        <w:rPr>
          <w:rFonts w:hint="eastAsia" w:ascii="仿宋" w:hAnsi="仿宋" w:eastAsia="仿宋" w:cs="仿宋"/>
          <w:color w:val="auto"/>
          <w:sz w:val="24"/>
          <w:highlight w:val="none"/>
        </w:rPr>
        <w:tab/>
      </w:r>
    </w:p>
    <w:p>
      <w:pPr>
        <w:ind w:left="54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法定代表人身份证复印件</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2" w:hRule="atLeast"/>
        </w:trPr>
        <w:tc>
          <w:tcPr>
            <w:tcW w:w="9024"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法定代表人身份证复印件（正面）：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9024"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法定代表人身份证复印件（背面）：</w:t>
            </w:r>
          </w:p>
        </w:tc>
      </w:tr>
    </w:tbl>
    <w:p>
      <w:pPr>
        <w:ind w:firstLine="4080" w:firstLineChars="1700"/>
        <w:rPr>
          <w:rFonts w:hint="eastAsia" w:ascii="仿宋" w:hAnsi="仿宋" w:eastAsia="仿宋" w:cs="仿宋"/>
          <w:color w:val="auto"/>
          <w:sz w:val="24"/>
          <w:highlight w:val="none"/>
        </w:rPr>
      </w:pPr>
    </w:p>
    <w:p>
      <w:pPr>
        <w:ind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投标人：</w:t>
      </w:r>
      <w:r>
        <w:rPr>
          <w:rFonts w:hint="eastAsia" w:ascii="仿宋" w:hAnsi="仿宋" w:eastAsia="仿宋" w:cs="仿宋"/>
          <w:color w:val="auto"/>
          <w:sz w:val="24"/>
          <w:highlight w:val="none"/>
          <w:u w:val="single"/>
        </w:rPr>
        <w:t xml:space="preserve">        (盖章)       </w:t>
      </w:r>
    </w:p>
    <w:p>
      <w:pPr>
        <w:ind w:left="540"/>
        <w:rPr>
          <w:rFonts w:hint="eastAsia" w:ascii="仿宋" w:hAnsi="仿宋" w:eastAsia="仿宋" w:cs="仿宋"/>
          <w:color w:val="auto"/>
          <w:sz w:val="24"/>
          <w:highlight w:val="none"/>
        </w:rPr>
      </w:pPr>
    </w:p>
    <w:p>
      <w:pPr>
        <w:ind w:left="540"/>
        <w:rPr>
          <w:rFonts w:hint="eastAsia" w:ascii="仿宋" w:hAnsi="仿宋" w:eastAsia="仿宋" w:cs="仿宋"/>
          <w:color w:val="auto"/>
          <w:sz w:val="24"/>
          <w:highlight w:val="none"/>
        </w:rPr>
      </w:pPr>
    </w:p>
    <w:p>
      <w:pPr>
        <w:ind w:left="540" w:firstLine="366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期：年月日</w:t>
      </w:r>
    </w:p>
    <w:p>
      <w:pPr>
        <w:pStyle w:val="4"/>
        <w:bidi w:val="0"/>
        <w:rPr>
          <w:rFonts w:hint="eastAsia"/>
          <w:color w:val="auto"/>
          <w:highlight w:val="none"/>
        </w:rPr>
      </w:pPr>
      <w:bookmarkStart w:id="948" w:name="_Toc514253198"/>
      <w:bookmarkStart w:id="949" w:name="_Toc61260773"/>
      <w:bookmarkStart w:id="950" w:name="_Toc78272831"/>
      <w:bookmarkStart w:id="951" w:name="_Toc27586"/>
      <w:bookmarkStart w:id="952" w:name="_Toc7189"/>
      <w:bookmarkStart w:id="953" w:name="_Toc31077"/>
      <w:r>
        <w:rPr>
          <w:rFonts w:hint="eastAsia"/>
          <w:color w:val="auto"/>
          <w:highlight w:val="none"/>
        </w:rPr>
        <w:t>三、投标文件签署授权委托书</w:t>
      </w:r>
      <w:bookmarkEnd w:id="948"/>
      <w:bookmarkEnd w:id="949"/>
      <w:bookmarkEnd w:id="950"/>
      <w:bookmarkEnd w:id="951"/>
      <w:bookmarkEnd w:id="952"/>
      <w:bookmarkEnd w:id="953"/>
    </w:p>
    <w:p>
      <w:pPr>
        <w:jc w:val="left"/>
        <w:rPr>
          <w:rFonts w:hint="eastAsia" w:ascii="仿宋" w:hAnsi="仿宋" w:eastAsia="仿宋" w:cs="仿宋"/>
          <w:color w:val="auto"/>
          <w:highlight w:val="none"/>
        </w:rPr>
      </w:pPr>
    </w:p>
    <w:p>
      <w:pPr>
        <w:spacing w:line="600" w:lineRule="exact"/>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本授权委托书声明：我 </w:t>
      </w:r>
      <w:r>
        <w:rPr>
          <w:rFonts w:hint="eastAsia" w:ascii="仿宋" w:hAnsi="仿宋" w:eastAsia="仿宋" w:cs="仿宋"/>
          <w:color w:val="auto"/>
          <w:sz w:val="24"/>
          <w:highlight w:val="none"/>
          <w:u w:val="single"/>
        </w:rPr>
        <w:t xml:space="preserve">    （姓名）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（投标人名称）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（姓名）</w:t>
      </w:r>
      <w:r>
        <w:rPr>
          <w:rFonts w:hint="eastAsia" w:ascii="仿宋" w:hAnsi="仿宋" w:eastAsia="仿宋" w:cs="仿宋"/>
          <w:color w:val="auto"/>
          <w:sz w:val="24"/>
          <w:highlight w:val="none"/>
        </w:rPr>
        <w:t>为我公司签署本项目的投标文件的法定代表人授权委托代理人，我承认代理人全权代表我所签署的本项目的投标文件的内容。</w:t>
      </w:r>
    </w:p>
    <w:p>
      <w:pPr>
        <w:spacing w:line="6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代理人无转委托权，特此委托。</w:t>
      </w:r>
    </w:p>
    <w:p>
      <w:pPr>
        <w:ind w:firstLine="480"/>
        <w:jc w:val="left"/>
        <w:rPr>
          <w:rFonts w:hint="eastAsia" w:ascii="仿宋" w:hAnsi="仿宋" w:eastAsia="仿宋" w:cs="仿宋"/>
          <w:color w:val="auto"/>
          <w:sz w:val="24"/>
          <w:highlight w:val="none"/>
        </w:rPr>
      </w:pPr>
    </w:p>
    <w:p>
      <w:pPr>
        <w:ind w:left="54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委托代理人身份证复印件</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trPr>
        <w:tc>
          <w:tcPr>
            <w:tcW w:w="9024"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委托代理人身份证复印件（正面）：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trPr>
        <w:tc>
          <w:tcPr>
            <w:tcW w:w="9024"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委托代理人身份证复印件（背面）：</w:t>
            </w:r>
          </w:p>
        </w:tc>
      </w:tr>
    </w:tbl>
    <w:p>
      <w:pPr>
        <w:ind w:firstLine="480"/>
        <w:jc w:val="left"/>
        <w:rPr>
          <w:rFonts w:hint="eastAsia" w:ascii="仿宋" w:hAnsi="仿宋" w:eastAsia="仿宋" w:cs="仿宋"/>
          <w:color w:val="auto"/>
          <w:sz w:val="24"/>
          <w:highlight w:val="none"/>
        </w:rPr>
      </w:pPr>
    </w:p>
    <w:p>
      <w:pPr>
        <w:ind w:right="-506" w:rightChars="-241"/>
        <w:jc w:val="left"/>
        <w:rPr>
          <w:rFonts w:hint="eastAsia" w:ascii="仿宋" w:hAnsi="仿宋" w:eastAsia="仿宋" w:cs="仿宋"/>
          <w:color w:val="auto"/>
          <w:sz w:val="24"/>
          <w:highlight w:val="none"/>
        </w:rPr>
      </w:pPr>
    </w:p>
    <w:p>
      <w:pPr>
        <w:ind w:right="-506" w:rightChars="-241" w:firstLine="3360" w:firstLineChars="14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代理人（签字）：</w:t>
      </w:r>
    </w:p>
    <w:p>
      <w:pPr>
        <w:jc w:val="left"/>
        <w:rPr>
          <w:rFonts w:hint="eastAsia" w:ascii="仿宋" w:hAnsi="仿宋" w:eastAsia="仿宋" w:cs="仿宋"/>
          <w:color w:val="auto"/>
          <w:sz w:val="24"/>
          <w:highlight w:val="none"/>
        </w:rPr>
      </w:pPr>
    </w:p>
    <w:p>
      <w:pPr>
        <w:ind w:right="-687" w:rightChars="-327" w:firstLine="336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身份证号码：职务：</w:t>
      </w:r>
    </w:p>
    <w:p>
      <w:pPr>
        <w:jc w:val="left"/>
        <w:rPr>
          <w:rFonts w:hint="eastAsia" w:ascii="仿宋" w:hAnsi="仿宋" w:eastAsia="仿宋" w:cs="仿宋"/>
          <w:color w:val="auto"/>
          <w:sz w:val="24"/>
          <w:highlight w:val="none"/>
        </w:rPr>
      </w:pPr>
    </w:p>
    <w:p>
      <w:pPr>
        <w:ind w:firstLine="336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投标人（盖章）：</w:t>
      </w:r>
    </w:p>
    <w:p>
      <w:pPr>
        <w:jc w:val="left"/>
        <w:rPr>
          <w:rFonts w:hint="eastAsia" w:ascii="仿宋" w:hAnsi="仿宋" w:eastAsia="仿宋" w:cs="仿宋"/>
          <w:color w:val="auto"/>
          <w:sz w:val="24"/>
          <w:highlight w:val="none"/>
        </w:rPr>
      </w:pPr>
    </w:p>
    <w:p>
      <w:pPr>
        <w:ind w:firstLine="336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w:t>
      </w:r>
    </w:p>
    <w:p>
      <w:pPr>
        <w:jc w:val="left"/>
        <w:rPr>
          <w:rFonts w:hint="eastAsia" w:ascii="仿宋" w:hAnsi="仿宋" w:eastAsia="仿宋" w:cs="仿宋"/>
          <w:color w:val="auto"/>
          <w:sz w:val="24"/>
          <w:highlight w:val="none"/>
        </w:rPr>
      </w:pPr>
    </w:p>
    <w:p>
      <w:pPr>
        <w:ind w:firstLine="336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期:年月日</w:t>
      </w:r>
    </w:p>
    <w:p>
      <w:pPr>
        <w:pStyle w:val="4"/>
        <w:tabs>
          <w:tab w:val="clear" w:pos="618"/>
          <w:tab w:val="clear" w:pos="927"/>
        </w:tabs>
        <w:rPr>
          <w:rFonts w:hint="eastAsia" w:ascii="仿宋" w:hAnsi="仿宋" w:eastAsia="仿宋" w:cs="仿宋"/>
          <w:color w:val="auto"/>
          <w:highlight w:val="none"/>
        </w:rPr>
      </w:pPr>
      <w:bookmarkStart w:id="954" w:name="_Toc514253199"/>
      <w:bookmarkStart w:id="955" w:name="_Toc18250"/>
      <w:bookmarkStart w:id="956" w:name="_Toc20140"/>
      <w:r>
        <w:rPr>
          <w:rFonts w:hint="eastAsia" w:ascii="仿宋" w:hAnsi="仿宋" w:eastAsia="仿宋" w:cs="仿宋"/>
          <w:color w:val="auto"/>
          <w:highlight w:val="none"/>
        </w:rPr>
        <w:br w:type="page"/>
      </w:r>
      <w:bookmarkStart w:id="957" w:name="_Toc78272832"/>
      <w:bookmarkStart w:id="958" w:name="_Toc61260774"/>
      <w:bookmarkStart w:id="959" w:name="_Toc16973"/>
      <w:r>
        <w:rPr>
          <w:rFonts w:hint="eastAsia" w:ascii="仿宋" w:hAnsi="仿宋" w:eastAsia="仿宋" w:cs="仿宋"/>
          <w:color w:val="auto"/>
          <w:highlight w:val="none"/>
        </w:rPr>
        <w:t>四、投标保证金凭证复印件</w:t>
      </w:r>
      <w:bookmarkEnd w:id="954"/>
      <w:bookmarkEnd w:id="955"/>
      <w:bookmarkEnd w:id="956"/>
      <w:bookmarkEnd w:id="957"/>
      <w:bookmarkEnd w:id="958"/>
      <w:bookmarkEnd w:id="959"/>
    </w:p>
    <w:p>
      <w:pPr>
        <w:ind w:left="532"/>
        <w:jc w:val="center"/>
        <w:rPr>
          <w:rFonts w:hint="eastAsia" w:ascii="仿宋" w:hAnsi="仿宋" w:eastAsia="仿宋" w:cs="仿宋"/>
          <w:b/>
          <w:color w:val="auto"/>
          <w:sz w:val="32"/>
          <w:highlight w:val="none"/>
        </w:rPr>
      </w:pPr>
    </w:p>
    <w:p>
      <w:pPr>
        <w:snapToGrid w:val="0"/>
        <w:jc w:val="center"/>
        <w:rPr>
          <w:rFonts w:hint="eastAsia" w:ascii="仿宋" w:hAnsi="仿宋" w:eastAsia="仿宋" w:cs="仿宋"/>
          <w:color w:val="auto"/>
          <w:sz w:val="28"/>
          <w:szCs w:val="28"/>
          <w:highlight w:val="none"/>
        </w:rPr>
      </w:pPr>
    </w:p>
    <w:p>
      <w:pPr>
        <w:snapToGrid w:val="0"/>
        <w:jc w:val="center"/>
        <w:rPr>
          <w:rFonts w:hint="eastAsia" w:ascii="仿宋" w:hAnsi="仿宋" w:eastAsia="仿宋" w:cs="仿宋"/>
          <w:color w:val="auto"/>
          <w:sz w:val="28"/>
          <w:szCs w:val="28"/>
          <w:highlight w:val="none"/>
        </w:rPr>
      </w:pPr>
    </w:p>
    <w:p>
      <w:pPr>
        <w:tabs>
          <w:tab w:val="left" w:pos="840"/>
        </w:tabs>
        <w:snapToGrid w:val="0"/>
        <w:spacing w:afterLines="50" w:line="360" w:lineRule="auto"/>
        <w:ind w:firstLine="734" w:firstLineChars="306"/>
        <w:rPr>
          <w:rFonts w:hint="eastAsia" w:ascii="仿宋" w:hAnsi="仿宋" w:eastAsia="仿宋" w:cs="仿宋"/>
          <w:color w:val="auto"/>
          <w:sz w:val="24"/>
          <w:highlight w:val="none"/>
        </w:rPr>
      </w:pPr>
    </w:p>
    <w:p>
      <w:pPr>
        <w:tabs>
          <w:tab w:val="left" w:pos="840"/>
        </w:tabs>
        <w:snapToGrid w:val="0"/>
        <w:spacing w:afterLines="50" w:line="360" w:lineRule="auto"/>
        <w:ind w:firstLine="734" w:firstLineChars="306"/>
        <w:rPr>
          <w:rFonts w:hint="eastAsia" w:ascii="仿宋" w:hAnsi="仿宋" w:eastAsia="仿宋" w:cs="仿宋"/>
          <w:color w:val="auto"/>
          <w:sz w:val="24"/>
          <w:highlight w:val="none"/>
        </w:rPr>
      </w:pPr>
    </w:p>
    <w:p>
      <w:pPr>
        <w:tabs>
          <w:tab w:val="left" w:pos="840"/>
        </w:tabs>
        <w:snapToGrid w:val="0"/>
        <w:spacing w:afterLines="50" w:line="360" w:lineRule="auto"/>
        <w:ind w:firstLine="734" w:firstLineChars="306"/>
        <w:rPr>
          <w:rFonts w:hint="eastAsia" w:ascii="仿宋" w:hAnsi="仿宋" w:eastAsia="仿宋" w:cs="仿宋"/>
          <w:color w:val="auto"/>
          <w:sz w:val="24"/>
          <w:highlight w:val="none"/>
        </w:rPr>
      </w:pPr>
    </w:p>
    <w:p>
      <w:pPr>
        <w:tabs>
          <w:tab w:val="left" w:pos="840"/>
        </w:tabs>
        <w:snapToGrid w:val="0"/>
        <w:spacing w:afterLines="50" w:line="360" w:lineRule="auto"/>
        <w:ind w:firstLine="734" w:firstLineChars="306"/>
        <w:rPr>
          <w:rFonts w:hint="eastAsia" w:ascii="仿宋" w:hAnsi="仿宋" w:eastAsia="仿宋" w:cs="仿宋"/>
          <w:color w:val="auto"/>
          <w:sz w:val="24"/>
          <w:highlight w:val="none"/>
        </w:rPr>
      </w:pPr>
    </w:p>
    <w:p>
      <w:pPr>
        <w:tabs>
          <w:tab w:val="left" w:pos="840"/>
        </w:tabs>
        <w:snapToGrid w:val="0"/>
        <w:spacing w:afterLines="50" w:line="360" w:lineRule="auto"/>
        <w:ind w:firstLine="860" w:firstLineChars="306"/>
        <w:rPr>
          <w:rFonts w:hint="eastAsia" w:ascii="仿宋" w:hAnsi="仿宋" w:eastAsia="仿宋" w:cs="仿宋"/>
          <w:b/>
          <w:bCs/>
          <w:color w:val="auto"/>
          <w:sz w:val="28"/>
          <w:szCs w:val="28"/>
          <w:highlight w:val="none"/>
        </w:rPr>
      </w:pPr>
    </w:p>
    <w:p>
      <w:pPr>
        <w:tabs>
          <w:tab w:val="left" w:pos="840"/>
        </w:tabs>
        <w:snapToGrid w:val="0"/>
        <w:spacing w:afterLines="50" w:line="360" w:lineRule="auto"/>
        <w:ind w:firstLine="860" w:firstLineChars="306"/>
        <w:rPr>
          <w:rFonts w:hint="eastAsia" w:ascii="仿宋" w:hAnsi="仿宋" w:eastAsia="仿宋" w:cs="仿宋"/>
          <w:b/>
          <w:bCs/>
          <w:color w:val="auto"/>
          <w:sz w:val="28"/>
          <w:szCs w:val="28"/>
          <w:highlight w:val="none"/>
        </w:rPr>
      </w:pPr>
    </w:p>
    <w:p>
      <w:pPr>
        <w:tabs>
          <w:tab w:val="left" w:pos="840"/>
        </w:tabs>
        <w:snapToGrid w:val="0"/>
        <w:spacing w:afterLines="50" w:line="360" w:lineRule="auto"/>
        <w:rPr>
          <w:rFonts w:hint="eastAsia" w:ascii="仿宋" w:hAnsi="仿宋" w:eastAsia="仿宋" w:cs="仿宋"/>
          <w:color w:val="auto"/>
          <w:sz w:val="28"/>
          <w:highlight w:val="none"/>
        </w:rPr>
      </w:pPr>
    </w:p>
    <w:p>
      <w:pPr>
        <w:tabs>
          <w:tab w:val="left" w:pos="840"/>
        </w:tabs>
        <w:snapToGrid w:val="0"/>
        <w:spacing w:afterLines="50" w:line="360" w:lineRule="auto"/>
        <w:rPr>
          <w:rFonts w:hint="eastAsia" w:ascii="仿宋" w:hAnsi="仿宋" w:eastAsia="仿宋" w:cs="仿宋"/>
          <w:color w:val="auto"/>
          <w:sz w:val="28"/>
          <w:highlight w:val="none"/>
        </w:rPr>
      </w:pPr>
    </w:p>
    <w:p>
      <w:pPr>
        <w:tabs>
          <w:tab w:val="left" w:pos="840"/>
        </w:tabs>
        <w:snapToGrid w:val="0"/>
        <w:spacing w:afterLines="50" w:line="360" w:lineRule="auto"/>
        <w:rPr>
          <w:rFonts w:hint="eastAsia" w:ascii="仿宋" w:hAnsi="仿宋" w:eastAsia="仿宋" w:cs="仿宋"/>
          <w:color w:val="auto"/>
          <w:sz w:val="28"/>
          <w:highlight w:val="none"/>
        </w:rPr>
      </w:pPr>
    </w:p>
    <w:p>
      <w:pPr>
        <w:tabs>
          <w:tab w:val="left" w:pos="840"/>
        </w:tabs>
        <w:snapToGrid w:val="0"/>
        <w:spacing w:afterLines="50" w:line="360" w:lineRule="auto"/>
        <w:rPr>
          <w:rFonts w:hint="eastAsia" w:ascii="仿宋" w:hAnsi="仿宋" w:eastAsia="仿宋" w:cs="仿宋"/>
          <w:color w:val="auto"/>
          <w:sz w:val="28"/>
          <w:highlight w:val="none"/>
        </w:rPr>
      </w:pPr>
    </w:p>
    <w:p>
      <w:pPr>
        <w:tabs>
          <w:tab w:val="left" w:pos="840"/>
        </w:tabs>
        <w:snapToGrid w:val="0"/>
        <w:spacing w:afterLines="50" w:line="360" w:lineRule="auto"/>
        <w:rPr>
          <w:rFonts w:hint="eastAsia" w:ascii="仿宋" w:hAnsi="仿宋" w:eastAsia="仿宋" w:cs="仿宋"/>
          <w:color w:val="auto"/>
          <w:sz w:val="28"/>
          <w:highlight w:val="none"/>
        </w:rPr>
      </w:pPr>
    </w:p>
    <w:p>
      <w:pPr>
        <w:tabs>
          <w:tab w:val="left" w:pos="840"/>
        </w:tabs>
        <w:snapToGrid w:val="0"/>
        <w:spacing w:afterLines="50" w:line="360" w:lineRule="auto"/>
        <w:rPr>
          <w:rFonts w:hint="eastAsia" w:ascii="仿宋" w:hAnsi="仿宋" w:eastAsia="仿宋" w:cs="仿宋"/>
          <w:color w:val="auto"/>
          <w:sz w:val="28"/>
          <w:highlight w:val="none"/>
        </w:rPr>
      </w:pPr>
    </w:p>
    <w:p>
      <w:pPr>
        <w:tabs>
          <w:tab w:val="left" w:pos="840"/>
        </w:tabs>
        <w:snapToGrid w:val="0"/>
        <w:spacing w:afterLines="50" w:line="360" w:lineRule="auto"/>
        <w:rPr>
          <w:rFonts w:hint="eastAsia" w:ascii="仿宋" w:hAnsi="仿宋" w:eastAsia="仿宋" w:cs="仿宋"/>
          <w:color w:val="auto"/>
          <w:sz w:val="28"/>
          <w:highlight w:val="none"/>
        </w:rPr>
      </w:pPr>
    </w:p>
    <w:p>
      <w:pPr>
        <w:tabs>
          <w:tab w:val="left" w:pos="840"/>
        </w:tabs>
        <w:snapToGrid w:val="0"/>
        <w:spacing w:afterLines="50" w:line="360" w:lineRule="auto"/>
        <w:rPr>
          <w:rFonts w:hint="eastAsia" w:ascii="仿宋" w:hAnsi="仿宋" w:eastAsia="仿宋" w:cs="仿宋"/>
          <w:color w:val="auto"/>
          <w:sz w:val="28"/>
          <w:highlight w:val="none"/>
        </w:rPr>
      </w:pPr>
    </w:p>
    <w:p>
      <w:pPr>
        <w:tabs>
          <w:tab w:val="left" w:pos="840"/>
        </w:tabs>
        <w:snapToGrid w:val="0"/>
        <w:spacing w:afterLines="50" w:line="360" w:lineRule="auto"/>
        <w:rPr>
          <w:rFonts w:hint="eastAsia" w:ascii="仿宋" w:hAnsi="仿宋" w:eastAsia="仿宋" w:cs="仿宋"/>
          <w:color w:val="auto"/>
          <w:sz w:val="28"/>
          <w:highlight w:val="none"/>
        </w:rPr>
      </w:pPr>
    </w:p>
    <w:p>
      <w:pPr>
        <w:tabs>
          <w:tab w:val="left" w:pos="840"/>
        </w:tabs>
        <w:snapToGrid w:val="0"/>
        <w:spacing w:afterLines="50" w:line="360" w:lineRule="auto"/>
        <w:rPr>
          <w:rFonts w:hint="eastAsia" w:ascii="仿宋" w:hAnsi="仿宋" w:eastAsia="仿宋" w:cs="仿宋"/>
          <w:color w:val="auto"/>
          <w:sz w:val="28"/>
          <w:highlight w:val="none"/>
        </w:rPr>
      </w:pPr>
    </w:p>
    <w:p>
      <w:pPr>
        <w:pStyle w:val="2"/>
        <w:rPr>
          <w:rFonts w:hint="eastAsia"/>
          <w:color w:val="auto"/>
          <w:highlight w:val="none"/>
        </w:rPr>
      </w:pPr>
    </w:p>
    <w:p>
      <w:pPr>
        <w:tabs>
          <w:tab w:val="left" w:pos="840"/>
        </w:tabs>
        <w:snapToGrid w:val="0"/>
        <w:spacing w:afterLines="50" w:line="360" w:lineRule="auto"/>
        <w:rPr>
          <w:rFonts w:hint="eastAsia" w:ascii="仿宋" w:hAnsi="仿宋" w:eastAsia="仿宋" w:cs="仿宋"/>
          <w:color w:val="auto"/>
          <w:sz w:val="28"/>
          <w:highlight w:val="none"/>
        </w:rPr>
      </w:pPr>
    </w:p>
    <w:p>
      <w:pPr>
        <w:pStyle w:val="4"/>
        <w:bidi w:val="0"/>
        <w:rPr>
          <w:rFonts w:hint="eastAsia"/>
          <w:color w:val="auto"/>
          <w:highlight w:val="none"/>
        </w:rPr>
      </w:pPr>
      <w:bookmarkStart w:id="960" w:name="_Toc78272833"/>
      <w:bookmarkStart w:id="961" w:name="_Toc201978769"/>
      <w:bookmarkStart w:id="962" w:name="_Toc514253200"/>
      <w:bookmarkStart w:id="963" w:name="_Toc12186"/>
      <w:bookmarkStart w:id="964" w:name="_Toc61260775"/>
      <w:bookmarkStart w:id="965" w:name="_Toc11792"/>
      <w:bookmarkStart w:id="966" w:name="_Toc324164749"/>
      <w:bookmarkStart w:id="967" w:name="_Toc31548"/>
      <w:bookmarkStart w:id="968" w:name="_Toc12765"/>
      <w:r>
        <w:rPr>
          <w:rFonts w:hint="eastAsia"/>
          <w:color w:val="auto"/>
          <w:highlight w:val="none"/>
        </w:rPr>
        <w:t>五、项目投标报价明细表</w:t>
      </w:r>
      <w:bookmarkEnd w:id="960"/>
      <w:bookmarkEnd w:id="961"/>
      <w:bookmarkEnd w:id="962"/>
      <w:bookmarkEnd w:id="963"/>
      <w:bookmarkEnd w:id="964"/>
      <w:bookmarkEnd w:id="965"/>
      <w:bookmarkEnd w:id="966"/>
      <w:bookmarkEnd w:id="967"/>
      <w:bookmarkEnd w:id="968"/>
    </w:p>
    <w:tbl>
      <w:tblPr>
        <w:tblStyle w:val="50"/>
        <w:tblW w:w="9505" w:type="dxa"/>
        <w:jc w:val="center"/>
        <w:tblLayout w:type="fixed"/>
        <w:tblCellMar>
          <w:top w:w="0" w:type="dxa"/>
          <w:left w:w="0" w:type="dxa"/>
          <w:bottom w:w="0" w:type="dxa"/>
          <w:right w:w="0" w:type="dxa"/>
        </w:tblCellMar>
      </w:tblPr>
      <w:tblGrid>
        <w:gridCol w:w="960"/>
        <w:gridCol w:w="1404"/>
        <w:gridCol w:w="1786"/>
        <w:gridCol w:w="1297"/>
        <w:gridCol w:w="1069"/>
        <w:gridCol w:w="1069"/>
        <w:gridCol w:w="1079"/>
        <w:gridCol w:w="841"/>
      </w:tblGrid>
      <w:tr>
        <w:tblPrEx>
          <w:tblCellMar>
            <w:top w:w="0" w:type="dxa"/>
            <w:left w:w="0" w:type="dxa"/>
            <w:bottom w:w="0" w:type="dxa"/>
            <w:right w:w="0" w:type="dxa"/>
          </w:tblCellMar>
        </w:tblPrEx>
        <w:trPr>
          <w:trHeight w:val="576" w:hRule="atLeast"/>
          <w:jc w:val="center"/>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rPr>
              <w:t>序号</w:t>
            </w:r>
          </w:p>
        </w:tc>
        <w:tc>
          <w:tcPr>
            <w:tcW w:w="1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rPr>
              <w:t>项目名称</w:t>
            </w:r>
          </w:p>
        </w:tc>
        <w:tc>
          <w:tcPr>
            <w:tcW w:w="17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eastAsia="zh-CN"/>
              </w:rPr>
              <w:t>采购内容</w:t>
            </w:r>
          </w:p>
        </w:tc>
        <w:tc>
          <w:tcPr>
            <w:tcW w:w="12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color w:val="auto"/>
                <w:kern w:val="0"/>
                <w:szCs w:val="21"/>
                <w:highlight w:val="none"/>
                <w:lang w:val="en-US" w:eastAsia="zh-CN"/>
              </w:rPr>
            </w:pPr>
            <w:r>
              <w:rPr>
                <w:rFonts w:hint="eastAsia" w:ascii="仿宋" w:hAnsi="仿宋" w:eastAsia="仿宋" w:cs="仿宋"/>
                <w:b/>
                <w:color w:val="auto"/>
                <w:kern w:val="0"/>
                <w:szCs w:val="21"/>
                <w:highlight w:val="none"/>
                <w:lang w:val="en-US" w:eastAsia="zh-CN"/>
              </w:rPr>
              <w:t>施工/服务</w:t>
            </w:r>
          </w:p>
          <w:p>
            <w:pPr>
              <w:widowControl/>
              <w:jc w:val="center"/>
              <w:textAlignment w:val="center"/>
              <w:rPr>
                <w:rFonts w:hint="eastAsia" w:ascii="仿宋" w:hAnsi="仿宋" w:eastAsia="仿宋" w:cs="仿宋"/>
                <w:b/>
                <w:color w:val="auto"/>
                <w:szCs w:val="21"/>
                <w:highlight w:val="none"/>
                <w:lang w:eastAsia="zh-CN"/>
              </w:rPr>
            </w:pPr>
            <w:r>
              <w:rPr>
                <w:rFonts w:hint="eastAsia" w:ascii="仿宋" w:hAnsi="仿宋" w:eastAsia="仿宋" w:cs="仿宋"/>
                <w:b/>
                <w:color w:val="auto"/>
                <w:kern w:val="0"/>
                <w:szCs w:val="21"/>
                <w:highlight w:val="none"/>
                <w:lang w:eastAsia="zh-CN"/>
              </w:rPr>
              <w:t>期限</w:t>
            </w:r>
          </w:p>
        </w:tc>
        <w:tc>
          <w:tcPr>
            <w:tcW w:w="10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仿宋" w:hAnsi="仿宋" w:eastAsia="仿宋" w:cs="仿宋"/>
                <w:b/>
                <w:color w:val="auto"/>
                <w:kern w:val="0"/>
                <w:szCs w:val="21"/>
                <w:highlight w:val="none"/>
                <w:lang w:val="en-US" w:eastAsia="zh-CN"/>
              </w:rPr>
            </w:pPr>
            <w:r>
              <w:rPr>
                <w:rFonts w:hint="eastAsia" w:ascii="仿宋" w:hAnsi="仿宋" w:eastAsia="仿宋" w:cs="仿宋"/>
                <w:b/>
                <w:color w:val="auto"/>
                <w:kern w:val="0"/>
                <w:szCs w:val="21"/>
                <w:highlight w:val="none"/>
                <w:lang w:val="en-US" w:eastAsia="zh-CN"/>
              </w:rPr>
              <w:t>品牌/产地</w:t>
            </w:r>
          </w:p>
        </w:tc>
        <w:tc>
          <w:tcPr>
            <w:tcW w:w="10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rPr>
              <w:t>单价（元）</w:t>
            </w:r>
          </w:p>
        </w:tc>
        <w:tc>
          <w:tcPr>
            <w:tcW w:w="10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rPr>
              <w:t>总价（元）</w:t>
            </w:r>
          </w:p>
        </w:tc>
        <w:tc>
          <w:tcPr>
            <w:tcW w:w="8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rPr>
              <w:t>备注</w:t>
            </w:r>
          </w:p>
        </w:tc>
      </w:tr>
      <w:tr>
        <w:tblPrEx>
          <w:tblCellMar>
            <w:top w:w="0" w:type="dxa"/>
            <w:left w:w="0" w:type="dxa"/>
            <w:bottom w:w="0" w:type="dxa"/>
            <w:right w:w="0" w:type="dxa"/>
          </w:tblCellMar>
        </w:tblPrEx>
        <w:trPr>
          <w:trHeight w:val="288" w:hRule="atLeast"/>
          <w:jc w:val="center"/>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b/>
                <w:color w:val="auto"/>
                <w:szCs w:val="21"/>
                <w:highlight w:val="none"/>
              </w:rPr>
            </w:pPr>
          </w:p>
        </w:tc>
        <w:tc>
          <w:tcPr>
            <w:tcW w:w="1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b/>
                <w:color w:val="auto"/>
                <w:szCs w:val="21"/>
                <w:highlight w:val="none"/>
              </w:rPr>
            </w:pPr>
          </w:p>
        </w:tc>
        <w:tc>
          <w:tcPr>
            <w:tcW w:w="17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b/>
                <w:color w:val="auto"/>
                <w:szCs w:val="21"/>
                <w:highlight w:val="none"/>
              </w:rPr>
            </w:pPr>
          </w:p>
        </w:tc>
        <w:tc>
          <w:tcPr>
            <w:tcW w:w="12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b/>
                <w:color w:val="auto"/>
                <w:szCs w:val="21"/>
                <w:highlight w:val="none"/>
              </w:rPr>
            </w:pPr>
          </w:p>
        </w:tc>
        <w:tc>
          <w:tcPr>
            <w:tcW w:w="10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b/>
                <w:color w:val="auto"/>
                <w:szCs w:val="21"/>
                <w:highlight w:val="none"/>
              </w:rPr>
            </w:pPr>
          </w:p>
        </w:tc>
        <w:tc>
          <w:tcPr>
            <w:tcW w:w="10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b/>
                <w:color w:val="auto"/>
                <w:szCs w:val="21"/>
                <w:highlight w:val="none"/>
              </w:rPr>
            </w:pPr>
          </w:p>
        </w:tc>
        <w:tc>
          <w:tcPr>
            <w:tcW w:w="10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b/>
                <w:color w:val="auto"/>
                <w:szCs w:val="21"/>
                <w:highlight w:val="none"/>
              </w:rPr>
            </w:pPr>
          </w:p>
        </w:tc>
        <w:tc>
          <w:tcPr>
            <w:tcW w:w="8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仿宋" w:hAnsi="仿宋" w:eastAsia="仿宋" w:cs="仿宋"/>
                <w:color w:val="auto"/>
                <w:sz w:val="22"/>
                <w:szCs w:val="22"/>
                <w:highlight w:val="none"/>
              </w:rPr>
            </w:pPr>
          </w:p>
        </w:tc>
      </w:tr>
      <w:tr>
        <w:tblPrEx>
          <w:tblCellMar>
            <w:top w:w="0" w:type="dxa"/>
            <w:left w:w="0" w:type="dxa"/>
            <w:bottom w:w="0" w:type="dxa"/>
            <w:right w:w="0" w:type="dxa"/>
          </w:tblCellMar>
        </w:tblPrEx>
        <w:trPr>
          <w:trHeight w:val="288" w:hRule="atLeast"/>
          <w:jc w:val="center"/>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auto"/>
                <w:szCs w:val="21"/>
                <w:highlight w:val="none"/>
              </w:rPr>
            </w:pPr>
          </w:p>
        </w:tc>
        <w:tc>
          <w:tcPr>
            <w:tcW w:w="1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auto"/>
                <w:szCs w:val="21"/>
                <w:highlight w:val="none"/>
              </w:rPr>
            </w:pPr>
          </w:p>
        </w:tc>
        <w:tc>
          <w:tcPr>
            <w:tcW w:w="17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auto"/>
                <w:szCs w:val="21"/>
                <w:highlight w:val="none"/>
              </w:rPr>
            </w:pPr>
          </w:p>
        </w:tc>
        <w:tc>
          <w:tcPr>
            <w:tcW w:w="12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auto"/>
                <w:szCs w:val="21"/>
                <w:highlight w:val="none"/>
              </w:rPr>
            </w:pPr>
          </w:p>
        </w:tc>
        <w:tc>
          <w:tcPr>
            <w:tcW w:w="10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auto"/>
                <w:szCs w:val="21"/>
                <w:highlight w:val="none"/>
              </w:rPr>
            </w:pPr>
          </w:p>
        </w:tc>
        <w:tc>
          <w:tcPr>
            <w:tcW w:w="10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auto"/>
                <w:szCs w:val="21"/>
                <w:highlight w:val="none"/>
              </w:rPr>
            </w:pPr>
          </w:p>
        </w:tc>
        <w:tc>
          <w:tcPr>
            <w:tcW w:w="10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auto"/>
                <w:szCs w:val="21"/>
                <w:highlight w:val="none"/>
              </w:rPr>
            </w:pPr>
          </w:p>
        </w:tc>
        <w:tc>
          <w:tcPr>
            <w:tcW w:w="8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仿宋" w:hAnsi="仿宋" w:eastAsia="仿宋" w:cs="仿宋"/>
                <w:color w:val="auto"/>
                <w:sz w:val="22"/>
                <w:szCs w:val="22"/>
                <w:highlight w:val="none"/>
              </w:rPr>
            </w:pPr>
          </w:p>
        </w:tc>
      </w:tr>
      <w:tr>
        <w:tblPrEx>
          <w:tblCellMar>
            <w:top w:w="0" w:type="dxa"/>
            <w:left w:w="0" w:type="dxa"/>
            <w:bottom w:w="0" w:type="dxa"/>
            <w:right w:w="0" w:type="dxa"/>
          </w:tblCellMar>
        </w:tblPrEx>
        <w:trPr>
          <w:trHeight w:val="288" w:hRule="atLeast"/>
          <w:jc w:val="center"/>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auto"/>
                <w:szCs w:val="21"/>
                <w:highlight w:val="none"/>
              </w:rPr>
            </w:pPr>
          </w:p>
        </w:tc>
        <w:tc>
          <w:tcPr>
            <w:tcW w:w="1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auto"/>
                <w:szCs w:val="21"/>
                <w:highlight w:val="none"/>
              </w:rPr>
            </w:pPr>
          </w:p>
        </w:tc>
        <w:tc>
          <w:tcPr>
            <w:tcW w:w="17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auto"/>
                <w:szCs w:val="21"/>
                <w:highlight w:val="none"/>
              </w:rPr>
            </w:pPr>
          </w:p>
        </w:tc>
        <w:tc>
          <w:tcPr>
            <w:tcW w:w="12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auto"/>
                <w:szCs w:val="21"/>
                <w:highlight w:val="none"/>
              </w:rPr>
            </w:pPr>
          </w:p>
        </w:tc>
        <w:tc>
          <w:tcPr>
            <w:tcW w:w="10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auto"/>
                <w:szCs w:val="21"/>
                <w:highlight w:val="none"/>
              </w:rPr>
            </w:pPr>
          </w:p>
        </w:tc>
        <w:tc>
          <w:tcPr>
            <w:tcW w:w="10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auto"/>
                <w:szCs w:val="21"/>
                <w:highlight w:val="none"/>
              </w:rPr>
            </w:pPr>
          </w:p>
        </w:tc>
        <w:tc>
          <w:tcPr>
            <w:tcW w:w="10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auto"/>
                <w:szCs w:val="21"/>
                <w:highlight w:val="none"/>
              </w:rPr>
            </w:pPr>
          </w:p>
        </w:tc>
        <w:tc>
          <w:tcPr>
            <w:tcW w:w="8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仿宋" w:hAnsi="仿宋" w:eastAsia="仿宋" w:cs="仿宋"/>
                <w:color w:val="auto"/>
                <w:sz w:val="22"/>
                <w:szCs w:val="22"/>
                <w:highlight w:val="none"/>
              </w:rPr>
            </w:pPr>
          </w:p>
        </w:tc>
      </w:tr>
      <w:tr>
        <w:tblPrEx>
          <w:tblCellMar>
            <w:top w:w="0" w:type="dxa"/>
            <w:left w:w="0" w:type="dxa"/>
            <w:bottom w:w="0" w:type="dxa"/>
            <w:right w:w="0" w:type="dxa"/>
          </w:tblCellMar>
        </w:tblPrEx>
        <w:trPr>
          <w:trHeight w:val="288" w:hRule="atLeast"/>
          <w:jc w:val="center"/>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auto"/>
                <w:szCs w:val="21"/>
                <w:highlight w:val="none"/>
              </w:rPr>
            </w:pPr>
          </w:p>
        </w:tc>
        <w:tc>
          <w:tcPr>
            <w:tcW w:w="1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auto"/>
                <w:szCs w:val="21"/>
                <w:highlight w:val="none"/>
              </w:rPr>
            </w:pPr>
          </w:p>
        </w:tc>
        <w:tc>
          <w:tcPr>
            <w:tcW w:w="17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auto"/>
                <w:szCs w:val="21"/>
                <w:highlight w:val="none"/>
              </w:rPr>
            </w:pPr>
          </w:p>
        </w:tc>
        <w:tc>
          <w:tcPr>
            <w:tcW w:w="12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auto"/>
                <w:szCs w:val="21"/>
                <w:highlight w:val="none"/>
              </w:rPr>
            </w:pPr>
          </w:p>
        </w:tc>
        <w:tc>
          <w:tcPr>
            <w:tcW w:w="10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auto"/>
                <w:szCs w:val="21"/>
                <w:highlight w:val="none"/>
              </w:rPr>
            </w:pPr>
          </w:p>
        </w:tc>
        <w:tc>
          <w:tcPr>
            <w:tcW w:w="10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auto"/>
                <w:szCs w:val="21"/>
                <w:highlight w:val="none"/>
              </w:rPr>
            </w:pPr>
          </w:p>
        </w:tc>
        <w:tc>
          <w:tcPr>
            <w:tcW w:w="10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auto"/>
                <w:szCs w:val="21"/>
                <w:highlight w:val="none"/>
              </w:rPr>
            </w:pPr>
          </w:p>
        </w:tc>
        <w:tc>
          <w:tcPr>
            <w:tcW w:w="8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仿宋" w:hAnsi="仿宋" w:eastAsia="仿宋" w:cs="仿宋"/>
                <w:color w:val="auto"/>
                <w:sz w:val="22"/>
                <w:szCs w:val="22"/>
                <w:highlight w:val="none"/>
              </w:rPr>
            </w:pPr>
          </w:p>
        </w:tc>
      </w:tr>
      <w:tr>
        <w:tblPrEx>
          <w:tblCellMar>
            <w:top w:w="0" w:type="dxa"/>
            <w:left w:w="0" w:type="dxa"/>
            <w:bottom w:w="0" w:type="dxa"/>
            <w:right w:w="0" w:type="dxa"/>
          </w:tblCellMar>
        </w:tblPrEx>
        <w:trPr>
          <w:trHeight w:val="288" w:hRule="atLeast"/>
          <w:jc w:val="center"/>
        </w:trPr>
        <w:tc>
          <w:tcPr>
            <w:tcW w:w="6516" w:type="dxa"/>
            <w:gridSpan w:val="5"/>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jc w:val="left"/>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rPr>
              <w:t xml:space="preserve">投标报价（总价合计）大写：        元             </w:t>
            </w:r>
          </w:p>
        </w:tc>
        <w:tc>
          <w:tcPr>
            <w:tcW w:w="10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仿宋" w:hAnsi="仿宋" w:eastAsia="仿宋" w:cs="仿宋"/>
                <w:b/>
                <w:color w:val="auto"/>
                <w:kern w:val="0"/>
                <w:szCs w:val="21"/>
                <w:highlight w:val="none"/>
              </w:rPr>
            </w:pPr>
          </w:p>
        </w:tc>
        <w:tc>
          <w:tcPr>
            <w:tcW w:w="10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eastAsia" w:ascii="仿宋" w:hAnsi="仿宋" w:eastAsia="仿宋" w:cs="仿宋"/>
                <w:b/>
                <w:color w:val="auto"/>
                <w:szCs w:val="21"/>
                <w:highlight w:val="none"/>
              </w:rPr>
            </w:pPr>
          </w:p>
        </w:tc>
        <w:tc>
          <w:tcPr>
            <w:tcW w:w="8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仿宋" w:hAnsi="仿宋" w:eastAsia="仿宋" w:cs="仿宋"/>
                <w:color w:val="auto"/>
                <w:sz w:val="22"/>
                <w:szCs w:val="22"/>
                <w:highlight w:val="none"/>
              </w:rPr>
            </w:pPr>
          </w:p>
        </w:tc>
      </w:tr>
    </w:tbl>
    <w:p>
      <w:pPr>
        <w:rPr>
          <w:rFonts w:hint="eastAsia" w:ascii="仿宋" w:hAnsi="仿宋" w:eastAsia="仿宋" w:cs="仿宋"/>
          <w:color w:val="auto"/>
          <w:sz w:val="24"/>
          <w:highlight w:val="none"/>
        </w:rPr>
      </w:pPr>
    </w:p>
    <w:p>
      <w:pPr>
        <w:jc w:val="center"/>
        <w:rPr>
          <w:rFonts w:hint="eastAsia" w:ascii="仿宋" w:hAnsi="仿宋" w:eastAsia="仿宋" w:cs="仿宋"/>
          <w:color w:val="auto"/>
          <w:sz w:val="24"/>
          <w:highlight w:val="none"/>
        </w:rPr>
      </w:pPr>
    </w:p>
    <w:p>
      <w:pPr>
        <w:spacing w:line="48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注：1、投标单位应提供完成本次项目涉及到的费用的详细报价，分项构成由投标单位自行编写。</w:t>
      </w:r>
    </w:p>
    <w:p>
      <w:pPr>
        <w:spacing w:line="480" w:lineRule="atLeas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2、投标人依据市场竞争原则自行考虑编制所需的所有费用，自行测算报价。</w:t>
      </w:r>
    </w:p>
    <w:p>
      <w:pPr>
        <w:spacing w:line="480" w:lineRule="atLeast"/>
        <w:ind w:firstLine="480" w:firstLineChars="200"/>
        <w:rPr>
          <w:rFonts w:hint="eastAsia" w:ascii="仿宋" w:hAnsi="仿宋" w:eastAsia="仿宋" w:cs="仿宋"/>
          <w:color w:val="auto"/>
          <w:sz w:val="24"/>
          <w:highlight w:val="none"/>
        </w:rPr>
      </w:pPr>
    </w:p>
    <w:p>
      <w:pPr>
        <w:spacing w:line="360" w:lineRule="auto"/>
        <w:jc w:val="right"/>
        <w:rPr>
          <w:rFonts w:hint="eastAsia" w:ascii="仿宋" w:hAnsi="仿宋" w:eastAsia="仿宋" w:cs="仿宋"/>
          <w:color w:val="auto"/>
          <w:szCs w:val="21"/>
          <w:highlight w:val="none"/>
        </w:rPr>
      </w:pPr>
    </w:p>
    <w:p>
      <w:pPr>
        <w:spacing w:line="480" w:lineRule="exact"/>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投标单位全称：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pPr>
        <w:spacing w:line="480" w:lineRule="exact"/>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（签字） </w:t>
      </w:r>
    </w:p>
    <w:p>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pPr>
        <w:pStyle w:val="4"/>
        <w:tabs>
          <w:tab w:val="clear" w:pos="618"/>
          <w:tab w:val="clear" w:pos="927"/>
        </w:tabs>
        <w:rPr>
          <w:rFonts w:hint="eastAsia" w:ascii="仿宋" w:hAnsi="仿宋" w:eastAsia="仿宋" w:cs="仿宋"/>
          <w:color w:val="auto"/>
          <w:highlight w:val="none"/>
        </w:rPr>
      </w:pPr>
      <w:bookmarkStart w:id="969" w:name="_Toc201978770"/>
      <w:r>
        <w:rPr>
          <w:rFonts w:hint="eastAsia" w:ascii="仿宋" w:hAnsi="仿宋" w:eastAsia="仿宋" w:cs="仿宋"/>
          <w:color w:val="auto"/>
          <w:highlight w:val="none"/>
        </w:rPr>
        <w:br w:type="page"/>
      </w:r>
      <w:bookmarkStart w:id="970" w:name="_Toc514253201"/>
      <w:bookmarkStart w:id="971" w:name="_Toc61260776"/>
      <w:bookmarkStart w:id="972" w:name="_Toc17751"/>
      <w:bookmarkStart w:id="973" w:name="_Toc6599"/>
      <w:bookmarkStart w:id="974" w:name="_Toc22433"/>
      <w:bookmarkStart w:id="975" w:name="_Toc78272834"/>
      <w:r>
        <w:rPr>
          <w:rFonts w:hint="eastAsia" w:ascii="仿宋" w:hAnsi="仿宋" w:eastAsia="仿宋" w:cs="仿宋"/>
          <w:color w:val="auto"/>
          <w:highlight w:val="none"/>
        </w:rPr>
        <w:t>六、技术条款偏离表</w:t>
      </w:r>
      <w:bookmarkEnd w:id="970"/>
      <w:bookmarkEnd w:id="971"/>
      <w:bookmarkEnd w:id="972"/>
      <w:bookmarkEnd w:id="973"/>
      <w:bookmarkEnd w:id="974"/>
      <w:bookmarkEnd w:id="975"/>
    </w:p>
    <w:p>
      <w:pPr>
        <w:spacing w:line="500" w:lineRule="atLeas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p>
    <w:p>
      <w:pPr>
        <w:spacing w:line="50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pPr>
        <w:spacing w:line="300" w:lineRule="auto"/>
        <w:rPr>
          <w:rFonts w:hint="eastAsia" w:ascii="仿宋" w:hAnsi="仿宋" w:eastAsia="仿宋" w:cs="仿宋"/>
          <w:color w:val="auto"/>
          <w:sz w:val="24"/>
          <w:highlight w:val="none"/>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352"/>
        <w:gridCol w:w="2977"/>
        <w:gridCol w:w="1480"/>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01" w:type="dxa"/>
            <w:vAlign w:val="center"/>
          </w:tcPr>
          <w:p>
            <w:pPr>
              <w:spacing w:line="480" w:lineRule="exact"/>
              <w:rPr>
                <w:rFonts w:hint="eastAsia" w:ascii="仿宋" w:hAnsi="仿宋" w:eastAsia="仿宋" w:cs="仿宋"/>
                <w:color w:val="auto"/>
                <w:highlight w:val="none"/>
              </w:rPr>
            </w:pPr>
            <w:bookmarkStart w:id="976" w:name="_Toc173211900"/>
            <w:bookmarkStart w:id="977" w:name="_Toc173066401"/>
            <w:bookmarkStart w:id="978" w:name="_Toc254970729"/>
            <w:bookmarkStart w:id="979" w:name="_Toc254970588"/>
            <w:r>
              <w:rPr>
                <w:rFonts w:hint="eastAsia" w:ascii="仿宋" w:hAnsi="仿宋" w:eastAsia="仿宋" w:cs="仿宋"/>
                <w:color w:val="auto"/>
                <w:highlight w:val="none"/>
              </w:rPr>
              <w:t>序号</w:t>
            </w:r>
            <w:bookmarkEnd w:id="976"/>
            <w:bookmarkEnd w:id="977"/>
            <w:bookmarkEnd w:id="978"/>
            <w:bookmarkEnd w:id="979"/>
          </w:p>
        </w:tc>
        <w:tc>
          <w:tcPr>
            <w:tcW w:w="2352" w:type="dxa"/>
            <w:vAlign w:val="center"/>
          </w:tcPr>
          <w:p>
            <w:pPr>
              <w:spacing w:line="480" w:lineRule="exact"/>
              <w:rPr>
                <w:rFonts w:hint="eastAsia" w:ascii="仿宋" w:hAnsi="仿宋" w:eastAsia="仿宋" w:cs="仿宋"/>
                <w:color w:val="auto"/>
                <w:highlight w:val="none"/>
              </w:rPr>
            </w:pPr>
            <w:bookmarkStart w:id="980" w:name="_Toc254970589"/>
            <w:bookmarkStart w:id="981" w:name="_Toc173211901"/>
            <w:bookmarkStart w:id="982" w:name="_Toc173066402"/>
            <w:bookmarkStart w:id="983" w:name="_Toc254970730"/>
            <w:r>
              <w:rPr>
                <w:rFonts w:hint="eastAsia" w:ascii="仿宋" w:hAnsi="仿宋" w:eastAsia="仿宋" w:cs="仿宋"/>
                <w:color w:val="auto"/>
                <w:highlight w:val="none"/>
              </w:rPr>
              <w:t>招标文件要求</w:t>
            </w:r>
            <w:bookmarkEnd w:id="980"/>
            <w:bookmarkEnd w:id="981"/>
            <w:bookmarkEnd w:id="982"/>
            <w:bookmarkEnd w:id="983"/>
          </w:p>
        </w:tc>
        <w:tc>
          <w:tcPr>
            <w:tcW w:w="2977" w:type="dxa"/>
            <w:vAlign w:val="center"/>
          </w:tcPr>
          <w:p>
            <w:pPr>
              <w:spacing w:line="480" w:lineRule="exact"/>
              <w:rPr>
                <w:rFonts w:hint="eastAsia" w:ascii="仿宋" w:hAnsi="仿宋" w:eastAsia="仿宋" w:cs="仿宋"/>
                <w:color w:val="auto"/>
                <w:highlight w:val="none"/>
              </w:rPr>
            </w:pPr>
            <w:bookmarkStart w:id="984" w:name="_Toc254970590"/>
            <w:bookmarkStart w:id="985" w:name="_Toc173211902"/>
            <w:bookmarkStart w:id="986" w:name="_Toc254970731"/>
            <w:bookmarkStart w:id="987" w:name="_Toc173066403"/>
            <w:r>
              <w:rPr>
                <w:rFonts w:hint="eastAsia" w:ascii="仿宋" w:hAnsi="仿宋" w:eastAsia="仿宋" w:cs="仿宋"/>
                <w:color w:val="auto"/>
                <w:highlight w:val="none"/>
              </w:rPr>
              <w:t>投标文件响应</w:t>
            </w:r>
            <w:bookmarkEnd w:id="984"/>
            <w:bookmarkEnd w:id="985"/>
            <w:bookmarkEnd w:id="986"/>
            <w:bookmarkEnd w:id="987"/>
          </w:p>
        </w:tc>
        <w:tc>
          <w:tcPr>
            <w:tcW w:w="1480" w:type="dxa"/>
            <w:vAlign w:val="center"/>
          </w:tcPr>
          <w:p>
            <w:pPr>
              <w:spacing w:line="480" w:lineRule="exact"/>
              <w:rPr>
                <w:rFonts w:hint="eastAsia" w:ascii="仿宋" w:hAnsi="仿宋" w:eastAsia="仿宋" w:cs="仿宋"/>
                <w:color w:val="auto"/>
                <w:highlight w:val="none"/>
              </w:rPr>
            </w:pPr>
            <w:bookmarkStart w:id="988" w:name="_Toc173211903"/>
            <w:bookmarkStart w:id="989" w:name="_Toc173066404"/>
            <w:bookmarkStart w:id="990" w:name="_Toc254970732"/>
            <w:bookmarkStart w:id="991" w:name="_Toc254970591"/>
            <w:r>
              <w:rPr>
                <w:rFonts w:hint="eastAsia" w:ascii="仿宋" w:hAnsi="仿宋" w:eastAsia="仿宋" w:cs="仿宋"/>
                <w:color w:val="auto"/>
                <w:highlight w:val="none"/>
              </w:rPr>
              <w:t>偏离</w:t>
            </w:r>
            <w:bookmarkEnd w:id="988"/>
            <w:bookmarkEnd w:id="989"/>
            <w:bookmarkEnd w:id="990"/>
            <w:bookmarkEnd w:id="991"/>
            <w:r>
              <w:rPr>
                <w:rFonts w:hint="eastAsia" w:ascii="仿宋" w:hAnsi="仿宋" w:eastAsia="仿宋" w:cs="仿宋"/>
                <w:color w:val="auto"/>
                <w:highlight w:val="none"/>
              </w:rPr>
              <w:t>情况</w:t>
            </w:r>
          </w:p>
        </w:tc>
        <w:tc>
          <w:tcPr>
            <w:tcW w:w="1376" w:type="dxa"/>
            <w:vAlign w:val="center"/>
          </w:tcPr>
          <w:p>
            <w:pPr>
              <w:spacing w:line="480" w:lineRule="exact"/>
              <w:rPr>
                <w:rFonts w:hint="eastAsia" w:ascii="仿宋" w:hAnsi="仿宋" w:eastAsia="仿宋" w:cs="仿宋"/>
                <w:color w:val="auto"/>
                <w:highlight w:val="none"/>
              </w:rPr>
            </w:pPr>
            <w:bookmarkStart w:id="992" w:name="_Toc254970733"/>
            <w:bookmarkStart w:id="993" w:name="_Toc173066405"/>
            <w:bookmarkStart w:id="994" w:name="_Toc254970592"/>
            <w:bookmarkStart w:id="995" w:name="_Toc173211904"/>
            <w:r>
              <w:rPr>
                <w:rFonts w:hint="eastAsia" w:ascii="仿宋" w:hAnsi="仿宋" w:eastAsia="仿宋" w:cs="仿宋"/>
                <w:color w:val="auto"/>
                <w:highlight w:val="none"/>
              </w:rPr>
              <w:t>说明</w:t>
            </w:r>
            <w:bookmarkEnd w:id="992"/>
            <w:bookmarkEnd w:id="993"/>
            <w:bookmarkEnd w:id="994"/>
            <w:bookmarkEnd w:id="9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1101" w:type="dxa"/>
            <w:vAlign w:val="center"/>
          </w:tcPr>
          <w:p>
            <w:pPr>
              <w:spacing w:line="480" w:lineRule="exact"/>
              <w:rPr>
                <w:rFonts w:hint="eastAsia" w:ascii="仿宋" w:hAnsi="仿宋" w:eastAsia="仿宋" w:cs="仿宋"/>
                <w:color w:val="auto"/>
                <w:highlight w:val="none"/>
              </w:rPr>
            </w:pPr>
            <w:bookmarkStart w:id="996" w:name="_Toc254970734"/>
            <w:bookmarkStart w:id="997" w:name="_Toc254970593"/>
            <w:bookmarkStart w:id="998" w:name="_Toc173211905"/>
            <w:bookmarkStart w:id="999" w:name="_Toc173066406"/>
            <w:r>
              <w:rPr>
                <w:rFonts w:hint="eastAsia" w:ascii="仿宋" w:hAnsi="仿宋" w:eastAsia="仿宋" w:cs="仿宋"/>
                <w:color w:val="auto"/>
                <w:highlight w:val="none"/>
              </w:rPr>
              <w:t>1</w:t>
            </w:r>
            <w:bookmarkEnd w:id="996"/>
            <w:bookmarkEnd w:id="997"/>
            <w:bookmarkEnd w:id="998"/>
            <w:bookmarkEnd w:id="999"/>
          </w:p>
        </w:tc>
        <w:tc>
          <w:tcPr>
            <w:tcW w:w="2352" w:type="dxa"/>
            <w:vAlign w:val="center"/>
          </w:tcPr>
          <w:p>
            <w:pPr>
              <w:spacing w:line="480" w:lineRule="exact"/>
              <w:rPr>
                <w:rFonts w:hint="eastAsia" w:ascii="仿宋" w:hAnsi="仿宋" w:eastAsia="仿宋" w:cs="仿宋"/>
                <w:color w:val="auto"/>
                <w:highlight w:val="none"/>
              </w:rPr>
            </w:pPr>
          </w:p>
        </w:tc>
        <w:tc>
          <w:tcPr>
            <w:tcW w:w="2977" w:type="dxa"/>
            <w:vAlign w:val="center"/>
          </w:tcPr>
          <w:p>
            <w:pPr>
              <w:spacing w:line="480" w:lineRule="exact"/>
              <w:rPr>
                <w:rFonts w:hint="eastAsia" w:ascii="仿宋" w:hAnsi="仿宋" w:eastAsia="仿宋" w:cs="仿宋"/>
                <w:color w:val="auto"/>
                <w:highlight w:val="none"/>
              </w:rPr>
            </w:pPr>
          </w:p>
        </w:tc>
        <w:tc>
          <w:tcPr>
            <w:tcW w:w="1480" w:type="dxa"/>
            <w:vAlign w:val="center"/>
          </w:tcPr>
          <w:p>
            <w:pPr>
              <w:spacing w:line="480" w:lineRule="exact"/>
              <w:rPr>
                <w:rFonts w:hint="eastAsia" w:ascii="仿宋" w:hAnsi="仿宋" w:eastAsia="仿宋" w:cs="仿宋"/>
                <w:color w:val="auto"/>
                <w:highlight w:val="none"/>
              </w:rPr>
            </w:pPr>
          </w:p>
        </w:tc>
        <w:tc>
          <w:tcPr>
            <w:tcW w:w="1376" w:type="dxa"/>
            <w:vAlign w:val="center"/>
          </w:tcPr>
          <w:p>
            <w:pPr>
              <w:spacing w:line="480" w:lineRule="exact"/>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01" w:type="dxa"/>
            <w:vAlign w:val="center"/>
          </w:tcPr>
          <w:p>
            <w:pPr>
              <w:spacing w:line="480" w:lineRule="exact"/>
              <w:rPr>
                <w:rFonts w:hint="eastAsia" w:ascii="仿宋" w:hAnsi="仿宋" w:eastAsia="仿宋" w:cs="仿宋"/>
                <w:color w:val="auto"/>
                <w:highlight w:val="none"/>
              </w:rPr>
            </w:pPr>
            <w:bookmarkStart w:id="1000" w:name="_Toc173211906"/>
            <w:bookmarkStart w:id="1001" w:name="_Toc173066407"/>
            <w:bookmarkStart w:id="1002" w:name="_Toc254970594"/>
            <w:bookmarkStart w:id="1003" w:name="_Toc254970735"/>
            <w:r>
              <w:rPr>
                <w:rFonts w:hint="eastAsia" w:ascii="仿宋" w:hAnsi="仿宋" w:eastAsia="仿宋" w:cs="仿宋"/>
                <w:color w:val="auto"/>
                <w:highlight w:val="none"/>
              </w:rPr>
              <w:t>2</w:t>
            </w:r>
            <w:bookmarkEnd w:id="1000"/>
            <w:bookmarkEnd w:id="1001"/>
            <w:bookmarkEnd w:id="1002"/>
            <w:bookmarkEnd w:id="1003"/>
          </w:p>
        </w:tc>
        <w:tc>
          <w:tcPr>
            <w:tcW w:w="2352" w:type="dxa"/>
            <w:vAlign w:val="center"/>
          </w:tcPr>
          <w:p>
            <w:pPr>
              <w:spacing w:line="480" w:lineRule="exact"/>
              <w:rPr>
                <w:rFonts w:hint="eastAsia" w:ascii="仿宋" w:hAnsi="仿宋" w:eastAsia="仿宋" w:cs="仿宋"/>
                <w:color w:val="auto"/>
                <w:highlight w:val="none"/>
              </w:rPr>
            </w:pPr>
          </w:p>
        </w:tc>
        <w:tc>
          <w:tcPr>
            <w:tcW w:w="2977" w:type="dxa"/>
            <w:vAlign w:val="center"/>
          </w:tcPr>
          <w:p>
            <w:pPr>
              <w:spacing w:line="480" w:lineRule="exact"/>
              <w:rPr>
                <w:rFonts w:hint="eastAsia" w:ascii="仿宋" w:hAnsi="仿宋" w:eastAsia="仿宋" w:cs="仿宋"/>
                <w:color w:val="auto"/>
                <w:highlight w:val="none"/>
              </w:rPr>
            </w:pPr>
          </w:p>
        </w:tc>
        <w:tc>
          <w:tcPr>
            <w:tcW w:w="1480" w:type="dxa"/>
            <w:vAlign w:val="center"/>
          </w:tcPr>
          <w:p>
            <w:pPr>
              <w:spacing w:line="480" w:lineRule="exact"/>
              <w:rPr>
                <w:rFonts w:hint="eastAsia" w:ascii="仿宋" w:hAnsi="仿宋" w:eastAsia="仿宋" w:cs="仿宋"/>
                <w:color w:val="auto"/>
                <w:highlight w:val="none"/>
              </w:rPr>
            </w:pPr>
          </w:p>
        </w:tc>
        <w:tc>
          <w:tcPr>
            <w:tcW w:w="1376" w:type="dxa"/>
            <w:vAlign w:val="center"/>
          </w:tcPr>
          <w:p>
            <w:pPr>
              <w:spacing w:line="480" w:lineRule="exact"/>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101" w:type="dxa"/>
            <w:vAlign w:val="center"/>
          </w:tcPr>
          <w:p>
            <w:pPr>
              <w:spacing w:line="480" w:lineRule="exact"/>
              <w:rPr>
                <w:rFonts w:hint="eastAsia" w:ascii="仿宋" w:hAnsi="仿宋" w:eastAsia="仿宋" w:cs="仿宋"/>
                <w:color w:val="auto"/>
                <w:highlight w:val="none"/>
              </w:rPr>
            </w:pPr>
            <w:bookmarkStart w:id="1004" w:name="_Toc173211914"/>
            <w:bookmarkStart w:id="1005" w:name="_Toc173066415"/>
            <w:bookmarkStart w:id="1006" w:name="_Toc254970602"/>
            <w:bookmarkStart w:id="1007" w:name="_Toc254970743"/>
            <w:r>
              <w:rPr>
                <w:rFonts w:hint="eastAsia" w:ascii="仿宋" w:hAnsi="仿宋" w:eastAsia="仿宋" w:cs="仿宋"/>
                <w:color w:val="auto"/>
                <w:highlight w:val="none"/>
              </w:rPr>
              <w:t>…</w:t>
            </w:r>
            <w:bookmarkEnd w:id="1004"/>
            <w:bookmarkEnd w:id="1005"/>
            <w:bookmarkEnd w:id="1006"/>
            <w:bookmarkEnd w:id="1007"/>
          </w:p>
        </w:tc>
        <w:tc>
          <w:tcPr>
            <w:tcW w:w="2352" w:type="dxa"/>
            <w:vAlign w:val="center"/>
          </w:tcPr>
          <w:p>
            <w:pPr>
              <w:spacing w:line="480" w:lineRule="exact"/>
              <w:rPr>
                <w:rFonts w:hint="eastAsia" w:ascii="仿宋" w:hAnsi="仿宋" w:eastAsia="仿宋" w:cs="仿宋"/>
                <w:color w:val="auto"/>
                <w:highlight w:val="none"/>
              </w:rPr>
            </w:pPr>
          </w:p>
        </w:tc>
        <w:tc>
          <w:tcPr>
            <w:tcW w:w="2977" w:type="dxa"/>
            <w:vAlign w:val="center"/>
          </w:tcPr>
          <w:p>
            <w:pPr>
              <w:spacing w:line="480" w:lineRule="exact"/>
              <w:rPr>
                <w:rFonts w:hint="eastAsia" w:ascii="仿宋" w:hAnsi="仿宋" w:eastAsia="仿宋" w:cs="仿宋"/>
                <w:color w:val="auto"/>
                <w:highlight w:val="none"/>
              </w:rPr>
            </w:pPr>
          </w:p>
        </w:tc>
        <w:tc>
          <w:tcPr>
            <w:tcW w:w="1480" w:type="dxa"/>
            <w:vAlign w:val="center"/>
          </w:tcPr>
          <w:p>
            <w:pPr>
              <w:spacing w:line="480" w:lineRule="exact"/>
              <w:rPr>
                <w:rFonts w:hint="eastAsia" w:ascii="仿宋" w:hAnsi="仿宋" w:eastAsia="仿宋" w:cs="仿宋"/>
                <w:color w:val="auto"/>
                <w:highlight w:val="none"/>
              </w:rPr>
            </w:pPr>
          </w:p>
        </w:tc>
        <w:tc>
          <w:tcPr>
            <w:tcW w:w="1376" w:type="dxa"/>
            <w:vAlign w:val="center"/>
          </w:tcPr>
          <w:p>
            <w:pPr>
              <w:spacing w:line="480" w:lineRule="exact"/>
              <w:rPr>
                <w:rFonts w:hint="eastAsia" w:ascii="仿宋" w:hAnsi="仿宋" w:eastAsia="仿宋" w:cs="仿宋"/>
                <w:color w:val="auto"/>
                <w:highlight w:val="none"/>
              </w:rPr>
            </w:pPr>
          </w:p>
        </w:tc>
      </w:tr>
    </w:tbl>
    <w:p>
      <w:pPr>
        <w:spacing w:line="360" w:lineRule="auto"/>
        <w:rPr>
          <w:rFonts w:hint="eastAsia" w:ascii="仿宋" w:hAnsi="仿宋" w:eastAsia="仿宋" w:cs="仿宋"/>
          <w:color w:val="auto"/>
          <w:sz w:val="24"/>
          <w:highlight w:val="none"/>
        </w:rPr>
      </w:pPr>
    </w:p>
    <w:p>
      <w:pPr>
        <w:pStyle w:val="209"/>
        <w:tabs>
          <w:tab w:val="left" w:pos="1092"/>
        </w:tabs>
        <w:spacing w:after="40" w:line="240" w:lineRule="auto"/>
        <w:jc w:val="left"/>
        <w:rPr>
          <w:rFonts w:hint="eastAsia" w:ascii="仿宋" w:hAnsi="仿宋" w:eastAsia="仿宋" w:cs="仿宋"/>
          <w:color w:val="auto"/>
          <w:sz w:val="24"/>
          <w:highlight w:val="none"/>
          <w:lang w:val="en-US"/>
        </w:rPr>
      </w:pPr>
    </w:p>
    <w:p>
      <w:pPr>
        <w:spacing w:line="480" w:lineRule="exact"/>
        <w:jc w:val="left"/>
        <w:rPr>
          <w:rFonts w:hint="eastAsia" w:ascii="仿宋" w:hAnsi="仿宋" w:eastAsia="仿宋" w:cs="仿宋"/>
          <w:color w:val="auto"/>
          <w:sz w:val="24"/>
          <w:highlight w:val="none"/>
        </w:rPr>
      </w:pPr>
      <w:bookmarkStart w:id="1008" w:name="bookmark813"/>
      <w:bookmarkEnd w:id="1008"/>
    </w:p>
    <w:p>
      <w:pPr>
        <w:spacing w:line="480" w:lineRule="exact"/>
        <w:jc w:val="left"/>
        <w:rPr>
          <w:rFonts w:hint="eastAsia" w:ascii="仿宋" w:hAnsi="仿宋" w:eastAsia="仿宋" w:cs="仿宋"/>
          <w:color w:val="auto"/>
          <w:sz w:val="24"/>
          <w:highlight w:val="none"/>
        </w:rPr>
      </w:pPr>
    </w:p>
    <w:p>
      <w:pPr>
        <w:spacing w:line="480" w:lineRule="exact"/>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投标单位全称（盖章）：</w:t>
      </w:r>
    </w:p>
    <w:p>
      <w:pPr>
        <w:spacing w:line="480" w:lineRule="exact"/>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授权代表（签字）： </w:t>
      </w:r>
    </w:p>
    <w:p>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pPr>
        <w:rPr>
          <w:rFonts w:hint="eastAsia" w:ascii="仿宋" w:hAnsi="仿宋" w:eastAsia="仿宋" w:cs="仿宋"/>
          <w:color w:val="auto"/>
          <w:highlight w:val="none"/>
        </w:rPr>
      </w:pPr>
    </w:p>
    <w:p>
      <w:pPr>
        <w:pStyle w:val="4"/>
        <w:tabs>
          <w:tab w:val="clear" w:pos="618"/>
          <w:tab w:val="clear" w:pos="927"/>
        </w:tabs>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1009" w:name="_Toc78272835"/>
      <w:bookmarkStart w:id="1010" w:name="_Toc514253202"/>
      <w:bookmarkStart w:id="1011" w:name="_Toc61260777"/>
      <w:bookmarkStart w:id="1012" w:name="_Toc15845"/>
      <w:bookmarkStart w:id="1013" w:name="_Toc1944"/>
      <w:bookmarkStart w:id="1014" w:name="_Toc20060"/>
      <w:r>
        <w:rPr>
          <w:rFonts w:hint="eastAsia" w:ascii="仿宋" w:hAnsi="仿宋" w:eastAsia="仿宋" w:cs="仿宋"/>
          <w:color w:val="auto"/>
          <w:highlight w:val="none"/>
        </w:rPr>
        <w:t>七、商务条款偏离表</w:t>
      </w:r>
      <w:bookmarkEnd w:id="1009"/>
      <w:bookmarkEnd w:id="1010"/>
      <w:bookmarkEnd w:id="1011"/>
      <w:bookmarkEnd w:id="1012"/>
      <w:bookmarkEnd w:id="1013"/>
      <w:bookmarkEnd w:id="1014"/>
    </w:p>
    <w:p>
      <w:pPr>
        <w:spacing w:line="500" w:lineRule="atLeas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p>
    <w:p>
      <w:pPr>
        <w:spacing w:line="50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pPr>
        <w:spacing w:line="300" w:lineRule="auto"/>
        <w:rPr>
          <w:rFonts w:hint="eastAsia" w:ascii="仿宋" w:hAnsi="仿宋" w:eastAsia="仿宋" w:cs="仿宋"/>
          <w:color w:val="auto"/>
          <w:sz w:val="24"/>
          <w:highlight w:val="none"/>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681"/>
        <w:gridCol w:w="1892"/>
        <w:gridCol w:w="1892"/>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681" w:type="dxa"/>
            <w:vAlign w:val="center"/>
          </w:tcPr>
          <w:p>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招标文件要求</w:t>
            </w:r>
          </w:p>
        </w:tc>
        <w:tc>
          <w:tcPr>
            <w:tcW w:w="1892" w:type="dxa"/>
            <w:vAlign w:val="center"/>
          </w:tcPr>
          <w:p>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投标文件响应</w:t>
            </w:r>
          </w:p>
        </w:tc>
        <w:tc>
          <w:tcPr>
            <w:tcW w:w="1892" w:type="dxa"/>
            <w:vAlign w:val="center"/>
          </w:tcPr>
          <w:p>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偏离情况</w:t>
            </w:r>
          </w:p>
        </w:tc>
        <w:tc>
          <w:tcPr>
            <w:tcW w:w="1892" w:type="dxa"/>
            <w:vAlign w:val="center"/>
          </w:tcPr>
          <w:p>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681" w:type="dxa"/>
            <w:vAlign w:val="center"/>
          </w:tcPr>
          <w:p>
            <w:pPr>
              <w:spacing w:line="300" w:lineRule="auto"/>
              <w:jc w:val="center"/>
              <w:rPr>
                <w:rFonts w:hint="eastAsia" w:ascii="仿宋" w:hAnsi="仿宋" w:eastAsia="仿宋" w:cs="仿宋"/>
                <w:color w:val="auto"/>
                <w:sz w:val="24"/>
                <w:highlight w:val="none"/>
              </w:rPr>
            </w:pPr>
          </w:p>
        </w:tc>
        <w:tc>
          <w:tcPr>
            <w:tcW w:w="1892" w:type="dxa"/>
            <w:vAlign w:val="center"/>
          </w:tcPr>
          <w:p>
            <w:pPr>
              <w:spacing w:line="300" w:lineRule="auto"/>
              <w:jc w:val="center"/>
              <w:rPr>
                <w:rFonts w:hint="eastAsia" w:ascii="仿宋" w:hAnsi="仿宋" w:eastAsia="仿宋" w:cs="仿宋"/>
                <w:color w:val="auto"/>
                <w:sz w:val="24"/>
                <w:highlight w:val="none"/>
              </w:rPr>
            </w:pPr>
          </w:p>
        </w:tc>
        <w:tc>
          <w:tcPr>
            <w:tcW w:w="1892" w:type="dxa"/>
            <w:vAlign w:val="center"/>
          </w:tcPr>
          <w:p>
            <w:pPr>
              <w:spacing w:line="300" w:lineRule="auto"/>
              <w:jc w:val="center"/>
              <w:rPr>
                <w:rFonts w:hint="eastAsia" w:ascii="仿宋" w:hAnsi="仿宋" w:eastAsia="仿宋" w:cs="仿宋"/>
                <w:color w:val="auto"/>
                <w:sz w:val="24"/>
                <w:highlight w:val="none"/>
              </w:rPr>
            </w:pPr>
          </w:p>
        </w:tc>
        <w:tc>
          <w:tcPr>
            <w:tcW w:w="1892" w:type="dxa"/>
            <w:vAlign w:val="center"/>
          </w:tcPr>
          <w:p>
            <w:pPr>
              <w:spacing w:line="30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681" w:type="dxa"/>
            <w:vAlign w:val="center"/>
          </w:tcPr>
          <w:p>
            <w:pPr>
              <w:spacing w:line="300" w:lineRule="auto"/>
              <w:jc w:val="center"/>
              <w:rPr>
                <w:rFonts w:hint="eastAsia" w:ascii="仿宋" w:hAnsi="仿宋" w:eastAsia="仿宋" w:cs="仿宋"/>
                <w:color w:val="auto"/>
                <w:sz w:val="24"/>
                <w:highlight w:val="none"/>
              </w:rPr>
            </w:pPr>
          </w:p>
        </w:tc>
        <w:tc>
          <w:tcPr>
            <w:tcW w:w="1892" w:type="dxa"/>
            <w:vAlign w:val="center"/>
          </w:tcPr>
          <w:p>
            <w:pPr>
              <w:spacing w:line="300" w:lineRule="auto"/>
              <w:jc w:val="center"/>
              <w:rPr>
                <w:rFonts w:hint="eastAsia" w:ascii="仿宋" w:hAnsi="仿宋" w:eastAsia="仿宋" w:cs="仿宋"/>
                <w:color w:val="auto"/>
                <w:sz w:val="24"/>
                <w:highlight w:val="none"/>
              </w:rPr>
            </w:pPr>
          </w:p>
        </w:tc>
        <w:tc>
          <w:tcPr>
            <w:tcW w:w="1892" w:type="dxa"/>
            <w:vAlign w:val="center"/>
          </w:tcPr>
          <w:p>
            <w:pPr>
              <w:spacing w:line="300" w:lineRule="auto"/>
              <w:jc w:val="center"/>
              <w:rPr>
                <w:rFonts w:hint="eastAsia" w:ascii="仿宋" w:hAnsi="仿宋" w:eastAsia="仿宋" w:cs="仿宋"/>
                <w:color w:val="auto"/>
                <w:sz w:val="24"/>
                <w:highlight w:val="none"/>
              </w:rPr>
            </w:pPr>
          </w:p>
        </w:tc>
        <w:tc>
          <w:tcPr>
            <w:tcW w:w="1892" w:type="dxa"/>
            <w:vAlign w:val="center"/>
          </w:tcPr>
          <w:p>
            <w:pPr>
              <w:spacing w:line="30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681" w:type="dxa"/>
            <w:vAlign w:val="center"/>
          </w:tcPr>
          <w:p>
            <w:pPr>
              <w:spacing w:line="300" w:lineRule="auto"/>
              <w:jc w:val="center"/>
              <w:rPr>
                <w:rFonts w:hint="eastAsia" w:ascii="仿宋" w:hAnsi="仿宋" w:eastAsia="仿宋" w:cs="仿宋"/>
                <w:color w:val="auto"/>
                <w:sz w:val="24"/>
                <w:highlight w:val="none"/>
              </w:rPr>
            </w:pPr>
          </w:p>
        </w:tc>
        <w:tc>
          <w:tcPr>
            <w:tcW w:w="1892" w:type="dxa"/>
            <w:vAlign w:val="center"/>
          </w:tcPr>
          <w:p>
            <w:pPr>
              <w:spacing w:line="300" w:lineRule="auto"/>
              <w:jc w:val="center"/>
              <w:rPr>
                <w:rFonts w:hint="eastAsia" w:ascii="仿宋" w:hAnsi="仿宋" w:eastAsia="仿宋" w:cs="仿宋"/>
                <w:color w:val="auto"/>
                <w:sz w:val="24"/>
                <w:highlight w:val="none"/>
              </w:rPr>
            </w:pPr>
          </w:p>
        </w:tc>
        <w:tc>
          <w:tcPr>
            <w:tcW w:w="1892" w:type="dxa"/>
            <w:vAlign w:val="center"/>
          </w:tcPr>
          <w:p>
            <w:pPr>
              <w:spacing w:line="300" w:lineRule="auto"/>
              <w:jc w:val="center"/>
              <w:rPr>
                <w:rFonts w:hint="eastAsia" w:ascii="仿宋" w:hAnsi="仿宋" w:eastAsia="仿宋" w:cs="仿宋"/>
                <w:color w:val="auto"/>
                <w:sz w:val="24"/>
                <w:highlight w:val="none"/>
              </w:rPr>
            </w:pPr>
          </w:p>
        </w:tc>
        <w:tc>
          <w:tcPr>
            <w:tcW w:w="1892" w:type="dxa"/>
            <w:vAlign w:val="center"/>
          </w:tcPr>
          <w:p>
            <w:pPr>
              <w:spacing w:line="300" w:lineRule="auto"/>
              <w:jc w:val="center"/>
              <w:rPr>
                <w:rFonts w:hint="eastAsia" w:ascii="仿宋" w:hAnsi="仿宋" w:eastAsia="仿宋" w:cs="仿宋"/>
                <w:color w:val="auto"/>
                <w:sz w:val="24"/>
                <w:highlight w:val="none"/>
              </w:rPr>
            </w:pPr>
          </w:p>
        </w:tc>
      </w:tr>
    </w:tbl>
    <w:p>
      <w:pPr>
        <w:spacing w:line="30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highlight w:val="none"/>
        </w:rPr>
      </w:pPr>
    </w:p>
    <w:p>
      <w:pPr>
        <w:adjustRightInd w:val="0"/>
        <w:snapToGrid w:val="0"/>
        <w:spacing w:line="500" w:lineRule="atLeast"/>
        <w:rPr>
          <w:rFonts w:hint="eastAsia" w:ascii="仿宋" w:hAnsi="仿宋" w:eastAsia="仿宋" w:cs="仿宋"/>
          <w:color w:val="auto"/>
          <w:sz w:val="24"/>
          <w:highlight w:val="none"/>
        </w:rPr>
      </w:pPr>
    </w:p>
    <w:p>
      <w:pPr>
        <w:spacing w:line="480" w:lineRule="exact"/>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投标单位全称（盖章）：</w:t>
      </w:r>
    </w:p>
    <w:p>
      <w:pPr>
        <w:spacing w:line="480" w:lineRule="exact"/>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授权代表（签字）： </w:t>
      </w:r>
    </w:p>
    <w:p>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pPr>
        <w:autoSpaceDE w:val="0"/>
        <w:autoSpaceDN w:val="0"/>
        <w:adjustRightInd w:val="0"/>
        <w:ind w:left="4" w:leftChars="2" w:right="216"/>
        <w:rPr>
          <w:rStyle w:val="142"/>
          <w:rFonts w:hint="eastAsia" w:ascii="仿宋" w:hAnsi="仿宋" w:eastAsia="仿宋" w:cs="仿宋"/>
          <w:color w:val="auto"/>
          <w:sz w:val="28"/>
          <w:szCs w:val="28"/>
          <w:highlight w:val="none"/>
        </w:rPr>
      </w:pPr>
    </w:p>
    <w:p>
      <w:pPr>
        <w:autoSpaceDE w:val="0"/>
        <w:autoSpaceDN w:val="0"/>
        <w:adjustRightInd w:val="0"/>
        <w:ind w:left="4" w:leftChars="2" w:right="216"/>
        <w:rPr>
          <w:rStyle w:val="142"/>
          <w:rFonts w:hint="eastAsia" w:ascii="仿宋" w:hAnsi="仿宋" w:eastAsia="仿宋" w:cs="仿宋"/>
          <w:color w:val="auto"/>
          <w:sz w:val="28"/>
          <w:szCs w:val="28"/>
          <w:highlight w:val="none"/>
        </w:rPr>
      </w:pPr>
    </w:p>
    <w:p>
      <w:pPr>
        <w:autoSpaceDE w:val="0"/>
        <w:autoSpaceDN w:val="0"/>
        <w:adjustRightInd w:val="0"/>
        <w:ind w:left="4" w:leftChars="2" w:right="216"/>
        <w:rPr>
          <w:rStyle w:val="142"/>
          <w:rFonts w:hint="eastAsia" w:ascii="仿宋" w:hAnsi="仿宋" w:eastAsia="仿宋" w:cs="仿宋"/>
          <w:color w:val="auto"/>
          <w:sz w:val="28"/>
          <w:szCs w:val="28"/>
          <w:highlight w:val="none"/>
        </w:rPr>
      </w:pPr>
    </w:p>
    <w:bookmarkEnd w:id="969"/>
    <w:p>
      <w:pPr>
        <w:jc w:val="center"/>
        <w:rPr>
          <w:rFonts w:hint="eastAsia" w:ascii="仿宋" w:hAnsi="仿宋" w:eastAsia="仿宋" w:cs="仿宋"/>
          <w:color w:val="auto"/>
          <w:highlight w:val="none"/>
        </w:rPr>
      </w:pPr>
      <w:bookmarkStart w:id="1015" w:name="_Toc324164752"/>
      <w:bookmarkStart w:id="1016" w:name="_Toc268609611"/>
    </w:p>
    <w:p>
      <w:pPr>
        <w:pStyle w:val="4"/>
        <w:tabs>
          <w:tab w:val="clear" w:pos="618"/>
          <w:tab w:val="clear" w:pos="927"/>
        </w:tabs>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1017" w:name="_Toc61260778"/>
      <w:bookmarkStart w:id="1018" w:name="_Toc78272836"/>
      <w:bookmarkStart w:id="1019" w:name="_Toc24249"/>
      <w:bookmarkStart w:id="1020" w:name="_Toc32489"/>
      <w:bookmarkStart w:id="1021" w:name="_Toc14639"/>
      <w:bookmarkStart w:id="1022" w:name="_Toc514253203"/>
      <w:r>
        <w:rPr>
          <w:rFonts w:hint="eastAsia" w:ascii="仿宋" w:hAnsi="仿宋" w:eastAsia="仿宋" w:cs="仿宋"/>
          <w:color w:val="auto"/>
          <w:highlight w:val="none"/>
        </w:rPr>
        <w:t>八、资格审查资料</w:t>
      </w:r>
      <w:bookmarkEnd w:id="1017"/>
      <w:bookmarkEnd w:id="1018"/>
      <w:bookmarkEnd w:id="1019"/>
      <w:bookmarkEnd w:id="1020"/>
      <w:bookmarkEnd w:id="1021"/>
      <w:bookmarkEnd w:id="1022"/>
    </w:p>
    <w:p>
      <w:pPr>
        <w:spacing w:line="0" w:lineRule="atLeast"/>
        <w:jc w:val="center"/>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（一）基本情况表</w:t>
      </w:r>
    </w:p>
    <w:tbl>
      <w:tblPr>
        <w:tblStyle w:val="50"/>
        <w:tblW w:w="0" w:type="auto"/>
        <w:jc w:val="center"/>
        <w:tblLayout w:type="fixed"/>
        <w:tblCellMar>
          <w:top w:w="0" w:type="dxa"/>
          <w:left w:w="10" w:type="dxa"/>
          <w:bottom w:w="0" w:type="dxa"/>
          <w:right w:w="10" w:type="dxa"/>
        </w:tblCellMar>
      </w:tblPr>
      <w:tblGrid>
        <w:gridCol w:w="1733"/>
        <w:gridCol w:w="1080"/>
        <w:gridCol w:w="1821"/>
        <w:gridCol w:w="698"/>
        <w:gridCol w:w="187"/>
        <w:gridCol w:w="1075"/>
        <w:gridCol w:w="1944"/>
      </w:tblGrid>
      <w:tr>
        <w:tblPrEx>
          <w:tblCellMar>
            <w:top w:w="0" w:type="dxa"/>
            <w:left w:w="10" w:type="dxa"/>
            <w:bottom w:w="0" w:type="dxa"/>
            <w:right w:w="10" w:type="dxa"/>
          </w:tblCellMar>
        </w:tblPrEx>
        <w:trPr>
          <w:trHeight w:val="581" w:hRule="exact"/>
          <w:jc w:val="center"/>
        </w:trPr>
        <w:tc>
          <w:tcPr>
            <w:tcW w:w="1733" w:type="dxa"/>
            <w:tcBorders>
              <w:top w:val="single" w:color="auto" w:sz="4" w:space="0"/>
              <w:left w:val="single" w:color="auto" w:sz="4" w:space="0"/>
            </w:tcBorders>
            <w:shd w:val="clear" w:color="auto" w:fill="FFFFFF"/>
            <w:vAlign w:val="center"/>
          </w:tcPr>
          <w:p>
            <w:pPr>
              <w:pStyle w:val="216"/>
              <w:spacing w:line="240" w:lineRule="auto"/>
              <w:ind w:firstLine="26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投标人名称</w:t>
            </w:r>
          </w:p>
        </w:tc>
        <w:tc>
          <w:tcPr>
            <w:tcW w:w="6805" w:type="dxa"/>
            <w:gridSpan w:val="6"/>
            <w:tcBorders>
              <w:top w:val="single" w:color="auto" w:sz="4" w:space="0"/>
              <w:left w:val="single" w:color="auto" w:sz="4" w:space="0"/>
              <w:right w:val="single" w:color="auto" w:sz="4" w:space="0"/>
            </w:tcBorders>
            <w:shd w:val="clear" w:color="auto" w:fill="FFFFFF"/>
          </w:tcPr>
          <w:p>
            <w:pPr>
              <w:rPr>
                <w:rFonts w:hint="eastAsia"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76" w:hRule="exact"/>
          <w:jc w:val="center"/>
        </w:trPr>
        <w:tc>
          <w:tcPr>
            <w:tcW w:w="1733" w:type="dxa"/>
            <w:tcBorders>
              <w:top w:val="single" w:color="auto" w:sz="4" w:space="0"/>
              <w:left w:val="single" w:color="auto" w:sz="4" w:space="0"/>
            </w:tcBorders>
            <w:shd w:val="clear" w:color="auto" w:fill="FFFFFF"/>
            <w:vAlign w:val="center"/>
          </w:tcPr>
          <w:p>
            <w:pPr>
              <w:pStyle w:val="216"/>
              <w:spacing w:line="24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注册地址</w:t>
            </w:r>
          </w:p>
        </w:tc>
        <w:tc>
          <w:tcPr>
            <w:tcW w:w="3599" w:type="dxa"/>
            <w:gridSpan w:val="3"/>
            <w:tcBorders>
              <w:top w:val="single" w:color="auto" w:sz="4" w:space="0"/>
              <w:left w:val="single" w:color="auto" w:sz="4" w:space="0"/>
            </w:tcBorders>
            <w:shd w:val="clear" w:color="auto" w:fill="FFFFFF"/>
          </w:tcPr>
          <w:p>
            <w:pPr>
              <w:rPr>
                <w:rFonts w:hint="eastAsia" w:ascii="仿宋" w:hAnsi="仿宋" w:eastAsia="仿宋" w:cs="仿宋"/>
                <w:color w:val="auto"/>
                <w:sz w:val="10"/>
                <w:szCs w:val="10"/>
                <w:highlight w:val="none"/>
              </w:rPr>
            </w:pPr>
          </w:p>
        </w:tc>
        <w:tc>
          <w:tcPr>
            <w:tcW w:w="1262" w:type="dxa"/>
            <w:gridSpan w:val="2"/>
            <w:tcBorders>
              <w:top w:val="single" w:color="auto" w:sz="4" w:space="0"/>
              <w:left w:val="single" w:color="auto" w:sz="4" w:space="0"/>
            </w:tcBorders>
            <w:shd w:val="clear" w:color="auto" w:fill="FFFFFF"/>
            <w:vAlign w:val="center"/>
          </w:tcPr>
          <w:p>
            <w:pPr>
              <w:pStyle w:val="216"/>
              <w:spacing w:line="24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邮政编码</w:t>
            </w:r>
          </w:p>
        </w:tc>
        <w:tc>
          <w:tcPr>
            <w:tcW w:w="1944" w:type="dxa"/>
            <w:tcBorders>
              <w:top w:val="single" w:color="auto" w:sz="4" w:space="0"/>
              <w:left w:val="single" w:color="auto" w:sz="4" w:space="0"/>
              <w:right w:val="single" w:color="auto" w:sz="4" w:space="0"/>
            </w:tcBorders>
            <w:shd w:val="clear" w:color="auto" w:fill="FFFFFF"/>
          </w:tcPr>
          <w:p>
            <w:pPr>
              <w:rPr>
                <w:rFonts w:hint="eastAsia"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81" w:hRule="exact"/>
          <w:jc w:val="center"/>
        </w:trPr>
        <w:tc>
          <w:tcPr>
            <w:tcW w:w="1733" w:type="dxa"/>
            <w:vMerge w:val="restart"/>
            <w:tcBorders>
              <w:top w:val="single" w:color="auto" w:sz="4" w:space="0"/>
              <w:left w:val="single" w:color="auto" w:sz="4" w:space="0"/>
            </w:tcBorders>
            <w:shd w:val="clear" w:color="auto" w:fill="FFFFFF"/>
            <w:vAlign w:val="center"/>
          </w:tcPr>
          <w:p>
            <w:pPr>
              <w:pStyle w:val="216"/>
              <w:spacing w:line="24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联系方式</w:t>
            </w:r>
          </w:p>
        </w:tc>
        <w:tc>
          <w:tcPr>
            <w:tcW w:w="1080" w:type="dxa"/>
            <w:tcBorders>
              <w:top w:val="single" w:color="auto" w:sz="4" w:space="0"/>
              <w:left w:val="single" w:color="auto" w:sz="4" w:space="0"/>
            </w:tcBorders>
            <w:shd w:val="clear" w:color="auto" w:fill="FFFFFF"/>
            <w:vAlign w:val="center"/>
          </w:tcPr>
          <w:p>
            <w:pPr>
              <w:pStyle w:val="216"/>
              <w:spacing w:line="24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联系人</w:t>
            </w:r>
          </w:p>
        </w:tc>
        <w:tc>
          <w:tcPr>
            <w:tcW w:w="2519" w:type="dxa"/>
            <w:gridSpan w:val="2"/>
            <w:tcBorders>
              <w:top w:val="single" w:color="auto" w:sz="4" w:space="0"/>
              <w:left w:val="single" w:color="auto" w:sz="4" w:space="0"/>
            </w:tcBorders>
            <w:shd w:val="clear" w:color="auto" w:fill="FFFFFF"/>
          </w:tcPr>
          <w:p>
            <w:pPr>
              <w:rPr>
                <w:rFonts w:hint="eastAsia" w:ascii="仿宋" w:hAnsi="仿宋" w:eastAsia="仿宋" w:cs="仿宋"/>
                <w:color w:val="auto"/>
                <w:sz w:val="10"/>
                <w:szCs w:val="10"/>
                <w:highlight w:val="none"/>
              </w:rPr>
            </w:pPr>
          </w:p>
        </w:tc>
        <w:tc>
          <w:tcPr>
            <w:tcW w:w="1262" w:type="dxa"/>
            <w:gridSpan w:val="2"/>
            <w:tcBorders>
              <w:top w:val="single" w:color="auto" w:sz="4" w:space="0"/>
              <w:left w:val="single" w:color="auto" w:sz="4" w:space="0"/>
            </w:tcBorders>
            <w:shd w:val="clear" w:color="auto" w:fill="FFFFFF"/>
            <w:vAlign w:val="center"/>
          </w:tcPr>
          <w:p>
            <w:pPr>
              <w:pStyle w:val="216"/>
              <w:spacing w:line="24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电话</w:t>
            </w:r>
          </w:p>
        </w:tc>
        <w:tc>
          <w:tcPr>
            <w:tcW w:w="1944" w:type="dxa"/>
            <w:tcBorders>
              <w:top w:val="single" w:color="auto" w:sz="4" w:space="0"/>
              <w:left w:val="single" w:color="auto" w:sz="4" w:space="0"/>
              <w:right w:val="single" w:color="auto" w:sz="4" w:space="0"/>
            </w:tcBorders>
            <w:shd w:val="clear" w:color="auto" w:fill="FFFFFF"/>
          </w:tcPr>
          <w:p>
            <w:pPr>
              <w:rPr>
                <w:rFonts w:hint="eastAsia"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76" w:hRule="exact"/>
          <w:jc w:val="center"/>
        </w:trPr>
        <w:tc>
          <w:tcPr>
            <w:tcW w:w="1733" w:type="dxa"/>
            <w:vMerge w:val="continue"/>
            <w:tcBorders>
              <w:left w:val="single" w:color="auto" w:sz="4" w:space="0"/>
            </w:tcBorders>
            <w:shd w:val="clear" w:color="auto" w:fill="FFFFFF"/>
            <w:vAlign w:val="center"/>
          </w:tcPr>
          <w:p>
            <w:pPr>
              <w:rPr>
                <w:rFonts w:hint="eastAsia" w:ascii="仿宋" w:hAnsi="仿宋" w:eastAsia="仿宋" w:cs="仿宋"/>
                <w:color w:val="auto"/>
                <w:highlight w:val="none"/>
              </w:rPr>
            </w:pPr>
          </w:p>
        </w:tc>
        <w:tc>
          <w:tcPr>
            <w:tcW w:w="1080" w:type="dxa"/>
            <w:tcBorders>
              <w:top w:val="single" w:color="auto" w:sz="4" w:space="0"/>
              <w:left w:val="single" w:color="auto" w:sz="4" w:space="0"/>
            </w:tcBorders>
            <w:shd w:val="clear" w:color="auto" w:fill="FFFFFF"/>
            <w:vAlign w:val="center"/>
          </w:tcPr>
          <w:p>
            <w:pPr>
              <w:pStyle w:val="216"/>
              <w:spacing w:line="240" w:lineRule="auto"/>
              <w:ind w:firstLine="30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传真</w:t>
            </w:r>
          </w:p>
        </w:tc>
        <w:tc>
          <w:tcPr>
            <w:tcW w:w="2519" w:type="dxa"/>
            <w:gridSpan w:val="2"/>
            <w:tcBorders>
              <w:top w:val="single" w:color="auto" w:sz="4" w:space="0"/>
              <w:left w:val="single" w:color="auto" w:sz="4" w:space="0"/>
            </w:tcBorders>
            <w:shd w:val="clear" w:color="auto" w:fill="FFFFFF"/>
          </w:tcPr>
          <w:p>
            <w:pPr>
              <w:rPr>
                <w:rFonts w:hint="eastAsia" w:ascii="仿宋" w:hAnsi="仿宋" w:eastAsia="仿宋" w:cs="仿宋"/>
                <w:color w:val="auto"/>
                <w:sz w:val="10"/>
                <w:szCs w:val="10"/>
                <w:highlight w:val="none"/>
              </w:rPr>
            </w:pPr>
          </w:p>
        </w:tc>
        <w:tc>
          <w:tcPr>
            <w:tcW w:w="1262" w:type="dxa"/>
            <w:gridSpan w:val="2"/>
            <w:tcBorders>
              <w:top w:val="single" w:color="auto" w:sz="4" w:space="0"/>
              <w:left w:val="single" w:color="auto" w:sz="4" w:space="0"/>
            </w:tcBorders>
            <w:shd w:val="clear" w:color="auto" w:fill="FFFFFF"/>
            <w:vAlign w:val="center"/>
          </w:tcPr>
          <w:p>
            <w:pPr>
              <w:pStyle w:val="216"/>
              <w:spacing w:line="24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网址</w:t>
            </w:r>
          </w:p>
        </w:tc>
        <w:tc>
          <w:tcPr>
            <w:tcW w:w="1944" w:type="dxa"/>
            <w:tcBorders>
              <w:top w:val="single" w:color="auto" w:sz="4" w:space="0"/>
              <w:left w:val="single" w:color="auto" w:sz="4" w:space="0"/>
              <w:right w:val="single" w:color="auto" w:sz="4" w:space="0"/>
            </w:tcBorders>
            <w:shd w:val="clear" w:color="auto" w:fill="FFFFFF"/>
          </w:tcPr>
          <w:p>
            <w:pPr>
              <w:rPr>
                <w:rFonts w:hint="eastAsia"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76" w:hRule="exact"/>
          <w:jc w:val="center"/>
        </w:trPr>
        <w:tc>
          <w:tcPr>
            <w:tcW w:w="1733" w:type="dxa"/>
            <w:tcBorders>
              <w:top w:val="single" w:color="auto" w:sz="4" w:space="0"/>
              <w:left w:val="single" w:color="auto" w:sz="4" w:space="0"/>
            </w:tcBorders>
            <w:shd w:val="clear" w:color="auto" w:fill="FFFFFF"/>
            <w:vAlign w:val="center"/>
          </w:tcPr>
          <w:p>
            <w:pPr>
              <w:pStyle w:val="216"/>
              <w:spacing w:line="24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组织结构</w:t>
            </w:r>
          </w:p>
        </w:tc>
        <w:tc>
          <w:tcPr>
            <w:tcW w:w="6805" w:type="dxa"/>
            <w:gridSpan w:val="6"/>
            <w:tcBorders>
              <w:top w:val="single" w:color="auto" w:sz="4" w:space="0"/>
              <w:left w:val="single" w:color="auto" w:sz="4" w:space="0"/>
              <w:right w:val="single" w:color="auto" w:sz="4" w:space="0"/>
            </w:tcBorders>
            <w:shd w:val="clear" w:color="auto" w:fill="FFFFFF"/>
          </w:tcPr>
          <w:p>
            <w:pPr>
              <w:rPr>
                <w:rFonts w:hint="eastAsia"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76" w:hRule="exact"/>
          <w:jc w:val="center"/>
        </w:trPr>
        <w:tc>
          <w:tcPr>
            <w:tcW w:w="1733" w:type="dxa"/>
            <w:tcBorders>
              <w:top w:val="single" w:color="auto" w:sz="4" w:space="0"/>
              <w:left w:val="single" w:color="auto" w:sz="4" w:space="0"/>
            </w:tcBorders>
            <w:shd w:val="clear" w:color="auto" w:fill="FFFFFF"/>
            <w:vAlign w:val="center"/>
          </w:tcPr>
          <w:p>
            <w:pPr>
              <w:pStyle w:val="216"/>
              <w:spacing w:line="240" w:lineRule="auto"/>
              <w:ind w:firstLine="26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法定代表人</w:t>
            </w:r>
          </w:p>
        </w:tc>
        <w:tc>
          <w:tcPr>
            <w:tcW w:w="1080" w:type="dxa"/>
            <w:tcBorders>
              <w:top w:val="single" w:color="auto" w:sz="4" w:space="0"/>
              <w:left w:val="single" w:color="auto" w:sz="4" w:space="0"/>
            </w:tcBorders>
            <w:shd w:val="clear" w:color="auto" w:fill="FFFFFF"/>
            <w:vAlign w:val="center"/>
          </w:tcPr>
          <w:p>
            <w:pPr>
              <w:pStyle w:val="216"/>
              <w:spacing w:line="240" w:lineRule="auto"/>
              <w:ind w:firstLine="30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姓名</w:t>
            </w:r>
          </w:p>
        </w:tc>
        <w:tc>
          <w:tcPr>
            <w:tcW w:w="1821" w:type="dxa"/>
            <w:tcBorders>
              <w:top w:val="single" w:color="auto" w:sz="4" w:space="0"/>
              <w:left w:val="single" w:color="auto" w:sz="4" w:space="0"/>
            </w:tcBorders>
            <w:shd w:val="clear" w:color="auto" w:fill="FFFFFF"/>
          </w:tcPr>
          <w:p>
            <w:pPr>
              <w:rPr>
                <w:rFonts w:hint="eastAsia" w:ascii="仿宋" w:hAnsi="仿宋" w:eastAsia="仿宋" w:cs="仿宋"/>
                <w:color w:val="auto"/>
                <w:sz w:val="10"/>
                <w:szCs w:val="10"/>
                <w:highlight w:val="none"/>
              </w:rPr>
            </w:pPr>
          </w:p>
        </w:tc>
        <w:tc>
          <w:tcPr>
            <w:tcW w:w="885" w:type="dxa"/>
            <w:gridSpan w:val="2"/>
            <w:tcBorders>
              <w:top w:val="single" w:color="auto" w:sz="4" w:space="0"/>
              <w:left w:val="single" w:color="auto" w:sz="4" w:space="0"/>
            </w:tcBorders>
            <w:shd w:val="clear" w:color="auto" w:fill="FFFFFF"/>
            <w:vAlign w:val="center"/>
          </w:tcPr>
          <w:p>
            <w:pPr>
              <w:pStyle w:val="216"/>
              <w:spacing w:line="240" w:lineRule="auto"/>
              <w:jc w:val="center"/>
              <w:rPr>
                <w:rFonts w:hint="eastAsia" w:ascii="仿宋" w:hAnsi="仿宋" w:eastAsia="仿宋" w:cs="仿宋"/>
                <w:color w:val="auto"/>
                <w:sz w:val="20"/>
                <w:szCs w:val="20"/>
                <w:highlight w:val="none"/>
              </w:rPr>
            </w:pPr>
          </w:p>
          <w:p>
            <w:pPr>
              <w:pStyle w:val="216"/>
              <w:spacing w:line="24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电话</w:t>
            </w:r>
          </w:p>
        </w:tc>
        <w:tc>
          <w:tcPr>
            <w:tcW w:w="3019" w:type="dxa"/>
            <w:gridSpan w:val="2"/>
            <w:tcBorders>
              <w:top w:val="single" w:color="auto" w:sz="4" w:space="0"/>
              <w:left w:val="single" w:color="auto" w:sz="4" w:space="0"/>
              <w:right w:val="single" w:color="auto" w:sz="4" w:space="0"/>
            </w:tcBorders>
            <w:shd w:val="clear" w:color="auto" w:fill="FFFFFF"/>
          </w:tcPr>
          <w:p>
            <w:pPr>
              <w:rPr>
                <w:rFonts w:hint="eastAsia"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76" w:hRule="exact"/>
          <w:jc w:val="center"/>
        </w:trPr>
        <w:tc>
          <w:tcPr>
            <w:tcW w:w="1733" w:type="dxa"/>
            <w:tcBorders>
              <w:top w:val="single" w:color="auto" w:sz="4" w:space="0"/>
              <w:left w:val="single" w:color="auto" w:sz="4" w:space="0"/>
            </w:tcBorders>
            <w:shd w:val="clear" w:color="auto" w:fill="FFFFFF"/>
            <w:vAlign w:val="center"/>
          </w:tcPr>
          <w:p>
            <w:pPr>
              <w:pStyle w:val="216"/>
              <w:spacing w:line="240" w:lineRule="auto"/>
              <w:ind w:firstLine="260"/>
              <w:jc w:val="left"/>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委托代理人</w:t>
            </w:r>
          </w:p>
        </w:tc>
        <w:tc>
          <w:tcPr>
            <w:tcW w:w="1080" w:type="dxa"/>
            <w:tcBorders>
              <w:top w:val="single" w:color="auto" w:sz="4" w:space="0"/>
              <w:left w:val="single" w:color="auto" w:sz="4" w:space="0"/>
            </w:tcBorders>
            <w:shd w:val="clear" w:color="auto" w:fill="FFFFFF"/>
            <w:vAlign w:val="center"/>
          </w:tcPr>
          <w:p>
            <w:pPr>
              <w:pStyle w:val="216"/>
              <w:spacing w:line="240" w:lineRule="auto"/>
              <w:ind w:firstLine="30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姓名</w:t>
            </w:r>
          </w:p>
        </w:tc>
        <w:tc>
          <w:tcPr>
            <w:tcW w:w="1821" w:type="dxa"/>
            <w:tcBorders>
              <w:top w:val="single" w:color="auto" w:sz="4" w:space="0"/>
              <w:left w:val="single" w:color="auto" w:sz="4" w:space="0"/>
            </w:tcBorders>
            <w:shd w:val="clear" w:color="auto" w:fill="FFFFFF"/>
          </w:tcPr>
          <w:p>
            <w:pPr>
              <w:rPr>
                <w:rFonts w:hint="eastAsia" w:ascii="仿宋" w:hAnsi="仿宋" w:eastAsia="仿宋" w:cs="仿宋"/>
                <w:color w:val="auto"/>
                <w:sz w:val="10"/>
                <w:szCs w:val="10"/>
                <w:highlight w:val="none"/>
              </w:rPr>
            </w:pPr>
          </w:p>
        </w:tc>
        <w:tc>
          <w:tcPr>
            <w:tcW w:w="885" w:type="dxa"/>
            <w:gridSpan w:val="2"/>
            <w:tcBorders>
              <w:top w:val="single" w:color="auto" w:sz="4" w:space="0"/>
              <w:left w:val="single" w:color="auto" w:sz="4" w:space="0"/>
            </w:tcBorders>
            <w:shd w:val="clear" w:color="auto" w:fill="FFFFFF"/>
            <w:vAlign w:val="center"/>
          </w:tcPr>
          <w:p>
            <w:pPr>
              <w:pStyle w:val="216"/>
              <w:spacing w:line="240" w:lineRule="auto"/>
              <w:jc w:val="center"/>
              <w:rPr>
                <w:rFonts w:hint="eastAsia" w:ascii="仿宋" w:hAnsi="仿宋" w:eastAsia="仿宋" w:cs="仿宋"/>
                <w:color w:val="auto"/>
                <w:sz w:val="20"/>
                <w:szCs w:val="20"/>
                <w:highlight w:val="none"/>
              </w:rPr>
            </w:pPr>
          </w:p>
          <w:p>
            <w:pPr>
              <w:pStyle w:val="216"/>
              <w:spacing w:line="24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电话</w:t>
            </w:r>
          </w:p>
        </w:tc>
        <w:tc>
          <w:tcPr>
            <w:tcW w:w="3019" w:type="dxa"/>
            <w:gridSpan w:val="2"/>
            <w:tcBorders>
              <w:top w:val="single" w:color="auto" w:sz="4" w:space="0"/>
              <w:left w:val="single" w:color="auto" w:sz="4" w:space="0"/>
              <w:right w:val="single" w:color="auto" w:sz="4" w:space="0"/>
            </w:tcBorders>
            <w:shd w:val="clear" w:color="auto" w:fill="FFFFFF"/>
          </w:tcPr>
          <w:p>
            <w:pPr>
              <w:rPr>
                <w:rFonts w:hint="eastAsia"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81" w:hRule="exact"/>
          <w:jc w:val="center"/>
        </w:trPr>
        <w:tc>
          <w:tcPr>
            <w:tcW w:w="1733" w:type="dxa"/>
            <w:tcBorders>
              <w:top w:val="single" w:color="auto" w:sz="4" w:space="0"/>
              <w:left w:val="single" w:color="auto" w:sz="4" w:space="0"/>
            </w:tcBorders>
            <w:shd w:val="clear" w:color="auto" w:fill="FFFFFF"/>
            <w:vAlign w:val="center"/>
          </w:tcPr>
          <w:p>
            <w:pPr>
              <w:pStyle w:val="216"/>
              <w:spacing w:line="24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成立时间</w:t>
            </w:r>
          </w:p>
        </w:tc>
        <w:tc>
          <w:tcPr>
            <w:tcW w:w="2901" w:type="dxa"/>
            <w:gridSpan w:val="2"/>
            <w:tcBorders>
              <w:top w:val="single" w:color="auto" w:sz="4" w:space="0"/>
              <w:left w:val="single" w:color="auto" w:sz="4" w:space="0"/>
            </w:tcBorders>
            <w:shd w:val="clear" w:color="auto" w:fill="FFFFFF"/>
          </w:tcPr>
          <w:p>
            <w:pPr>
              <w:rPr>
                <w:rFonts w:hint="eastAsia" w:ascii="仿宋" w:hAnsi="仿宋" w:eastAsia="仿宋" w:cs="仿宋"/>
                <w:color w:val="auto"/>
                <w:sz w:val="10"/>
                <w:szCs w:val="10"/>
                <w:highlight w:val="none"/>
              </w:rPr>
            </w:pPr>
          </w:p>
        </w:tc>
        <w:tc>
          <w:tcPr>
            <w:tcW w:w="3904" w:type="dxa"/>
            <w:gridSpan w:val="4"/>
            <w:tcBorders>
              <w:top w:val="single" w:color="auto" w:sz="4" w:space="0"/>
              <w:left w:val="single" w:color="auto" w:sz="4" w:space="0"/>
              <w:right w:val="single" w:color="auto" w:sz="4" w:space="0"/>
            </w:tcBorders>
            <w:shd w:val="clear" w:color="auto" w:fill="FFFFFF"/>
          </w:tcPr>
          <w:p>
            <w:pPr>
              <w:rPr>
                <w:rFonts w:hint="eastAsia"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76" w:hRule="exact"/>
          <w:jc w:val="center"/>
        </w:trPr>
        <w:tc>
          <w:tcPr>
            <w:tcW w:w="1733" w:type="dxa"/>
            <w:tcBorders>
              <w:top w:val="single" w:color="auto" w:sz="4" w:space="0"/>
              <w:left w:val="single" w:color="auto" w:sz="4" w:space="0"/>
            </w:tcBorders>
            <w:shd w:val="clear" w:color="auto" w:fill="FFFFFF"/>
            <w:vAlign w:val="center"/>
          </w:tcPr>
          <w:p>
            <w:pPr>
              <w:pStyle w:val="216"/>
              <w:spacing w:line="240" w:lineRule="auto"/>
              <w:ind w:firstLine="26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营业执照号</w:t>
            </w:r>
          </w:p>
        </w:tc>
        <w:tc>
          <w:tcPr>
            <w:tcW w:w="6805" w:type="dxa"/>
            <w:gridSpan w:val="6"/>
            <w:tcBorders>
              <w:top w:val="single" w:color="auto" w:sz="4" w:space="0"/>
              <w:left w:val="single" w:color="auto" w:sz="4" w:space="0"/>
              <w:right w:val="single" w:color="auto" w:sz="4" w:space="0"/>
            </w:tcBorders>
            <w:shd w:val="clear" w:color="auto" w:fill="FFFFFF"/>
          </w:tcPr>
          <w:p>
            <w:pPr>
              <w:rPr>
                <w:rFonts w:hint="eastAsia"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76" w:hRule="exact"/>
          <w:jc w:val="center"/>
        </w:trPr>
        <w:tc>
          <w:tcPr>
            <w:tcW w:w="1733" w:type="dxa"/>
            <w:tcBorders>
              <w:top w:val="single" w:color="auto" w:sz="4" w:space="0"/>
              <w:left w:val="single" w:color="auto" w:sz="4" w:space="0"/>
            </w:tcBorders>
            <w:shd w:val="clear" w:color="auto" w:fill="FFFFFF"/>
            <w:vAlign w:val="center"/>
          </w:tcPr>
          <w:p>
            <w:pPr>
              <w:pStyle w:val="216"/>
              <w:spacing w:line="24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开户银行</w:t>
            </w:r>
          </w:p>
        </w:tc>
        <w:tc>
          <w:tcPr>
            <w:tcW w:w="6805" w:type="dxa"/>
            <w:gridSpan w:val="6"/>
            <w:tcBorders>
              <w:top w:val="single" w:color="auto" w:sz="4" w:space="0"/>
              <w:left w:val="single" w:color="auto" w:sz="4" w:space="0"/>
              <w:right w:val="single" w:color="auto" w:sz="4" w:space="0"/>
            </w:tcBorders>
            <w:shd w:val="clear" w:color="auto" w:fill="FFFFFF"/>
          </w:tcPr>
          <w:p>
            <w:pPr>
              <w:rPr>
                <w:rFonts w:hint="eastAsia"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76" w:hRule="exact"/>
          <w:jc w:val="center"/>
        </w:trPr>
        <w:tc>
          <w:tcPr>
            <w:tcW w:w="1733" w:type="dxa"/>
            <w:tcBorders>
              <w:top w:val="single" w:color="auto" w:sz="4" w:space="0"/>
              <w:left w:val="single" w:color="auto" w:sz="4" w:space="0"/>
            </w:tcBorders>
            <w:shd w:val="clear" w:color="auto" w:fill="FFFFFF"/>
            <w:vAlign w:val="center"/>
          </w:tcPr>
          <w:p>
            <w:pPr>
              <w:pStyle w:val="216"/>
              <w:spacing w:line="24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账号</w:t>
            </w:r>
          </w:p>
        </w:tc>
        <w:tc>
          <w:tcPr>
            <w:tcW w:w="6805" w:type="dxa"/>
            <w:gridSpan w:val="6"/>
            <w:tcBorders>
              <w:top w:val="single" w:color="auto" w:sz="4" w:space="0"/>
              <w:left w:val="single" w:color="auto" w:sz="4" w:space="0"/>
              <w:right w:val="single" w:color="auto" w:sz="4" w:space="0"/>
            </w:tcBorders>
            <w:shd w:val="clear" w:color="auto" w:fill="FFFFFF"/>
          </w:tcPr>
          <w:p>
            <w:pPr>
              <w:rPr>
                <w:rFonts w:hint="eastAsia"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2506" w:hRule="exact"/>
          <w:jc w:val="center"/>
        </w:trPr>
        <w:tc>
          <w:tcPr>
            <w:tcW w:w="1733" w:type="dxa"/>
            <w:tcBorders>
              <w:top w:val="single" w:color="auto" w:sz="4" w:space="0"/>
              <w:left w:val="single" w:color="auto" w:sz="4" w:space="0"/>
            </w:tcBorders>
            <w:shd w:val="clear" w:color="auto" w:fill="FFFFFF"/>
            <w:vAlign w:val="center"/>
          </w:tcPr>
          <w:p>
            <w:pPr>
              <w:pStyle w:val="216"/>
              <w:spacing w:line="24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经营范围</w:t>
            </w:r>
          </w:p>
        </w:tc>
        <w:tc>
          <w:tcPr>
            <w:tcW w:w="6805" w:type="dxa"/>
            <w:gridSpan w:val="6"/>
            <w:tcBorders>
              <w:top w:val="single" w:color="auto" w:sz="4" w:space="0"/>
              <w:left w:val="single" w:color="auto" w:sz="4" w:space="0"/>
              <w:right w:val="single" w:color="auto" w:sz="4" w:space="0"/>
            </w:tcBorders>
            <w:shd w:val="clear" w:color="auto" w:fill="FFFFFF"/>
          </w:tcPr>
          <w:p>
            <w:pPr>
              <w:rPr>
                <w:rFonts w:hint="eastAsia"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90" w:hRule="exact"/>
          <w:jc w:val="center"/>
        </w:trPr>
        <w:tc>
          <w:tcPr>
            <w:tcW w:w="1733" w:type="dxa"/>
            <w:tcBorders>
              <w:top w:val="single" w:color="auto" w:sz="4" w:space="0"/>
              <w:left w:val="single" w:color="auto" w:sz="4" w:space="0"/>
              <w:bottom w:val="single" w:color="auto" w:sz="4" w:space="0"/>
            </w:tcBorders>
            <w:shd w:val="clear" w:color="auto" w:fill="FFFFFF"/>
            <w:vAlign w:val="center"/>
          </w:tcPr>
          <w:p>
            <w:pPr>
              <w:pStyle w:val="216"/>
              <w:spacing w:line="24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备注</w:t>
            </w:r>
          </w:p>
        </w:tc>
        <w:tc>
          <w:tcPr>
            <w:tcW w:w="6805" w:type="dxa"/>
            <w:gridSpan w:val="6"/>
            <w:tcBorders>
              <w:top w:val="single" w:color="auto" w:sz="4" w:space="0"/>
              <w:left w:val="single" w:color="auto" w:sz="4" w:space="0"/>
              <w:bottom w:val="single" w:color="auto" w:sz="4" w:space="0"/>
              <w:right w:val="single" w:color="auto" w:sz="4" w:space="0"/>
            </w:tcBorders>
            <w:shd w:val="clear" w:color="auto" w:fill="FFFFFF"/>
          </w:tcPr>
          <w:p>
            <w:pPr>
              <w:rPr>
                <w:rFonts w:hint="eastAsia" w:ascii="仿宋" w:hAnsi="仿宋" w:eastAsia="仿宋" w:cs="仿宋"/>
                <w:color w:val="auto"/>
                <w:sz w:val="10"/>
                <w:szCs w:val="10"/>
                <w:highlight w:val="none"/>
              </w:rPr>
            </w:pPr>
          </w:p>
        </w:tc>
      </w:tr>
    </w:tbl>
    <w:p>
      <w:pPr>
        <w:rPr>
          <w:rFonts w:hint="eastAsia" w:ascii="仿宋" w:hAnsi="仿宋" w:eastAsia="仿宋" w:cs="仿宋"/>
          <w:color w:val="auto"/>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注：附营业执照，投标人须按以上表格内容填写完整，内容须真实，不得弄虚作假。表格内容一经发现存在作假事实将取消其投标资格。</w:t>
      </w:r>
    </w:p>
    <w:p>
      <w:pPr>
        <w:rPr>
          <w:rFonts w:hint="eastAsia" w:ascii="仿宋" w:hAnsi="仿宋" w:eastAsia="仿宋" w:cs="仿宋"/>
          <w:b/>
          <w:bCs/>
          <w:color w:val="auto"/>
          <w:sz w:val="28"/>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28"/>
          <w:highlight w:val="none"/>
        </w:rPr>
        <w:t>（二）近年财务状况表</w:t>
      </w:r>
    </w:p>
    <w:p>
      <w:pPr>
        <w:jc w:val="center"/>
        <w:rPr>
          <w:rFonts w:hint="eastAsia" w:ascii="仿宋" w:hAnsi="仿宋" w:eastAsia="仿宋" w:cs="仿宋"/>
          <w:color w:val="auto"/>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1.投标人应根据投标人须知的要求在本表后附相关证明材料。</w:t>
      </w:r>
    </w:p>
    <w:p>
      <w:pPr>
        <w:spacing w:line="360" w:lineRule="auto"/>
        <w:jc w:val="left"/>
        <w:rPr>
          <w:rFonts w:hint="eastAsia" w:ascii="仿宋" w:hAnsi="仿宋" w:eastAsia="仿宋" w:cs="仿宋"/>
          <w:color w:val="auto"/>
          <w:sz w:val="24"/>
          <w:highlight w:val="none"/>
        </w:rPr>
      </w:pPr>
    </w:p>
    <w:p>
      <w:pPr>
        <w:spacing w:line="360" w:lineRule="auto"/>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r>
        <w:rPr>
          <w:rFonts w:hint="eastAsia" w:ascii="仿宋" w:hAnsi="仿宋" w:eastAsia="仿宋" w:cs="仿宋"/>
          <w:b/>
          <w:bCs/>
          <w:color w:val="auto"/>
          <w:sz w:val="28"/>
          <w:szCs w:val="28"/>
          <w:highlight w:val="none"/>
        </w:rPr>
        <w:t>（三）近3年完成的类似项目情况表</w:t>
      </w:r>
    </w:p>
    <w:p>
      <w:pPr>
        <w:jc w:val="left"/>
        <w:rPr>
          <w:rFonts w:hint="eastAsia" w:ascii="仿宋" w:hAnsi="仿宋" w:eastAsia="仿宋" w:cs="仿宋"/>
          <w:b/>
          <w:bCs/>
          <w:color w:val="auto"/>
          <w:highlight w:val="none"/>
        </w:rPr>
      </w:pPr>
    </w:p>
    <w:tbl>
      <w:tblPr>
        <w:tblStyle w:val="50"/>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1"/>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201" w:type="dxa"/>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项目名称</w:t>
            </w:r>
          </w:p>
        </w:tc>
        <w:tc>
          <w:tcPr>
            <w:tcW w:w="7339" w:type="dxa"/>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201" w:type="dxa"/>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甲方名称</w:t>
            </w:r>
          </w:p>
        </w:tc>
        <w:tc>
          <w:tcPr>
            <w:tcW w:w="7339" w:type="dxa"/>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201" w:type="dxa"/>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合同内容</w:t>
            </w:r>
          </w:p>
        </w:tc>
        <w:tc>
          <w:tcPr>
            <w:tcW w:w="7339" w:type="dxa"/>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201" w:type="dxa"/>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甲方联系人及电话</w:t>
            </w:r>
          </w:p>
        </w:tc>
        <w:tc>
          <w:tcPr>
            <w:tcW w:w="7339" w:type="dxa"/>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201" w:type="dxa"/>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合同价格</w:t>
            </w:r>
          </w:p>
        </w:tc>
        <w:tc>
          <w:tcPr>
            <w:tcW w:w="7339" w:type="dxa"/>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201" w:type="dxa"/>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备注</w:t>
            </w:r>
          </w:p>
        </w:tc>
        <w:tc>
          <w:tcPr>
            <w:tcW w:w="7339" w:type="dxa"/>
            <w:vAlign w:val="center"/>
          </w:tcPr>
          <w:p>
            <w:pPr>
              <w:jc w:val="center"/>
              <w:rPr>
                <w:rFonts w:hint="eastAsia" w:ascii="仿宋" w:hAnsi="仿宋" w:eastAsia="仿宋" w:cs="仿宋"/>
                <w:color w:val="auto"/>
                <w:highlight w:val="none"/>
              </w:rPr>
            </w:pPr>
          </w:p>
        </w:tc>
      </w:tr>
    </w:tbl>
    <w:p>
      <w:pPr>
        <w:jc w:val="center"/>
        <w:rPr>
          <w:rFonts w:hint="eastAsia" w:ascii="仿宋" w:hAnsi="仿宋" w:eastAsia="仿宋" w:cs="仿宋"/>
          <w:color w:val="auto"/>
          <w:highlight w:val="none"/>
        </w:rPr>
      </w:pPr>
    </w:p>
    <w:p>
      <w:pPr>
        <w:jc w:val="left"/>
        <w:rPr>
          <w:rFonts w:hint="eastAsia" w:ascii="仿宋" w:hAnsi="仿宋" w:eastAsia="仿宋" w:cs="仿宋"/>
          <w:color w:val="auto"/>
          <w:highlight w:val="none"/>
        </w:rPr>
      </w:pPr>
      <w:r>
        <w:rPr>
          <w:rFonts w:hint="eastAsia" w:ascii="仿宋" w:hAnsi="仿宋" w:eastAsia="仿宋" w:cs="仿宋"/>
          <w:color w:val="auto"/>
          <w:highlight w:val="none"/>
        </w:rPr>
        <w:t>注：投标人应在本表后附相关证明材料。（提供中标通知书或合同复印件加盖投标人鲜章）。</w:t>
      </w: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left"/>
        <w:rPr>
          <w:rFonts w:hint="eastAsia" w:ascii="仿宋" w:hAnsi="仿宋" w:eastAsia="仿宋" w:cs="仿宋"/>
          <w:b/>
          <w:bCs/>
          <w:color w:val="auto"/>
          <w:sz w:val="28"/>
          <w:highlight w:val="none"/>
        </w:rPr>
      </w:pPr>
    </w:p>
    <w:p>
      <w:pPr>
        <w:jc w:val="left"/>
        <w:rPr>
          <w:rFonts w:hint="eastAsia" w:ascii="仿宋" w:hAnsi="仿宋" w:eastAsia="仿宋" w:cs="仿宋"/>
          <w:b/>
          <w:bCs/>
          <w:color w:val="auto"/>
          <w:sz w:val="28"/>
          <w:highlight w:val="none"/>
        </w:rPr>
      </w:pPr>
    </w:p>
    <w:p>
      <w:pPr>
        <w:jc w:val="left"/>
        <w:rPr>
          <w:rFonts w:hint="eastAsia" w:ascii="仿宋" w:hAnsi="仿宋" w:eastAsia="仿宋" w:cs="仿宋"/>
          <w:b/>
          <w:bCs/>
          <w:color w:val="auto"/>
          <w:sz w:val="28"/>
          <w:highlight w:val="none"/>
        </w:rPr>
      </w:pPr>
    </w:p>
    <w:p>
      <w:pPr>
        <w:jc w:val="left"/>
        <w:rPr>
          <w:rFonts w:hint="eastAsia" w:ascii="仿宋" w:hAnsi="仿宋" w:eastAsia="仿宋" w:cs="仿宋"/>
          <w:b/>
          <w:bCs/>
          <w:color w:val="auto"/>
          <w:sz w:val="28"/>
          <w:highlight w:val="none"/>
        </w:rPr>
      </w:pPr>
    </w:p>
    <w:p>
      <w:pPr>
        <w:jc w:val="left"/>
        <w:rPr>
          <w:rFonts w:hint="eastAsia" w:ascii="仿宋" w:hAnsi="仿宋" w:eastAsia="仿宋" w:cs="仿宋"/>
          <w:b/>
          <w:bCs/>
          <w:color w:val="auto"/>
          <w:sz w:val="28"/>
          <w:highlight w:val="none"/>
        </w:rPr>
      </w:pPr>
    </w:p>
    <w:p>
      <w:pPr>
        <w:jc w:val="left"/>
        <w:rPr>
          <w:rFonts w:hint="eastAsia" w:ascii="仿宋" w:hAnsi="仿宋" w:eastAsia="仿宋" w:cs="仿宋"/>
          <w:b/>
          <w:bCs/>
          <w:color w:val="auto"/>
          <w:sz w:val="28"/>
          <w:highlight w:val="none"/>
        </w:rPr>
      </w:pPr>
    </w:p>
    <w:p>
      <w:pPr>
        <w:jc w:val="left"/>
        <w:rPr>
          <w:rFonts w:hint="eastAsia" w:ascii="仿宋" w:hAnsi="仿宋" w:eastAsia="仿宋" w:cs="仿宋"/>
          <w:b/>
          <w:bCs/>
          <w:color w:val="auto"/>
          <w:sz w:val="28"/>
          <w:highlight w:val="none"/>
        </w:rPr>
      </w:pPr>
    </w:p>
    <w:p>
      <w:pPr>
        <w:jc w:val="left"/>
        <w:rPr>
          <w:rFonts w:hint="eastAsia" w:ascii="仿宋" w:hAnsi="仿宋" w:eastAsia="仿宋" w:cs="仿宋"/>
          <w:b/>
          <w:bCs/>
          <w:color w:val="auto"/>
          <w:sz w:val="28"/>
          <w:highlight w:val="none"/>
        </w:rPr>
      </w:pPr>
    </w:p>
    <w:p>
      <w:pPr>
        <w:jc w:val="left"/>
        <w:rPr>
          <w:rFonts w:hint="eastAsia" w:ascii="仿宋" w:hAnsi="仿宋" w:eastAsia="仿宋" w:cs="仿宋"/>
          <w:b/>
          <w:bCs/>
          <w:color w:val="auto"/>
          <w:sz w:val="28"/>
          <w:highlight w:val="none"/>
        </w:rPr>
      </w:pPr>
    </w:p>
    <w:p>
      <w:pPr>
        <w:jc w:val="left"/>
        <w:rPr>
          <w:rFonts w:hint="eastAsia" w:ascii="仿宋" w:hAnsi="仿宋" w:eastAsia="仿宋" w:cs="仿宋"/>
          <w:b/>
          <w:bCs/>
          <w:color w:val="auto"/>
          <w:sz w:val="28"/>
          <w:highlight w:val="none"/>
        </w:rPr>
      </w:pPr>
    </w:p>
    <w:p>
      <w:pPr>
        <w:jc w:val="left"/>
        <w:rPr>
          <w:rFonts w:hint="eastAsia" w:ascii="仿宋" w:hAnsi="仿宋" w:eastAsia="仿宋" w:cs="仿宋"/>
          <w:b/>
          <w:bCs/>
          <w:color w:val="auto"/>
          <w:sz w:val="28"/>
          <w:highlight w:val="none"/>
        </w:rPr>
      </w:pPr>
    </w:p>
    <w:p>
      <w:pPr>
        <w:jc w:val="left"/>
        <w:rPr>
          <w:rFonts w:hint="eastAsia" w:ascii="仿宋" w:hAnsi="仿宋" w:eastAsia="仿宋" w:cs="仿宋"/>
          <w:b/>
          <w:bCs/>
          <w:color w:val="auto"/>
          <w:sz w:val="28"/>
          <w:highlight w:val="none"/>
        </w:rPr>
      </w:pPr>
    </w:p>
    <w:p>
      <w:pPr>
        <w:jc w:val="left"/>
        <w:rPr>
          <w:rFonts w:hint="eastAsia" w:ascii="仿宋" w:hAnsi="仿宋" w:eastAsia="仿宋" w:cs="仿宋"/>
          <w:b/>
          <w:bCs/>
          <w:color w:val="auto"/>
          <w:sz w:val="28"/>
          <w:highlight w:val="none"/>
        </w:rPr>
      </w:pPr>
    </w:p>
    <w:p>
      <w:pPr>
        <w:jc w:val="left"/>
        <w:rPr>
          <w:rFonts w:hint="eastAsia" w:ascii="仿宋" w:hAnsi="仿宋" w:eastAsia="仿宋" w:cs="仿宋"/>
          <w:b/>
          <w:bCs/>
          <w:color w:val="auto"/>
          <w:sz w:val="28"/>
          <w:highlight w:val="none"/>
        </w:rPr>
      </w:pPr>
    </w:p>
    <w:p>
      <w:pPr>
        <w:jc w:val="left"/>
        <w:rPr>
          <w:rFonts w:hint="eastAsia" w:ascii="仿宋" w:hAnsi="仿宋" w:eastAsia="仿宋" w:cs="仿宋"/>
          <w:b/>
          <w:bCs/>
          <w:color w:val="auto"/>
          <w:sz w:val="28"/>
          <w:highlight w:val="none"/>
        </w:rPr>
      </w:pPr>
    </w:p>
    <w:p>
      <w:pPr>
        <w:pStyle w:val="2"/>
        <w:rPr>
          <w:rFonts w:hint="eastAsia"/>
          <w:color w:val="auto"/>
          <w:highlight w:val="none"/>
        </w:rPr>
      </w:pPr>
    </w:p>
    <w:p>
      <w:pPr>
        <w:jc w:val="left"/>
        <w:rPr>
          <w:rFonts w:hint="eastAsia" w:ascii="仿宋" w:hAnsi="仿宋" w:eastAsia="仿宋" w:cs="仿宋"/>
          <w:b/>
          <w:bCs/>
          <w:color w:val="auto"/>
          <w:sz w:val="28"/>
          <w:highlight w:val="none"/>
        </w:rPr>
      </w:pPr>
    </w:p>
    <w:p>
      <w:pPr>
        <w:jc w:val="left"/>
        <w:rPr>
          <w:rFonts w:hint="eastAsia" w:ascii="仿宋" w:hAnsi="仿宋" w:eastAsia="仿宋" w:cs="仿宋"/>
          <w:b/>
          <w:bCs/>
          <w:color w:val="auto"/>
          <w:sz w:val="28"/>
          <w:highlight w:val="none"/>
        </w:rPr>
      </w:pPr>
    </w:p>
    <w:p>
      <w:pPr>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（四）拟投入本项目人员汇总表</w:t>
      </w:r>
    </w:p>
    <w:tbl>
      <w:tblPr>
        <w:tblStyle w:val="50"/>
        <w:tblW w:w="94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800"/>
        <w:gridCol w:w="1000"/>
        <w:gridCol w:w="1160"/>
        <w:gridCol w:w="1460"/>
        <w:gridCol w:w="1060"/>
        <w:gridCol w:w="1000"/>
        <w:gridCol w:w="1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720" w:type="dxa"/>
            <w:vMerge w:val="restart"/>
          </w:tcPr>
          <w:p>
            <w:pPr>
              <w:pStyle w:val="222"/>
              <w:spacing w:before="10" w:line="240" w:lineRule="auto"/>
              <w:rPr>
                <w:rFonts w:hint="eastAsia" w:ascii="仿宋" w:hAnsi="仿宋" w:eastAsia="仿宋" w:cs="仿宋"/>
                <w:b/>
                <w:color w:val="auto"/>
                <w:sz w:val="24"/>
                <w:szCs w:val="24"/>
                <w:highlight w:val="none"/>
              </w:rPr>
            </w:pPr>
          </w:p>
          <w:p>
            <w:pPr>
              <w:pStyle w:val="222"/>
              <w:spacing w:line="240" w:lineRule="auto"/>
              <w:ind w:left="1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00" w:type="dxa"/>
            <w:vMerge w:val="restart"/>
          </w:tcPr>
          <w:p>
            <w:pPr>
              <w:pStyle w:val="222"/>
              <w:spacing w:before="149" w:line="240" w:lineRule="auto"/>
              <w:ind w:left="658" w:right="169" w:hanging="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在本项目拟任职务</w:t>
            </w:r>
          </w:p>
        </w:tc>
        <w:tc>
          <w:tcPr>
            <w:tcW w:w="1000" w:type="dxa"/>
            <w:vMerge w:val="restart"/>
          </w:tcPr>
          <w:p>
            <w:pPr>
              <w:pStyle w:val="222"/>
              <w:spacing w:before="10" w:line="240" w:lineRule="auto"/>
              <w:rPr>
                <w:rFonts w:hint="eastAsia" w:ascii="仿宋" w:hAnsi="仿宋" w:eastAsia="仿宋" w:cs="仿宋"/>
                <w:b/>
                <w:color w:val="auto"/>
                <w:sz w:val="24"/>
                <w:szCs w:val="24"/>
                <w:highlight w:val="none"/>
              </w:rPr>
            </w:pPr>
          </w:p>
          <w:p>
            <w:pPr>
              <w:pStyle w:val="222"/>
              <w:spacing w:line="240" w:lineRule="auto"/>
              <w:ind w:left="2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160" w:type="dxa"/>
            <w:vMerge w:val="restart"/>
          </w:tcPr>
          <w:p>
            <w:pPr>
              <w:pStyle w:val="222"/>
              <w:spacing w:before="149" w:line="240" w:lineRule="auto"/>
              <w:ind w:left="460" w:right="207" w:hanging="2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技术职称</w:t>
            </w:r>
          </w:p>
        </w:tc>
        <w:tc>
          <w:tcPr>
            <w:tcW w:w="4737" w:type="dxa"/>
            <w:gridSpan w:val="4"/>
          </w:tcPr>
          <w:p>
            <w:pPr>
              <w:pStyle w:val="222"/>
              <w:spacing w:before="77" w:line="240" w:lineRule="auto"/>
              <w:ind w:left="128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执业或职业资格证明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720" w:type="dxa"/>
            <w:vMerge w:val="continue"/>
            <w:tcBorders>
              <w:top w:val="nil"/>
            </w:tcBorders>
          </w:tcPr>
          <w:p>
            <w:pPr>
              <w:spacing w:line="240" w:lineRule="auto"/>
              <w:rPr>
                <w:rFonts w:hint="eastAsia" w:ascii="仿宋" w:hAnsi="仿宋" w:eastAsia="仿宋" w:cs="仿宋"/>
                <w:color w:val="auto"/>
                <w:sz w:val="24"/>
                <w:szCs w:val="24"/>
                <w:highlight w:val="none"/>
              </w:rPr>
            </w:pPr>
          </w:p>
        </w:tc>
        <w:tc>
          <w:tcPr>
            <w:tcW w:w="1800" w:type="dxa"/>
            <w:vMerge w:val="continue"/>
            <w:tcBorders>
              <w:top w:val="nil"/>
            </w:tcBorders>
          </w:tcPr>
          <w:p>
            <w:pPr>
              <w:spacing w:line="240" w:lineRule="auto"/>
              <w:rPr>
                <w:rFonts w:hint="eastAsia" w:ascii="仿宋" w:hAnsi="仿宋" w:eastAsia="仿宋" w:cs="仿宋"/>
                <w:color w:val="auto"/>
                <w:sz w:val="24"/>
                <w:szCs w:val="24"/>
                <w:highlight w:val="none"/>
              </w:rPr>
            </w:pPr>
          </w:p>
        </w:tc>
        <w:tc>
          <w:tcPr>
            <w:tcW w:w="1000" w:type="dxa"/>
            <w:vMerge w:val="continue"/>
            <w:tcBorders>
              <w:top w:val="nil"/>
            </w:tcBorders>
          </w:tcPr>
          <w:p>
            <w:pPr>
              <w:spacing w:line="240" w:lineRule="auto"/>
              <w:rPr>
                <w:rFonts w:hint="eastAsia" w:ascii="仿宋" w:hAnsi="仿宋" w:eastAsia="仿宋" w:cs="仿宋"/>
                <w:color w:val="auto"/>
                <w:sz w:val="24"/>
                <w:szCs w:val="24"/>
                <w:highlight w:val="none"/>
              </w:rPr>
            </w:pPr>
          </w:p>
        </w:tc>
        <w:tc>
          <w:tcPr>
            <w:tcW w:w="1160" w:type="dxa"/>
            <w:vMerge w:val="continue"/>
            <w:tcBorders>
              <w:top w:val="nil"/>
            </w:tcBorders>
          </w:tcPr>
          <w:p>
            <w:pPr>
              <w:spacing w:line="240" w:lineRule="auto"/>
              <w:rPr>
                <w:rFonts w:hint="eastAsia" w:ascii="仿宋" w:hAnsi="仿宋" w:eastAsia="仿宋" w:cs="仿宋"/>
                <w:color w:val="auto"/>
                <w:sz w:val="24"/>
                <w:szCs w:val="24"/>
                <w:highlight w:val="none"/>
              </w:rPr>
            </w:pPr>
          </w:p>
        </w:tc>
        <w:tc>
          <w:tcPr>
            <w:tcW w:w="1460" w:type="dxa"/>
          </w:tcPr>
          <w:p>
            <w:pPr>
              <w:pStyle w:val="222"/>
              <w:spacing w:before="66" w:line="240" w:lineRule="auto"/>
              <w:ind w:left="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证书名称</w:t>
            </w:r>
          </w:p>
        </w:tc>
        <w:tc>
          <w:tcPr>
            <w:tcW w:w="1060" w:type="dxa"/>
          </w:tcPr>
          <w:p>
            <w:pPr>
              <w:pStyle w:val="222"/>
              <w:spacing w:before="66" w:line="240" w:lineRule="auto"/>
              <w:ind w:left="2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证号</w:t>
            </w:r>
          </w:p>
        </w:tc>
        <w:tc>
          <w:tcPr>
            <w:tcW w:w="1000" w:type="dxa"/>
          </w:tcPr>
          <w:p>
            <w:pPr>
              <w:pStyle w:val="222"/>
              <w:spacing w:before="66" w:line="240" w:lineRule="auto"/>
              <w:ind w:left="2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w:t>
            </w:r>
          </w:p>
        </w:tc>
        <w:tc>
          <w:tcPr>
            <w:tcW w:w="1217" w:type="dxa"/>
          </w:tcPr>
          <w:p>
            <w:pPr>
              <w:pStyle w:val="222"/>
              <w:spacing w:before="66" w:line="240" w:lineRule="auto"/>
              <w:ind w:left="36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720" w:type="dxa"/>
          </w:tcPr>
          <w:p>
            <w:pPr>
              <w:pStyle w:val="222"/>
              <w:spacing w:before="190" w:line="240" w:lineRule="auto"/>
              <w:ind w:left="2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00" w:type="dxa"/>
          </w:tcPr>
          <w:p>
            <w:pPr>
              <w:pStyle w:val="222"/>
              <w:spacing w:before="190" w:line="240" w:lineRule="auto"/>
              <w:ind w:left="278" w:right="27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w:t>
            </w:r>
          </w:p>
        </w:tc>
        <w:tc>
          <w:tcPr>
            <w:tcW w:w="1000" w:type="dxa"/>
          </w:tcPr>
          <w:p>
            <w:pPr>
              <w:pStyle w:val="222"/>
              <w:spacing w:line="240" w:lineRule="auto"/>
              <w:rPr>
                <w:rFonts w:hint="eastAsia" w:ascii="仿宋" w:hAnsi="仿宋" w:eastAsia="仿宋" w:cs="仿宋"/>
                <w:color w:val="auto"/>
                <w:sz w:val="24"/>
                <w:szCs w:val="24"/>
                <w:highlight w:val="none"/>
              </w:rPr>
            </w:pPr>
          </w:p>
        </w:tc>
        <w:tc>
          <w:tcPr>
            <w:tcW w:w="1160" w:type="dxa"/>
          </w:tcPr>
          <w:p>
            <w:pPr>
              <w:pStyle w:val="222"/>
              <w:spacing w:line="240" w:lineRule="auto"/>
              <w:rPr>
                <w:rFonts w:hint="eastAsia" w:ascii="仿宋" w:hAnsi="仿宋" w:eastAsia="仿宋" w:cs="仿宋"/>
                <w:color w:val="auto"/>
                <w:sz w:val="24"/>
                <w:szCs w:val="24"/>
                <w:highlight w:val="none"/>
              </w:rPr>
            </w:pPr>
          </w:p>
        </w:tc>
        <w:tc>
          <w:tcPr>
            <w:tcW w:w="1460" w:type="dxa"/>
          </w:tcPr>
          <w:p>
            <w:pPr>
              <w:pStyle w:val="222"/>
              <w:spacing w:line="240" w:lineRule="auto"/>
              <w:rPr>
                <w:rFonts w:hint="eastAsia" w:ascii="仿宋" w:hAnsi="仿宋" w:eastAsia="仿宋" w:cs="仿宋"/>
                <w:color w:val="auto"/>
                <w:sz w:val="24"/>
                <w:szCs w:val="24"/>
                <w:highlight w:val="none"/>
              </w:rPr>
            </w:pPr>
          </w:p>
        </w:tc>
        <w:tc>
          <w:tcPr>
            <w:tcW w:w="106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217" w:type="dxa"/>
          </w:tcPr>
          <w:p>
            <w:pPr>
              <w:pStyle w:val="222"/>
              <w:spacing w:line="240" w:lineRule="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720" w:type="dxa"/>
          </w:tcPr>
          <w:p>
            <w:pPr>
              <w:pStyle w:val="222"/>
              <w:spacing w:before="191" w:line="240" w:lineRule="auto"/>
              <w:ind w:left="2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00" w:type="dxa"/>
          </w:tcPr>
          <w:p>
            <w:pPr>
              <w:pStyle w:val="222"/>
              <w:spacing w:before="191" w:line="240" w:lineRule="auto"/>
              <w:ind w:left="278" w:right="27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00" w:type="dxa"/>
          </w:tcPr>
          <w:p>
            <w:pPr>
              <w:pStyle w:val="222"/>
              <w:spacing w:line="240" w:lineRule="auto"/>
              <w:rPr>
                <w:rFonts w:hint="eastAsia" w:ascii="仿宋" w:hAnsi="仿宋" w:eastAsia="仿宋" w:cs="仿宋"/>
                <w:color w:val="auto"/>
                <w:sz w:val="24"/>
                <w:szCs w:val="24"/>
                <w:highlight w:val="none"/>
              </w:rPr>
            </w:pPr>
          </w:p>
        </w:tc>
        <w:tc>
          <w:tcPr>
            <w:tcW w:w="1160" w:type="dxa"/>
          </w:tcPr>
          <w:p>
            <w:pPr>
              <w:pStyle w:val="222"/>
              <w:spacing w:line="240" w:lineRule="auto"/>
              <w:rPr>
                <w:rFonts w:hint="eastAsia" w:ascii="仿宋" w:hAnsi="仿宋" w:eastAsia="仿宋" w:cs="仿宋"/>
                <w:color w:val="auto"/>
                <w:sz w:val="24"/>
                <w:szCs w:val="24"/>
                <w:highlight w:val="none"/>
              </w:rPr>
            </w:pPr>
          </w:p>
        </w:tc>
        <w:tc>
          <w:tcPr>
            <w:tcW w:w="1460" w:type="dxa"/>
          </w:tcPr>
          <w:p>
            <w:pPr>
              <w:pStyle w:val="222"/>
              <w:spacing w:line="240" w:lineRule="auto"/>
              <w:rPr>
                <w:rFonts w:hint="eastAsia" w:ascii="仿宋" w:hAnsi="仿宋" w:eastAsia="仿宋" w:cs="仿宋"/>
                <w:color w:val="auto"/>
                <w:sz w:val="24"/>
                <w:szCs w:val="24"/>
                <w:highlight w:val="none"/>
              </w:rPr>
            </w:pPr>
          </w:p>
        </w:tc>
        <w:tc>
          <w:tcPr>
            <w:tcW w:w="106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217" w:type="dxa"/>
          </w:tcPr>
          <w:p>
            <w:pPr>
              <w:pStyle w:val="222"/>
              <w:spacing w:line="240" w:lineRule="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720" w:type="dxa"/>
          </w:tcPr>
          <w:p>
            <w:pPr>
              <w:pStyle w:val="222"/>
              <w:spacing w:before="189" w:line="240" w:lineRule="auto"/>
              <w:ind w:left="2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0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160" w:type="dxa"/>
          </w:tcPr>
          <w:p>
            <w:pPr>
              <w:pStyle w:val="222"/>
              <w:spacing w:line="240" w:lineRule="auto"/>
              <w:rPr>
                <w:rFonts w:hint="eastAsia" w:ascii="仿宋" w:hAnsi="仿宋" w:eastAsia="仿宋" w:cs="仿宋"/>
                <w:color w:val="auto"/>
                <w:sz w:val="24"/>
                <w:szCs w:val="24"/>
                <w:highlight w:val="none"/>
              </w:rPr>
            </w:pPr>
          </w:p>
        </w:tc>
        <w:tc>
          <w:tcPr>
            <w:tcW w:w="1460" w:type="dxa"/>
          </w:tcPr>
          <w:p>
            <w:pPr>
              <w:pStyle w:val="222"/>
              <w:spacing w:line="240" w:lineRule="auto"/>
              <w:rPr>
                <w:rFonts w:hint="eastAsia" w:ascii="仿宋" w:hAnsi="仿宋" w:eastAsia="仿宋" w:cs="仿宋"/>
                <w:color w:val="auto"/>
                <w:sz w:val="24"/>
                <w:szCs w:val="24"/>
                <w:highlight w:val="none"/>
              </w:rPr>
            </w:pPr>
          </w:p>
        </w:tc>
        <w:tc>
          <w:tcPr>
            <w:tcW w:w="106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217" w:type="dxa"/>
          </w:tcPr>
          <w:p>
            <w:pPr>
              <w:pStyle w:val="222"/>
              <w:spacing w:line="240" w:lineRule="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720" w:type="dxa"/>
          </w:tcPr>
          <w:p>
            <w:pPr>
              <w:pStyle w:val="222"/>
              <w:spacing w:before="190" w:line="240" w:lineRule="auto"/>
              <w:ind w:left="2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0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160" w:type="dxa"/>
          </w:tcPr>
          <w:p>
            <w:pPr>
              <w:pStyle w:val="222"/>
              <w:spacing w:line="240" w:lineRule="auto"/>
              <w:rPr>
                <w:rFonts w:hint="eastAsia" w:ascii="仿宋" w:hAnsi="仿宋" w:eastAsia="仿宋" w:cs="仿宋"/>
                <w:color w:val="auto"/>
                <w:sz w:val="24"/>
                <w:szCs w:val="24"/>
                <w:highlight w:val="none"/>
              </w:rPr>
            </w:pPr>
          </w:p>
        </w:tc>
        <w:tc>
          <w:tcPr>
            <w:tcW w:w="1460" w:type="dxa"/>
          </w:tcPr>
          <w:p>
            <w:pPr>
              <w:pStyle w:val="222"/>
              <w:spacing w:line="240" w:lineRule="auto"/>
              <w:rPr>
                <w:rFonts w:hint="eastAsia" w:ascii="仿宋" w:hAnsi="仿宋" w:eastAsia="仿宋" w:cs="仿宋"/>
                <w:color w:val="auto"/>
                <w:sz w:val="24"/>
                <w:szCs w:val="24"/>
                <w:highlight w:val="none"/>
              </w:rPr>
            </w:pPr>
          </w:p>
        </w:tc>
        <w:tc>
          <w:tcPr>
            <w:tcW w:w="106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217" w:type="dxa"/>
          </w:tcPr>
          <w:p>
            <w:pPr>
              <w:pStyle w:val="222"/>
              <w:spacing w:line="240" w:lineRule="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720" w:type="dxa"/>
          </w:tcPr>
          <w:p>
            <w:pPr>
              <w:pStyle w:val="222"/>
              <w:spacing w:before="191" w:line="240" w:lineRule="auto"/>
              <w:ind w:left="2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0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160" w:type="dxa"/>
          </w:tcPr>
          <w:p>
            <w:pPr>
              <w:pStyle w:val="222"/>
              <w:spacing w:line="240" w:lineRule="auto"/>
              <w:rPr>
                <w:rFonts w:hint="eastAsia" w:ascii="仿宋" w:hAnsi="仿宋" w:eastAsia="仿宋" w:cs="仿宋"/>
                <w:color w:val="auto"/>
                <w:sz w:val="24"/>
                <w:szCs w:val="24"/>
                <w:highlight w:val="none"/>
              </w:rPr>
            </w:pPr>
          </w:p>
        </w:tc>
        <w:tc>
          <w:tcPr>
            <w:tcW w:w="1460" w:type="dxa"/>
          </w:tcPr>
          <w:p>
            <w:pPr>
              <w:pStyle w:val="222"/>
              <w:spacing w:line="240" w:lineRule="auto"/>
              <w:rPr>
                <w:rFonts w:hint="eastAsia" w:ascii="仿宋" w:hAnsi="仿宋" w:eastAsia="仿宋" w:cs="仿宋"/>
                <w:color w:val="auto"/>
                <w:sz w:val="24"/>
                <w:szCs w:val="24"/>
                <w:highlight w:val="none"/>
              </w:rPr>
            </w:pPr>
          </w:p>
        </w:tc>
        <w:tc>
          <w:tcPr>
            <w:tcW w:w="106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217" w:type="dxa"/>
          </w:tcPr>
          <w:p>
            <w:pPr>
              <w:pStyle w:val="222"/>
              <w:spacing w:line="240" w:lineRule="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720" w:type="dxa"/>
          </w:tcPr>
          <w:p>
            <w:pPr>
              <w:pStyle w:val="222"/>
              <w:spacing w:before="189" w:line="240" w:lineRule="auto"/>
              <w:ind w:left="2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0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160" w:type="dxa"/>
          </w:tcPr>
          <w:p>
            <w:pPr>
              <w:pStyle w:val="222"/>
              <w:spacing w:line="240" w:lineRule="auto"/>
              <w:rPr>
                <w:rFonts w:hint="eastAsia" w:ascii="仿宋" w:hAnsi="仿宋" w:eastAsia="仿宋" w:cs="仿宋"/>
                <w:color w:val="auto"/>
                <w:sz w:val="24"/>
                <w:szCs w:val="24"/>
                <w:highlight w:val="none"/>
              </w:rPr>
            </w:pPr>
          </w:p>
        </w:tc>
        <w:tc>
          <w:tcPr>
            <w:tcW w:w="1460" w:type="dxa"/>
          </w:tcPr>
          <w:p>
            <w:pPr>
              <w:pStyle w:val="222"/>
              <w:spacing w:line="240" w:lineRule="auto"/>
              <w:rPr>
                <w:rFonts w:hint="eastAsia" w:ascii="仿宋" w:hAnsi="仿宋" w:eastAsia="仿宋" w:cs="仿宋"/>
                <w:color w:val="auto"/>
                <w:sz w:val="24"/>
                <w:szCs w:val="24"/>
                <w:highlight w:val="none"/>
              </w:rPr>
            </w:pPr>
          </w:p>
        </w:tc>
        <w:tc>
          <w:tcPr>
            <w:tcW w:w="106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217" w:type="dxa"/>
          </w:tcPr>
          <w:p>
            <w:pPr>
              <w:pStyle w:val="222"/>
              <w:spacing w:line="240" w:lineRule="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720" w:type="dxa"/>
          </w:tcPr>
          <w:p>
            <w:pPr>
              <w:pStyle w:val="222"/>
              <w:spacing w:line="240" w:lineRule="auto"/>
              <w:rPr>
                <w:rFonts w:hint="eastAsia" w:ascii="仿宋" w:hAnsi="仿宋" w:eastAsia="仿宋" w:cs="仿宋"/>
                <w:color w:val="auto"/>
                <w:sz w:val="24"/>
                <w:szCs w:val="24"/>
                <w:highlight w:val="none"/>
              </w:rPr>
            </w:pPr>
          </w:p>
        </w:tc>
        <w:tc>
          <w:tcPr>
            <w:tcW w:w="180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160" w:type="dxa"/>
          </w:tcPr>
          <w:p>
            <w:pPr>
              <w:pStyle w:val="222"/>
              <w:spacing w:line="240" w:lineRule="auto"/>
              <w:rPr>
                <w:rFonts w:hint="eastAsia" w:ascii="仿宋" w:hAnsi="仿宋" w:eastAsia="仿宋" w:cs="仿宋"/>
                <w:color w:val="auto"/>
                <w:sz w:val="24"/>
                <w:szCs w:val="24"/>
                <w:highlight w:val="none"/>
              </w:rPr>
            </w:pPr>
          </w:p>
        </w:tc>
        <w:tc>
          <w:tcPr>
            <w:tcW w:w="1460" w:type="dxa"/>
          </w:tcPr>
          <w:p>
            <w:pPr>
              <w:pStyle w:val="222"/>
              <w:spacing w:line="240" w:lineRule="auto"/>
              <w:rPr>
                <w:rFonts w:hint="eastAsia" w:ascii="仿宋" w:hAnsi="仿宋" w:eastAsia="仿宋" w:cs="仿宋"/>
                <w:color w:val="auto"/>
                <w:sz w:val="24"/>
                <w:szCs w:val="24"/>
                <w:highlight w:val="none"/>
              </w:rPr>
            </w:pPr>
          </w:p>
        </w:tc>
        <w:tc>
          <w:tcPr>
            <w:tcW w:w="106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217" w:type="dxa"/>
          </w:tcPr>
          <w:p>
            <w:pPr>
              <w:pStyle w:val="222"/>
              <w:spacing w:line="240" w:lineRule="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720" w:type="dxa"/>
          </w:tcPr>
          <w:p>
            <w:pPr>
              <w:pStyle w:val="222"/>
              <w:spacing w:line="240" w:lineRule="auto"/>
              <w:rPr>
                <w:rFonts w:hint="eastAsia" w:ascii="仿宋" w:hAnsi="仿宋" w:eastAsia="仿宋" w:cs="仿宋"/>
                <w:color w:val="auto"/>
                <w:sz w:val="24"/>
                <w:szCs w:val="24"/>
                <w:highlight w:val="none"/>
              </w:rPr>
            </w:pPr>
          </w:p>
        </w:tc>
        <w:tc>
          <w:tcPr>
            <w:tcW w:w="180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160" w:type="dxa"/>
          </w:tcPr>
          <w:p>
            <w:pPr>
              <w:pStyle w:val="222"/>
              <w:spacing w:line="240" w:lineRule="auto"/>
              <w:rPr>
                <w:rFonts w:hint="eastAsia" w:ascii="仿宋" w:hAnsi="仿宋" w:eastAsia="仿宋" w:cs="仿宋"/>
                <w:color w:val="auto"/>
                <w:sz w:val="24"/>
                <w:szCs w:val="24"/>
                <w:highlight w:val="none"/>
              </w:rPr>
            </w:pPr>
          </w:p>
        </w:tc>
        <w:tc>
          <w:tcPr>
            <w:tcW w:w="1460" w:type="dxa"/>
          </w:tcPr>
          <w:p>
            <w:pPr>
              <w:pStyle w:val="222"/>
              <w:spacing w:line="240" w:lineRule="auto"/>
              <w:rPr>
                <w:rFonts w:hint="eastAsia" w:ascii="仿宋" w:hAnsi="仿宋" w:eastAsia="仿宋" w:cs="仿宋"/>
                <w:color w:val="auto"/>
                <w:sz w:val="24"/>
                <w:szCs w:val="24"/>
                <w:highlight w:val="none"/>
              </w:rPr>
            </w:pPr>
          </w:p>
        </w:tc>
        <w:tc>
          <w:tcPr>
            <w:tcW w:w="106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217" w:type="dxa"/>
          </w:tcPr>
          <w:p>
            <w:pPr>
              <w:pStyle w:val="222"/>
              <w:spacing w:line="240" w:lineRule="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720" w:type="dxa"/>
          </w:tcPr>
          <w:p>
            <w:pPr>
              <w:pStyle w:val="222"/>
              <w:spacing w:line="240" w:lineRule="auto"/>
              <w:rPr>
                <w:rFonts w:hint="eastAsia" w:ascii="仿宋" w:hAnsi="仿宋" w:eastAsia="仿宋" w:cs="仿宋"/>
                <w:color w:val="auto"/>
                <w:sz w:val="24"/>
                <w:szCs w:val="24"/>
                <w:highlight w:val="none"/>
              </w:rPr>
            </w:pPr>
          </w:p>
        </w:tc>
        <w:tc>
          <w:tcPr>
            <w:tcW w:w="180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160" w:type="dxa"/>
          </w:tcPr>
          <w:p>
            <w:pPr>
              <w:pStyle w:val="222"/>
              <w:spacing w:line="240" w:lineRule="auto"/>
              <w:rPr>
                <w:rFonts w:hint="eastAsia" w:ascii="仿宋" w:hAnsi="仿宋" w:eastAsia="仿宋" w:cs="仿宋"/>
                <w:color w:val="auto"/>
                <w:sz w:val="24"/>
                <w:szCs w:val="24"/>
                <w:highlight w:val="none"/>
              </w:rPr>
            </w:pPr>
          </w:p>
        </w:tc>
        <w:tc>
          <w:tcPr>
            <w:tcW w:w="1460" w:type="dxa"/>
          </w:tcPr>
          <w:p>
            <w:pPr>
              <w:pStyle w:val="222"/>
              <w:spacing w:line="240" w:lineRule="auto"/>
              <w:rPr>
                <w:rFonts w:hint="eastAsia" w:ascii="仿宋" w:hAnsi="仿宋" w:eastAsia="仿宋" w:cs="仿宋"/>
                <w:color w:val="auto"/>
                <w:sz w:val="24"/>
                <w:szCs w:val="24"/>
                <w:highlight w:val="none"/>
              </w:rPr>
            </w:pPr>
          </w:p>
        </w:tc>
        <w:tc>
          <w:tcPr>
            <w:tcW w:w="106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217" w:type="dxa"/>
          </w:tcPr>
          <w:p>
            <w:pPr>
              <w:pStyle w:val="222"/>
              <w:spacing w:line="240" w:lineRule="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720" w:type="dxa"/>
          </w:tcPr>
          <w:p>
            <w:pPr>
              <w:pStyle w:val="222"/>
              <w:spacing w:line="240" w:lineRule="auto"/>
              <w:rPr>
                <w:rFonts w:hint="eastAsia" w:ascii="仿宋" w:hAnsi="仿宋" w:eastAsia="仿宋" w:cs="仿宋"/>
                <w:color w:val="auto"/>
                <w:sz w:val="24"/>
                <w:szCs w:val="24"/>
                <w:highlight w:val="none"/>
              </w:rPr>
            </w:pPr>
          </w:p>
        </w:tc>
        <w:tc>
          <w:tcPr>
            <w:tcW w:w="180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160" w:type="dxa"/>
          </w:tcPr>
          <w:p>
            <w:pPr>
              <w:pStyle w:val="222"/>
              <w:spacing w:line="240" w:lineRule="auto"/>
              <w:rPr>
                <w:rFonts w:hint="eastAsia" w:ascii="仿宋" w:hAnsi="仿宋" w:eastAsia="仿宋" w:cs="仿宋"/>
                <w:color w:val="auto"/>
                <w:sz w:val="24"/>
                <w:szCs w:val="24"/>
                <w:highlight w:val="none"/>
              </w:rPr>
            </w:pPr>
          </w:p>
        </w:tc>
        <w:tc>
          <w:tcPr>
            <w:tcW w:w="1460" w:type="dxa"/>
          </w:tcPr>
          <w:p>
            <w:pPr>
              <w:pStyle w:val="222"/>
              <w:spacing w:line="240" w:lineRule="auto"/>
              <w:rPr>
                <w:rFonts w:hint="eastAsia" w:ascii="仿宋" w:hAnsi="仿宋" w:eastAsia="仿宋" w:cs="仿宋"/>
                <w:color w:val="auto"/>
                <w:sz w:val="24"/>
                <w:szCs w:val="24"/>
                <w:highlight w:val="none"/>
              </w:rPr>
            </w:pPr>
          </w:p>
        </w:tc>
        <w:tc>
          <w:tcPr>
            <w:tcW w:w="106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217" w:type="dxa"/>
          </w:tcPr>
          <w:p>
            <w:pPr>
              <w:pStyle w:val="222"/>
              <w:spacing w:line="240" w:lineRule="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720" w:type="dxa"/>
          </w:tcPr>
          <w:p>
            <w:pPr>
              <w:pStyle w:val="222"/>
              <w:spacing w:line="240" w:lineRule="auto"/>
              <w:rPr>
                <w:rFonts w:hint="eastAsia" w:ascii="仿宋" w:hAnsi="仿宋" w:eastAsia="仿宋" w:cs="仿宋"/>
                <w:color w:val="auto"/>
                <w:sz w:val="24"/>
                <w:szCs w:val="24"/>
                <w:highlight w:val="none"/>
              </w:rPr>
            </w:pPr>
          </w:p>
        </w:tc>
        <w:tc>
          <w:tcPr>
            <w:tcW w:w="180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160" w:type="dxa"/>
          </w:tcPr>
          <w:p>
            <w:pPr>
              <w:pStyle w:val="222"/>
              <w:spacing w:line="240" w:lineRule="auto"/>
              <w:rPr>
                <w:rFonts w:hint="eastAsia" w:ascii="仿宋" w:hAnsi="仿宋" w:eastAsia="仿宋" w:cs="仿宋"/>
                <w:color w:val="auto"/>
                <w:sz w:val="24"/>
                <w:szCs w:val="24"/>
                <w:highlight w:val="none"/>
              </w:rPr>
            </w:pPr>
          </w:p>
        </w:tc>
        <w:tc>
          <w:tcPr>
            <w:tcW w:w="1460" w:type="dxa"/>
          </w:tcPr>
          <w:p>
            <w:pPr>
              <w:pStyle w:val="222"/>
              <w:spacing w:line="240" w:lineRule="auto"/>
              <w:rPr>
                <w:rFonts w:hint="eastAsia" w:ascii="仿宋" w:hAnsi="仿宋" w:eastAsia="仿宋" w:cs="仿宋"/>
                <w:color w:val="auto"/>
                <w:sz w:val="24"/>
                <w:szCs w:val="24"/>
                <w:highlight w:val="none"/>
              </w:rPr>
            </w:pPr>
          </w:p>
        </w:tc>
        <w:tc>
          <w:tcPr>
            <w:tcW w:w="106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217" w:type="dxa"/>
          </w:tcPr>
          <w:p>
            <w:pPr>
              <w:pStyle w:val="222"/>
              <w:spacing w:line="240" w:lineRule="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720" w:type="dxa"/>
          </w:tcPr>
          <w:p>
            <w:pPr>
              <w:pStyle w:val="222"/>
              <w:spacing w:line="240" w:lineRule="auto"/>
              <w:rPr>
                <w:rFonts w:hint="eastAsia" w:ascii="仿宋" w:hAnsi="仿宋" w:eastAsia="仿宋" w:cs="仿宋"/>
                <w:color w:val="auto"/>
                <w:sz w:val="24"/>
                <w:szCs w:val="24"/>
                <w:highlight w:val="none"/>
              </w:rPr>
            </w:pPr>
          </w:p>
        </w:tc>
        <w:tc>
          <w:tcPr>
            <w:tcW w:w="180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160" w:type="dxa"/>
          </w:tcPr>
          <w:p>
            <w:pPr>
              <w:pStyle w:val="222"/>
              <w:spacing w:line="240" w:lineRule="auto"/>
              <w:rPr>
                <w:rFonts w:hint="eastAsia" w:ascii="仿宋" w:hAnsi="仿宋" w:eastAsia="仿宋" w:cs="仿宋"/>
                <w:color w:val="auto"/>
                <w:sz w:val="24"/>
                <w:szCs w:val="24"/>
                <w:highlight w:val="none"/>
              </w:rPr>
            </w:pPr>
          </w:p>
        </w:tc>
        <w:tc>
          <w:tcPr>
            <w:tcW w:w="1460" w:type="dxa"/>
          </w:tcPr>
          <w:p>
            <w:pPr>
              <w:pStyle w:val="222"/>
              <w:spacing w:line="240" w:lineRule="auto"/>
              <w:rPr>
                <w:rFonts w:hint="eastAsia" w:ascii="仿宋" w:hAnsi="仿宋" w:eastAsia="仿宋" w:cs="仿宋"/>
                <w:color w:val="auto"/>
                <w:sz w:val="24"/>
                <w:szCs w:val="24"/>
                <w:highlight w:val="none"/>
              </w:rPr>
            </w:pPr>
          </w:p>
        </w:tc>
        <w:tc>
          <w:tcPr>
            <w:tcW w:w="106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217" w:type="dxa"/>
          </w:tcPr>
          <w:p>
            <w:pPr>
              <w:pStyle w:val="222"/>
              <w:spacing w:line="240" w:lineRule="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720" w:type="dxa"/>
          </w:tcPr>
          <w:p>
            <w:pPr>
              <w:pStyle w:val="222"/>
              <w:spacing w:line="240" w:lineRule="auto"/>
              <w:rPr>
                <w:rFonts w:hint="eastAsia" w:ascii="仿宋" w:hAnsi="仿宋" w:eastAsia="仿宋" w:cs="仿宋"/>
                <w:color w:val="auto"/>
                <w:sz w:val="24"/>
                <w:szCs w:val="24"/>
                <w:highlight w:val="none"/>
              </w:rPr>
            </w:pPr>
          </w:p>
        </w:tc>
        <w:tc>
          <w:tcPr>
            <w:tcW w:w="180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160" w:type="dxa"/>
          </w:tcPr>
          <w:p>
            <w:pPr>
              <w:pStyle w:val="222"/>
              <w:spacing w:line="240" w:lineRule="auto"/>
              <w:rPr>
                <w:rFonts w:hint="eastAsia" w:ascii="仿宋" w:hAnsi="仿宋" w:eastAsia="仿宋" w:cs="仿宋"/>
                <w:color w:val="auto"/>
                <w:sz w:val="24"/>
                <w:szCs w:val="24"/>
                <w:highlight w:val="none"/>
              </w:rPr>
            </w:pPr>
          </w:p>
        </w:tc>
        <w:tc>
          <w:tcPr>
            <w:tcW w:w="1460" w:type="dxa"/>
          </w:tcPr>
          <w:p>
            <w:pPr>
              <w:pStyle w:val="222"/>
              <w:spacing w:line="240" w:lineRule="auto"/>
              <w:rPr>
                <w:rFonts w:hint="eastAsia" w:ascii="仿宋" w:hAnsi="仿宋" w:eastAsia="仿宋" w:cs="仿宋"/>
                <w:color w:val="auto"/>
                <w:sz w:val="24"/>
                <w:szCs w:val="24"/>
                <w:highlight w:val="none"/>
              </w:rPr>
            </w:pPr>
          </w:p>
        </w:tc>
        <w:tc>
          <w:tcPr>
            <w:tcW w:w="106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217" w:type="dxa"/>
          </w:tcPr>
          <w:p>
            <w:pPr>
              <w:pStyle w:val="222"/>
              <w:spacing w:line="240" w:lineRule="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720" w:type="dxa"/>
          </w:tcPr>
          <w:p>
            <w:pPr>
              <w:pStyle w:val="222"/>
              <w:spacing w:line="240" w:lineRule="auto"/>
              <w:rPr>
                <w:rFonts w:hint="eastAsia" w:ascii="仿宋" w:hAnsi="仿宋" w:eastAsia="仿宋" w:cs="仿宋"/>
                <w:color w:val="auto"/>
                <w:sz w:val="24"/>
                <w:szCs w:val="24"/>
                <w:highlight w:val="none"/>
              </w:rPr>
            </w:pPr>
          </w:p>
        </w:tc>
        <w:tc>
          <w:tcPr>
            <w:tcW w:w="180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160" w:type="dxa"/>
          </w:tcPr>
          <w:p>
            <w:pPr>
              <w:pStyle w:val="222"/>
              <w:spacing w:line="240" w:lineRule="auto"/>
              <w:rPr>
                <w:rFonts w:hint="eastAsia" w:ascii="仿宋" w:hAnsi="仿宋" w:eastAsia="仿宋" w:cs="仿宋"/>
                <w:color w:val="auto"/>
                <w:sz w:val="24"/>
                <w:szCs w:val="24"/>
                <w:highlight w:val="none"/>
              </w:rPr>
            </w:pPr>
          </w:p>
        </w:tc>
        <w:tc>
          <w:tcPr>
            <w:tcW w:w="1460" w:type="dxa"/>
          </w:tcPr>
          <w:p>
            <w:pPr>
              <w:pStyle w:val="222"/>
              <w:spacing w:line="240" w:lineRule="auto"/>
              <w:rPr>
                <w:rFonts w:hint="eastAsia" w:ascii="仿宋" w:hAnsi="仿宋" w:eastAsia="仿宋" w:cs="仿宋"/>
                <w:color w:val="auto"/>
                <w:sz w:val="24"/>
                <w:szCs w:val="24"/>
                <w:highlight w:val="none"/>
              </w:rPr>
            </w:pPr>
          </w:p>
        </w:tc>
        <w:tc>
          <w:tcPr>
            <w:tcW w:w="106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217" w:type="dxa"/>
          </w:tcPr>
          <w:p>
            <w:pPr>
              <w:pStyle w:val="222"/>
              <w:spacing w:line="240" w:lineRule="auto"/>
              <w:rPr>
                <w:rFonts w:hint="eastAsia" w:ascii="仿宋" w:hAnsi="仿宋" w:eastAsia="仿宋" w:cs="仿宋"/>
                <w:color w:val="auto"/>
                <w:sz w:val="24"/>
                <w:szCs w:val="24"/>
                <w:highlight w:val="none"/>
              </w:rPr>
            </w:pPr>
          </w:p>
        </w:tc>
      </w:tr>
    </w:tbl>
    <w:p>
      <w:pPr>
        <w:jc w:val="left"/>
        <w:rPr>
          <w:rFonts w:hint="eastAsia" w:ascii="仿宋" w:hAnsi="仿宋" w:eastAsia="仿宋" w:cs="仿宋"/>
          <w:color w:val="auto"/>
          <w:sz w:val="24"/>
          <w:highlight w:val="none"/>
        </w:rPr>
      </w:pPr>
      <w:r>
        <w:rPr>
          <w:rFonts w:hint="eastAsia" w:ascii="仿宋" w:hAnsi="仿宋" w:eastAsia="仿宋" w:cs="仿宋"/>
          <w:b/>
          <w:bCs/>
          <w:color w:val="auto"/>
          <w:sz w:val="28"/>
          <w:highlight w:val="none"/>
        </w:rPr>
        <w:br w:type="page"/>
      </w:r>
      <w:bookmarkEnd w:id="1015"/>
      <w:bookmarkEnd w:id="1016"/>
      <w:bookmarkStart w:id="1023" w:name="_Toc288584636"/>
      <w:bookmarkStart w:id="1024" w:name="_Toc328403513"/>
      <w:bookmarkStart w:id="1025" w:name="_Toc300264771"/>
      <w:bookmarkStart w:id="1026" w:name="_Toc244586562"/>
    </w:p>
    <w:p>
      <w:pPr>
        <w:pStyle w:val="23"/>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2"/>
        <w:rPr>
          <w:rFonts w:hint="eastAsia" w:ascii="仿宋" w:hAnsi="仿宋" w:eastAsia="仿宋" w:cs="仿宋"/>
          <w:color w:val="auto"/>
          <w:highlight w:val="none"/>
        </w:rPr>
      </w:pPr>
    </w:p>
    <w:bookmarkEnd w:id="1023"/>
    <w:bookmarkEnd w:id="1024"/>
    <w:bookmarkEnd w:id="1025"/>
    <w:bookmarkEnd w:id="1026"/>
    <w:p>
      <w:pPr>
        <w:pStyle w:val="4"/>
        <w:tabs>
          <w:tab w:val="clear" w:pos="618"/>
          <w:tab w:val="clear" w:pos="927"/>
        </w:tabs>
        <w:rPr>
          <w:rFonts w:hint="eastAsia" w:ascii="仿宋" w:hAnsi="仿宋" w:eastAsia="仿宋" w:cs="仿宋"/>
          <w:color w:val="auto"/>
          <w:highlight w:val="none"/>
        </w:rPr>
      </w:pPr>
      <w:bookmarkStart w:id="1027" w:name="_Toc4963"/>
      <w:bookmarkStart w:id="1028" w:name="_Toc514253214"/>
      <w:bookmarkStart w:id="1029" w:name="_Toc31508"/>
      <w:bookmarkStart w:id="1030" w:name="_Toc29405"/>
      <w:bookmarkStart w:id="1031" w:name="_Toc61260782"/>
      <w:bookmarkStart w:id="1032" w:name="_Toc78272840"/>
      <w:bookmarkStart w:id="1033" w:name="_Toc1022"/>
      <w:r>
        <w:rPr>
          <w:rFonts w:hint="eastAsia" w:ascii="仿宋" w:hAnsi="仿宋" w:eastAsia="仿宋" w:cs="仿宋"/>
          <w:color w:val="auto"/>
          <w:highlight w:val="none"/>
          <w:lang w:val="en-US" w:eastAsia="zh-CN"/>
        </w:rPr>
        <w:t>九</w:t>
      </w:r>
      <w:r>
        <w:rPr>
          <w:rFonts w:hint="eastAsia" w:ascii="仿宋" w:hAnsi="仿宋" w:eastAsia="仿宋" w:cs="仿宋"/>
          <w:color w:val="auto"/>
          <w:highlight w:val="none"/>
        </w:rPr>
        <w:t>、投标人认为需提供的其他</w:t>
      </w:r>
      <w:bookmarkEnd w:id="1027"/>
      <w:bookmarkEnd w:id="1028"/>
      <w:bookmarkEnd w:id="1029"/>
      <w:bookmarkEnd w:id="1030"/>
      <w:r>
        <w:rPr>
          <w:rFonts w:hint="eastAsia" w:ascii="仿宋" w:hAnsi="仿宋" w:eastAsia="仿宋" w:cs="仿宋"/>
          <w:color w:val="auto"/>
          <w:highlight w:val="none"/>
        </w:rPr>
        <w:t>资料</w:t>
      </w:r>
      <w:bookmarkEnd w:id="1031"/>
      <w:bookmarkEnd w:id="1032"/>
      <w:bookmarkEnd w:id="1033"/>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(复印件加盖公章）</w:t>
      </w:r>
    </w:p>
    <w:p>
      <w:pPr>
        <w:rPr>
          <w:rFonts w:hint="eastAsia" w:ascii="仿宋" w:hAnsi="仿宋" w:eastAsia="仿宋" w:cs="仿宋"/>
          <w:color w:val="auto"/>
          <w:highlight w:val="none"/>
        </w:rPr>
      </w:pPr>
    </w:p>
    <w:p>
      <w:pPr>
        <w:widowControl/>
        <w:jc w:val="left"/>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4"/>
        <w:rPr>
          <w:rFonts w:hint="eastAsia" w:ascii="仿宋" w:hAnsi="仿宋" w:eastAsia="仿宋" w:cs="仿宋"/>
          <w:color w:val="auto"/>
          <w:highlight w:val="none"/>
        </w:rPr>
      </w:pPr>
      <w:r>
        <w:rPr>
          <w:rFonts w:hint="eastAsia" w:ascii="仿宋" w:hAnsi="仿宋" w:eastAsia="仿宋" w:cs="仿宋"/>
          <w:color w:val="auto"/>
          <w:sz w:val="24"/>
          <w:highlight w:val="none"/>
        </w:rPr>
        <w:br w:type="page"/>
      </w:r>
      <w:bookmarkStart w:id="1034" w:name="_Toc61260783"/>
      <w:bookmarkStart w:id="1035" w:name="_Toc78272841"/>
      <w:bookmarkStart w:id="1036" w:name="_Toc13841"/>
      <w:r>
        <w:rPr>
          <w:rFonts w:hint="eastAsia" w:ascii="仿宋" w:hAnsi="仿宋" w:eastAsia="仿宋" w:cs="仿宋"/>
          <w:color w:val="auto"/>
          <w:highlight w:val="none"/>
        </w:rPr>
        <w:t>十、</w:t>
      </w:r>
      <w:bookmarkEnd w:id="1034"/>
      <w:bookmarkEnd w:id="1035"/>
      <w:r>
        <w:rPr>
          <w:rFonts w:hint="eastAsia" w:ascii="仿宋" w:hAnsi="仿宋" w:eastAsia="仿宋" w:cs="仿宋"/>
          <w:color w:val="auto"/>
          <w:highlight w:val="none"/>
        </w:rPr>
        <w:t>中小企业声明函（</w:t>
      </w:r>
      <w:r>
        <w:rPr>
          <w:rFonts w:hint="eastAsia" w:ascii="仿宋" w:hAnsi="仿宋" w:eastAsia="仿宋" w:cs="仿宋"/>
          <w:color w:val="auto"/>
          <w:highlight w:val="none"/>
          <w:lang w:eastAsia="zh-CN"/>
        </w:rPr>
        <w:t>工程、服务、采购</w:t>
      </w:r>
      <w:r>
        <w:rPr>
          <w:rFonts w:hint="eastAsia" w:ascii="仿宋" w:hAnsi="仿宋" w:eastAsia="仿宋" w:cs="仿宋"/>
          <w:color w:val="auto"/>
          <w:highlight w:val="none"/>
        </w:rPr>
        <w:t>）</w:t>
      </w:r>
      <w:bookmarkEnd w:id="1036"/>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本公司（）郑重声明，根据《政府采购促进中小企业发展管理办法》（财库﹝2020﹞46 号）的规定，本公司（）参加（单位名称）的（项目名称）采购活动，工程的施工单位全部为符合政策要求的中小企业（或者服务全部由符合政策要求的中小企业承接）。相关企业（含中小企业、签订分包意向协议的中小企业）的具体情况如下：</w:t>
      </w: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 （标的名称） ，属于（采购文件中明确的所属行业）行业；承建（承接）企业为（企业名称），从业人员  人，营业收入为  万元，资产总额为  万元1，属于（中型企业、小型企业、微型企业）；</w:t>
      </w: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 （标的名称） ，属于（采购文件中明确的所属行业）行业；承建（承接）企业为（企业名称），从业人员   人，营业收入为  万元，资产总额为  万元，属于（中型企业、小型企业、微型企业）；</w:t>
      </w: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pStyle w:val="155"/>
        <w:tabs>
          <w:tab w:val="left" w:pos="660"/>
        </w:tabs>
        <w:spacing w:before="66" w:line="381" w:lineRule="auto"/>
        <w:ind w:right="-12" w:firstLine="480"/>
        <w:rPr>
          <w:rFonts w:hint="eastAsia" w:ascii="仿宋" w:hAnsi="仿宋" w:eastAsia="仿宋" w:cs="仿宋"/>
          <w:color w:val="auto"/>
          <w:sz w:val="24"/>
          <w:highlight w:val="none"/>
        </w:rPr>
      </w:pP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企业名称（盖章）：</w:t>
      </w: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pStyle w:val="155"/>
        <w:tabs>
          <w:tab w:val="left" w:pos="660"/>
        </w:tabs>
        <w:spacing w:before="66" w:line="381" w:lineRule="auto"/>
        <w:ind w:right="-12" w:firstLine="480"/>
        <w:rPr>
          <w:rFonts w:hint="eastAsia" w:ascii="仿宋" w:hAnsi="仿宋" w:eastAsia="仿宋" w:cs="仿宋"/>
          <w:color w:val="auto"/>
          <w:sz w:val="24"/>
          <w:highlight w:val="none"/>
        </w:rPr>
      </w:pPr>
    </w:p>
    <w:p>
      <w:pPr>
        <w:pStyle w:val="155"/>
        <w:tabs>
          <w:tab w:val="left" w:pos="660"/>
        </w:tabs>
        <w:spacing w:before="66" w:line="381" w:lineRule="auto"/>
        <w:ind w:right="-12" w:firstLine="480"/>
        <w:rPr>
          <w:rFonts w:hint="eastAsia" w:ascii="仿宋" w:hAnsi="仿宋" w:eastAsia="仿宋" w:cs="仿宋"/>
          <w:color w:val="auto"/>
          <w:sz w:val="24"/>
          <w:highlight w:val="none"/>
        </w:rPr>
      </w:pPr>
    </w:p>
    <w:p>
      <w:pPr>
        <w:pStyle w:val="155"/>
        <w:tabs>
          <w:tab w:val="left" w:pos="660"/>
        </w:tabs>
        <w:spacing w:before="66" w:line="381" w:lineRule="auto"/>
        <w:ind w:right="-12" w:firstLine="480"/>
        <w:rPr>
          <w:rFonts w:hint="eastAsia" w:ascii="仿宋" w:hAnsi="仿宋" w:eastAsia="仿宋" w:cs="仿宋"/>
          <w:color w:val="auto"/>
          <w:sz w:val="24"/>
          <w:highlight w:val="none"/>
        </w:rPr>
      </w:pPr>
    </w:p>
    <w:p>
      <w:pPr>
        <w:pStyle w:val="155"/>
        <w:tabs>
          <w:tab w:val="left" w:pos="660"/>
        </w:tabs>
        <w:spacing w:before="66" w:line="381" w:lineRule="auto"/>
        <w:ind w:right="-12" w:firstLine="480"/>
        <w:rPr>
          <w:rFonts w:hint="eastAsia" w:ascii="仿宋" w:hAnsi="仿宋" w:eastAsia="仿宋" w:cs="仿宋"/>
          <w:color w:val="auto"/>
          <w:sz w:val="24"/>
          <w:highlight w:val="none"/>
        </w:rPr>
      </w:pP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pStyle w:val="4"/>
        <w:tabs>
          <w:tab w:val="clear" w:pos="618"/>
          <w:tab w:val="clear" w:pos="927"/>
        </w:tabs>
        <w:rPr>
          <w:rFonts w:hint="eastAsia" w:ascii="仿宋" w:hAnsi="仿宋" w:eastAsia="仿宋" w:cs="仿宋"/>
          <w:color w:val="auto"/>
          <w:highlight w:val="none"/>
        </w:rPr>
      </w:pPr>
      <w:r>
        <w:rPr>
          <w:rFonts w:hint="eastAsia" w:ascii="仿宋" w:hAnsi="仿宋" w:eastAsia="仿宋" w:cs="仿宋"/>
          <w:color w:val="auto"/>
          <w:sz w:val="24"/>
          <w:highlight w:val="none"/>
          <w:lang w:bidi="zh-CN"/>
        </w:rPr>
        <w:br w:type="page"/>
      </w:r>
      <w:bookmarkStart w:id="1037" w:name="_Toc61260784"/>
      <w:bookmarkStart w:id="1038" w:name="_Toc2544"/>
      <w:bookmarkStart w:id="1039" w:name="_Toc60653104"/>
      <w:bookmarkStart w:id="1040" w:name="_Toc15159"/>
      <w:bookmarkStart w:id="1041" w:name="_Toc78272842"/>
      <w:bookmarkStart w:id="1042" w:name="_Toc10801"/>
      <w:bookmarkStart w:id="1043" w:name="_Toc32068"/>
      <w:bookmarkStart w:id="1044" w:name="_Toc172"/>
      <w:r>
        <w:rPr>
          <w:rFonts w:hint="eastAsia" w:ascii="仿宋" w:hAnsi="仿宋" w:eastAsia="仿宋" w:cs="仿宋"/>
          <w:color w:val="auto"/>
          <w:highlight w:val="none"/>
        </w:rPr>
        <w:t>十</w:t>
      </w:r>
      <w:r>
        <w:rPr>
          <w:rFonts w:hint="eastAsia" w:ascii="仿宋" w:hAnsi="仿宋" w:eastAsia="仿宋" w:cs="仿宋"/>
          <w:color w:val="auto"/>
          <w:highlight w:val="none"/>
          <w:lang w:val="en-US" w:eastAsia="zh-CN"/>
        </w:rPr>
        <w:t>一</w:t>
      </w:r>
      <w:r>
        <w:rPr>
          <w:rFonts w:hint="eastAsia" w:ascii="仿宋" w:hAnsi="仿宋" w:eastAsia="仿宋" w:cs="仿宋"/>
          <w:color w:val="auto"/>
          <w:highlight w:val="none"/>
        </w:rPr>
        <w:t>、监狱企业的证明文件（若有）</w:t>
      </w:r>
      <w:bookmarkEnd w:id="1037"/>
      <w:bookmarkEnd w:id="1038"/>
      <w:bookmarkEnd w:id="1039"/>
      <w:bookmarkEnd w:id="1040"/>
      <w:bookmarkEnd w:id="1041"/>
      <w:bookmarkEnd w:id="1042"/>
      <w:bookmarkEnd w:id="1043"/>
      <w:bookmarkEnd w:id="1044"/>
    </w:p>
    <w:p>
      <w:pPr>
        <w:pStyle w:val="2"/>
        <w:rPr>
          <w:rFonts w:hint="eastAsia" w:ascii="仿宋" w:hAnsi="仿宋" w:eastAsia="仿宋" w:cs="仿宋"/>
          <w:b/>
          <w:color w:val="auto"/>
          <w:sz w:val="30"/>
          <w:highlight w:val="none"/>
        </w:rPr>
      </w:pPr>
    </w:p>
    <w:p>
      <w:pPr>
        <w:pStyle w:val="2"/>
        <w:rPr>
          <w:rFonts w:hint="eastAsia" w:ascii="仿宋" w:hAnsi="仿宋" w:eastAsia="仿宋" w:cs="仿宋"/>
          <w:b/>
          <w:color w:val="auto"/>
          <w:sz w:val="30"/>
          <w:highlight w:val="none"/>
        </w:rPr>
      </w:pPr>
    </w:p>
    <w:p>
      <w:pPr>
        <w:pStyle w:val="2"/>
        <w:rPr>
          <w:rFonts w:hint="eastAsia" w:ascii="仿宋" w:hAnsi="仿宋" w:eastAsia="仿宋" w:cs="仿宋"/>
          <w:b/>
          <w:color w:val="auto"/>
          <w:sz w:val="30"/>
          <w:highlight w:val="none"/>
        </w:rPr>
      </w:pPr>
    </w:p>
    <w:p>
      <w:pPr>
        <w:pStyle w:val="2"/>
        <w:spacing w:before="3"/>
        <w:rPr>
          <w:rFonts w:hint="eastAsia" w:ascii="仿宋" w:hAnsi="仿宋" w:eastAsia="仿宋" w:cs="仿宋"/>
          <w:b/>
          <w:color w:val="auto"/>
          <w:sz w:val="36"/>
          <w:highlight w:val="none"/>
        </w:rPr>
      </w:pPr>
    </w:p>
    <w:p>
      <w:pPr>
        <w:pStyle w:val="4"/>
        <w:tabs>
          <w:tab w:val="clear" w:pos="618"/>
          <w:tab w:val="clear" w:pos="927"/>
        </w:tabs>
        <w:rPr>
          <w:rFonts w:hint="eastAsia" w:ascii="仿宋" w:hAnsi="仿宋" w:eastAsia="仿宋" w:cs="仿宋"/>
          <w:color w:val="auto"/>
          <w:highlight w:val="none"/>
        </w:rPr>
      </w:pPr>
      <w:bookmarkStart w:id="1045" w:name="_Toc19191"/>
      <w:bookmarkStart w:id="1046" w:name="_Toc78272843"/>
      <w:bookmarkStart w:id="1047" w:name="_Toc22259"/>
      <w:bookmarkStart w:id="1048" w:name="_Toc60653105"/>
      <w:bookmarkStart w:id="1049" w:name="_Toc8730"/>
      <w:bookmarkStart w:id="1050" w:name="_Toc7755"/>
      <w:bookmarkStart w:id="1051" w:name="_Toc26021"/>
      <w:bookmarkStart w:id="1052" w:name="_Toc61260785"/>
      <w:r>
        <w:rPr>
          <w:rFonts w:hint="eastAsia" w:ascii="仿宋" w:hAnsi="仿宋" w:eastAsia="仿宋" w:cs="仿宋"/>
          <w:color w:val="auto"/>
          <w:highlight w:val="none"/>
        </w:rPr>
        <w:t>十</w:t>
      </w:r>
      <w:r>
        <w:rPr>
          <w:rFonts w:hint="eastAsia" w:ascii="仿宋" w:hAnsi="仿宋" w:eastAsia="仿宋" w:cs="仿宋"/>
          <w:color w:val="auto"/>
          <w:highlight w:val="none"/>
          <w:lang w:val="en-US" w:eastAsia="zh-CN"/>
        </w:rPr>
        <w:t>二</w:t>
      </w:r>
      <w:r>
        <w:rPr>
          <w:rFonts w:hint="eastAsia" w:ascii="仿宋" w:hAnsi="仿宋" w:eastAsia="仿宋" w:cs="仿宋"/>
          <w:color w:val="auto"/>
          <w:highlight w:val="none"/>
        </w:rPr>
        <w:t>、残疾人福利性单位声明函（若有）</w:t>
      </w:r>
      <w:bookmarkEnd w:id="1045"/>
      <w:bookmarkEnd w:id="1046"/>
      <w:bookmarkEnd w:id="1047"/>
      <w:bookmarkEnd w:id="1048"/>
      <w:bookmarkEnd w:id="1049"/>
      <w:bookmarkEnd w:id="1050"/>
      <w:bookmarkEnd w:id="1051"/>
      <w:bookmarkEnd w:id="1052"/>
    </w:p>
    <w:p>
      <w:pPr>
        <w:pStyle w:val="2"/>
        <w:rPr>
          <w:rFonts w:hint="eastAsia" w:ascii="仿宋" w:hAnsi="仿宋" w:eastAsia="仿宋" w:cs="仿宋"/>
          <w:b/>
          <w:color w:val="auto"/>
          <w:sz w:val="30"/>
          <w:highlight w:val="none"/>
        </w:rPr>
      </w:pPr>
    </w:p>
    <w:p>
      <w:pPr>
        <w:pStyle w:val="155"/>
        <w:tabs>
          <w:tab w:val="left" w:pos="660"/>
        </w:tabs>
        <w:spacing w:before="66" w:line="381" w:lineRule="auto"/>
        <w:ind w:right="-12" w:firstLine="480"/>
        <w:rPr>
          <w:rFonts w:hint="eastAsia" w:ascii="仿宋" w:hAnsi="仿宋" w:eastAsia="仿宋" w:cs="仿宋"/>
          <w:color w:val="auto"/>
          <w:sz w:val="24"/>
          <w:highlight w:val="none"/>
        </w:rPr>
      </w:pP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 府采购政策的通知》（财库〔2017〕141 号）的规定，本单位为符合条件的残疾人福利 性单位，且本单位参加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（业主）</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lang w:val="en-US" w:eastAsia="zh-CN"/>
        </w:rPr>
        <w:t xml:space="preserve">    （项目名称）</w:t>
      </w:r>
      <w:r>
        <w:rPr>
          <w:rFonts w:hint="eastAsia" w:ascii="仿宋" w:hAnsi="仿宋" w:eastAsia="仿宋" w:cs="仿宋"/>
          <w:color w:val="auto"/>
          <w:sz w:val="24"/>
          <w:highlight w:val="none"/>
        </w:rPr>
        <w:t>项目采购活动提供本单位制造的货物</w:t>
      </w: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（由本 单位</w:t>
      </w:r>
      <w:r>
        <w:rPr>
          <w:rFonts w:hint="eastAsia" w:ascii="仿宋" w:hAnsi="仿宋" w:eastAsia="仿宋" w:cs="仿宋"/>
          <w:color w:val="auto"/>
          <w:sz w:val="24"/>
          <w:highlight w:val="none"/>
          <w:lang w:eastAsia="zh-CN"/>
        </w:rPr>
        <w:t>提供货物</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提供服务），或者提供其他残疾人福利性单位制造的货物（不包括使用 非残疾人福利性单位注册商标的货物）。</w:t>
      </w: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pStyle w:val="155"/>
        <w:tabs>
          <w:tab w:val="left" w:pos="660"/>
        </w:tabs>
        <w:spacing w:before="66" w:line="381" w:lineRule="auto"/>
        <w:ind w:right="-12" w:firstLine="480"/>
        <w:rPr>
          <w:rFonts w:hint="eastAsia" w:ascii="仿宋" w:hAnsi="仿宋" w:eastAsia="仿宋" w:cs="仿宋"/>
          <w:color w:val="auto"/>
          <w:sz w:val="24"/>
          <w:highlight w:val="none"/>
        </w:rPr>
      </w:pPr>
    </w:p>
    <w:p>
      <w:pPr>
        <w:pStyle w:val="155"/>
        <w:tabs>
          <w:tab w:val="left" w:pos="660"/>
        </w:tabs>
        <w:spacing w:before="66" w:line="381" w:lineRule="auto"/>
        <w:ind w:right="-12" w:firstLine="480"/>
        <w:rPr>
          <w:rFonts w:hint="eastAsia" w:ascii="仿宋" w:hAnsi="仿宋" w:eastAsia="仿宋" w:cs="仿宋"/>
          <w:color w:val="auto"/>
          <w:sz w:val="24"/>
          <w:highlight w:val="none"/>
        </w:rPr>
      </w:pPr>
    </w:p>
    <w:p>
      <w:pPr>
        <w:pStyle w:val="155"/>
        <w:tabs>
          <w:tab w:val="left" w:pos="660"/>
        </w:tabs>
        <w:spacing w:before="66" w:line="381" w:lineRule="auto"/>
        <w:ind w:right="-12" w:firstLine="480"/>
        <w:rPr>
          <w:rFonts w:hint="eastAsia" w:ascii="仿宋" w:hAnsi="仿宋" w:eastAsia="仿宋" w:cs="仿宋"/>
          <w:color w:val="auto"/>
          <w:sz w:val="24"/>
          <w:highlight w:val="none"/>
        </w:rPr>
      </w:pPr>
    </w:p>
    <w:p>
      <w:pPr>
        <w:pStyle w:val="2"/>
        <w:rPr>
          <w:rFonts w:hint="eastAsia" w:ascii="仿宋" w:hAnsi="仿宋" w:eastAsia="仿宋" w:cs="仿宋"/>
          <w:color w:val="auto"/>
          <w:highlight w:val="none"/>
        </w:rPr>
      </w:pPr>
    </w:p>
    <w:p>
      <w:pPr>
        <w:pStyle w:val="2"/>
        <w:spacing w:before="9"/>
        <w:rPr>
          <w:rFonts w:hint="eastAsia" w:ascii="仿宋" w:hAnsi="仿宋" w:eastAsia="仿宋" w:cs="仿宋"/>
          <w:color w:val="auto"/>
          <w:sz w:val="35"/>
          <w:highlight w:val="none"/>
        </w:rPr>
      </w:pPr>
    </w:p>
    <w:p>
      <w:pPr>
        <w:pStyle w:val="2"/>
        <w:tabs>
          <w:tab w:val="left" w:pos="8179"/>
        </w:tabs>
        <w:ind w:left="4280"/>
        <w:rPr>
          <w:rFonts w:hint="eastAsia" w:ascii="仿宋" w:hAnsi="仿宋" w:eastAsia="仿宋" w:cs="仿宋"/>
          <w:color w:val="auto"/>
          <w:highlight w:val="none"/>
        </w:rPr>
      </w:pPr>
      <w:r>
        <w:rPr>
          <w:rFonts w:hint="eastAsia" w:ascii="仿宋" w:hAnsi="仿宋" w:eastAsia="仿宋" w:cs="仿宋"/>
          <w:color w:val="auto"/>
          <w:highlight w:val="none"/>
        </w:rPr>
        <w:t>单位名称（盖章）：</w:t>
      </w:r>
      <w:r>
        <w:rPr>
          <w:rFonts w:hint="eastAsia" w:ascii="仿宋" w:hAnsi="仿宋" w:eastAsia="仿宋" w:cs="仿宋"/>
          <w:color w:val="auto"/>
          <w:highlight w:val="none"/>
          <w:u w:val="single"/>
        </w:rPr>
        <w:tab/>
      </w:r>
    </w:p>
    <w:p>
      <w:pPr>
        <w:pStyle w:val="2"/>
        <w:spacing w:before="5"/>
        <w:rPr>
          <w:rFonts w:hint="eastAsia" w:ascii="仿宋" w:hAnsi="仿宋" w:eastAsia="仿宋" w:cs="仿宋"/>
          <w:color w:val="auto"/>
          <w:sz w:val="10"/>
          <w:highlight w:val="none"/>
        </w:rPr>
      </w:pPr>
    </w:p>
    <w:p>
      <w:pPr>
        <w:pStyle w:val="2"/>
        <w:tabs>
          <w:tab w:val="left" w:pos="4999"/>
          <w:tab w:val="left" w:pos="8179"/>
        </w:tabs>
        <w:spacing w:before="74"/>
        <w:ind w:left="4280"/>
        <w:rPr>
          <w:rFonts w:hint="eastAsia" w:ascii="仿宋" w:hAnsi="仿宋" w:eastAsia="仿宋" w:cs="仿宋"/>
          <w:color w:val="auto"/>
          <w:highlight w:val="none"/>
        </w:rPr>
      </w:pPr>
      <w:r>
        <w:rPr>
          <w:rFonts w:hint="eastAsia" w:ascii="仿宋" w:hAnsi="仿宋" w:eastAsia="仿宋" w:cs="仿宋"/>
          <w:color w:val="auto"/>
          <w:highlight w:val="none"/>
        </w:rPr>
        <w:t>日</w:t>
      </w:r>
      <w:r>
        <w:rPr>
          <w:rFonts w:hint="eastAsia" w:ascii="仿宋" w:hAnsi="仿宋" w:eastAsia="仿宋" w:cs="仿宋"/>
          <w:color w:val="auto"/>
          <w:highlight w:val="none"/>
        </w:rPr>
        <w:tab/>
      </w:r>
      <w:r>
        <w:rPr>
          <w:rFonts w:hint="eastAsia" w:ascii="仿宋" w:hAnsi="仿宋" w:eastAsia="仿宋" w:cs="仿宋"/>
          <w:color w:val="auto"/>
          <w:highlight w:val="none"/>
        </w:rPr>
        <w:t>期：</w:t>
      </w:r>
      <w:r>
        <w:rPr>
          <w:rFonts w:hint="eastAsia" w:ascii="仿宋" w:hAnsi="仿宋" w:eastAsia="仿宋" w:cs="仿宋"/>
          <w:color w:val="auto"/>
          <w:highlight w:val="none"/>
          <w:u w:val="single"/>
        </w:rPr>
        <w:tab/>
      </w:r>
    </w:p>
    <w:p>
      <w:pPr>
        <w:pStyle w:val="42"/>
        <w:rPr>
          <w:rFonts w:hint="eastAsia" w:ascii="仿宋" w:hAnsi="仿宋" w:eastAsia="仿宋" w:cs="仿宋"/>
          <w:color w:val="auto"/>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4"/>
        <w:tabs>
          <w:tab w:val="clear" w:pos="618"/>
          <w:tab w:val="clear" w:pos="927"/>
        </w:tabs>
        <w:rPr>
          <w:rFonts w:hint="eastAsia" w:ascii="仿宋" w:hAnsi="仿宋" w:eastAsia="仿宋" w:cs="仿宋"/>
          <w:color w:val="auto"/>
          <w:highlight w:val="none"/>
        </w:rPr>
      </w:pPr>
      <w:r>
        <w:rPr>
          <w:rFonts w:hint="eastAsia" w:ascii="仿宋" w:hAnsi="仿宋" w:eastAsia="仿宋" w:cs="仿宋"/>
          <w:color w:val="auto"/>
          <w:highlight w:val="none"/>
        </w:rPr>
        <w:t>十</w:t>
      </w:r>
      <w:r>
        <w:rPr>
          <w:rFonts w:hint="eastAsia" w:ascii="仿宋" w:hAnsi="仿宋" w:eastAsia="仿宋" w:cs="仿宋"/>
          <w:color w:val="auto"/>
          <w:highlight w:val="none"/>
          <w:lang w:val="en-US" w:eastAsia="zh-CN"/>
        </w:rPr>
        <w:t>三</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联合体</w:t>
      </w:r>
      <w:r>
        <w:rPr>
          <w:rFonts w:hint="eastAsia" w:ascii="仿宋" w:hAnsi="仿宋" w:eastAsia="仿宋" w:cs="仿宋"/>
          <w:color w:val="auto"/>
          <w:highlight w:val="none"/>
        </w:rPr>
        <w:t>声明函（若有）</w:t>
      </w: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（所有成员单位名称）自愿组成         （联合体名称）联合体，共同参加                （项目名称）设计施工总承包投标。现就联合体投标事宜订立如下协议。</w:t>
      </w: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       （某成员单位名称）为        （联合体名称）牵头人。</w:t>
      </w: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4、联合体各成员单位内部的职责分工如下：                  。</w:t>
      </w: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5、投标工作和联合体在中标后工程实施过程中的有关费用按各自承担的工作量分摊。</w:t>
      </w: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6、联合体中标后，本联合体协议是合同的附件，对联合体各成员单位有合同约束力。</w:t>
      </w: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7、本协议书自签署之日起生效，联合体未中标或中标时合同履行完毕后自动失效。 </w:t>
      </w: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8、本协议书一式 贰  份，联合体成员和招标人各执一份。</w:t>
      </w:r>
    </w:p>
    <w:p>
      <w:pPr>
        <w:pStyle w:val="155"/>
        <w:tabs>
          <w:tab w:val="left" w:pos="660"/>
        </w:tabs>
        <w:spacing w:before="66" w:line="381" w:lineRule="auto"/>
        <w:ind w:right="-12" w:firstLine="480"/>
        <w:rPr>
          <w:rFonts w:hint="eastAsia" w:ascii="仿宋" w:hAnsi="仿宋" w:eastAsia="仿宋" w:cs="仿宋"/>
          <w:color w:val="auto"/>
          <w:sz w:val="24"/>
          <w:highlight w:val="none"/>
        </w:rPr>
      </w:pP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注：本协议书由委托代理人签字的，应附法定代表人签字的授权委托书。</w:t>
      </w:r>
    </w:p>
    <w:p>
      <w:pPr>
        <w:pStyle w:val="155"/>
        <w:tabs>
          <w:tab w:val="left" w:pos="660"/>
        </w:tabs>
        <w:spacing w:before="66" w:line="381" w:lineRule="auto"/>
        <w:ind w:right="-12" w:firstLine="480"/>
        <w:rPr>
          <w:rFonts w:hint="eastAsia" w:ascii="仿宋" w:hAnsi="仿宋" w:eastAsia="仿宋" w:cs="仿宋"/>
          <w:color w:val="auto"/>
          <w:sz w:val="24"/>
          <w:highlight w:val="none"/>
        </w:rPr>
      </w:pP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牵头人名称：                                 （盖单位章）</w:t>
      </w: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                       （签字或盖章）</w:t>
      </w:r>
    </w:p>
    <w:p>
      <w:pPr>
        <w:pStyle w:val="155"/>
        <w:tabs>
          <w:tab w:val="left" w:pos="660"/>
        </w:tabs>
        <w:spacing w:before="66" w:line="381" w:lineRule="auto"/>
        <w:ind w:right="-12" w:firstLine="480"/>
        <w:rPr>
          <w:rFonts w:hint="eastAsia" w:ascii="仿宋" w:hAnsi="仿宋" w:eastAsia="仿宋" w:cs="仿宋"/>
          <w:color w:val="auto"/>
          <w:sz w:val="24"/>
          <w:highlight w:val="none"/>
        </w:rPr>
      </w:pP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成员一名称：                                 （盖单位章）</w:t>
      </w: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                       （签字或盖章）</w:t>
      </w: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pStyle w:val="155"/>
        <w:tabs>
          <w:tab w:val="left" w:pos="660"/>
        </w:tabs>
        <w:spacing w:before="66" w:line="381" w:lineRule="auto"/>
        <w:ind w:right="-12" w:firstLine="480"/>
      </w:pPr>
      <w:r>
        <w:rPr>
          <w:rFonts w:hint="eastAsia" w:ascii="仿宋" w:hAnsi="仿宋" w:eastAsia="仿宋" w:cs="仿宋"/>
          <w:color w:val="auto"/>
          <w:sz w:val="24"/>
          <w:highlight w:val="none"/>
        </w:rPr>
        <w:t xml:space="preserve">                                                        年     月     日</w:t>
      </w:r>
    </w:p>
    <w:sectPr>
      <w:headerReference r:id="rId13" w:type="default"/>
      <w:footerReference r:id="rId14" w:type="default"/>
      <w:pgSz w:w="11906" w:h="16838"/>
      <w:pgMar w:top="1440" w:right="1247" w:bottom="1315" w:left="141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Arial Unicode MS">
    <w:altName w:val="宋体"/>
    <w:panose1 w:val="020B0604020202020204"/>
    <w:charset w:val="86"/>
    <w:family w:val="auto"/>
    <w:pitch w:val="default"/>
    <w:sig w:usb0="00000000" w:usb1="00000000" w:usb2="00000000" w:usb3="00000000" w:csb0="003E0000"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right" w:y="1"/>
      <w:ind w:firstLine="360"/>
      <w:rPr>
        <w:rStyle w:val="54"/>
      </w:rPr>
    </w:pPr>
    <w:r>
      <w:fldChar w:fldCharType="begin"/>
    </w:r>
    <w:r>
      <w:rPr>
        <w:rStyle w:val="54"/>
      </w:rPr>
      <w:instrText xml:space="preserve">PAGE  </w:instrText>
    </w:r>
    <w:r>
      <w:fldChar w:fldCharType="separate"/>
    </w:r>
    <w:r>
      <w:rPr>
        <w:rStyle w:val="54"/>
      </w:rPr>
      <w:t>1</w:t>
    </w:r>
    <w:r>
      <w:fldChar w:fldCharType="end"/>
    </w:r>
  </w:p>
  <w:p>
    <w:pPr>
      <w:pStyle w:val="3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4153"/>
        <w:tab w:val="clear" w:pos="8306"/>
      </w:tabs>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622300</wp:posOffset>
              </wp:positionH>
              <wp:positionV relativeFrom="page">
                <wp:posOffset>9920605</wp:posOffset>
              </wp:positionV>
              <wp:extent cx="6311900" cy="305435"/>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6311900" cy="305435"/>
                      </a:xfrm>
                      <a:prstGeom prst="rect">
                        <a:avLst/>
                      </a:prstGeom>
                      <a:noFill/>
                      <a:ln>
                        <a:noFill/>
                      </a:ln>
                    </wps:spPr>
                    <wps:txbx>
                      <w:txbxContent>
                        <w:p>
                          <w:pPr>
                            <w:tabs>
                              <w:tab w:val="left" w:pos="4862"/>
                              <w:tab w:val="left" w:pos="9919"/>
                            </w:tabs>
                            <w:spacing w:before="12"/>
                            <w:ind w:left="20" w:right="0" w:firstLine="0"/>
                            <w:jc w:val="left"/>
                            <w:rPr>
                              <w:rFonts w:ascii="Times New Roman"/>
                              <w:sz w:val="18"/>
                            </w:rPr>
                          </w:pPr>
                          <w:r>
                            <w:rPr>
                              <w:rFonts w:ascii="Times New Roman"/>
                              <w:sz w:val="18"/>
                              <w:u w:val="single"/>
                            </w:rPr>
                            <w:t xml:space="preserve"> </w:t>
                          </w:r>
                          <w:r>
                            <w:rPr>
                              <w:rFonts w:ascii="Times New Roman"/>
                              <w:sz w:val="18"/>
                              <w:u w:val="single"/>
                            </w:rPr>
                            <w:tab/>
                          </w:r>
                          <w:r>
                            <w:rPr>
                              <w:rFonts w:ascii="Times New Roman"/>
                              <w:sz w:val="18"/>
                              <w:u w:val="single"/>
                            </w:rPr>
                            <w:t xml:space="preserve">- </w:t>
                          </w:r>
                          <w:r>
                            <w:fldChar w:fldCharType="begin"/>
                          </w:r>
                          <w:r>
                            <w:rPr>
                              <w:rFonts w:ascii="Times New Roman"/>
                              <w:sz w:val="18"/>
                              <w:u w:val="single"/>
                            </w:rPr>
                            <w:instrText xml:space="preserve"> PAGE </w:instrText>
                          </w:r>
                          <w:r>
                            <w:fldChar w:fldCharType="separate"/>
                          </w:r>
                          <w:r>
                            <w:t>38</w:t>
                          </w:r>
                          <w:r>
                            <w:fldChar w:fldCharType="end"/>
                          </w:r>
                          <w:r>
                            <w:rPr>
                              <w:rFonts w:ascii="Times New Roman"/>
                              <w:spacing w:val="-1"/>
                              <w:sz w:val="18"/>
                              <w:u w:val="single"/>
                            </w:rPr>
                            <w:t xml:space="preserve"> </w:t>
                          </w:r>
                          <w:r>
                            <w:rPr>
                              <w:rFonts w:ascii="Times New Roman"/>
                              <w:sz w:val="18"/>
                              <w:u w:val="single"/>
                            </w:rPr>
                            <w:t>-</w:t>
                          </w:r>
                          <w:r>
                            <w:rPr>
                              <w:rFonts w:ascii="Times New Roman"/>
                              <w:sz w:val="18"/>
                              <w:u w:val="single"/>
                            </w:rPr>
                            <w:tab/>
                          </w:r>
                        </w:p>
                        <w:p>
                          <w:pPr>
                            <w:spacing w:before="36"/>
                            <w:ind w:left="3747" w:right="4926" w:firstLine="0"/>
                            <w:jc w:val="center"/>
                            <w:rPr>
                              <w:rFonts w:hint="eastAsia" w:ascii="宋体" w:eastAsia="宋体"/>
                              <w:sz w:val="16"/>
                            </w:rPr>
                          </w:pPr>
                          <w:r>
                            <w:rPr>
                              <w:rFonts w:hint="eastAsia" w:ascii="宋体" w:eastAsia="宋体"/>
                              <w:w w:val="90"/>
                              <w:sz w:val="16"/>
                            </w:rPr>
                            <w:t>第 40 页 共 65 页</w:t>
                          </w:r>
                        </w:p>
                      </w:txbxContent>
                    </wps:txbx>
                    <wps:bodyPr lIns="0" tIns="0" rIns="0" bIns="0" upright="1"/>
                  </wps:wsp>
                </a:graphicData>
              </a:graphic>
            </wp:anchor>
          </w:drawing>
        </mc:Choice>
        <mc:Fallback>
          <w:pict>
            <v:shape id="_x0000_s1026" o:spid="_x0000_s1026" o:spt="202" type="#_x0000_t202" style="position:absolute;left:0pt;margin-left:49pt;margin-top:781.15pt;height:24.05pt;width:497pt;mso-position-horizontal-relative:page;mso-position-vertical-relative:page;z-index:-251657216;mso-width-relative:page;mso-height-relative:page;" filled="f" stroked="f" coordsize="21600,21600" o:gfxdata="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rr7mNsAAAANAQAADwAAAAAAAAABACAAAAAiAAAAZHJzL2Rvd25yZXYueG1s&#10;UEsBAhQAFAAAAAgAh07iQKitO4C8AQAAdgMAAA4AAAAAAAAAAQAgAAAAKgEAAGRycy9lMm9Eb2Mu&#10;eG1sUEsFBgAAAAAGAAYAWQEAAFgFAAAAAA==&#10;">
              <v:fill on="f" focussize="0,0"/>
              <v:stroke on="f"/>
              <v:imagedata o:title=""/>
              <o:lock v:ext="edit" aspectratio="f"/>
              <v:textbox inset="0mm,0mm,0mm,0mm">
                <w:txbxContent>
                  <w:p>
                    <w:pPr>
                      <w:tabs>
                        <w:tab w:val="left" w:pos="4862"/>
                        <w:tab w:val="left" w:pos="9919"/>
                      </w:tabs>
                      <w:spacing w:before="12"/>
                      <w:ind w:left="20" w:right="0" w:firstLine="0"/>
                      <w:jc w:val="left"/>
                      <w:rPr>
                        <w:rFonts w:ascii="Times New Roman"/>
                        <w:sz w:val="18"/>
                      </w:rPr>
                    </w:pPr>
                    <w:r>
                      <w:rPr>
                        <w:rFonts w:ascii="Times New Roman"/>
                        <w:sz w:val="18"/>
                        <w:u w:val="single"/>
                      </w:rPr>
                      <w:t xml:space="preserve"> </w:t>
                    </w:r>
                    <w:r>
                      <w:rPr>
                        <w:rFonts w:ascii="Times New Roman"/>
                        <w:sz w:val="18"/>
                        <w:u w:val="single"/>
                      </w:rPr>
                      <w:tab/>
                    </w:r>
                    <w:r>
                      <w:rPr>
                        <w:rFonts w:ascii="Times New Roman"/>
                        <w:sz w:val="18"/>
                        <w:u w:val="single"/>
                      </w:rPr>
                      <w:t xml:space="preserve">- </w:t>
                    </w:r>
                    <w:r>
                      <w:fldChar w:fldCharType="begin"/>
                    </w:r>
                    <w:r>
                      <w:rPr>
                        <w:rFonts w:ascii="Times New Roman"/>
                        <w:sz w:val="18"/>
                        <w:u w:val="single"/>
                      </w:rPr>
                      <w:instrText xml:space="preserve"> PAGE </w:instrText>
                    </w:r>
                    <w:r>
                      <w:fldChar w:fldCharType="separate"/>
                    </w:r>
                    <w:r>
                      <w:t>38</w:t>
                    </w:r>
                    <w:r>
                      <w:fldChar w:fldCharType="end"/>
                    </w:r>
                    <w:r>
                      <w:rPr>
                        <w:rFonts w:ascii="Times New Roman"/>
                        <w:spacing w:val="-1"/>
                        <w:sz w:val="18"/>
                        <w:u w:val="single"/>
                      </w:rPr>
                      <w:t xml:space="preserve"> </w:t>
                    </w:r>
                    <w:r>
                      <w:rPr>
                        <w:rFonts w:ascii="Times New Roman"/>
                        <w:sz w:val="18"/>
                        <w:u w:val="single"/>
                      </w:rPr>
                      <w:t>-</w:t>
                    </w:r>
                    <w:r>
                      <w:rPr>
                        <w:rFonts w:ascii="Times New Roman"/>
                        <w:sz w:val="18"/>
                        <w:u w:val="single"/>
                      </w:rPr>
                      <w:tab/>
                    </w:r>
                  </w:p>
                  <w:p>
                    <w:pPr>
                      <w:spacing w:before="36"/>
                      <w:ind w:left="3747" w:right="4926" w:firstLine="0"/>
                      <w:jc w:val="center"/>
                      <w:rPr>
                        <w:rFonts w:hint="eastAsia" w:ascii="宋体" w:eastAsia="宋体"/>
                        <w:sz w:val="16"/>
                      </w:rPr>
                    </w:pPr>
                    <w:r>
                      <w:rPr>
                        <w:rFonts w:hint="eastAsia" w:ascii="宋体" w:eastAsia="宋体"/>
                        <w:w w:val="90"/>
                        <w:sz w:val="16"/>
                      </w:rPr>
                      <w:t>第 40 页 共 65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4153"/>
        <w:tab w:val="clear" w:pos="8306"/>
      </w:tabs>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none" w:color="auto" w:sz="0" w:space="1"/>
        <w:left w:val="none" w:color="auto" w:sz="0" w:space="4"/>
        <w:bottom w:val="none" w:color="auto" w:sz="0" w:space="2"/>
        <w:right w:val="none" w:color="auto" w:sz="0" w:space="4"/>
      </w:pBdr>
      <w:ind w:firstLine="36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tabs>
        <w:tab w:val="clear" w:pos="4153"/>
        <w:tab w:val="clear" w:pos="8306"/>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tabs>
        <w:tab w:val="clear" w:pos="4153"/>
        <w:tab w:val="clear"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AF9EF5"/>
    <w:multiLevelType w:val="singleLevel"/>
    <w:tmpl w:val="9AAF9EF5"/>
    <w:lvl w:ilvl="0" w:tentative="0">
      <w:start w:val="3"/>
      <w:numFmt w:val="chineseCounting"/>
      <w:suff w:val="nothing"/>
      <w:lvlText w:val="%1、"/>
      <w:lvlJc w:val="left"/>
      <w:pPr>
        <w:ind w:left="3360"/>
      </w:pPr>
      <w:rPr>
        <w:rFonts w:hint="eastAsia"/>
      </w:rPr>
    </w:lvl>
  </w:abstractNum>
  <w:abstractNum w:abstractNumId="1">
    <w:nsid w:val="C57B4C33"/>
    <w:multiLevelType w:val="singleLevel"/>
    <w:tmpl w:val="C57B4C33"/>
    <w:lvl w:ilvl="0" w:tentative="0">
      <w:start w:val="5"/>
      <w:numFmt w:val="chineseCounting"/>
      <w:suff w:val="space"/>
      <w:lvlText w:val="第%1章"/>
      <w:lvlJc w:val="left"/>
      <w:pPr>
        <w:ind w:left="2422" w:leftChars="0" w:firstLine="0" w:firstLineChars="0"/>
      </w:pPr>
      <w:rPr>
        <w:rFonts w:hint="eastAsia"/>
      </w:rPr>
    </w:lvl>
  </w:abstractNum>
  <w:abstractNum w:abstractNumId="2">
    <w:nsid w:val="00000002"/>
    <w:multiLevelType w:val="multilevel"/>
    <w:tmpl w:val="00000002"/>
    <w:lvl w:ilvl="0" w:tentative="0">
      <w:start w:val="1"/>
      <w:numFmt w:val="decimal"/>
      <w:lvlText w:val="（%1）"/>
      <w:lvlJc w:val="left"/>
      <w:pPr>
        <w:ind w:left="3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7"/>
    <w:multiLevelType w:val="multilevel"/>
    <w:tmpl w:val="00000007"/>
    <w:lvl w:ilvl="0" w:tentative="0">
      <w:start w:val="1"/>
      <w:numFmt w:val="decimal"/>
      <w:lvlText w:val="（%1）"/>
      <w:lvlJc w:val="left"/>
      <w:pPr>
        <w:tabs>
          <w:tab w:val="left" w:pos="1019"/>
        </w:tabs>
        <w:ind w:left="1019" w:hanging="451"/>
      </w:pPr>
      <w:rPr>
        <w:rFonts w:hint="eastAsia"/>
        <w:lang w:val="en-US"/>
      </w:rPr>
    </w:lvl>
    <w:lvl w:ilvl="1" w:tentative="0">
      <w:start w:val="1"/>
      <w:numFmt w:val="lowerLetter"/>
      <w:lvlText w:val="%2)"/>
      <w:lvlJc w:val="left"/>
      <w:pPr>
        <w:tabs>
          <w:tab w:val="left" w:pos="980"/>
        </w:tabs>
        <w:ind w:left="980" w:hanging="420"/>
      </w:pPr>
    </w:lvl>
    <w:lvl w:ilvl="2" w:tentative="0">
      <w:start w:val="1"/>
      <w:numFmt w:val="lowerRoman"/>
      <w:lvlText w:val="%3."/>
      <w:lvlJc w:val="right"/>
      <w:pPr>
        <w:tabs>
          <w:tab w:val="left" w:pos="1400"/>
        </w:tabs>
        <w:ind w:left="1400" w:hanging="420"/>
      </w:pPr>
    </w:lvl>
    <w:lvl w:ilvl="3" w:tentative="0">
      <w:start w:val="1"/>
      <w:numFmt w:val="decimal"/>
      <w:lvlText w:val="%4."/>
      <w:lvlJc w:val="left"/>
      <w:pPr>
        <w:tabs>
          <w:tab w:val="left" w:pos="1820"/>
        </w:tabs>
        <w:ind w:left="1820" w:hanging="420"/>
      </w:pPr>
    </w:lvl>
    <w:lvl w:ilvl="4" w:tentative="0">
      <w:start w:val="1"/>
      <w:numFmt w:val="lowerLetter"/>
      <w:lvlText w:val="%5)"/>
      <w:lvlJc w:val="left"/>
      <w:pPr>
        <w:tabs>
          <w:tab w:val="left" w:pos="2240"/>
        </w:tabs>
        <w:ind w:left="2240" w:hanging="420"/>
      </w:pPr>
    </w:lvl>
    <w:lvl w:ilvl="5" w:tentative="0">
      <w:start w:val="1"/>
      <w:numFmt w:val="lowerRoman"/>
      <w:lvlText w:val="%6."/>
      <w:lvlJc w:val="right"/>
      <w:pPr>
        <w:tabs>
          <w:tab w:val="left" w:pos="2660"/>
        </w:tabs>
        <w:ind w:left="2660" w:hanging="420"/>
      </w:pPr>
    </w:lvl>
    <w:lvl w:ilvl="6" w:tentative="0">
      <w:start w:val="1"/>
      <w:numFmt w:val="decimal"/>
      <w:lvlText w:val="%7."/>
      <w:lvlJc w:val="left"/>
      <w:pPr>
        <w:tabs>
          <w:tab w:val="left" w:pos="3080"/>
        </w:tabs>
        <w:ind w:left="3080" w:hanging="420"/>
      </w:pPr>
    </w:lvl>
    <w:lvl w:ilvl="7" w:tentative="0">
      <w:start w:val="1"/>
      <w:numFmt w:val="lowerLetter"/>
      <w:lvlText w:val="%8)"/>
      <w:lvlJc w:val="left"/>
      <w:pPr>
        <w:tabs>
          <w:tab w:val="left" w:pos="3500"/>
        </w:tabs>
        <w:ind w:left="3500" w:hanging="420"/>
      </w:pPr>
    </w:lvl>
    <w:lvl w:ilvl="8" w:tentative="0">
      <w:start w:val="1"/>
      <w:numFmt w:val="lowerRoman"/>
      <w:lvlText w:val="%9."/>
      <w:lvlJc w:val="right"/>
      <w:pPr>
        <w:tabs>
          <w:tab w:val="left" w:pos="3920"/>
        </w:tabs>
        <w:ind w:left="3920" w:hanging="420"/>
      </w:p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67"/>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65EAC0DE"/>
    <w:multiLevelType w:val="singleLevel"/>
    <w:tmpl w:val="65EAC0DE"/>
    <w:lvl w:ilvl="0" w:tentative="0">
      <w:start w:val="1"/>
      <w:numFmt w:val="decimal"/>
      <w:lvlText w:val="%1."/>
      <w:lvlJc w:val="left"/>
      <w:pPr>
        <w:tabs>
          <w:tab w:val="left" w:pos="312"/>
        </w:tabs>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jNzc0ZWY5ZmEyYTYyZGIyZjI0Mzk4Y2UxMzkwMzUifQ=="/>
  </w:docVars>
  <w:rsids>
    <w:rsidRoot w:val="00000000"/>
    <w:rsid w:val="00025467"/>
    <w:rsid w:val="000C287C"/>
    <w:rsid w:val="010F1DA1"/>
    <w:rsid w:val="015E2062"/>
    <w:rsid w:val="01601F5E"/>
    <w:rsid w:val="01F54347"/>
    <w:rsid w:val="02070103"/>
    <w:rsid w:val="0217188E"/>
    <w:rsid w:val="02B349AE"/>
    <w:rsid w:val="02DD03EB"/>
    <w:rsid w:val="049E3050"/>
    <w:rsid w:val="04B0389B"/>
    <w:rsid w:val="053D5AFF"/>
    <w:rsid w:val="05436ECE"/>
    <w:rsid w:val="058C7E64"/>
    <w:rsid w:val="05B32686"/>
    <w:rsid w:val="05DC421B"/>
    <w:rsid w:val="0677442E"/>
    <w:rsid w:val="073801A2"/>
    <w:rsid w:val="073A2049"/>
    <w:rsid w:val="075807C6"/>
    <w:rsid w:val="075C12B8"/>
    <w:rsid w:val="081E776C"/>
    <w:rsid w:val="087D18AE"/>
    <w:rsid w:val="096864F2"/>
    <w:rsid w:val="09C31D94"/>
    <w:rsid w:val="0AB320E7"/>
    <w:rsid w:val="0B6E3B68"/>
    <w:rsid w:val="0BD845D0"/>
    <w:rsid w:val="0BFC01E1"/>
    <w:rsid w:val="0C075B29"/>
    <w:rsid w:val="0C985340"/>
    <w:rsid w:val="0D1E20BF"/>
    <w:rsid w:val="0D464D9C"/>
    <w:rsid w:val="0D951880"/>
    <w:rsid w:val="0DA73361"/>
    <w:rsid w:val="0DC61A39"/>
    <w:rsid w:val="0E87566C"/>
    <w:rsid w:val="0EB42931"/>
    <w:rsid w:val="0F0E18EA"/>
    <w:rsid w:val="0F453D03"/>
    <w:rsid w:val="0FD50659"/>
    <w:rsid w:val="10196798"/>
    <w:rsid w:val="102E1B18"/>
    <w:rsid w:val="104B4477"/>
    <w:rsid w:val="106700AE"/>
    <w:rsid w:val="10F90377"/>
    <w:rsid w:val="11192FEF"/>
    <w:rsid w:val="114F540F"/>
    <w:rsid w:val="11F757A1"/>
    <w:rsid w:val="128B4FFF"/>
    <w:rsid w:val="13180F89"/>
    <w:rsid w:val="137B67C5"/>
    <w:rsid w:val="138A3509"/>
    <w:rsid w:val="14011A1D"/>
    <w:rsid w:val="14600287"/>
    <w:rsid w:val="14631AF4"/>
    <w:rsid w:val="14AC5FE5"/>
    <w:rsid w:val="14E629C1"/>
    <w:rsid w:val="15211C4B"/>
    <w:rsid w:val="158346B4"/>
    <w:rsid w:val="1626576B"/>
    <w:rsid w:val="16844ED8"/>
    <w:rsid w:val="16B21718"/>
    <w:rsid w:val="16DD3855"/>
    <w:rsid w:val="17852965"/>
    <w:rsid w:val="17C623B2"/>
    <w:rsid w:val="18047D2E"/>
    <w:rsid w:val="18702CCD"/>
    <w:rsid w:val="18DE057F"/>
    <w:rsid w:val="191044B0"/>
    <w:rsid w:val="19306900"/>
    <w:rsid w:val="1A4404BD"/>
    <w:rsid w:val="1A8E69AE"/>
    <w:rsid w:val="1B2F4315"/>
    <w:rsid w:val="1D061E52"/>
    <w:rsid w:val="1D5E3A3C"/>
    <w:rsid w:val="1D756FD8"/>
    <w:rsid w:val="1D972303"/>
    <w:rsid w:val="1E0C0F8A"/>
    <w:rsid w:val="1E243CFC"/>
    <w:rsid w:val="1EC34CD0"/>
    <w:rsid w:val="1EFD0166"/>
    <w:rsid w:val="1F0F6711"/>
    <w:rsid w:val="1FBE07C2"/>
    <w:rsid w:val="1FF81D29"/>
    <w:rsid w:val="207D68CF"/>
    <w:rsid w:val="2241107D"/>
    <w:rsid w:val="228026A7"/>
    <w:rsid w:val="22D454CF"/>
    <w:rsid w:val="22D84291"/>
    <w:rsid w:val="23FC3FAF"/>
    <w:rsid w:val="24565A5E"/>
    <w:rsid w:val="24A1167D"/>
    <w:rsid w:val="24D33BE3"/>
    <w:rsid w:val="26760048"/>
    <w:rsid w:val="26A21758"/>
    <w:rsid w:val="26B66025"/>
    <w:rsid w:val="273F48DE"/>
    <w:rsid w:val="29156EB1"/>
    <w:rsid w:val="294F692F"/>
    <w:rsid w:val="295B7D4F"/>
    <w:rsid w:val="29D177BA"/>
    <w:rsid w:val="29DA5136"/>
    <w:rsid w:val="2A7D1EBD"/>
    <w:rsid w:val="2A941F0D"/>
    <w:rsid w:val="2B332027"/>
    <w:rsid w:val="2B513F0C"/>
    <w:rsid w:val="2B5C6077"/>
    <w:rsid w:val="2BB06DE4"/>
    <w:rsid w:val="2C90798A"/>
    <w:rsid w:val="2CD33EF7"/>
    <w:rsid w:val="2CDA0C05"/>
    <w:rsid w:val="2D2324A5"/>
    <w:rsid w:val="2EE36A31"/>
    <w:rsid w:val="2EF927BA"/>
    <w:rsid w:val="2F835584"/>
    <w:rsid w:val="2F996B56"/>
    <w:rsid w:val="30AD7C20"/>
    <w:rsid w:val="30D20571"/>
    <w:rsid w:val="31253322"/>
    <w:rsid w:val="317457AE"/>
    <w:rsid w:val="31C3435E"/>
    <w:rsid w:val="32094A8A"/>
    <w:rsid w:val="325A6A70"/>
    <w:rsid w:val="326C0551"/>
    <w:rsid w:val="32AF5871"/>
    <w:rsid w:val="32B37F2E"/>
    <w:rsid w:val="32D06D32"/>
    <w:rsid w:val="32DA54BB"/>
    <w:rsid w:val="33022C64"/>
    <w:rsid w:val="331C1F78"/>
    <w:rsid w:val="334868C9"/>
    <w:rsid w:val="342358BC"/>
    <w:rsid w:val="34907FBB"/>
    <w:rsid w:val="35B566BF"/>
    <w:rsid w:val="35CF3F74"/>
    <w:rsid w:val="36427329"/>
    <w:rsid w:val="37060F75"/>
    <w:rsid w:val="3755718E"/>
    <w:rsid w:val="37893954"/>
    <w:rsid w:val="37CA1677"/>
    <w:rsid w:val="38213B8C"/>
    <w:rsid w:val="38A26A7B"/>
    <w:rsid w:val="38B24810"/>
    <w:rsid w:val="39C62C3D"/>
    <w:rsid w:val="3A1651AE"/>
    <w:rsid w:val="3A816B64"/>
    <w:rsid w:val="3AB522F3"/>
    <w:rsid w:val="3BB54D17"/>
    <w:rsid w:val="3C9205AF"/>
    <w:rsid w:val="3D0F66A9"/>
    <w:rsid w:val="3D1B7C2D"/>
    <w:rsid w:val="3D2E5DFF"/>
    <w:rsid w:val="3F6251B6"/>
    <w:rsid w:val="3FBB6674"/>
    <w:rsid w:val="4021297B"/>
    <w:rsid w:val="40D13814"/>
    <w:rsid w:val="410858E9"/>
    <w:rsid w:val="41913B31"/>
    <w:rsid w:val="43670FED"/>
    <w:rsid w:val="43732D42"/>
    <w:rsid w:val="43917E18"/>
    <w:rsid w:val="43C24475"/>
    <w:rsid w:val="44915615"/>
    <w:rsid w:val="44E328F5"/>
    <w:rsid w:val="45616932"/>
    <w:rsid w:val="45647554"/>
    <w:rsid w:val="4594599D"/>
    <w:rsid w:val="46876B42"/>
    <w:rsid w:val="469F74EB"/>
    <w:rsid w:val="46F0340A"/>
    <w:rsid w:val="471F398D"/>
    <w:rsid w:val="47226FD9"/>
    <w:rsid w:val="47334B4A"/>
    <w:rsid w:val="47523D62"/>
    <w:rsid w:val="48A4239B"/>
    <w:rsid w:val="48A56114"/>
    <w:rsid w:val="49A02012"/>
    <w:rsid w:val="4A0946CE"/>
    <w:rsid w:val="4A174DEF"/>
    <w:rsid w:val="4A270CC4"/>
    <w:rsid w:val="4B86222C"/>
    <w:rsid w:val="4BAD2EA9"/>
    <w:rsid w:val="4C1B2975"/>
    <w:rsid w:val="4D3C148C"/>
    <w:rsid w:val="4D6809DB"/>
    <w:rsid w:val="4DE61195"/>
    <w:rsid w:val="4E345F70"/>
    <w:rsid w:val="4E685C19"/>
    <w:rsid w:val="4E6D24FE"/>
    <w:rsid w:val="4FBF7ABB"/>
    <w:rsid w:val="50237833"/>
    <w:rsid w:val="505929A5"/>
    <w:rsid w:val="508A00C9"/>
    <w:rsid w:val="50E15447"/>
    <w:rsid w:val="51E71567"/>
    <w:rsid w:val="520F0E2E"/>
    <w:rsid w:val="521A36CE"/>
    <w:rsid w:val="537137C2"/>
    <w:rsid w:val="53991ED1"/>
    <w:rsid w:val="539A7D26"/>
    <w:rsid w:val="53DD49B3"/>
    <w:rsid w:val="540A6A42"/>
    <w:rsid w:val="541F0A2A"/>
    <w:rsid w:val="54F70BBF"/>
    <w:rsid w:val="55B55BE8"/>
    <w:rsid w:val="55D1679A"/>
    <w:rsid w:val="55FE3190"/>
    <w:rsid w:val="561C5C67"/>
    <w:rsid w:val="569A4DDE"/>
    <w:rsid w:val="56A1616C"/>
    <w:rsid w:val="570A024A"/>
    <w:rsid w:val="572237C6"/>
    <w:rsid w:val="57EC7666"/>
    <w:rsid w:val="57F86254"/>
    <w:rsid w:val="58AB32D2"/>
    <w:rsid w:val="58B06335"/>
    <w:rsid w:val="58E30CBE"/>
    <w:rsid w:val="59345076"/>
    <w:rsid w:val="5967765B"/>
    <w:rsid w:val="59853B23"/>
    <w:rsid w:val="59927FEE"/>
    <w:rsid w:val="59E55889"/>
    <w:rsid w:val="5B150ED7"/>
    <w:rsid w:val="5C313AEE"/>
    <w:rsid w:val="5C3F445D"/>
    <w:rsid w:val="5C49072C"/>
    <w:rsid w:val="5C4B1054"/>
    <w:rsid w:val="5C846314"/>
    <w:rsid w:val="5D8E0DBF"/>
    <w:rsid w:val="5DBD4518"/>
    <w:rsid w:val="5DE04C29"/>
    <w:rsid w:val="5E850121"/>
    <w:rsid w:val="5EEE9398"/>
    <w:rsid w:val="5F1A2F60"/>
    <w:rsid w:val="5F4D59C9"/>
    <w:rsid w:val="5FE662E6"/>
    <w:rsid w:val="60DF1D6B"/>
    <w:rsid w:val="620B4DE2"/>
    <w:rsid w:val="62165B34"/>
    <w:rsid w:val="62423715"/>
    <w:rsid w:val="624B379C"/>
    <w:rsid w:val="6253396B"/>
    <w:rsid w:val="62E410C9"/>
    <w:rsid w:val="635F3637"/>
    <w:rsid w:val="6383710F"/>
    <w:rsid w:val="63A10ECD"/>
    <w:rsid w:val="64462101"/>
    <w:rsid w:val="6502071E"/>
    <w:rsid w:val="6538501C"/>
    <w:rsid w:val="659D0447"/>
    <w:rsid w:val="65C64FA5"/>
    <w:rsid w:val="663609EB"/>
    <w:rsid w:val="66435580"/>
    <w:rsid w:val="66AD6467"/>
    <w:rsid w:val="675257FE"/>
    <w:rsid w:val="676837AC"/>
    <w:rsid w:val="67A930D3"/>
    <w:rsid w:val="68607BAC"/>
    <w:rsid w:val="69313380"/>
    <w:rsid w:val="69603C65"/>
    <w:rsid w:val="696310E1"/>
    <w:rsid w:val="69794D27"/>
    <w:rsid w:val="69B55D5F"/>
    <w:rsid w:val="6B2A452A"/>
    <w:rsid w:val="6B840742"/>
    <w:rsid w:val="6BB15ADA"/>
    <w:rsid w:val="6BEF5866"/>
    <w:rsid w:val="6BFB5753"/>
    <w:rsid w:val="6C49575B"/>
    <w:rsid w:val="6C9C3206"/>
    <w:rsid w:val="6CEF0190"/>
    <w:rsid w:val="6D125276"/>
    <w:rsid w:val="6D3F8433"/>
    <w:rsid w:val="6E0E6072"/>
    <w:rsid w:val="6F0E7CBF"/>
    <w:rsid w:val="6FD550EF"/>
    <w:rsid w:val="703A0B8F"/>
    <w:rsid w:val="70622071"/>
    <w:rsid w:val="71094BE2"/>
    <w:rsid w:val="715C2F64"/>
    <w:rsid w:val="72165809"/>
    <w:rsid w:val="734B7A04"/>
    <w:rsid w:val="73547FF7"/>
    <w:rsid w:val="7375689B"/>
    <w:rsid w:val="74EE481B"/>
    <w:rsid w:val="77A155E4"/>
    <w:rsid w:val="785B3F75"/>
    <w:rsid w:val="7A8772A3"/>
    <w:rsid w:val="7A877E8A"/>
    <w:rsid w:val="7A9B68AB"/>
    <w:rsid w:val="7B1709C3"/>
    <w:rsid w:val="7BC01D23"/>
    <w:rsid w:val="7BFF10BB"/>
    <w:rsid w:val="7C0B5CB2"/>
    <w:rsid w:val="7C51790F"/>
    <w:rsid w:val="7C52568F"/>
    <w:rsid w:val="7C5533D1"/>
    <w:rsid w:val="7D0C1CE2"/>
    <w:rsid w:val="7D181680"/>
    <w:rsid w:val="7D267DE2"/>
    <w:rsid w:val="7D4543AB"/>
    <w:rsid w:val="7D9D0B8C"/>
    <w:rsid w:val="7DDE691E"/>
    <w:rsid w:val="7DF804B8"/>
    <w:rsid w:val="7DFF35F5"/>
    <w:rsid w:val="7E45769D"/>
    <w:rsid w:val="7EE2719E"/>
    <w:rsid w:val="7F876959"/>
    <w:rsid w:val="CF5B8919"/>
    <w:rsid w:val="E779AC2C"/>
    <w:rsid w:val="EE3320AF"/>
    <w:rsid w:val="FCFF8902"/>
    <w:rsid w:val="FFE724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qFormat="1" w:unhideWhenUsed="0" w:uiPriority="0" w:semiHidden="0"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3"/>
    <w:qFormat/>
    <w:uiPriority w:val="0"/>
    <w:pPr>
      <w:keepNext/>
      <w:keepLines/>
      <w:spacing w:after="120" w:line="360" w:lineRule="auto"/>
      <w:jc w:val="center"/>
      <w:outlineLvl w:val="0"/>
    </w:pPr>
    <w:rPr>
      <w:rFonts w:ascii="宋体" w:hAnsi="宋体" w:eastAsia="仿宋"/>
      <w:b/>
      <w:bCs/>
      <w:kern w:val="44"/>
      <w:sz w:val="36"/>
      <w:szCs w:val="36"/>
    </w:rPr>
  </w:style>
  <w:style w:type="paragraph" w:styleId="4">
    <w:name w:val="heading 2"/>
    <w:basedOn w:val="1"/>
    <w:next w:val="1"/>
    <w:link w:val="311"/>
    <w:qFormat/>
    <w:uiPriority w:val="0"/>
    <w:pPr>
      <w:keepNext/>
      <w:keepLines/>
      <w:tabs>
        <w:tab w:val="left" w:pos="618"/>
        <w:tab w:val="left" w:pos="927"/>
      </w:tabs>
      <w:spacing w:line="360" w:lineRule="auto"/>
      <w:ind w:right="210" w:rightChars="100"/>
      <w:jc w:val="center"/>
      <w:outlineLvl w:val="1"/>
    </w:pPr>
    <w:rPr>
      <w:rFonts w:ascii="仿宋_GB2312" w:hAnsi="仿宋_GB2312" w:eastAsia="仿宋_GB2312"/>
      <w:b/>
      <w:bCs/>
      <w:kern w:val="0"/>
      <w:sz w:val="32"/>
      <w:szCs w:val="20"/>
    </w:rPr>
  </w:style>
  <w:style w:type="paragraph" w:styleId="5">
    <w:name w:val="heading 3"/>
    <w:basedOn w:val="1"/>
    <w:next w:val="1"/>
    <w:link w:val="69"/>
    <w:qFormat/>
    <w:uiPriority w:val="0"/>
    <w:pPr>
      <w:keepNext/>
      <w:keepLines/>
      <w:spacing w:before="260" w:after="260" w:line="480" w:lineRule="auto"/>
      <w:ind w:left="103" w:hanging="103" w:hangingChars="32"/>
      <w:outlineLvl w:val="2"/>
    </w:pPr>
    <w:rPr>
      <w:rFonts w:ascii="仿宋_GB2312" w:hAnsi="宋体" w:eastAsia="仿宋_GB2312"/>
      <w:b/>
      <w:sz w:val="32"/>
      <w:szCs w:val="20"/>
    </w:rPr>
  </w:style>
  <w:style w:type="paragraph" w:styleId="6">
    <w:name w:val="heading 4"/>
    <w:basedOn w:val="1"/>
    <w:next w:val="1"/>
    <w:link w:val="70"/>
    <w:qFormat/>
    <w:uiPriority w:val="0"/>
    <w:pPr>
      <w:keepNext/>
      <w:keepLines/>
      <w:widowControl/>
      <w:spacing w:before="280" w:after="290" w:line="360" w:lineRule="auto"/>
      <w:jc w:val="left"/>
      <w:outlineLvl w:val="3"/>
    </w:pPr>
    <w:rPr>
      <w:rFonts w:ascii="仿宋_GB2312" w:hAnsi="宋体" w:eastAsia="仿宋_GB2312"/>
      <w:b/>
      <w:color w:val="FF0000"/>
      <w:kern w:val="0"/>
      <w:sz w:val="32"/>
      <w:szCs w:val="20"/>
    </w:rPr>
  </w:style>
  <w:style w:type="paragraph" w:styleId="7">
    <w:name w:val="heading 5"/>
    <w:basedOn w:val="1"/>
    <w:next w:val="1"/>
    <w:link w:val="75"/>
    <w:qFormat/>
    <w:uiPriority w:val="0"/>
    <w:pPr>
      <w:keepNext/>
      <w:jc w:val="center"/>
      <w:outlineLvl w:val="4"/>
    </w:pPr>
    <w:rPr>
      <w:rFonts w:eastAsia="仿宋_GB2312"/>
      <w:sz w:val="28"/>
      <w:szCs w:val="28"/>
    </w:rPr>
  </w:style>
  <w:style w:type="paragraph" w:styleId="8">
    <w:name w:val="heading 6"/>
    <w:basedOn w:val="1"/>
    <w:next w:val="1"/>
    <w:link w:val="76"/>
    <w:qFormat/>
    <w:uiPriority w:val="0"/>
    <w:pPr>
      <w:keepNext/>
      <w:spacing w:line="360" w:lineRule="auto"/>
      <w:ind w:firstLine="473" w:firstLineChars="225"/>
      <w:outlineLvl w:val="5"/>
    </w:pPr>
    <w:rPr>
      <w:rFonts w:ascii="宋体" w:hAnsi="宋体"/>
      <w:b/>
      <w:color w:val="000000"/>
    </w:rPr>
  </w:style>
  <w:style w:type="paragraph" w:styleId="9">
    <w:name w:val="heading 7"/>
    <w:basedOn w:val="1"/>
    <w:next w:val="1"/>
    <w:link w:val="77"/>
    <w:qFormat/>
    <w:uiPriority w:val="0"/>
    <w:pPr>
      <w:spacing w:before="240" w:after="60" w:line="240" w:lineRule="atLeast"/>
      <w:jc w:val="left"/>
      <w:outlineLvl w:val="6"/>
    </w:pPr>
    <w:rPr>
      <w:b/>
      <w:bCs/>
      <w:sz w:val="24"/>
    </w:rPr>
  </w:style>
  <w:style w:type="paragraph" w:styleId="10">
    <w:name w:val="heading 8"/>
    <w:basedOn w:val="1"/>
    <w:next w:val="1"/>
    <w:link w:val="78"/>
    <w:qFormat/>
    <w:uiPriority w:val="0"/>
    <w:pPr>
      <w:spacing w:before="240" w:after="60" w:line="240" w:lineRule="atLeast"/>
      <w:jc w:val="left"/>
      <w:outlineLvl w:val="7"/>
    </w:pPr>
    <w:rPr>
      <w:i/>
      <w:iCs/>
      <w:kern w:val="0"/>
      <w:sz w:val="20"/>
      <w:szCs w:val="20"/>
    </w:rPr>
  </w:style>
  <w:style w:type="paragraph" w:styleId="11">
    <w:name w:val="heading 9"/>
    <w:basedOn w:val="1"/>
    <w:next w:val="1"/>
    <w:link w:val="79"/>
    <w:qFormat/>
    <w:uiPriority w:val="0"/>
    <w:pPr>
      <w:spacing w:before="240" w:after="60" w:line="240" w:lineRule="atLeast"/>
      <w:jc w:val="left"/>
      <w:outlineLvl w:val="8"/>
    </w:pPr>
    <w:rPr>
      <w:b/>
      <w:bCs/>
      <w:i/>
      <w:iCs/>
      <w:kern w:val="0"/>
      <w:sz w:val="18"/>
      <w:szCs w:val="18"/>
    </w:rPr>
  </w:style>
  <w:style w:type="character" w:default="1" w:styleId="52">
    <w:name w:val="Default Paragraph Font"/>
    <w:unhideWhenUsed/>
    <w:qFormat/>
    <w:uiPriority w:val="1"/>
  </w:style>
  <w:style w:type="table" w:default="1" w:styleId="50">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72"/>
    <w:qFormat/>
    <w:uiPriority w:val="0"/>
    <w:pPr>
      <w:spacing w:after="120"/>
    </w:pPr>
    <w:rPr>
      <w:rFonts w:ascii="Calibri" w:hAnsi="Calibri"/>
    </w:rPr>
  </w:style>
  <w:style w:type="paragraph" w:styleId="12">
    <w:name w:val="toc 7"/>
    <w:basedOn w:val="1"/>
    <w:next w:val="1"/>
    <w:qFormat/>
    <w:uiPriority w:val="39"/>
    <w:pPr>
      <w:ind w:left="2520" w:leftChars="1200"/>
    </w:pPr>
  </w:style>
  <w:style w:type="paragraph" w:styleId="13">
    <w:name w:val="Normal Indent"/>
    <w:basedOn w:val="1"/>
    <w:qFormat/>
    <w:uiPriority w:val="0"/>
    <w:pPr>
      <w:ind w:firstLine="420"/>
    </w:pPr>
    <w:rPr>
      <w:szCs w:val="20"/>
    </w:rPr>
  </w:style>
  <w:style w:type="paragraph" w:styleId="14">
    <w:name w:val="caption"/>
    <w:basedOn w:val="1"/>
    <w:next w:val="1"/>
    <w:qFormat/>
    <w:uiPriority w:val="99"/>
    <w:pPr>
      <w:spacing w:line="360" w:lineRule="auto"/>
      <w:jc w:val="center"/>
    </w:pPr>
    <w:rPr>
      <w:rFonts w:ascii="Cambria" w:hAnsi="Cambria" w:eastAsia="黑体"/>
      <w:sz w:val="20"/>
      <w:szCs w:val="20"/>
    </w:rPr>
  </w:style>
  <w:style w:type="paragraph" w:styleId="15">
    <w:name w:val="Document Map"/>
    <w:basedOn w:val="1"/>
    <w:link w:val="80"/>
    <w:qFormat/>
    <w:uiPriority w:val="99"/>
    <w:pPr>
      <w:shd w:val="clear" w:color="auto" w:fill="000080"/>
    </w:pPr>
  </w:style>
  <w:style w:type="paragraph" w:styleId="16">
    <w:name w:val="annotation text"/>
    <w:basedOn w:val="1"/>
    <w:link w:val="81"/>
    <w:qFormat/>
    <w:uiPriority w:val="99"/>
    <w:pPr>
      <w:jc w:val="left"/>
    </w:pPr>
  </w:style>
  <w:style w:type="paragraph" w:styleId="17">
    <w:name w:val="Body Text 3"/>
    <w:basedOn w:val="1"/>
    <w:link w:val="82"/>
    <w:qFormat/>
    <w:uiPriority w:val="0"/>
    <w:pPr>
      <w:adjustRightInd w:val="0"/>
      <w:snapToGrid w:val="0"/>
      <w:spacing w:line="240" w:lineRule="atLeast"/>
    </w:pPr>
    <w:rPr>
      <w:snapToGrid w:val="0"/>
      <w:kern w:val="0"/>
      <w:sz w:val="15"/>
      <w:szCs w:val="20"/>
    </w:rPr>
  </w:style>
  <w:style w:type="paragraph" w:styleId="18">
    <w:name w:val="Body Text Indent"/>
    <w:basedOn w:val="1"/>
    <w:next w:val="1"/>
    <w:link w:val="83"/>
    <w:qFormat/>
    <w:uiPriority w:val="0"/>
    <w:pPr>
      <w:ind w:firstLine="480"/>
    </w:pPr>
    <w:rPr>
      <w:b/>
      <w:bCs/>
      <w:sz w:val="24"/>
    </w:rPr>
  </w:style>
  <w:style w:type="paragraph" w:styleId="19">
    <w:name w:val="List 2"/>
    <w:basedOn w:val="1"/>
    <w:qFormat/>
    <w:uiPriority w:val="0"/>
    <w:pPr>
      <w:adjustRightInd w:val="0"/>
      <w:spacing w:line="360" w:lineRule="atLeast"/>
      <w:ind w:left="100" w:leftChars="200" w:hanging="200" w:hangingChars="200"/>
      <w:jc w:val="left"/>
      <w:textAlignment w:val="baseline"/>
    </w:pPr>
    <w:rPr>
      <w:kern w:val="0"/>
      <w:sz w:val="24"/>
      <w:szCs w:val="20"/>
    </w:rPr>
  </w:style>
  <w:style w:type="paragraph" w:styleId="20">
    <w:name w:val="List Continue"/>
    <w:basedOn w:val="1"/>
    <w:qFormat/>
    <w:uiPriority w:val="0"/>
    <w:pPr>
      <w:adjustRightInd w:val="0"/>
      <w:spacing w:after="120" w:line="360" w:lineRule="atLeast"/>
      <w:ind w:left="420" w:leftChars="200"/>
      <w:jc w:val="left"/>
      <w:textAlignment w:val="baseline"/>
    </w:pPr>
    <w:rPr>
      <w:kern w:val="0"/>
      <w:sz w:val="24"/>
      <w:szCs w:val="20"/>
    </w:rPr>
  </w:style>
  <w:style w:type="paragraph" w:styleId="21">
    <w:name w:val="Block Text"/>
    <w:basedOn w:val="1"/>
    <w:qFormat/>
    <w:uiPriority w:val="0"/>
    <w:pPr>
      <w:spacing w:line="400" w:lineRule="exact"/>
      <w:ind w:left="19" w:leftChars="9" w:right="6" w:firstLine="240" w:firstLineChars="100"/>
    </w:pPr>
    <w:rPr>
      <w:rFonts w:ascii="宋体" w:hAnsi="宋体"/>
      <w:sz w:val="24"/>
      <w:szCs w:val="21"/>
    </w:rPr>
  </w:style>
  <w:style w:type="paragraph" w:styleId="22">
    <w:name w:val="toc 5"/>
    <w:basedOn w:val="1"/>
    <w:next w:val="1"/>
    <w:qFormat/>
    <w:uiPriority w:val="39"/>
    <w:pPr>
      <w:ind w:left="1680" w:leftChars="800"/>
    </w:pPr>
  </w:style>
  <w:style w:type="paragraph" w:styleId="23">
    <w:name w:val="toc 3"/>
    <w:basedOn w:val="1"/>
    <w:next w:val="1"/>
    <w:qFormat/>
    <w:uiPriority w:val="39"/>
    <w:pPr>
      <w:ind w:left="840" w:leftChars="400"/>
    </w:pPr>
  </w:style>
  <w:style w:type="paragraph" w:styleId="24">
    <w:name w:val="Plain Text"/>
    <w:basedOn w:val="1"/>
    <w:next w:val="1"/>
    <w:link w:val="84"/>
    <w:qFormat/>
    <w:uiPriority w:val="0"/>
    <w:rPr>
      <w:rFonts w:ascii="宋体" w:hAnsi="Courier New"/>
      <w:szCs w:val="21"/>
    </w:rPr>
  </w:style>
  <w:style w:type="paragraph" w:styleId="25">
    <w:name w:val="toc 8"/>
    <w:basedOn w:val="1"/>
    <w:next w:val="1"/>
    <w:qFormat/>
    <w:uiPriority w:val="39"/>
    <w:pPr>
      <w:ind w:left="2940" w:leftChars="1400"/>
    </w:pPr>
  </w:style>
  <w:style w:type="paragraph" w:styleId="26">
    <w:name w:val="Date"/>
    <w:basedOn w:val="1"/>
    <w:next w:val="1"/>
    <w:link w:val="85"/>
    <w:qFormat/>
    <w:uiPriority w:val="0"/>
    <w:pPr>
      <w:ind w:left="100" w:leftChars="2500"/>
    </w:pPr>
    <w:rPr>
      <w:rFonts w:ascii="宋体" w:hAnsi="宋体"/>
      <w:sz w:val="28"/>
    </w:rPr>
  </w:style>
  <w:style w:type="paragraph" w:styleId="27">
    <w:name w:val="Body Text Indent 2"/>
    <w:basedOn w:val="1"/>
    <w:link w:val="86"/>
    <w:qFormat/>
    <w:uiPriority w:val="0"/>
    <w:pPr>
      <w:ind w:firstLine="7920" w:firstLineChars="3300"/>
    </w:pPr>
    <w:rPr>
      <w:sz w:val="24"/>
    </w:rPr>
  </w:style>
  <w:style w:type="paragraph" w:styleId="28">
    <w:name w:val="List Continue 5"/>
    <w:basedOn w:val="1"/>
    <w:qFormat/>
    <w:uiPriority w:val="0"/>
    <w:pPr>
      <w:spacing w:after="120"/>
      <w:ind w:left="2100" w:leftChars="1000"/>
    </w:pPr>
  </w:style>
  <w:style w:type="paragraph" w:styleId="29">
    <w:name w:val="Balloon Text"/>
    <w:basedOn w:val="1"/>
    <w:link w:val="87"/>
    <w:qFormat/>
    <w:uiPriority w:val="99"/>
    <w:rPr>
      <w:sz w:val="18"/>
      <w:szCs w:val="18"/>
    </w:rPr>
  </w:style>
  <w:style w:type="paragraph" w:styleId="30">
    <w:name w:val="footer"/>
    <w:basedOn w:val="1"/>
    <w:link w:val="88"/>
    <w:qFormat/>
    <w:uiPriority w:val="0"/>
    <w:pPr>
      <w:tabs>
        <w:tab w:val="center" w:pos="4153"/>
        <w:tab w:val="right" w:pos="8306"/>
      </w:tabs>
      <w:snapToGrid w:val="0"/>
      <w:jc w:val="left"/>
    </w:pPr>
    <w:rPr>
      <w:sz w:val="18"/>
      <w:szCs w:val="18"/>
    </w:rPr>
  </w:style>
  <w:style w:type="paragraph" w:styleId="31">
    <w:name w:val="envelope return"/>
    <w:basedOn w:val="1"/>
    <w:qFormat/>
    <w:uiPriority w:val="0"/>
    <w:pPr>
      <w:snapToGrid w:val="0"/>
      <w:spacing w:line="240" w:lineRule="auto"/>
      <w:ind w:firstLine="0" w:firstLineChars="0"/>
    </w:pPr>
    <w:rPr>
      <w:rFonts w:ascii="Arial" w:hAnsi="Arial" w:cs="Arial"/>
      <w:szCs w:val="24"/>
    </w:rPr>
  </w:style>
  <w:style w:type="paragraph" w:styleId="32">
    <w:name w:val="header"/>
    <w:basedOn w:val="1"/>
    <w:link w:val="89"/>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style>
  <w:style w:type="paragraph" w:styleId="34">
    <w:name w:val="toc 4"/>
    <w:basedOn w:val="1"/>
    <w:next w:val="1"/>
    <w:qFormat/>
    <w:uiPriority w:val="39"/>
    <w:pPr>
      <w:ind w:left="1260" w:leftChars="600"/>
    </w:pPr>
  </w:style>
  <w:style w:type="paragraph" w:styleId="35">
    <w:name w:val="Subtitle"/>
    <w:basedOn w:val="1"/>
    <w:next w:val="1"/>
    <w:link w:val="90"/>
    <w:qFormat/>
    <w:uiPriority w:val="0"/>
    <w:pPr>
      <w:spacing w:before="240" w:after="60" w:line="312" w:lineRule="auto"/>
      <w:jc w:val="center"/>
      <w:outlineLvl w:val="1"/>
    </w:pPr>
    <w:rPr>
      <w:rFonts w:ascii="Cambria" w:hAnsi="Cambria"/>
      <w:b/>
      <w:bCs/>
      <w:kern w:val="28"/>
      <w:sz w:val="32"/>
      <w:szCs w:val="32"/>
    </w:rPr>
  </w:style>
  <w:style w:type="paragraph" w:styleId="36">
    <w:name w:val="List"/>
    <w:basedOn w:val="1"/>
    <w:qFormat/>
    <w:uiPriority w:val="0"/>
    <w:pPr>
      <w:ind w:left="420" w:hanging="420"/>
    </w:pPr>
  </w:style>
  <w:style w:type="paragraph" w:styleId="37">
    <w:name w:val="toc 6"/>
    <w:basedOn w:val="1"/>
    <w:next w:val="1"/>
    <w:qFormat/>
    <w:uiPriority w:val="39"/>
    <w:pPr>
      <w:ind w:left="2100" w:leftChars="1000"/>
    </w:pPr>
  </w:style>
  <w:style w:type="paragraph" w:styleId="38">
    <w:name w:val="List 5"/>
    <w:basedOn w:val="1"/>
    <w:qFormat/>
    <w:uiPriority w:val="0"/>
    <w:pPr>
      <w:ind w:left="2100" w:hanging="420"/>
    </w:pPr>
  </w:style>
  <w:style w:type="paragraph" w:styleId="39">
    <w:name w:val="Body Text Indent 3"/>
    <w:basedOn w:val="1"/>
    <w:link w:val="91"/>
    <w:qFormat/>
    <w:uiPriority w:val="0"/>
    <w:pPr>
      <w:ind w:firstLine="540"/>
    </w:pPr>
    <w:rPr>
      <w:kern w:val="0"/>
      <w:sz w:val="24"/>
      <w:szCs w:val="20"/>
    </w:rPr>
  </w:style>
  <w:style w:type="paragraph" w:styleId="40">
    <w:name w:val="toc 2"/>
    <w:basedOn w:val="1"/>
    <w:next w:val="1"/>
    <w:qFormat/>
    <w:uiPriority w:val="39"/>
    <w:pPr>
      <w:ind w:left="420" w:leftChars="200"/>
    </w:pPr>
  </w:style>
  <w:style w:type="paragraph" w:styleId="41">
    <w:name w:val="toc 9"/>
    <w:basedOn w:val="1"/>
    <w:next w:val="1"/>
    <w:qFormat/>
    <w:uiPriority w:val="39"/>
    <w:pPr>
      <w:ind w:left="3360" w:leftChars="1600"/>
    </w:pPr>
  </w:style>
  <w:style w:type="paragraph" w:styleId="42">
    <w:name w:val="Body Text 2"/>
    <w:basedOn w:val="1"/>
    <w:link w:val="92"/>
    <w:qFormat/>
    <w:uiPriority w:val="0"/>
    <w:rPr>
      <w:rFonts w:ascii="楷体_GB2312" w:eastAsia="楷体_GB2312"/>
      <w:sz w:val="24"/>
    </w:rPr>
  </w:style>
  <w:style w:type="paragraph" w:styleId="43">
    <w:name w:val="Normal (Web)"/>
    <w:basedOn w:val="1"/>
    <w:link w:val="93"/>
    <w:qFormat/>
    <w:uiPriority w:val="99"/>
    <w:pPr>
      <w:widowControl/>
      <w:spacing w:before="100" w:beforeAutospacing="1" w:after="100" w:afterAutospacing="1"/>
      <w:jc w:val="left"/>
    </w:pPr>
    <w:rPr>
      <w:rFonts w:ascii="宋体" w:hAnsi="宋体"/>
      <w:kern w:val="0"/>
      <w:sz w:val="24"/>
    </w:rPr>
  </w:style>
  <w:style w:type="paragraph" w:styleId="44">
    <w:name w:val="index 1"/>
    <w:basedOn w:val="1"/>
    <w:next w:val="1"/>
    <w:qFormat/>
    <w:uiPriority w:val="0"/>
  </w:style>
  <w:style w:type="paragraph" w:styleId="45">
    <w:name w:val="index 2"/>
    <w:basedOn w:val="1"/>
    <w:next w:val="1"/>
    <w:semiHidden/>
    <w:qFormat/>
    <w:uiPriority w:val="0"/>
    <w:pPr>
      <w:ind w:left="200" w:leftChars="200"/>
    </w:pPr>
  </w:style>
  <w:style w:type="paragraph" w:styleId="46">
    <w:name w:val="Title"/>
    <w:basedOn w:val="1"/>
    <w:link w:val="94"/>
    <w:qFormat/>
    <w:uiPriority w:val="0"/>
    <w:pPr>
      <w:spacing w:before="240" w:after="60"/>
      <w:jc w:val="center"/>
      <w:outlineLvl w:val="0"/>
    </w:pPr>
    <w:rPr>
      <w:rFonts w:ascii="Arial" w:hAnsi="Arial"/>
      <w:b/>
      <w:bCs/>
      <w:sz w:val="32"/>
      <w:szCs w:val="32"/>
    </w:rPr>
  </w:style>
  <w:style w:type="paragraph" w:styleId="47">
    <w:name w:val="annotation subject"/>
    <w:basedOn w:val="16"/>
    <w:next w:val="16"/>
    <w:link w:val="95"/>
    <w:qFormat/>
    <w:uiPriority w:val="0"/>
    <w:rPr>
      <w:b/>
      <w:bCs/>
    </w:rPr>
  </w:style>
  <w:style w:type="paragraph" w:styleId="48">
    <w:name w:val="Body Text First Indent"/>
    <w:basedOn w:val="2"/>
    <w:qFormat/>
    <w:uiPriority w:val="0"/>
    <w:pPr>
      <w:ind w:firstLine="700" w:firstLineChars="250"/>
    </w:pPr>
    <w:rPr>
      <w:rFonts w:ascii="Times New Roman" w:hAnsi="Times New Roman"/>
      <w:sz w:val="28"/>
      <w:szCs w:val="20"/>
    </w:rPr>
  </w:style>
  <w:style w:type="paragraph" w:styleId="49">
    <w:name w:val="Body Text First Indent 2"/>
    <w:basedOn w:val="18"/>
    <w:qFormat/>
    <w:uiPriority w:val="0"/>
    <w:pPr>
      <w:widowControl/>
      <w:ind w:firstLine="420" w:firstLineChars="200"/>
      <w:jc w:val="center"/>
    </w:pPr>
    <w:rPr>
      <w:rFonts w:ascii="宋体" w:hAnsi="宋体" w:cs="宋体"/>
      <w:kern w:val="0"/>
      <w:szCs w:val="21"/>
    </w:rPr>
  </w:style>
  <w:style w:type="table" w:styleId="51">
    <w:name w:val="Table Grid"/>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0"/>
    <w:rPr>
      <w:b/>
      <w:bCs/>
    </w:rPr>
  </w:style>
  <w:style w:type="character" w:styleId="54">
    <w:name w:val="page number"/>
    <w:basedOn w:val="52"/>
    <w:qFormat/>
    <w:uiPriority w:val="0"/>
    <w:rPr>
      <w:rFonts w:ascii="Times New Roman" w:hAnsi="Times New Roman" w:eastAsia="宋体" w:cs="Times New Roman"/>
      <w:sz w:val="18"/>
    </w:rPr>
  </w:style>
  <w:style w:type="character" w:styleId="55">
    <w:name w:val="FollowedHyperlink"/>
    <w:qFormat/>
    <w:uiPriority w:val="0"/>
    <w:rPr>
      <w:rFonts w:ascii="Times New Roman" w:hAnsi="Times New Roman" w:eastAsia="宋体" w:cs="Times New Roman"/>
      <w:color w:val="800080"/>
      <w:u w:val="single"/>
    </w:rPr>
  </w:style>
  <w:style w:type="character" w:styleId="56">
    <w:name w:val="Emphasis"/>
    <w:basedOn w:val="52"/>
    <w:qFormat/>
    <w:uiPriority w:val="20"/>
  </w:style>
  <w:style w:type="character" w:styleId="57">
    <w:name w:val="HTML Definition"/>
    <w:basedOn w:val="52"/>
    <w:unhideWhenUsed/>
    <w:qFormat/>
    <w:uiPriority w:val="99"/>
    <w:rPr>
      <w:i/>
      <w:iCs/>
    </w:rPr>
  </w:style>
  <w:style w:type="character" w:styleId="58">
    <w:name w:val="HTML Variable"/>
    <w:basedOn w:val="52"/>
    <w:unhideWhenUsed/>
    <w:qFormat/>
    <w:uiPriority w:val="99"/>
  </w:style>
  <w:style w:type="character" w:styleId="59">
    <w:name w:val="Hyperlink"/>
    <w:basedOn w:val="52"/>
    <w:qFormat/>
    <w:uiPriority w:val="99"/>
    <w:rPr>
      <w:rFonts w:ascii="Times New Roman" w:hAnsi="Times New Roman" w:eastAsia="宋体" w:cs="Times New Roman"/>
      <w:color w:val="0000FF"/>
      <w:u w:val="single"/>
    </w:rPr>
  </w:style>
  <w:style w:type="character" w:styleId="60">
    <w:name w:val="HTML Code"/>
    <w:basedOn w:val="52"/>
    <w:unhideWhenUsed/>
    <w:qFormat/>
    <w:uiPriority w:val="99"/>
    <w:rPr>
      <w:rFonts w:hint="default" w:ascii="monospace" w:hAnsi="monospace" w:eastAsia="monospace" w:cs="monospace"/>
      <w:sz w:val="21"/>
      <w:szCs w:val="21"/>
    </w:rPr>
  </w:style>
  <w:style w:type="character" w:styleId="61">
    <w:name w:val="annotation reference"/>
    <w:qFormat/>
    <w:uiPriority w:val="99"/>
    <w:rPr>
      <w:rFonts w:ascii="Times New Roman" w:hAnsi="Times New Roman" w:eastAsia="宋体" w:cs="Times New Roman"/>
      <w:sz w:val="21"/>
      <w:szCs w:val="21"/>
    </w:rPr>
  </w:style>
  <w:style w:type="character" w:styleId="62">
    <w:name w:val="HTML Cite"/>
    <w:basedOn w:val="52"/>
    <w:unhideWhenUsed/>
    <w:qFormat/>
    <w:uiPriority w:val="99"/>
    <w:rPr>
      <w:sz w:val="20"/>
      <w:szCs w:val="20"/>
    </w:rPr>
  </w:style>
  <w:style w:type="character" w:styleId="63">
    <w:name w:val="HTML Keyboard"/>
    <w:basedOn w:val="52"/>
    <w:unhideWhenUsed/>
    <w:qFormat/>
    <w:uiPriority w:val="99"/>
    <w:rPr>
      <w:rFonts w:hint="default" w:ascii="monospace" w:hAnsi="monospace" w:eastAsia="monospace" w:cs="monospace"/>
      <w:sz w:val="21"/>
      <w:szCs w:val="21"/>
    </w:rPr>
  </w:style>
  <w:style w:type="character" w:styleId="64">
    <w:name w:val="HTML Sample"/>
    <w:basedOn w:val="52"/>
    <w:unhideWhenUsed/>
    <w:qFormat/>
    <w:uiPriority w:val="99"/>
    <w:rPr>
      <w:rFonts w:ascii="monospace" w:hAnsi="monospace" w:eastAsia="monospace" w:cs="monospace"/>
      <w:sz w:val="21"/>
      <w:szCs w:val="21"/>
    </w:rPr>
  </w:style>
  <w:style w:type="paragraph" w:customStyle="1" w:styleId="65">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66">
    <w:name w:val="首行缩进"/>
    <w:basedOn w:val="1"/>
    <w:qFormat/>
    <w:uiPriority w:val="0"/>
    <w:pPr>
      <w:ind w:firstLine="480" w:firstLineChars="200"/>
    </w:pPr>
    <w:rPr>
      <w:lang w:val="zh-CN"/>
    </w:rPr>
  </w:style>
  <w:style w:type="paragraph" w:customStyle="1" w:styleId="67">
    <w:name w:val="标题 5（有编号）（绿盟科技）"/>
    <w:basedOn w:val="1"/>
    <w:next w:val="68"/>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68">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69">
    <w:name w:val="标题 3 Char"/>
    <w:link w:val="5"/>
    <w:qFormat/>
    <w:uiPriority w:val="0"/>
    <w:rPr>
      <w:rFonts w:ascii="仿宋_GB2312" w:hAnsi="宋体" w:eastAsia="仿宋_GB2312"/>
      <w:b/>
      <w:kern w:val="2"/>
      <w:sz w:val="32"/>
    </w:rPr>
  </w:style>
  <w:style w:type="character" w:customStyle="1" w:styleId="70">
    <w:name w:val="标题 4 Char"/>
    <w:link w:val="6"/>
    <w:qFormat/>
    <w:uiPriority w:val="0"/>
    <w:rPr>
      <w:rFonts w:ascii="仿宋_GB2312" w:hAnsi="宋体" w:eastAsia="仿宋_GB2312"/>
      <w:b/>
      <w:color w:val="FF0000"/>
      <w:sz w:val="32"/>
    </w:rPr>
  </w:style>
  <w:style w:type="paragraph" w:customStyle="1" w:styleId="7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2">
    <w:name w:val="正文文本 Char"/>
    <w:link w:val="2"/>
    <w:qFormat/>
    <w:uiPriority w:val="0"/>
    <w:rPr>
      <w:rFonts w:ascii="Calibri" w:hAnsi="Calibri" w:eastAsia="宋体" w:cs="Times New Roman"/>
      <w:kern w:val="2"/>
      <w:sz w:val="21"/>
      <w:szCs w:val="24"/>
    </w:rPr>
  </w:style>
  <w:style w:type="character" w:customStyle="1" w:styleId="73">
    <w:name w:val="标题 1 Char"/>
    <w:link w:val="3"/>
    <w:qFormat/>
    <w:uiPriority w:val="0"/>
    <w:rPr>
      <w:rFonts w:ascii="宋体" w:hAnsi="宋体" w:eastAsia="仿宋" w:cs="Times New Roman"/>
      <w:b/>
      <w:bCs/>
      <w:kern w:val="44"/>
      <w:sz w:val="36"/>
      <w:szCs w:val="36"/>
      <w:lang w:val="en-US" w:eastAsia="zh-CN" w:bidi="ar-SA"/>
    </w:rPr>
  </w:style>
  <w:style w:type="character" w:customStyle="1" w:styleId="74">
    <w:name w:val="标题 2 Char"/>
    <w:link w:val="4"/>
    <w:qFormat/>
    <w:uiPriority w:val="0"/>
    <w:rPr>
      <w:rFonts w:ascii="仿宋_GB2312" w:hAnsi="仿宋_GB2312" w:eastAsia="仿宋_GB2312" w:cs="Times New Roman"/>
      <w:b/>
      <w:bCs/>
      <w:sz w:val="32"/>
      <w:szCs w:val="20"/>
    </w:rPr>
  </w:style>
  <w:style w:type="character" w:customStyle="1" w:styleId="75">
    <w:name w:val="标题 5 Char"/>
    <w:link w:val="7"/>
    <w:qFormat/>
    <w:uiPriority w:val="0"/>
    <w:rPr>
      <w:rFonts w:eastAsia="仿宋_GB2312"/>
      <w:kern w:val="2"/>
      <w:sz w:val="28"/>
      <w:szCs w:val="28"/>
    </w:rPr>
  </w:style>
  <w:style w:type="character" w:customStyle="1" w:styleId="76">
    <w:name w:val="标题 6 Char"/>
    <w:link w:val="8"/>
    <w:qFormat/>
    <w:uiPriority w:val="0"/>
    <w:rPr>
      <w:rFonts w:ascii="宋体" w:hAnsi="宋体"/>
      <w:b/>
      <w:color w:val="000000"/>
      <w:kern w:val="2"/>
      <w:sz w:val="21"/>
      <w:szCs w:val="24"/>
    </w:rPr>
  </w:style>
  <w:style w:type="character" w:customStyle="1" w:styleId="77">
    <w:name w:val="标题 7 Char1"/>
    <w:basedOn w:val="52"/>
    <w:link w:val="9"/>
    <w:qFormat/>
    <w:uiPriority w:val="0"/>
  </w:style>
  <w:style w:type="character" w:customStyle="1" w:styleId="78">
    <w:name w:val="标题 8 Char1"/>
    <w:link w:val="10"/>
    <w:qFormat/>
    <w:uiPriority w:val="0"/>
    <w:rPr>
      <w:i/>
      <w:iCs/>
    </w:rPr>
  </w:style>
  <w:style w:type="character" w:customStyle="1" w:styleId="79">
    <w:name w:val="标题 9 Char1"/>
    <w:link w:val="11"/>
    <w:qFormat/>
    <w:uiPriority w:val="0"/>
    <w:rPr>
      <w:b/>
      <w:bCs/>
      <w:i/>
      <w:iCs/>
      <w:sz w:val="18"/>
      <w:szCs w:val="18"/>
    </w:rPr>
  </w:style>
  <w:style w:type="character" w:customStyle="1" w:styleId="80">
    <w:name w:val="文档结构图 Char"/>
    <w:link w:val="15"/>
    <w:qFormat/>
    <w:uiPriority w:val="99"/>
    <w:rPr>
      <w:kern w:val="2"/>
      <w:sz w:val="21"/>
      <w:szCs w:val="24"/>
      <w:shd w:val="clear" w:color="auto" w:fill="000080"/>
    </w:rPr>
  </w:style>
  <w:style w:type="character" w:customStyle="1" w:styleId="81">
    <w:name w:val="批注文字 Char"/>
    <w:link w:val="16"/>
    <w:qFormat/>
    <w:uiPriority w:val="99"/>
    <w:rPr>
      <w:rFonts w:ascii="Times New Roman" w:hAnsi="Times New Roman" w:eastAsia="宋体" w:cs="Times New Roman"/>
      <w:kern w:val="2"/>
      <w:sz w:val="21"/>
      <w:szCs w:val="24"/>
    </w:rPr>
  </w:style>
  <w:style w:type="character" w:customStyle="1" w:styleId="82">
    <w:name w:val="正文文本 3 Char1"/>
    <w:link w:val="17"/>
    <w:qFormat/>
    <w:uiPriority w:val="0"/>
    <w:rPr>
      <w:snapToGrid w:val="0"/>
      <w:sz w:val="15"/>
    </w:rPr>
  </w:style>
  <w:style w:type="character" w:customStyle="1" w:styleId="83">
    <w:name w:val="正文文本缩进 Char"/>
    <w:link w:val="18"/>
    <w:qFormat/>
    <w:uiPriority w:val="0"/>
    <w:rPr>
      <w:b/>
      <w:bCs/>
      <w:kern w:val="2"/>
      <w:sz w:val="24"/>
      <w:szCs w:val="24"/>
    </w:rPr>
  </w:style>
  <w:style w:type="character" w:customStyle="1" w:styleId="84">
    <w:name w:val="纯文本 Char"/>
    <w:link w:val="24"/>
    <w:qFormat/>
    <w:uiPriority w:val="0"/>
    <w:rPr>
      <w:rFonts w:ascii="宋体" w:hAnsi="Courier New" w:eastAsia="宋体" w:cs="Courier New"/>
      <w:kern w:val="2"/>
      <w:sz w:val="21"/>
      <w:szCs w:val="21"/>
    </w:rPr>
  </w:style>
  <w:style w:type="character" w:customStyle="1" w:styleId="85">
    <w:name w:val="日期 Char"/>
    <w:link w:val="26"/>
    <w:qFormat/>
    <w:uiPriority w:val="0"/>
    <w:rPr>
      <w:rFonts w:ascii="宋体" w:hAnsi="宋体"/>
      <w:kern w:val="2"/>
      <w:sz w:val="28"/>
      <w:szCs w:val="24"/>
    </w:rPr>
  </w:style>
  <w:style w:type="character" w:customStyle="1" w:styleId="86">
    <w:name w:val="正文文本缩进 2 Char"/>
    <w:link w:val="27"/>
    <w:qFormat/>
    <w:uiPriority w:val="0"/>
    <w:rPr>
      <w:kern w:val="2"/>
      <w:sz w:val="24"/>
      <w:szCs w:val="24"/>
    </w:rPr>
  </w:style>
  <w:style w:type="character" w:customStyle="1" w:styleId="87">
    <w:name w:val="批注框文本 Char"/>
    <w:link w:val="29"/>
    <w:qFormat/>
    <w:uiPriority w:val="99"/>
    <w:rPr>
      <w:kern w:val="2"/>
      <w:sz w:val="18"/>
      <w:szCs w:val="18"/>
    </w:rPr>
  </w:style>
  <w:style w:type="character" w:customStyle="1" w:styleId="88">
    <w:name w:val="页脚 Char"/>
    <w:link w:val="30"/>
    <w:qFormat/>
    <w:uiPriority w:val="0"/>
    <w:rPr>
      <w:rFonts w:ascii="Times New Roman" w:hAnsi="Times New Roman" w:eastAsia="宋体" w:cs="Times New Roman"/>
      <w:kern w:val="2"/>
      <w:sz w:val="18"/>
      <w:szCs w:val="18"/>
    </w:rPr>
  </w:style>
  <w:style w:type="character" w:customStyle="1" w:styleId="89">
    <w:name w:val="页眉 Char"/>
    <w:link w:val="32"/>
    <w:qFormat/>
    <w:uiPriority w:val="99"/>
    <w:rPr>
      <w:kern w:val="2"/>
      <w:sz w:val="18"/>
      <w:szCs w:val="18"/>
    </w:rPr>
  </w:style>
  <w:style w:type="character" w:customStyle="1" w:styleId="90">
    <w:name w:val="副标题 Char"/>
    <w:link w:val="35"/>
    <w:qFormat/>
    <w:uiPriority w:val="0"/>
    <w:rPr>
      <w:rFonts w:ascii="Cambria" w:hAnsi="Cambria" w:eastAsia="宋体" w:cs="Times New Roman"/>
      <w:b/>
      <w:bCs/>
      <w:kern w:val="28"/>
      <w:sz w:val="32"/>
      <w:szCs w:val="32"/>
    </w:rPr>
  </w:style>
  <w:style w:type="character" w:customStyle="1" w:styleId="91">
    <w:name w:val="正文文本缩进 3 Char"/>
    <w:link w:val="39"/>
    <w:qFormat/>
    <w:uiPriority w:val="0"/>
    <w:rPr>
      <w:rFonts w:ascii="Times New Roman" w:hAnsi="Times New Roman" w:eastAsia="宋体" w:cs="Times New Roman"/>
      <w:sz w:val="24"/>
    </w:rPr>
  </w:style>
  <w:style w:type="character" w:customStyle="1" w:styleId="92">
    <w:name w:val="正文文本 2 Char1"/>
    <w:link w:val="42"/>
    <w:qFormat/>
    <w:uiPriority w:val="0"/>
    <w:rPr>
      <w:rFonts w:ascii="楷体_GB2312" w:eastAsia="楷体_GB2312"/>
      <w:kern w:val="2"/>
      <w:sz w:val="24"/>
      <w:szCs w:val="24"/>
    </w:rPr>
  </w:style>
  <w:style w:type="character" w:customStyle="1" w:styleId="93">
    <w:name w:val="普通(网站) Char"/>
    <w:link w:val="43"/>
    <w:qFormat/>
    <w:uiPriority w:val="99"/>
    <w:rPr>
      <w:rFonts w:ascii="宋体" w:hAnsi="宋体"/>
      <w:sz w:val="24"/>
      <w:szCs w:val="24"/>
    </w:rPr>
  </w:style>
  <w:style w:type="character" w:customStyle="1" w:styleId="94">
    <w:name w:val="标题 Char"/>
    <w:link w:val="46"/>
    <w:qFormat/>
    <w:uiPriority w:val="0"/>
    <w:rPr>
      <w:rFonts w:ascii="Arial" w:hAnsi="Arial" w:cs="Arial"/>
      <w:b/>
      <w:bCs/>
      <w:kern w:val="2"/>
      <w:sz w:val="32"/>
      <w:szCs w:val="32"/>
    </w:rPr>
  </w:style>
  <w:style w:type="character" w:customStyle="1" w:styleId="95">
    <w:name w:val="批注主题 Char"/>
    <w:link w:val="47"/>
    <w:qFormat/>
    <w:uiPriority w:val="0"/>
    <w:rPr>
      <w:rFonts w:ascii="Times New Roman" w:hAnsi="Times New Roman" w:eastAsia="宋体" w:cs="Times New Roman"/>
      <w:b/>
      <w:bCs/>
      <w:kern w:val="2"/>
      <w:sz w:val="21"/>
      <w:szCs w:val="24"/>
    </w:rPr>
  </w:style>
  <w:style w:type="character" w:customStyle="1" w:styleId="96">
    <w:name w:val="NormalCharacter"/>
    <w:qFormat/>
    <w:uiPriority w:val="0"/>
  </w:style>
  <w:style w:type="character" w:customStyle="1" w:styleId="97">
    <w:name w:val="普通(网站) 字符"/>
    <w:qFormat/>
    <w:uiPriority w:val="99"/>
    <w:rPr>
      <w:rFonts w:ascii="宋体" w:hAnsi="宋体"/>
      <w:sz w:val="24"/>
      <w:szCs w:val="24"/>
    </w:rPr>
  </w:style>
  <w:style w:type="character" w:customStyle="1" w:styleId="98">
    <w:name w:val="批注主题 字符1"/>
    <w:qFormat/>
    <w:uiPriority w:val="0"/>
    <w:rPr>
      <w:rFonts w:ascii="Times New Roman" w:hAnsi="Times New Roman" w:eastAsia="宋体" w:cs="Times New Roman"/>
      <w:b/>
      <w:bCs/>
      <w:kern w:val="2"/>
      <w:sz w:val="21"/>
      <w:szCs w:val="24"/>
    </w:rPr>
  </w:style>
  <w:style w:type="character" w:customStyle="1" w:styleId="99">
    <w:name w:val="1章 Char Char"/>
    <w:qFormat/>
    <w:uiPriority w:val="0"/>
    <w:rPr>
      <w:rFonts w:ascii="宋体" w:hAnsi="宋体" w:eastAsia="黑体" w:cs="Arial"/>
      <w:b/>
      <w:bCs/>
      <w:kern w:val="2"/>
      <w:sz w:val="32"/>
      <w:szCs w:val="32"/>
      <w:lang w:val="en-US" w:eastAsia="zh-CN" w:bidi="ar-SA"/>
    </w:rPr>
  </w:style>
  <w:style w:type="character" w:customStyle="1" w:styleId="100">
    <w:name w:val="正文文本 字符1"/>
    <w:qFormat/>
    <w:uiPriority w:val="0"/>
    <w:rPr>
      <w:rFonts w:ascii="Calibri" w:hAnsi="Calibri" w:eastAsia="宋体" w:cs="Times New Roman"/>
      <w:kern w:val="2"/>
      <w:sz w:val="21"/>
      <w:szCs w:val="24"/>
    </w:rPr>
  </w:style>
  <w:style w:type="character" w:customStyle="1" w:styleId="101">
    <w:name w:val="页眉 Char1"/>
    <w:qFormat/>
    <w:uiPriority w:val="0"/>
    <w:rPr>
      <w:kern w:val="2"/>
      <w:sz w:val="18"/>
      <w:szCs w:val="18"/>
    </w:rPr>
  </w:style>
  <w:style w:type="character" w:customStyle="1" w:styleId="102">
    <w:name w:val="正文文本 2 Char"/>
    <w:semiHidden/>
    <w:qFormat/>
    <w:uiPriority w:val="99"/>
    <w:rPr>
      <w:rFonts w:ascii="Times New Roman" w:hAnsi="Times New Roman" w:eastAsia="宋体" w:cs="Times New Roman"/>
      <w:kern w:val="2"/>
      <w:sz w:val="21"/>
      <w:szCs w:val="24"/>
    </w:rPr>
  </w:style>
  <w:style w:type="character" w:customStyle="1" w:styleId="103">
    <w:name w:val="纯文本 Char1"/>
    <w:link w:val="104"/>
    <w:qFormat/>
    <w:uiPriority w:val="0"/>
    <w:rPr>
      <w:rFonts w:ascii="宋体" w:hAnsi="Courier New"/>
    </w:rPr>
  </w:style>
  <w:style w:type="paragraph" w:customStyle="1" w:styleId="104">
    <w:name w:val="纯文本1"/>
    <w:basedOn w:val="1"/>
    <w:link w:val="103"/>
    <w:qFormat/>
    <w:uiPriority w:val="0"/>
    <w:rPr>
      <w:rFonts w:ascii="宋体" w:hAnsi="Courier New"/>
      <w:kern w:val="0"/>
      <w:sz w:val="20"/>
      <w:szCs w:val="20"/>
    </w:rPr>
  </w:style>
  <w:style w:type="character" w:customStyle="1" w:styleId="105">
    <w:name w:val="样式  + Times New Roman 小四 Char Char"/>
    <w:qFormat/>
    <w:uiPriority w:val="0"/>
    <w:rPr>
      <w:rFonts w:ascii="宋体" w:hAnsi="宋体" w:eastAsia="仿宋_GB2312" w:cs="Times New Roman"/>
      <w:color w:val="000000"/>
      <w:kern w:val="2"/>
      <w:sz w:val="24"/>
      <w:szCs w:val="24"/>
      <w:lang w:val="en-US" w:eastAsia="zh-CN" w:bidi="ar-SA"/>
    </w:rPr>
  </w:style>
  <w:style w:type="character" w:customStyle="1" w:styleId="106">
    <w:name w:val="不明显强调1"/>
    <w:qFormat/>
    <w:uiPriority w:val="0"/>
    <w:rPr>
      <w:i/>
      <w:iCs/>
      <w:color w:val="3F3F3F"/>
    </w:rPr>
  </w:style>
  <w:style w:type="character" w:customStyle="1" w:styleId="107">
    <w:name w:val="标题 2 字符"/>
    <w:qFormat/>
    <w:uiPriority w:val="0"/>
    <w:rPr>
      <w:rFonts w:ascii="Arial" w:hAnsi="Arial" w:eastAsia="黑体" w:cs="Times New Roman"/>
      <w:b/>
      <w:bCs/>
      <w:kern w:val="2"/>
      <w:sz w:val="32"/>
      <w:szCs w:val="32"/>
    </w:rPr>
  </w:style>
  <w:style w:type="character" w:customStyle="1" w:styleId="108">
    <w:name w:val="标题 9 Char"/>
    <w:semiHidden/>
    <w:qFormat/>
    <w:uiPriority w:val="9"/>
    <w:rPr>
      <w:rFonts w:ascii="Cambria" w:hAnsi="Cambria" w:eastAsia="宋体" w:cs="Times New Roman"/>
      <w:kern w:val="2"/>
      <w:sz w:val="21"/>
      <w:szCs w:val="21"/>
    </w:rPr>
  </w:style>
  <w:style w:type="character" w:customStyle="1" w:styleId="109">
    <w:name w:val="样式  + Times New Roman 小四 红色 Char Char"/>
    <w:qFormat/>
    <w:uiPriority w:val="0"/>
    <w:rPr>
      <w:rFonts w:ascii="宋体" w:hAnsi="宋体" w:eastAsia="仿宋_GB2312" w:cs="Times New Roman"/>
      <w:color w:val="FF0000"/>
      <w:kern w:val="2"/>
      <w:sz w:val="24"/>
      <w:szCs w:val="24"/>
      <w:lang w:val="en-US" w:eastAsia="zh-CN" w:bidi="ar-SA"/>
    </w:rPr>
  </w:style>
  <w:style w:type="character" w:customStyle="1" w:styleId="110">
    <w:name w:val="Char Char Char"/>
    <w:qFormat/>
    <w:uiPriority w:val="0"/>
    <w:rPr>
      <w:rFonts w:ascii="Arial" w:hAnsi="Arial" w:eastAsia="宋体" w:cs="Arial"/>
      <w:b/>
      <w:bCs/>
      <w:kern w:val="2"/>
      <w:sz w:val="32"/>
      <w:szCs w:val="32"/>
      <w:lang w:val="en-US" w:eastAsia="zh-CN" w:bidi="ar-SA"/>
    </w:rPr>
  </w:style>
  <w:style w:type="character" w:customStyle="1" w:styleId="111">
    <w:name w:val="样式16 Char Char"/>
    <w:link w:val="112"/>
    <w:qFormat/>
    <w:uiPriority w:val="0"/>
    <w:rPr>
      <w:rFonts w:ascii="宋体" w:hAnsi="宋体" w:eastAsia="仿宋_GB2312" w:cs="Times New Roman"/>
      <w:kern w:val="2"/>
      <w:sz w:val="28"/>
      <w:szCs w:val="28"/>
    </w:rPr>
  </w:style>
  <w:style w:type="paragraph" w:customStyle="1" w:styleId="112">
    <w:name w:val="样式16"/>
    <w:basedOn w:val="1"/>
    <w:link w:val="111"/>
    <w:qFormat/>
    <w:uiPriority w:val="0"/>
    <w:pPr>
      <w:adjustRightInd w:val="0"/>
      <w:snapToGrid w:val="0"/>
      <w:spacing w:line="355" w:lineRule="auto"/>
      <w:ind w:firstLine="200" w:firstLineChars="200"/>
    </w:pPr>
    <w:rPr>
      <w:rFonts w:ascii="宋体" w:hAnsi="宋体" w:eastAsia="仿宋_GB2312"/>
      <w:sz w:val="28"/>
      <w:szCs w:val="28"/>
    </w:rPr>
  </w:style>
  <w:style w:type="character" w:customStyle="1" w:styleId="113">
    <w:name w:val="普通文字 Char Char Char"/>
    <w:qFormat/>
    <w:uiPriority w:val="0"/>
    <w:rPr>
      <w:rFonts w:hAnsi="Courier New" w:eastAsia="宋体"/>
      <w:kern w:val="2"/>
      <w:sz w:val="21"/>
      <w:lang w:eastAsia="zh-CN"/>
    </w:rPr>
  </w:style>
  <w:style w:type="character" w:customStyle="1" w:styleId="114">
    <w:name w:val="IBM 正文 Char"/>
    <w:link w:val="115"/>
    <w:qFormat/>
    <w:uiPriority w:val="0"/>
    <w:rPr>
      <w:kern w:val="2"/>
      <w:sz w:val="24"/>
    </w:rPr>
  </w:style>
  <w:style w:type="paragraph" w:customStyle="1" w:styleId="115">
    <w:name w:val="IBM 正文"/>
    <w:basedOn w:val="1"/>
    <w:link w:val="114"/>
    <w:qFormat/>
    <w:uiPriority w:val="0"/>
    <w:pPr>
      <w:spacing w:line="360" w:lineRule="exact"/>
    </w:pPr>
    <w:rPr>
      <w:sz w:val="24"/>
      <w:szCs w:val="20"/>
    </w:rPr>
  </w:style>
  <w:style w:type="character" w:customStyle="1" w:styleId="116">
    <w:name w:val="标题 1 字符"/>
    <w:qFormat/>
    <w:uiPriority w:val="9"/>
    <w:rPr>
      <w:rFonts w:ascii="Times New Roman" w:hAnsi="Times New Roman" w:eastAsia="宋体" w:cs="Times New Roman"/>
      <w:b/>
      <w:bCs/>
      <w:kern w:val="44"/>
      <w:sz w:val="44"/>
      <w:szCs w:val="44"/>
    </w:rPr>
  </w:style>
  <w:style w:type="character" w:customStyle="1" w:styleId="117">
    <w:name w:val="正文文本 3 Char"/>
    <w:semiHidden/>
    <w:qFormat/>
    <w:uiPriority w:val="99"/>
    <w:rPr>
      <w:rFonts w:ascii="Times New Roman" w:hAnsi="Times New Roman" w:eastAsia="宋体" w:cs="Times New Roman"/>
      <w:kern w:val="2"/>
      <w:sz w:val="16"/>
      <w:szCs w:val="16"/>
    </w:rPr>
  </w:style>
  <w:style w:type="character" w:customStyle="1" w:styleId="118">
    <w:name w:val="正文文本 字符2"/>
    <w:qFormat/>
    <w:uiPriority w:val="0"/>
    <w:rPr>
      <w:rFonts w:ascii="Calibri" w:hAnsi="Calibri" w:eastAsia="宋体" w:cs="Times New Roman"/>
      <w:kern w:val="2"/>
      <w:sz w:val="21"/>
      <w:szCs w:val="24"/>
    </w:rPr>
  </w:style>
  <w:style w:type="character" w:customStyle="1" w:styleId="119">
    <w:name w:val="样式 (中文) 仿宋_GB2312"/>
    <w:qFormat/>
    <w:uiPriority w:val="0"/>
    <w:rPr>
      <w:rFonts w:ascii="Times New Roman" w:hAnsi="Times New Roman" w:eastAsia="仿宋_GB2312" w:cs="Times New Roman"/>
      <w:b/>
      <w:kern w:val="2"/>
      <w:sz w:val="36"/>
      <w:szCs w:val="24"/>
      <w:lang w:val="en-US" w:eastAsia="zh-CN" w:bidi="ar-SA"/>
    </w:rPr>
  </w:style>
  <w:style w:type="character" w:customStyle="1" w:styleId="120">
    <w:name w:val="Char Char1"/>
    <w:qFormat/>
    <w:uiPriority w:val="0"/>
    <w:rPr>
      <w:rFonts w:ascii="Times New Roman" w:hAnsi="Times New Roman" w:eastAsia="宋体" w:cs="Times New Roman"/>
      <w:b/>
      <w:bCs/>
      <w:kern w:val="44"/>
      <w:sz w:val="44"/>
      <w:szCs w:val="44"/>
      <w:lang w:val="en-US" w:eastAsia="zh-CN" w:bidi="ar-SA"/>
    </w:rPr>
  </w:style>
  <w:style w:type="character" w:customStyle="1" w:styleId="121">
    <w:name w:val="标题 1 Char2"/>
    <w:qFormat/>
    <w:uiPriority w:val="0"/>
    <w:rPr>
      <w:rFonts w:ascii="宋体" w:hAnsi="宋体" w:eastAsia="宋体" w:cs="Times New Roman"/>
      <w:b/>
      <w:bCs/>
      <w:kern w:val="44"/>
      <w:sz w:val="36"/>
      <w:szCs w:val="36"/>
      <w:lang w:val="en-US" w:eastAsia="zh-CN" w:bidi="ar-SA"/>
    </w:rPr>
  </w:style>
  <w:style w:type="character" w:customStyle="1" w:styleId="122">
    <w:name w:val="正文文本缩进 3 字符1"/>
    <w:qFormat/>
    <w:uiPriority w:val="0"/>
    <w:rPr>
      <w:rFonts w:ascii="Times New Roman" w:hAnsi="Times New Roman" w:eastAsia="宋体" w:cs="Times New Roman"/>
      <w:sz w:val="24"/>
    </w:rPr>
  </w:style>
  <w:style w:type="character" w:customStyle="1" w:styleId="123">
    <w:name w:val="标题 1 Char Char"/>
    <w:qFormat/>
    <w:uiPriority w:val="0"/>
    <w:rPr>
      <w:rFonts w:ascii="Times New Roman" w:hAnsi="Times New Roman" w:eastAsia="宋体" w:cs="Times New Roman"/>
      <w:b/>
      <w:bCs/>
      <w:kern w:val="44"/>
      <w:sz w:val="44"/>
      <w:szCs w:val="44"/>
      <w:lang w:val="en-US" w:eastAsia="zh-CN" w:bidi="ar-SA"/>
    </w:rPr>
  </w:style>
  <w:style w:type="character" w:customStyle="1" w:styleId="124">
    <w:name w:val="批注文字 字符1"/>
    <w:qFormat/>
    <w:uiPriority w:val="99"/>
    <w:rPr>
      <w:rFonts w:ascii="Times New Roman" w:hAnsi="Times New Roman" w:eastAsia="宋体" w:cs="Times New Roman"/>
      <w:kern w:val="2"/>
      <w:sz w:val="21"/>
      <w:szCs w:val="24"/>
    </w:rPr>
  </w:style>
  <w:style w:type="character" w:customStyle="1" w:styleId="125">
    <w:name w:val="纯文本 字符1"/>
    <w:qFormat/>
    <w:uiPriority w:val="0"/>
    <w:rPr>
      <w:rFonts w:ascii="宋体" w:hAnsi="Courier New" w:eastAsia="宋体" w:cs="Courier New"/>
      <w:kern w:val="2"/>
      <w:sz w:val="21"/>
      <w:szCs w:val="21"/>
    </w:rPr>
  </w:style>
  <w:style w:type="character" w:customStyle="1" w:styleId="126">
    <w:name w:val="标题 1 字符1"/>
    <w:qFormat/>
    <w:uiPriority w:val="0"/>
    <w:rPr>
      <w:rFonts w:ascii="宋体" w:hAnsi="宋体" w:eastAsia="宋体" w:cs="Times New Roman"/>
      <w:b/>
      <w:bCs/>
      <w:kern w:val="44"/>
      <w:sz w:val="36"/>
      <w:szCs w:val="36"/>
      <w:lang w:val="en-US" w:eastAsia="zh-CN" w:bidi="ar-SA"/>
    </w:rPr>
  </w:style>
  <w:style w:type="character" w:customStyle="1" w:styleId="127">
    <w:name w:val="正文缩进 Char1"/>
    <w:link w:val="128"/>
    <w:qFormat/>
    <w:uiPriority w:val="0"/>
    <w:rPr>
      <w:rFonts w:ascii="宋体"/>
      <w:sz w:val="24"/>
    </w:rPr>
  </w:style>
  <w:style w:type="paragraph" w:customStyle="1" w:styleId="128">
    <w:name w:val="正文缩进1"/>
    <w:basedOn w:val="1"/>
    <w:link w:val="127"/>
    <w:qFormat/>
    <w:uiPriority w:val="0"/>
    <w:pPr>
      <w:autoSpaceDE w:val="0"/>
      <w:autoSpaceDN w:val="0"/>
      <w:adjustRightInd w:val="0"/>
      <w:ind w:firstLine="420"/>
      <w:jc w:val="left"/>
    </w:pPr>
    <w:rPr>
      <w:rFonts w:ascii="宋体"/>
      <w:kern w:val="0"/>
      <w:sz w:val="24"/>
      <w:szCs w:val="20"/>
    </w:rPr>
  </w:style>
  <w:style w:type="character" w:customStyle="1" w:styleId="129">
    <w:name w:val="标题 2 字符1"/>
    <w:qFormat/>
    <w:uiPriority w:val="0"/>
    <w:rPr>
      <w:rFonts w:ascii="仿宋_GB2312" w:hAnsi="宋体" w:eastAsia="仿宋_GB2312" w:cs="Times New Roman"/>
      <w:b/>
      <w:bCs/>
      <w:sz w:val="32"/>
      <w:szCs w:val="20"/>
    </w:rPr>
  </w:style>
  <w:style w:type="character" w:customStyle="1" w:styleId="130">
    <w:name w:val="批注框文本 Char1"/>
    <w:qFormat/>
    <w:uiPriority w:val="0"/>
    <w:rPr>
      <w:kern w:val="2"/>
      <w:sz w:val="18"/>
      <w:szCs w:val="18"/>
    </w:rPr>
  </w:style>
  <w:style w:type="character" w:customStyle="1" w:styleId="131">
    <w:name w:val="正文文本 字符"/>
    <w:qFormat/>
    <w:uiPriority w:val="0"/>
    <w:rPr>
      <w:rFonts w:ascii="楷体_GB2312" w:hAnsi="Times New Roman" w:eastAsia="楷体_GB2312" w:cs="Times New Roman"/>
      <w:kern w:val="2"/>
      <w:sz w:val="28"/>
      <w:szCs w:val="24"/>
    </w:rPr>
  </w:style>
  <w:style w:type="character" w:customStyle="1" w:styleId="132">
    <w:name w:val="普通(网站) 字符1"/>
    <w:qFormat/>
    <w:uiPriority w:val="99"/>
    <w:rPr>
      <w:rFonts w:ascii="宋体" w:hAnsi="宋体"/>
      <w:sz w:val="24"/>
      <w:szCs w:val="24"/>
    </w:rPr>
  </w:style>
  <w:style w:type="character" w:customStyle="1" w:styleId="133">
    <w:name w:val="blacktext"/>
    <w:basedOn w:val="52"/>
    <w:qFormat/>
    <w:uiPriority w:val="0"/>
  </w:style>
  <w:style w:type="character" w:customStyle="1" w:styleId="134">
    <w:name w:val="批注文字 Char1"/>
    <w:qFormat/>
    <w:uiPriority w:val="0"/>
    <w:rPr>
      <w:kern w:val="2"/>
      <w:sz w:val="21"/>
      <w:szCs w:val="24"/>
    </w:rPr>
  </w:style>
  <w:style w:type="character" w:customStyle="1" w:styleId="135">
    <w:name w:val="biaoti"/>
    <w:qFormat/>
    <w:uiPriority w:val="0"/>
    <w:rPr>
      <w:rFonts w:ascii="Calisto MT" w:hAnsi="Calisto MT" w:eastAsia="Calisto MT" w:cs="Calisto MT"/>
      <w:b/>
      <w:color w:val="FE434C"/>
      <w:sz w:val="24"/>
      <w:szCs w:val="24"/>
      <w:u w:val="none"/>
    </w:rPr>
  </w:style>
  <w:style w:type="character" w:customStyle="1" w:styleId="136">
    <w:name w:val="正文文本缩进 3 字符"/>
    <w:qFormat/>
    <w:uiPriority w:val="0"/>
    <w:rPr>
      <w:rFonts w:ascii="Times New Roman" w:hAnsi="Times New Roman" w:eastAsia="宋体" w:cs="Times New Roman"/>
      <w:kern w:val="2"/>
      <w:sz w:val="24"/>
    </w:rPr>
  </w:style>
  <w:style w:type="character" w:customStyle="1" w:styleId="137">
    <w:name w:val="副标题 字符"/>
    <w:qFormat/>
    <w:uiPriority w:val="0"/>
    <w:rPr>
      <w:rFonts w:ascii="Cambria" w:hAnsi="Cambria" w:eastAsia="宋体" w:cs="Times New Roman"/>
      <w:b/>
      <w:bCs/>
      <w:kern w:val="28"/>
      <w:sz w:val="32"/>
      <w:szCs w:val="32"/>
    </w:rPr>
  </w:style>
  <w:style w:type="character" w:customStyle="1" w:styleId="138">
    <w:name w:val="不明显强调2"/>
    <w:qFormat/>
    <w:uiPriority w:val="0"/>
    <w:rPr>
      <w:i/>
      <w:iCs/>
      <w:color w:val="404040"/>
    </w:rPr>
  </w:style>
  <w:style w:type="character" w:customStyle="1" w:styleId="139">
    <w:name w:val="页脚 字符"/>
    <w:qFormat/>
    <w:uiPriority w:val="99"/>
    <w:rPr>
      <w:rFonts w:ascii="Times New Roman" w:hAnsi="Times New Roman" w:eastAsia="宋体" w:cs="Times New Roman"/>
      <w:kern w:val="2"/>
      <w:sz w:val="18"/>
      <w:szCs w:val="18"/>
    </w:rPr>
  </w:style>
  <w:style w:type="character" w:customStyle="1" w:styleId="140">
    <w:name w:val="p141"/>
    <w:qFormat/>
    <w:uiPriority w:val="0"/>
    <w:rPr>
      <w:rFonts w:ascii="Calibri" w:hAnsi="Calibri" w:eastAsia="宋体"/>
      <w:sz w:val="21"/>
      <w:szCs w:val="21"/>
    </w:rPr>
  </w:style>
  <w:style w:type="character" w:customStyle="1" w:styleId="141">
    <w:name w:val="列出段落 Char"/>
    <w:qFormat/>
    <w:uiPriority w:val="34"/>
    <w:rPr>
      <w:rFonts w:ascii="Calibri" w:hAnsi="Calibri"/>
      <w:kern w:val="2"/>
      <w:sz w:val="21"/>
      <w:szCs w:val="22"/>
    </w:rPr>
  </w:style>
  <w:style w:type="character" w:customStyle="1" w:styleId="142">
    <w:name w:val="标题 1 Char1"/>
    <w:qFormat/>
    <w:uiPriority w:val="0"/>
    <w:rPr>
      <w:rFonts w:ascii="Times New Roman" w:hAnsi="Times New Roman" w:eastAsia="宋体" w:cs="Times New Roman"/>
      <w:b/>
      <w:bCs/>
      <w:kern w:val="44"/>
      <w:sz w:val="44"/>
      <w:szCs w:val="44"/>
      <w:lang w:val="en-US" w:eastAsia="zh-CN" w:bidi="ar-SA"/>
    </w:rPr>
  </w:style>
  <w:style w:type="character" w:customStyle="1" w:styleId="143">
    <w:name w:val="批注主题 Char1"/>
    <w:qFormat/>
    <w:uiPriority w:val="0"/>
    <w:rPr>
      <w:b/>
      <w:bCs/>
      <w:kern w:val="2"/>
      <w:sz w:val="21"/>
      <w:szCs w:val="24"/>
    </w:rPr>
  </w:style>
  <w:style w:type="character" w:customStyle="1" w:styleId="144">
    <w:name w:val="页脚 字符1"/>
    <w:qFormat/>
    <w:uiPriority w:val="0"/>
    <w:rPr>
      <w:rFonts w:ascii="Times New Roman" w:hAnsi="Times New Roman" w:eastAsia="宋体" w:cs="Times New Roman"/>
      <w:kern w:val="2"/>
      <w:sz w:val="18"/>
      <w:szCs w:val="18"/>
    </w:rPr>
  </w:style>
  <w:style w:type="character" w:customStyle="1" w:styleId="145">
    <w:name w:val="标题 1 字符2"/>
    <w:qFormat/>
    <w:uiPriority w:val="0"/>
    <w:rPr>
      <w:rFonts w:ascii="宋体" w:hAnsi="宋体" w:eastAsia="宋体" w:cs="Times New Roman"/>
      <w:b/>
      <w:bCs/>
      <w:kern w:val="44"/>
      <w:sz w:val="36"/>
      <w:szCs w:val="36"/>
      <w:lang w:val="en-US" w:eastAsia="zh-CN" w:bidi="ar-SA"/>
    </w:rPr>
  </w:style>
  <w:style w:type="character" w:customStyle="1" w:styleId="146">
    <w:name w:val="页码1"/>
    <w:basedOn w:val="52"/>
    <w:qFormat/>
    <w:uiPriority w:val="0"/>
  </w:style>
  <w:style w:type="character" w:customStyle="1" w:styleId="147">
    <w:name w:val="纯文本 字符"/>
    <w:qFormat/>
    <w:uiPriority w:val="0"/>
    <w:rPr>
      <w:rFonts w:ascii="宋体" w:hAnsi="Courier New" w:eastAsia="宋体" w:cs="Times New Roman"/>
      <w:kern w:val="2"/>
      <w:sz w:val="21"/>
    </w:rPr>
  </w:style>
  <w:style w:type="character" w:customStyle="1" w:styleId="148">
    <w:name w:val="批注文字 字符"/>
    <w:qFormat/>
    <w:uiPriority w:val="99"/>
    <w:rPr>
      <w:rFonts w:ascii="Times New Roman" w:hAnsi="Times New Roman" w:eastAsia="宋体" w:cs="Times New Roman"/>
      <w:kern w:val="2"/>
      <w:sz w:val="21"/>
      <w:szCs w:val="24"/>
    </w:rPr>
  </w:style>
  <w:style w:type="character" w:customStyle="1" w:styleId="149">
    <w:name w:val="font01"/>
    <w:qFormat/>
    <w:uiPriority w:val="0"/>
    <w:rPr>
      <w:rFonts w:hint="eastAsia" w:ascii="宋体" w:hAnsi="宋体" w:eastAsia="宋体" w:cs="宋体"/>
      <w:color w:val="000000"/>
      <w:sz w:val="21"/>
      <w:szCs w:val="21"/>
      <w:u w:val="none"/>
    </w:rPr>
  </w:style>
  <w:style w:type="character" w:customStyle="1" w:styleId="150">
    <w:name w:val="批注主题 字符"/>
    <w:qFormat/>
    <w:uiPriority w:val="0"/>
    <w:rPr>
      <w:rFonts w:ascii="Times New Roman" w:hAnsi="Times New Roman" w:eastAsia="宋体" w:cs="Times New Roman"/>
      <w:b/>
      <w:bCs/>
      <w:kern w:val="2"/>
      <w:sz w:val="21"/>
      <w:szCs w:val="24"/>
    </w:rPr>
  </w:style>
  <w:style w:type="character" w:customStyle="1" w:styleId="151">
    <w:name w:val="标题 Char Char"/>
    <w:qFormat/>
    <w:uiPriority w:val="0"/>
    <w:rPr>
      <w:rFonts w:ascii="Arial" w:hAnsi="Arial" w:eastAsia="宋体" w:cs="Arial"/>
      <w:b/>
      <w:bCs/>
      <w:kern w:val="2"/>
      <w:sz w:val="32"/>
      <w:szCs w:val="32"/>
      <w:lang w:val="en-US" w:eastAsia="zh-CN" w:bidi="ar-SA"/>
    </w:rPr>
  </w:style>
  <w:style w:type="character" w:customStyle="1" w:styleId="152">
    <w:name w:val="标题 7 Char"/>
    <w:semiHidden/>
    <w:qFormat/>
    <w:uiPriority w:val="9"/>
    <w:rPr>
      <w:rFonts w:ascii="Times New Roman" w:hAnsi="Times New Roman" w:eastAsia="宋体" w:cs="Times New Roman"/>
      <w:b/>
      <w:bCs/>
      <w:kern w:val="2"/>
      <w:sz w:val="24"/>
      <w:szCs w:val="24"/>
    </w:rPr>
  </w:style>
  <w:style w:type="character" w:customStyle="1" w:styleId="153">
    <w:name w:val="标题 8 Char"/>
    <w:semiHidden/>
    <w:qFormat/>
    <w:uiPriority w:val="9"/>
    <w:rPr>
      <w:rFonts w:ascii="Cambria" w:hAnsi="Cambria" w:eastAsia="宋体" w:cs="Times New Roman"/>
      <w:kern w:val="2"/>
      <w:sz w:val="24"/>
      <w:szCs w:val="24"/>
    </w:rPr>
  </w:style>
  <w:style w:type="paragraph" w:customStyle="1" w:styleId="154">
    <w:name w:val="_Style 1411"/>
    <w:basedOn w:val="1"/>
    <w:next w:val="155"/>
    <w:qFormat/>
    <w:uiPriority w:val="0"/>
    <w:pPr>
      <w:ind w:firstLine="420" w:firstLineChars="200"/>
    </w:pPr>
    <w:rPr>
      <w:rFonts w:ascii="Calibri" w:hAnsi="Calibri"/>
      <w:szCs w:val="22"/>
    </w:rPr>
  </w:style>
  <w:style w:type="paragraph" w:customStyle="1" w:styleId="155">
    <w:name w:val="List Paragraph"/>
    <w:basedOn w:val="1"/>
    <w:qFormat/>
    <w:uiPriority w:val="1"/>
    <w:pPr>
      <w:ind w:firstLine="420" w:firstLineChars="200"/>
    </w:pPr>
    <w:rPr>
      <w:rFonts w:ascii="Calibri" w:hAnsi="Calibri"/>
      <w:szCs w:val="22"/>
    </w:rPr>
  </w:style>
  <w:style w:type="paragraph" w:customStyle="1" w:styleId="156">
    <w:name w:val="p0"/>
    <w:basedOn w:val="1"/>
    <w:qFormat/>
    <w:uiPriority w:val="0"/>
    <w:pPr>
      <w:widowControl/>
      <w:spacing w:line="312" w:lineRule="auto"/>
    </w:pPr>
    <w:rPr>
      <w:kern w:val="0"/>
      <w:szCs w:val="20"/>
    </w:rPr>
  </w:style>
  <w:style w:type="paragraph" w:customStyle="1" w:styleId="157">
    <w:name w:val="_Style 4"/>
    <w:basedOn w:val="1"/>
    <w:qFormat/>
    <w:uiPriority w:val="0"/>
    <w:pPr>
      <w:ind w:firstLine="420" w:firstLineChars="200"/>
    </w:pPr>
    <w:rPr>
      <w:rFonts w:ascii="Calibri" w:hAnsi="Calibri"/>
    </w:rPr>
  </w:style>
  <w:style w:type="paragraph" w:customStyle="1" w:styleId="158">
    <w:name w:val="样式 样式  + Times New Roman 小四 红色 首行缩进:  0.99 厘米 + 首行缩进:  2 字符"/>
    <w:basedOn w:val="159"/>
    <w:qFormat/>
    <w:uiPriority w:val="0"/>
    <w:pPr>
      <w:ind w:firstLine="480"/>
    </w:pPr>
    <w:rPr>
      <w:rFonts w:eastAsia="仿宋_GB2312" w:cs="Times New Roman"/>
      <w:szCs w:val="24"/>
    </w:rPr>
  </w:style>
  <w:style w:type="paragraph" w:customStyle="1" w:styleId="159">
    <w:name w:val="样式  + Times New Roman 小四 红色 首行缩进:  0.99 厘米"/>
    <w:basedOn w:val="1"/>
    <w:qFormat/>
    <w:uiPriority w:val="0"/>
    <w:pPr>
      <w:ind w:firstLine="200" w:firstLineChars="200"/>
    </w:pPr>
    <w:rPr>
      <w:rFonts w:cs="宋体"/>
      <w:color w:val="FF0000"/>
      <w:sz w:val="24"/>
      <w:szCs w:val="20"/>
    </w:rPr>
  </w:style>
  <w:style w:type="paragraph" w:customStyle="1" w:styleId="16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1">
    <w:name w:val="正文文本 New New"/>
    <w:basedOn w:val="1"/>
    <w:qFormat/>
    <w:uiPriority w:val="0"/>
    <w:pPr>
      <w:spacing w:after="120"/>
    </w:pPr>
  </w:style>
  <w:style w:type="paragraph" w:customStyle="1" w:styleId="162">
    <w:name w:val="正文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63">
    <w:name w:val="大标题"/>
    <w:basedOn w:val="1"/>
    <w:qFormat/>
    <w:uiPriority w:val="0"/>
    <w:pPr>
      <w:spacing w:line="600" w:lineRule="exact"/>
      <w:ind w:left="340" w:right="340"/>
      <w:jc w:val="center"/>
    </w:pPr>
    <w:rPr>
      <w:sz w:val="44"/>
      <w:szCs w:val="20"/>
    </w:rPr>
  </w:style>
  <w:style w:type="paragraph" w:customStyle="1" w:styleId="16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Unicode MS" w:hAnsi="Arial Unicode MS" w:eastAsia="Arial Unicode MS" w:cs="Arial Unicode MS"/>
      <w:kern w:val="0"/>
      <w:sz w:val="24"/>
    </w:rPr>
  </w:style>
  <w:style w:type="paragraph" w:customStyle="1" w:styleId="165">
    <w:name w:val="索引 11"/>
    <w:basedOn w:val="1"/>
    <w:next w:val="1"/>
    <w:qFormat/>
    <w:uiPriority w:val="0"/>
    <w:pPr>
      <w:spacing w:line="360" w:lineRule="auto"/>
    </w:pPr>
    <w:rPr>
      <w:rFonts w:ascii="仿宋_GB2312" w:eastAsia="仿宋_GB2312"/>
      <w:sz w:val="24"/>
      <w:szCs w:val="20"/>
    </w:rPr>
  </w:style>
  <w:style w:type="paragraph" w:customStyle="1" w:styleId="166">
    <w:name w:val="xl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7">
    <w:name w:val="正文_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68">
    <w:name w:val="Char Char"/>
    <w:basedOn w:val="1"/>
    <w:qFormat/>
    <w:uiPriority w:val="0"/>
    <w:rPr>
      <w:rFonts w:ascii="Tahoma" w:hAnsi="Tahoma"/>
      <w:sz w:val="24"/>
      <w:szCs w:val="20"/>
    </w:rPr>
  </w:style>
  <w:style w:type="paragraph" w:customStyle="1" w:styleId="169">
    <w:name w:val="xl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70">
    <w:name w:val="样式 仿宋_GB2312 行距: 1.5 倍行距"/>
    <w:basedOn w:val="1"/>
    <w:qFormat/>
    <w:uiPriority w:val="0"/>
    <w:pPr>
      <w:adjustRightInd w:val="0"/>
      <w:snapToGrid w:val="0"/>
      <w:spacing w:line="520" w:lineRule="exact"/>
      <w:ind w:firstLine="560" w:firstLineChars="200"/>
      <w:textAlignment w:val="baseline"/>
    </w:pPr>
    <w:rPr>
      <w:rFonts w:eastAsia="仿宋_GB2312"/>
      <w:sz w:val="28"/>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72">
    <w:name w:val="Char Char Char Char Char Char Char"/>
    <w:basedOn w:val="1"/>
    <w:qFormat/>
    <w:uiPriority w:val="0"/>
    <w:pPr>
      <w:snapToGrid w:val="0"/>
      <w:spacing w:line="360" w:lineRule="auto"/>
      <w:ind w:firstLine="200" w:firstLineChars="200"/>
    </w:pPr>
  </w:style>
  <w:style w:type="paragraph" w:customStyle="1" w:styleId="173">
    <w:name w:val="表格1"/>
    <w:basedOn w:val="1"/>
    <w:qFormat/>
    <w:uiPriority w:val="0"/>
    <w:pPr>
      <w:adjustRightInd w:val="0"/>
      <w:snapToGrid w:val="0"/>
      <w:jc w:val="center"/>
    </w:pPr>
    <w:rPr>
      <w:rFonts w:ascii="宋体"/>
      <w:snapToGrid w:val="0"/>
      <w:kern w:val="0"/>
      <w:szCs w:val="20"/>
    </w:rPr>
  </w:style>
  <w:style w:type="paragraph" w:customStyle="1" w:styleId="174">
    <w:name w:val="xl67"/>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75">
    <w:name w:val="表格"/>
    <w:basedOn w:val="1"/>
    <w:qFormat/>
    <w:uiPriority w:val="0"/>
    <w:pPr>
      <w:tabs>
        <w:tab w:val="right" w:leader="middleDot" w:pos="8222"/>
      </w:tabs>
      <w:adjustRightInd w:val="0"/>
      <w:snapToGrid w:val="0"/>
      <w:jc w:val="center"/>
    </w:pPr>
    <w:rPr>
      <w:rFonts w:eastAsia="仿宋_GB2312"/>
      <w:spacing w:val="20"/>
      <w:kern w:val="0"/>
      <w:szCs w:val="20"/>
      <w:lang w:val="zh-CN"/>
    </w:rPr>
  </w:style>
  <w:style w:type="paragraph" w:customStyle="1" w:styleId="176">
    <w:name w:val="正文文本 New New New"/>
    <w:basedOn w:val="1"/>
    <w:qFormat/>
    <w:uiPriority w:val="0"/>
    <w:pPr>
      <w:spacing w:after="120"/>
    </w:pPr>
  </w:style>
  <w:style w:type="paragraph" w:customStyle="1" w:styleId="177">
    <w:name w:val="样式  + Times New Roman 小四 红色"/>
    <w:basedOn w:val="1"/>
    <w:qFormat/>
    <w:uiPriority w:val="0"/>
    <w:pPr>
      <w:ind w:firstLine="200" w:firstLineChars="200"/>
    </w:pPr>
    <w:rPr>
      <w:rFonts w:eastAsia="仿宋_GB2312"/>
      <w:color w:val="FF0000"/>
      <w:sz w:val="24"/>
      <w:szCs w:val="20"/>
    </w:rPr>
  </w:style>
  <w:style w:type="paragraph" w:customStyle="1" w:styleId="178">
    <w:name w:val="TOC 标题2"/>
    <w:basedOn w:val="3"/>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79">
    <w:name w:val="Char"/>
    <w:basedOn w:val="1"/>
    <w:qFormat/>
    <w:uiPriority w:val="0"/>
    <w:pPr>
      <w:snapToGrid w:val="0"/>
      <w:jc w:val="center"/>
    </w:pPr>
    <w:rPr>
      <w:rFonts w:eastAsia="仿宋_GB2312"/>
      <w:sz w:val="24"/>
    </w:rPr>
  </w:style>
  <w:style w:type="paragraph" w:customStyle="1" w:styleId="180">
    <w:name w:val="Char1 Char Char Char Char Char Char Char Char Char Char Char Char Char Char Char"/>
    <w:basedOn w:val="1"/>
    <w:qFormat/>
    <w:uiPriority w:val="0"/>
    <w:pPr>
      <w:spacing w:line="360" w:lineRule="auto"/>
      <w:ind w:firstLine="200" w:firstLineChars="200"/>
    </w:pPr>
  </w:style>
  <w:style w:type="paragraph" w:customStyle="1" w:styleId="181">
    <w:name w:val="样式 标题 2 + Times New Roman 四号 非加粗 段前: 5 磅 段后: 0 磅 行距: 固定值 20..."/>
    <w:basedOn w:val="4"/>
    <w:qFormat/>
    <w:uiPriority w:val="0"/>
    <w:pPr>
      <w:tabs>
        <w:tab w:val="clear" w:pos="618"/>
        <w:tab w:val="clear" w:pos="927"/>
      </w:tabs>
      <w:spacing w:before="100" w:after="0" w:line="400" w:lineRule="exact"/>
      <w:ind w:right="0" w:rightChars="0"/>
      <w:jc w:val="both"/>
    </w:pPr>
    <w:rPr>
      <w:rFonts w:ascii="Times New Roman" w:hAnsi="Times New Roman" w:eastAsia="黑体" w:cs="宋体"/>
      <w:b w:val="0"/>
      <w:bCs w:val="0"/>
      <w:sz w:val="28"/>
    </w:rPr>
  </w:style>
  <w:style w:type="paragraph" w:customStyle="1" w:styleId="182">
    <w:name w:val="默认段落字体 Para"/>
    <w:basedOn w:val="1"/>
    <w:qFormat/>
    <w:uiPriority w:val="0"/>
    <w:pPr>
      <w:snapToGrid w:val="0"/>
      <w:spacing w:line="360" w:lineRule="auto"/>
      <w:ind w:firstLine="200" w:firstLineChars="200"/>
    </w:pPr>
    <w:rPr>
      <w:rFonts w:eastAsia="仿宋_GB2312"/>
      <w:sz w:val="24"/>
    </w:rPr>
  </w:style>
  <w:style w:type="paragraph" w:customStyle="1" w:styleId="183">
    <w:name w:val="可研正文 排"/>
    <w:basedOn w:val="1"/>
    <w:qFormat/>
    <w:uiPriority w:val="0"/>
    <w:pPr>
      <w:ind w:firstLine="560"/>
    </w:pPr>
    <w:rPr>
      <w:rFonts w:ascii="Calibri" w:hAnsi="Calibri" w:eastAsia="仿宋"/>
      <w:color w:val="000000"/>
      <w:sz w:val="28"/>
      <w:szCs w:val="20"/>
    </w:rPr>
  </w:style>
  <w:style w:type="paragraph" w:customStyle="1" w:styleId="18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85">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6">
    <w:name w:val="样式2"/>
    <w:basedOn w:val="4"/>
    <w:qFormat/>
    <w:uiPriority w:val="0"/>
    <w:pPr>
      <w:tabs>
        <w:tab w:val="clear" w:pos="618"/>
        <w:tab w:val="clear" w:pos="927"/>
      </w:tabs>
      <w:ind w:right="100"/>
      <w:jc w:val="left"/>
    </w:pPr>
    <w:rPr>
      <w:rFonts w:ascii="Times New Roman" w:hAnsi="Times New Roman" w:eastAsia="宋体"/>
      <w:sz w:val="36"/>
    </w:rPr>
  </w:style>
  <w:style w:type="paragraph" w:customStyle="1" w:styleId="187">
    <w:name w:val="Char3 Char Char Char"/>
    <w:basedOn w:val="1"/>
    <w:qFormat/>
    <w:uiPriority w:val="0"/>
    <w:rPr>
      <w:rFonts w:ascii="Tahoma" w:hAnsi="Tahoma"/>
      <w:sz w:val="24"/>
      <w:szCs w:val="20"/>
    </w:rPr>
  </w:style>
  <w:style w:type="paragraph" w:customStyle="1" w:styleId="188">
    <w:name w:val="样式 标题 3 + (中文) 黑体 小四 非加粗 段前: 7.8 磅 段后: 0 磅 行距: 固定值 20 磅"/>
    <w:basedOn w:val="5"/>
    <w:qFormat/>
    <w:uiPriority w:val="0"/>
    <w:pPr>
      <w:spacing w:before="0" w:after="0" w:line="400" w:lineRule="exact"/>
      <w:ind w:left="0" w:firstLine="0" w:firstLineChars="0"/>
    </w:pPr>
    <w:rPr>
      <w:rFonts w:ascii="Times New Roman" w:hAnsi="Times New Roman" w:eastAsia="黑体" w:cs="宋体"/>
      <w:b w:val="0"/>
      <w:sz w:val="24"/>
    </w:rPr>
  </w:style>
  <w:style w:type="paragraph" w:customStyle="1" w:styleId="189">
    <w:name w:val="Char Char Char Char Char Char1 Char Char Char Char Char Char1 Char Char Char Char Char Char Char"/>
    <w:basedOn w:val="1"/>
    <w:qFormat/>
    <w:uiPriority w:val="0"/>
    <w:rPr>
      <w:rFonts w:ascii="Tahoma" w:hAnsi="Tahoma"/>
      <w:sz w:val="24"/>
      <w:szCs w:val="20"/>
    </w:rPr>
  </w:style>
  <w:style w:type="paragraph" w:customStyle="1" w:styleId="190">
    <w:name w:val="正文2"/>
    <w:qFormat/>
    <w:uiPriority w:val="0"/>
    <w:pPr>
      <w:spacing w:before="156" w:line="360" w:lineRule="auto"/>
      <w:ind w:firstLine="510" w:firstLineChars="200"/>
    </w:pPr>
    <w:rPr>
      <w:rFonts w:ascii="Times New Roman" w:hAnsi="Times New Roman" w:eastAsia="宋体" w:cs="Times New Roman"/>
      <w:sz w:val="24"/>
      <w:lang w:val="en-US" w:eastAsia="zh-CN" w:bidi="ar-SA"/>
    </w:rPr>
  </w:style>
  <w:style w:type="paragraph" w:customStyle="1" w:styleId="191">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192">
    <w:name w:val="样式 小四 行距: 1.5 倍行距 首行缩进:  2 字符"/>
    <w:basedOn w:val="1"/>
    <w:qFormat/>
    <w:uiPriority w:val="0"/>
    <w:pPr>
      <w:spacing w:line="360" w:lineRule="auto"/>
      <w:ind w:firstLine="480" w:firstLineChars="200"/>
    </w:pPr>
    <w:rPr>
      <w:rFonts w:eastAsia="仿宋_GB2312" w:cs="宋体"/>
      <w:sz w:val="24"/>
    </w:rPr>
  </w:style>
  <w:style w:type="paragraph" w:customStyle="1" w:styleId="193">
    <w:name w:val="Char Char Char1"/>
    <w:basedOn w:val="1"/>
    <w:qFormat/>
    <w:uiPriority w:val="0"/>
    <w:rPr>
      <w:rFonts w:ascii="仿宋_GB2312" w:eastAsia="仿宋_GB2312"/>
      <w:b/>
      <w:sz w:val="32"/>
      <w:szCs w:val="32"/>
    </w:rPr>
  </w:style>
  <w:style w:type="paragraph" w:customStyle="1" w:styleId="194">
    <w:name w:val="Char Char Char Char Char Char Char Char Char Char Char Char Char Char Char Char Char Char Char Char Char Char Char Char Char"/>
    <w:basedOn w:val="1"/>
    <w:qFormat/>
    <w:uiPriority w:val="0"/>
    <w:pPr>
      <w:snapToGrid w:val="0"/>
      <w:jc w:val="center"/>
    </w:pPr>
    <w:rPr>
      <w:rFonts w:eastAsia="仿宋_GB2312"/>
      <w:sz w:val="24"/>
    </w:rPr>
  </w:style>
  <w:style w:type="paragraph" w:customStyle="1" w:styleId="195">
    <w:name w:val="Char Char Char2 Char"/>
    <w:basedOn w:val="1"/>
    <w:qFormat/>
    <w:uiPriority w:val="0"/>
    <w:pPr>
      <w:snapToGrid w:val="0"/>
      <w:jc w:val="center"/>
    </w:pPr>
    <w:rPr>
      <w:rFonts w:eastAsia="仿宋_GB2312"/>
      <w:sz w:val="24"/>
    </w:rPr>
  </w:style>
  <w:style w:type="paragraph" w:customStyle="1" w:styleId="196">
    <w:name w:val="xl35"/>
    <w:basedOn w:val="1"/>
    <w:qFormat/>
    <w:uiPriority w:val="0"/>
    <w:pPr>
      <w:widowControl/>
      <w:pBdr>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97">
    <w:name w:val="5正文"/>
    <w:basedOn w:val="1"/>
    <w:qFormat/>
    <w:uiPriority w:val="0"/>
    <w:pPr>
      <w:spacing w:line="360" w:lineRule="auto"/>
      <w:ind w:firstLine="200" w:firstLineChars="200"/>
    </w:pPr>
    <w:rPr>
      <w:kern w:val="0"/>
      <w:sz w:val="24"/>
    </w:rPr>
  </w:style>
  <w:style w:type="paragraph" w:customStyle="1" w:styleId="198">
    <w:name w:val="正文缩进2"/>
    <w:basedOn w:val="1"/>
    <w:qFormat/>
    <w:uiPriority w:val="0"/>
    <w:pPr>
      <w:ind w:firstLine="420" w:firstLineChars="200"/>
    </w:pPr>
  </w:style>
  <w:style w:type="paragraph" w:customStyle="1" w:styleId="199">
    <w:name w:val="段落1"/>
    <w:basedOn w:val="1"/>
    <w:qFormat/>
    <w:uiPriority w:val="0"/>
    <w:pPr>
      <w:adjustRightInd w:val="0"/>
      <w:snapToGrid w:val="0"/>
      <w:spacing w:line="500" w:lineRule="exact"/>
      <w:ind w:firstLine="652"/>
    </w:pPr>
    <w:rPr>
      <w:rFonts w:ascii="宋体"/>
      <w:snapToGrid w:val="0"/>
      <w:spacing w:val="30"/>
      <w:kern w:val="0"/>
      <w:sz w:val="28"/>
      <w:szCs w:val="20"/>
    </w:rPr>
  </w:style>
  <w:style w:type="paragraph" w:customStyle="1" w:styleId="200">
    <w:name w:val="Char Char Char1 Char"/>
    <w:basedOn w:val="1"/>
    <w:qFormat/>
    <w:uiPriority w:val="0"/>
    <w:pPr>
      <w:snapToGrid w:val="0"/>
      <w:spacing w:line="360" w:lineRule="auto"/>
      <w:ind w:firstLine="200" w:firstLineChars="200"/>
    </w:pPr>
    <w:rPr>
      <w:rFonts w:eastAsia="仿宋_GB2312"/>
      <w:sz w:val="24"/>
    </w:rPr>
  </w:style>
  <w:style w:type="paragraph" w:customStyle="1" w:styleId="201">
    <w:name w:val="whs4"/>
    <w:basedOn w:val="1"/>
    <w:qFormat/>
    <w:uiPriority w:val="0"/>
    <w:pPr>
      <w:widowControl/>
      <w:spacing w:line="360" w:lineRule="auto"/>
      <w:ind w:firstLine="360"/>
      <w:jc w:val="left"/>
    </w:pPr>
    <w:rPr>
      <w:rFonts w:ascii="Arial Unicode MS" w:hAnsi="Arial Unicode MS"/>
      <w:color w:val="000000"/>
      <w:kern w:val="0"/>
      <w:sz w:val="18"/>
      <w:szCs w:val="18"/>
    </w:rPr>
  </w:style>
  <w:style w:type="paragraph" w:customStyle="1" w:styleId="202">
    <w:name w:val="正文文本 New"/>
    <w:basedOn w:val="1"/>
    <w:qFormat/>
    <w:uiPriority w:val="0"/>
    <w:pPr>
      <w:spacing w:after="120"/>
    </w:pPr>
  </w:style>
  <w:style w:type="paragraph" w:customStyle="1" w:styleId="203">
    <w:name w:val="Char Char Char Char"/>
    <w:basedOn w:val="1"/>
    <w:qFormat/>
    <w:uiPriority w:val="0"/>
    <w:pPr>
      <w:widowControl/>
      <w:tabs>
        <w:tab w:val="left" w:pos="630"/>
      </w:tabs>
      <w:spacing w:beforeLines="25" w:afterLines="25" w:line="360" w:lineRule="auto"/>
      <w:ind w:left="630" w:hanging="432"/>
      <w:jc w:val="left"/>
    </w:pPr>
    <w:rPr>
      <w:rFonts w:ascii="宋体" w:hAnsi="宋体" w:eastAsia="黑体"/>
      <w:kern w:val="0"/>
      <w:sz w:val="32"/>
      <w:szCs w:val="32"/>
      <w:lang w:eastAsia="en-US"/>
    </w:rPr>
  </w:style>
  <w:style w:type="paragraph" w:customStyle="1" w:styleId="204">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205">
    <w:name w:val="yy"/>
    <w:basedOn w:val="1"/>
    <w:qFormat/>
    <w:uiPriority w:val="0"/>
    <w:pPr>
      <w:spacing w:line="0" w:lineRule="atLeast"/>
      <w:jc w:val="center"/>
    </w:pPr>
    <w:rPr>
      <w:rFonts w:ascii="宋体" w:hAnsi="宋体" w:eastAsia="仿宋_GB2312"/>
      <w:kern w:val="18"/>
      <w:sz w:val="18"/>
      <w:szCs w:val="18"/>
      <w:lang w:val="zh-CN"/>
    </w:rPr>
  </w:style>
  <w:style w:type="paragraph" w:customStyle="1" w:styleId="206">
    <w:name w:val="正文文本缩进1"/>
    <w:basedOn w:val="1"/>
    <w:qFormat/>
    <w:uiPriority w:val="0"/>
    <w:pPr>
      <w:ind w:left="420" w:leftChars="200"/>
    </w:pPr>
    <w:rPr>
      <w:rFonts w:ascii="Calibri" w:hAnsi="Calibri"/>
    </w:rPr>
  </w:style>
  <w:style w:type="paragraph" w:customStyle="1" w:styleId="207">
    <w:name w:val="tang2"/>
    <w:basedOn w:val="1"/>
    <w:qFormat/>
    <w:uiPriority w:val="0"/>
    <w:pPr>
      <w:adjustRightInd w:val="0"/>
      <w:jc w:val="center"/>
    </w:pPr>
    <w:rPr>
      <w:rFonts w:ascii="宋体"/>
      <w:szCs w:val="20"/>
    </w:rPr>
  </w:style>
  <w:style w:type="paragraph" w:customStyle="1" w:styleId="208">
    <w:name w:val="TOC 标题11"/>
    <w:next w:val="1"/>
    <w:qFormat/>
    <w:uiPriority w:val="0"/>
    <w:pPr>
      <w:keepNext/>
      <w:keepLines/>
      <w:spacing w:before="480" w:line="276" w:lineRule="auto"/>
    </w:pPr>
    <w:rPr>
      <w:rFonts w:ascii="Cambria" w:hAnsi="Cambria" w:eastAsia="宋体" w:cs="Times New Roman"/>
      <w:b/>
      <w:bCs/>
      <w:color w:val="365F91"/>
      <w:sz w:val="28"/>
      <w:szCs w:val="28"/>
      <w:lang w:val="en-US" w:eastAsia="zh-CN" w:bidi="ar-SA"/>
    </w:rPr>
  </w:style>
  <w:style w:type="paragraph" w:customStyle="1" w:styleId="209">
    <w:name w:val="Body text|1"/>
    <w:basedOn w:val="210"/>
    <w:qFormat/>
    <w:uiPriority w:val="0"/>
    <w:pPr>
      <w:spacing w:after="60" w:line="403" w:lineRule="auto"/>
      <w:ind w:firstLine="400"/>
    </w:pPr>
    <w:rPr>
      <w:rFonts w:ascii="宋体" w:hAnsi="宋体" w:cs="宋体"/>
      <w:sz w:val="19"/>
      <w:szCs w:val="19"/>
      <w:lang w:val="zh-TW" w:eastAsia="zh-TW" w:bidi="zh-TW"/>
    </w:rPr>
  </w:style>
  <w:style w:type="paragraph" w:customStyle="1" w:styleId="210">
    <w:name w:val="正文111"/>
    <w:next w:val="211"/>
    <w:qFormat/>
    <w:uiPriority w:val="0"/>
    <w:pPr>
      <w:widowControl w:val="0"/>
      <w:suppressAutoHyphens w:val="0"/>
      <w:bidi w:val="0"/>
      <w:jc w:val="both"/>
    </w:pPr>
    <w:rPr>
      <w:rFonts w:ascii="Calibri" w:hAnsi="Calibri" w:eastAsia="宋体" w:cs="Times New Roman"/>
      <w:color w:val="auto"/>
      <w:kern w:val="2"/>
      <w:sz w:val="21"/>
      <w:szCs w:val="24"/>
      <w:lang w:val="en-US" w:eastAsia="zh-CN" w:bidi="ar-SA"/>
    </w:rPr>
  </w:style>
  <w:style w:type="paragraph" w:customStyle="1" w:styleId="211">
    <w:name w:val="正文文本1"/>
    <w:basedOn w:val="210"/>
    <w:next w:val="210"/>
    <w:qFormat/>
    <w:uiPriority w:val="0"/>
    <w:pPr>
      <w:spacing w:before="0" w:after="120"/>
    </w:pPr>
  </w:style>
  <w:style w:type="paragraph" w:customStyle="1" w:styleId="212">
    <w:name w:val="_Style 182"/>
    <w:basedOn w:val="1"/>
    <w:next w:val="1"/>
    <w:qFormat/>
    <w:uiPriority w:val="39"/>
    <w:pPr>
      <w:ind w:left="2100" w:leftChars="1000"/>
    </w:pPr>
  </w:style>
  <w:style w:type="paragraph" w:customStyle="1" w:styleId="213">
    <w:name w:val="备注"/>
    <w:basedOn w:val="1"/>
    <w:qFormat/>
    <w:uiPriority w:val="0"/>
    <w:pPr>
      <w:tabs>
        <w:tab w:val="left" w:pos="167"/>
        <w:tab w:val="left" w:pos="334"/>
        <w:tab w:val="left" w:pos="501"/>
        <w:tab w:val="left" w:pos="668"/>
        <w:tab w:val="left" w:pos="835"/>
        <w:tab w:val="left" w:pos="907"/>
        <w:tab w:val="left" w:pos="1002"/>
        <w:tab w:val="left" w:pos="1169"/>
      </w:tabs>
      <w:adjustRightInd w:val="0"/>
      <w:snapToGrid w:val="0"/>
      <w:spacing w:line="320" w:lineRule="exact"/>
      <w:ind w:firstLine="652"/>
      <w:jc w:val="left"/>
    </w:pPr>
    <w:rPr>
      <w:rFonts w:ascii="宋体"/>
      <w:snapToGrid w:val="0"/>
      <w:spacing w:val="30"/>
      <w:kern w:val="0"/>
      <w:szCs w:val="20"/>
    </w:rPr>
  </w:style>
  <w:style w:type="paragraph" w:customStyle="1" w:styleId="214">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15">
    <w:name w:val="样式  + 小四 首行缩进:  0.99 厘米"/>
    <w:basedOn w:val="1"/>
    <w:qFormat/>
    <w:uiPriority w:val="0"/>
    <w:pPr>
      <w:ind w:firstLine="560"/>
    </w:pPr>
    <w:rPr>
      <w:rFonts w:ascii="宋体" w:hAnsi="宋体" w:eastAsia="仿宋_GB2312" w:cs="宋体"/>
      <w:color w:val="000000"/>
      <w:sz w:val="24"/>
      <w:szCs w:val="20"/>
    </w:rPr>
  </w:style>
  <w:style w:type="paragraph" w:customStyle="1" w:styleId="216">
    <w:name w:val="Other|1"/>
    <w:basedOn w:val="1"/>
    <w:qFormat/>
    <w:uiPriority w:val="0"/>
    <w:pPr>
      <w:spacing w:line="278" w:lineRule="exact"/>
    </w:pPr>
    <w:rPr>
      <w:rFonts w:ascii="宋体" w:hAnsi="宋体" w:cs="宋体"/>
      <w:sz w:val="19"/>
      <w:szCs w:val="19"/>
      <w:lang w:val="zh-TW" w:eastAsia="zh-TW" w:bidi="zh-TW"/>
    </w:rPr>
  </w:style>
  <w:style w:type="paragraph" w:customStyle="1" w:styleId="217">
    <w:name w:val="龙网正文"/>
    <w:basedOn w:val="1"/>
    <w:qFormat/>
    <w:uiPriority w:val="0"/>
    <w:pPr>
      <w:spacing w:line="360" w:lineRule="auto"/>
      <w:ind w:firstLine="200" w:firstLineChars="200"/>
    </w:pPr>
    <w:rPr>
      <w:rFonts w:ascii="Calibri" w:hAnsi="Calibri"/>
    </w:rPr>
  </w:style>
  <w:style w:type="paragraph" w:customStyle="1" w:styleId="218">
    <w:name w:val="Char Char Char Char Char Char Char Char Char Char"/>
    <w:qFormat/>
    <w:uiPriority w:val="0"/>
    <w:pPr>
      <w:spacing w:before="240" w:after="240" w:line="360" w:lineRule="auto"/>
    </w:pPr>
    <w:rPr>
      <w:rFonts w:ascii="Times New Roman" w:hAnsi="Times New Roman" w:eastAsia="仿宋_GB2312" w:cs="宋体"/>
      <w:kern w:val="2"/>
      <w:sz w:val="24"/>
      <w:szCs w:val="24"/>
      <w:lang w:val="en-US" w:eastAsia="zh-CN" w:bidi="ar-SA"/>
    </w:rPr>
  </w:style>
  <w:style w:type="paragraph" w:customStyle="1" w:styleId="219">
    <w:name w:val="正文_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0">
    <w:name w:val="题注1"/>
    <w:basedOn w:val="1"/>
    <w:next w:val="1"/>
    <w:qFormat/>
    <w:uiPriority w:val="0"/>
    <w:pPr>
      <w:jc w:val="center"/>
    </w:pPr>
    <w:rPr>
      <w:rFonts w:ascii="Arial" w:hAnsi="Arial" w:eastAsia="黑体" w:cs="宋体"/>
      <w:szCs w:val="20"/>
    </w:rPr>
  </w:style>
  <w:style w:type="paragraph" w:customStyle="1" w:styleId="221">
    <w:name w:val="Char Char Char Char Char Char Char1"/>
    <w:basedOn w:val="1"/>
    <w:qFormat/>
    <w:uiPriority w:val="0"/>
    <w:pPr>
      <w:spacing w:line="520" w:lineRule="exact"/>
      <w:ind w:firstLine="560" w:firstLineChars="200"/>
    </w:pPr>
  </w:style>
  <w:style w:type="paragraph" w:customStyle="1" w:styleId="222">
    <w:name w:val="Table Paragraph"/>
    <w:basedOn w:val="1"/>
    <w:qFormat/>
    <w:uiPriority w:val="0"/>
    <w:rPr>
      <w:rFonts w:ascii="宋体" w:hAnsi="宋体" w:cs="宋体"/>
      <w:lang w:val="zh-CN" w:bidi="zh-CN"/>
    </w:rPr>
  </w:style>
  <w:style w:type="paragraph" w:customStyle="1" w:styleId="223">
    <w:name w:val="样式  + Times New Roman 小四"/>
    <w:basedOn w:val="1"/>
    <w:qFormat/>
    <w:uiPriority w:val="0"/>
    <w:pPr>
      <w:spacing w:line="360" w:lineRule="auto"/>
      <w:ind w:firstLine="200" w:firstLineChars="200"/>
    </w:pPr>
    <w:rPr>
      <w:rFonts w:eastAsia="仿宋_GB2312"/>
      <w:color w:val="000000"/>
      <w:sz w:val="24"/>
    </w:rPr>
  </w:style>
  <w:style w:type="paragraph" w:customStyle="1" w:styleId="224">
    <w:name w:val="_Style 5"/>
    <w:basedOn w:val="1"/>
    <w:qFormat/>
    <w:uiPriority w:val="0"/>
    <w:pPr>
      <w:snapToGrid w:val="0"/>
      <w:jc w:val="center"/>
    </w:pPr>
  </w:style>
  <w:style w:type="paragraph" w:customStyle="1" w:styleId="225">
    <w:name w:val="whs23"/>
    <w:basedOn w:val="1"/>
    <w:qFormat/>
    <w:uiPriority w:val="0"/>
    <w:pPr>
      <w:widowControl/>
      <w:spacing w:line="360" w:lineRule="auto"/>
      <w:jc w:val="left"/>
    </w:pPr>
    <w:rPr>
      <w:rFonts w:ascii="Arial Unicode MS" w:hAnsi="Arial Unicode MS"/>
      <w:color w:val="000000"/>
      <w:kern w:val="0"/>
      <w:sz w:val="18"/>
      <w:szCs w:val="18"/>
    </w:rPr>
  </w:style>
  <w:style w:type="paragraph" w:customStyle="1" w:styleId="226">
    <w:name w:val="1章"/>
    <w:basedOn w:val="46"/>
    <w:next w:val="1"/>
    <w:qFormat/>
    <w:uiPriority w:val="0"/>
    <w:pPr>
      <w:adjustRightInd w:val="0"/>
      <w:spacing w:beforeLines="200" w:afterLines="100" w:line="360" w:lineRule="auto"/>
    </w:pPr>
    <w:rPr>
      <w:rFonts w:ascii="宋体" w:hAnsi="宋体" w:eastAsia="黑体"/>
    </w:rPr>
  </w:style>
  <w:style w:type="paragraph" w:customStyle="1" w:styleId="227">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Unicode MS" w:hAnsi="Arial Unicode MS" w:eastAsia="Arial Unicode MS" w:cs="Arial Unicode MS"/>
      <w:kern w:val="0"/>
      <w:sz w:val="24"/>
    </w:rPr>
  </w:style>
  <w:style w:type="paragraph" w:customStyle="1" w:styleId="228">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229">
    <w:name w:val="3目"/>
    <w:basedOn w:val="1"/>
    <w:next w:val="230"/>
    <w:qFormat/>
    <w:uiPriority w:val="0"/>
    <w:pPr>
      <w:spacing w:beforeLines="50" w:line="360" w:lineRule="auto"/>
      <w:ind w:right="198"/>
      <w:outlineLvl w:val="2"/>
    </w:pPr>
    <w:rPr>
      <w:rFonts w:ascii="黑体" w:eastAsia="黑体"/>
      <w:b/>
      <w:bCs/>
      <w:sz w:val="28"/>
      <w:szCs w:val="32"/>
    </w:rPr>
  </w:style>
  <w:style w:type="paragraph" w:customStyle="1" w:styleId="230">
    <w:name w:val="5正文形式"/>
    <w:basedOn w:val="1"/>
    <w:qFormat/>
    <w:uiPriority w:val="0"/>
    <w:pPr>
      <w:jc w:val="center"/>
    </w:pPr>
    <w:rPr>
      <w:rFonts w:ascii="宋体" w:hAnsi="宋体"/>
      <w:color w:val="FF0000"/>
      <w:szCs w:val="21"/>
    </w:rPr>
  </w:style>
  <w:style w:type="paragraph" w:customStyle="1" w:styleId="231">
    <w:name w:val="列出段落21"/>
    <w:basedOn w:val="1"/>
    <w:qFormat/>
    <w:uiPriority w:val="0"/>
    <w:pPr>
      <w:adjustRightInd w:val="0"/>
      <w:spacing w:line="360" w:lineRule="atLeast"/>
      <w:ind w:firstLine="420" w:firstLineChars="200"/>
      <w:jc w:val="left"/>
      <w:textAlignment w:val="baseline"/>
    </w:pPr>
    <w:rPr>
      <w:sz w:val="24"/>
    </w:rPr>
  </w:style>
  <w:style w:type="paragraph" w:customStyle="1" w:styleId="232">
    <w:name w:val="样式  + Times New Roman 小四 行距: 1.5 倍行距"/>
    <w:basedOn w:val="1"/>
    <w:qFormat/>
    <w:uiPriority w:val="0"/>
    <w:pPr>
      <w:spacing w:line="360" w:lineRule="auto"/>
      <w:ind w:firstLine="480" w:firstLineChars="200"/>
    </w:pPr>
    <w:rPr>
      <w:rFonts w:eastAsia="仿宋_GB2312" w:cs="宋体"/>
      <w:color w:val="000000"/>
      <w:sz w:val="24"/>
    </w:rPr>
  </w:style>
  <w:style w:type="paragraph" w:customStyle="1" w:styleId="233">
    <w:name w:val="1 Char Char Char Char"/>
    <w:basedOn w:val="1"/>
    <w:qFormat/>
    <w:uiPriority w:val="0"/>
    <w:rPr>
      <w:rFonts w:ascii="Tahoma" w:hAnsi="Tahoma"/>
      <w:sz w:val="24"/>
      <w:szCs w:val="20"/>
    </w:rPr>
  </w:style>
  <w:style w:type="paragraph" w:customStyle="1" w:styleId="23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23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16"/>
      <w:szCs w:val="16"/>
    </w:rPr>
  </w:style>
  <w:style w:type="paragraph" w:customStyle="1" w:styleId="236">
    <w:name w:val="Char Char Char2 Char Char Char Char Char Char"/>
    <w:basedOn w:val="1"/>
    <w:qFormat/>
    <w:uiPriority w:val="0"/>
    <w:pPr>
      <w:snapToGrid w:val="0"/>
      <w:jc w:val="center"/>
    </w:pPr>
  </w:style>
  <w:style w:type="paragraph" w:customStyle="1" w:styleId="237">
    <w:name w:val="Char1 Char Char Char"/>
    <w:basedOn w:val="1"/>
    <w:qFormat/>
    <w:uiPriority w:val="0"/>
    <w:pPr>
      <w:tabs>
        <w:tab w:val="left" w:pos="480"/>
      </w:tabs>
      <w:ind w:left="879" w:hanging="451"/>
    </w:pPr>
    <w:rPr>
      <w:szCs w:val="20"/>
    </w:rPr>
  </w:style>
  <w:style w:type="paragraph" w:customStyle="1" w:styleId="238">
    <w:name w:val="Char Char Char Char Char Char Char Char Char Char1"/>
    <w:qFormat/>
    <w:uiPriority w:val="0"/>
    <w:pPr>
      <w:spacing w:before="240" w:after="240" w:line="360" w:lineRule="auto"/>
    </w:pPr>
    <w:rPr>
      <w:rFonts w:ascii="Times New Roman" w:hAnsi="Times New Roman" w:eastAsia="仿宋_GB2312" w:cs="宋体"/>
      <w:kern w:val="2"/>
      <w:sz w:val="24"/>
      <w:szCs w:val="24"/>
      <w:lang w:val="en-US" w:eastAsia="zh-CN" w:bidi="ar-SA"/>
    </w:rPr>
  </w:style>
  <w:style w:type="paragraph" w:customStyle="1" w:styleId="239">
    <w:name w:val="xl37"/>
    <w:basedOn w:val="1"/>
    <w:qFormat/>
    <w:uiPriority w:val="0"/>
    <w:pPr>
      <w:widowControl/>
      <w:pBdr>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Unicode MS" w:hAnsi="Arial Unicode MS" w:eastAsia="Arial Unicode MS" w:cs="Arial Unicode MS"/>
      <w:kern w:val="0"/>
      <w:sz w:val="24"/>
    </w:rPr>
  </w:style>
  <w:style w:type="paragraph" w:customStyle="1" w:styleId="240">
    <w:name w:val="样式4"/>
    <w:basedOn w:val="1"/>
    <w:next w:val="241"/>
    <w:qFormat/>
    <w:uiPriority w:val="0"/>
    <w:pPr>
      <w:spacing w:line="360" w:lineRule="auto"/>
      <w:ind w:firstLine="560" w:firstLineChars="200"/>
    </w:pPr>
    <w:rPr>
      <w:rFonts w:ascii="仿宋_GB2312" w:eastAsia="仿宋_GB2312"/>
      <w:sz w:val="28"/>
      <w:szCs w:val="28"/>
    </w:rPr>
  </w:style>
  <w:style w:type="paragraph" w:customStyle="1" w:styleId="241">
    <w:name w:val="样式3"/>
    <w:basedOn w:val="4"/>
    <w:qFormat/>
    <w:uiPriority w:val="0"/>
    <w:pPr>
      <w:tabs>
        <w:tab w:val="clear" w:pos="618"/>
        <w:tab w:val="clear" w:pos="927"/>
      </w:tabs>
      <w:ind w:right="100"/>
      <w:jc w:val="both"/>
    </w:pPr>
    <w:rPr>
      <w:rFonts w:ascii="Times New Roman" w:hAnsi="Times New Roman" w:eastAsia="宋体"/>
      <w:sz w:val="36"/>
      <w:szCs w:val="36"/>
    </w:rPr>
  </w:style>
  <w:style w:type="paragraph" w:customStyle="1" w:styleId="24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43">
    <w:name w:val="font8"/>
    <w:basedOn w:val="1"/>
    <w:qFormat/>
    <w:uiPriority w:val="0"/>
    <w:pPr>
      <w:widowControl/>
      <w:spacing w:before="100" w:beforeAutospacing="1" w:after="100" w:afterAutospacing="1"/>
      <w:jc w:val="left"/>
    </w:pPr>
    <w:rPr>
      <w:rFonts w:hint="eastAsia" w:ascii="宋体" w:hAnsi="宋体"/>
      <w:b/>
      <w:bCs/>
      <w:kern w:val="0"/>
      <w:sz w:val="28"/>
      <w:szCs w:val="28"/>
    </w:rPr>
  </w:style>
  <w:style w:type="paragraph" w:customStyle="1" w:styleId="244">
    <w:name w:val="2节"/>
    <w:basedOn w:val="1"/>
    <w:next w:val="230"/>
    <w:qFormat/>
    <w:uiPriority w:val="0"/>
    <w:pPr>
      <w:spacing w:beforeLines="100" w:afterLines="50" w:line="360" w:lineRule="auto"/>
      <w:ind w:right="198"/>
      <w:outlineLvl w:val="1"/>
    </w:pPr>
    <w:rPr>
      <w:rFonts w:ascii="黑体" w:hAnsi="宋体" w:eastAsia="黑体" w:cs="Arial"/>
      <w:b/>
      <w:bCs/>
      <w:sz w:val="28"/>
      <w:szCs w:val="32"/>
    </w:rPr>
  </w:style>
  <w:style w:type="paragraph" w:customStyle="1" w:styleId="245">
    <w:name w:val="_Style 141"/>
    <w:basedOn w:val="1"/>
    <w:next w:val="155"/>
    <w:qFormat/>
    <w:uiPriority w:val="0"/>
    <w:pPr>
      <w:ind w:firstLine="420" w:firstLineChars="200"/>
    </w:pPr>
    <w:rPr>
      <w:rFonts w:ascii="Calibri" w:hAnsi="Calibri"/>
      <w:szCs w:val="22"/>
    </w:rPr>
  </w:style>
  <w:style w:type="paragraph" w:customStyle="1" w:styleId="246">
    <w:name w:val="Char Char Char2 Char Char Char"/>
    <w:basedOn w:val="1"/>
    <w:qFormat/>
    <w:uiPriority w:val="0"/>
    <w:pPr>
      <w:snapToGrid w:val="0"/>
      <w:jc w:val="center"/>
    </w:pPr>
    <w:rPr>
      <w:rFonts w:eastAsia="仿宋_GB2312"/>
      <w:sz w:val="24"/>
    </w:rPr>
  </w:style>
  <w:style w:type="paragraph" w:customStyle="1" w:styleId="247">
    <w:name w:val="xl26"/>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48">
    <w:name w:val="引文目录标题1"/>
    <w:basedOn w:val="1"/>
    <w:next w:val="1"/>
    <w:qFormat/>
    <w:uiPriority w:val="0"/>
    <w:pPr>
      <w:spacing w:before="120"/>
    </w:pPr>
    <w:rPr>
      <w:rFonts w:ascii="Arial" w:hAnsi="Arial"/>
    </w:rPr>
  </w:style>
  <w:style w:type="paragraph" w:customStyle="1" w:styleId="249">
    <w:name w:val="xl38"/>
    <w:basedOn w:val="1"/>
    <w:qFormat/>
    <w:uiPriority w:val="0"/>
    <w:pPr>
      <w:widowControl/>
      <w:spacing w:before="100" w:beforeAutospacing="1" w:after="100" w:afterAutospacing="1"/>
      <w:jc w:val="center"/>
    </w:pPr>
    <w:rPr>
      <w:rFonts w:ascii="Arial Unicode MS" w:hAnsi="Arial Unicode MS" w:eastAsia="Arial Unicode MS"/>
      <w:b/>
      <w:bCs/>
      <w:kern w:val="0"/>
      <w:sz w:val="32"/>
      <w:szCs w:val="32"/>
    </w:rPr>
  </w:style>
  <w:style w:type="paragraph" w:customStyle="1" w:styleId="250">
    <w:name w:val="样式"/>
    <w:basedOn w:val="1"/>
    <w:next w:val="24"/>
    <w:qFormat/>
    <w:uiPriority w:val="0"/>
    <w:rPr>
      <w:rFonts w:ascii="宋体" w:hAnsi="Courier New" w:cs="宋体"/>
      <w:szCs w:val="21"/>
    </w:rPr>
  </w:style>
  <w:style w:type="paragraph" w:customStyle="1" w:styleId="251">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252">
    <w:name w:val="正文内容"/>
    <w:basedOn w:val="1"/>
    <w:qFormat/>
    <w:uiPriority w:val="0"/>
    <w:pPr>
      <w:adjustRightInd w:val="0"/>
      <w:spacing w:line="360" w:lineRule="auto"/>
      <w:ind w:firstLine="480" w:firstLineChars="200"/>
      <w:jc w:val="left"/>
      <w:textAlignment w:val="baseline"/>
    </w:pPr>
    <w:rPr>
      <w:rFonts w:ascii="Arial" w:hAnsi="Arial"/>
      <w:sz w:val="24"/>
      <w:szCs w:val="21"/>
    </w:rPr>
  </w:style>
  <w:style w:type="paragraph" w:customStyle="1" w:styleId="253">
    <w:name w:val="_Style 35"/>
    <w:basedOn w:val="1"/>
    <w:qFormat/>
    <w:uiPriority w:val="0"/>
    <w:pPr>
      <w:snapToGrid w:val="0"/>
      <w:jc w:val="center"/>
    </w:pPr>
  </w:style>
  <w:style w:type="paragraph" w:customStyle="1" w:styleId="254">
    <w:name w:val="表头"/>
    <w:basedOn w:val="5"/>
    <w:qFormat/>
    <w:uiPriority w:val="0"/>
    <w:pPr>
      <w:keepNext w:val="0"/>
      <w:keepLines w:val="0"/>
      <w:adjustRightInd w:val="0"/>
      <w:snapToGrid w:val="0"/>
      <w:spacing w:before="0" w:after="0" w:line="500" w:lineRule="exact"/>
      <w:ind w:left="0" w:firstLine="0" w:firstLineChars="0"/>
      <w:jc w:val="center"/>
      <w:outlineLvl w:val="9"/>
    </w:pPr>
    <w:rPr>
      <w:rFonts w:ascii="宋体" w:hAnsi="Times New Roman" w:eastAsia="宋体"/>
      <w:snapToGrid w:val="0"/>
      <w:spacing w:val="30"/>
      <w:kern w:val="0"/>
      <w:sz w:val="28"/>
    </w:rPr>
  </w:style>
  <w:style w:type="paragraph" w:customStyle="1" w:styleId="255">
    <w:name w:val="无间隔1"/>
    <w:qFormat/>
    <w:uiPriority w:val="1"/>
    <w:pPr>
      <w:widowControl w:val="0"/>
      <w:jc w:val="center"/>
    </w:pPr>
    <w:rPr>
      <w:rFonts w:ascii="Calibri" w:hAnsi="Calibri" w:eastAsia="宋体" w:cs="Times New Roman"/>
      <w:kern w:val="2"/>
      <w:sz w:val="21"/>
      <w:szCs w:val="22"/>
      <w:lang w:val="en-US" w:eastAsia="zh-CN" w:bidi="ar-SA"/>
    </w:rPr>
  </w:style>
  <w:style w:type="paragraph" w:customStyle="1" w:styleId="25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57">
    <w:name w:val="样式 样式  + 小四 首行缩进:  0.99 厘米 + 首行缩进:  0.85 厘米"/>
    <w:basedOn w:val="215"/>
    <w:qFormat/>
    <w:uiPriority w:val="0"/>
    <w:pPr>
      <w:ind w:firstLine="200" w:firstLineChars="200"/>
    </w:pPr>
    <w:rPr>
      <w:rFonts w:ascii="Times New Roman" w:hAnsi="Times New Roman" w:eastAsia="宋体" w:cs="Times New Roman"/>
    </w:rPr>
  </w:style>
  <w:style w:type="paragraph" w:customStyle="1" w:styleId="258">
    <w:name w:val="列出段落1"/>
    <w:basedOn w:val="1"/>
    <w:qFormat/>
    <w:uiPriority w:val="0"/>
    <w:pPr>
      <w:ind w:firstLine="420" w:firstLineChars="200"/>
    </w:pPr>
  </w:style>
  <w:style w:type="paragraph" w:customStyle="1" w:styleId="259">
    <w:name w:val="列出段落2"/>
    <w:basedOn w:val="1"/>
    <w:qFormat/>
    <w:uiPriority w:val="0"/>
    <w:pPr>
      <w:widowControl/>
      <w:ind w:firstLine="420" w:firstLineChars="200"/>
      <w:jc w:val="left"/>
    </w:pPr>
    <w:rPr>
      <w:rFonts w:ascii="Cambria" w:hAnsi="Cambria"/>
      <w:b/>
      <w:kern w:val="20"/>
      <w:szCs w:val="20"/>
      <w:lang w:val="zh-CN"/>
    </w:rPr>
  </w:style>
  <w:style w:type="paragraph" w:customStyle="1" w:styleId="26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61">
    <w:name w:val="Char Char Char Char1"/>
    <w:qFormat/>
    <w:uiPriority w:val="0"/>
    <w:pPr>
      <w:spacing w:before="240" w:after="240" w:line="360" w:lineRule="auto"/>
    </w:pPr>
    <w:rPr>
      <w:rFonts w:ascii="Times New Roman" w:hAnsi="Times New Roman" w:eastAsia="仿宋_GB2312" w:cs="宋体"/>
      <w:kern w:val="2"/>
      <w:sz w:val="24"/>
      <w:szCs w:val="24"/>
      <w:lang w:val="en-US" w:eastAsia="zh-CN" w:bidi="ar-SA"/>
    </w:rPr>
  </w:style>
  <w:style w:type="paragraph" w:customStyle="1" w:styleId="262">
    <w:name w:val="表格x5"/>
    <w:basedOn w:val="1"/>
    <w:qFormat/>
    <w:uiPriority w:val="0"/>
    <w:pPr>
      <w:widowControl/>
      <w:spacing w:line="360" w:lineRule="auto"/>
      <w:ind w:right="-105" w:rightChars="-50"/>
    </w:pPr>
    <w:rPr>
      <w:rFonts w:eastAsia="仿宋_GB2312"/>
      <w:kern w:val="0"/>
      <w:szCs w:val="21"/>
    </w:rPr>
  </w:style>
  <w:style w:type="paragraph" w:customStyle="1" w:styleId="263">
    <w:name w:val="Char Char Char Char Char Char Char Char Char Char Char Char Char Char Char Char"/>
    <w:qFormat/>
    <w:uiPriority w:val="0"/>
    <w:pPr>
      <w:spacing w:before="240" w:after="240" w:line="360" w:lineRule="auto"/>
    </w:pPr>
    <w:rPr>
      <w:rFonts w:ascii="Times New Roman" w:hAnsi="Times New Roman" w:eastAsia="仿宋_GB2312" w:cs="宋体"/>
      <w:kern w:val="2"/>
      <w:sz w:val="24"/>
      <w:szCs w:val="24"/>
      <w:lang w:val="en-US" w:eastAsia="zh-CN" w:bidi="ar-SA"/>
    </w:rPr>
  </w:style>
  <w:style w:type="paragraph" w:customStyle="1" w:styleId="264">
    <w:name w:val="4表中文字"/>
    <w:basedOn w:val="1"/>
    <w:qFormat/>
    <w:uiPriority w:val="0"/>
    <w:pPr>
      <w:tabs>
        <w:tab w:val="left" w:pos="6195"/>
      </w:tabs>
      <w:autoSpaceDE w:val="0"/>
      <w:autoSpaceDN w:val="0"/>
      <w:adjustRightInd w:val="0"/>
      <w:jc w:val="center"/>
    </w:pPr>
    <w:rPr>
      <w:rFonts w:eastAsia="仿宋_GB2312"/>
    </w:rPr>
  </w:style>
  <w:style w:type="paragraph" w:customStyle="1" w:styleId="265">
    <w:name w:val="Char Char Char2 Char Char Char Char Char Char1 Char Char Char Char"/>
    <w:basedOn w:val="1"/>
    <w:qFormat/>
    <w:uiPriority w:val="0"/>
    <w:pPr>
      <w:snapToGrid w:val="0"/>
      <w:jc w:val="center"/>
    </w:pPr>
  </w:style>
  <w:style w:type="paragraph" w:customStyle="1" w:styleId="266">
    <w:name w:val="Char1"/>
    <w:basedOn w:val="1"/>
    <w:qFormat/>
    <w:uiPriority w:val="0"/>
    <w:pPr>
      <w:ind w:left="420"/>
    </w:pPr>
    <w:rPr>
      <w:rFonts w:ascii="仿宋_GB2312" w:hAnsi="Tahoma" w:eastAsia="仿宋_GB2312"/>
      <w:bCs/>
      <w:sz w:val="24"/>
    </w:rPr>
  </w:style>
  <w:style w:type="paragraph" w:customStyle="1" w:styleId="267">
    <w:name w:val="_Style 17"/>
    <w:basedOn w:val="1"/>
    <w:next w:val="1"/>
    <w:qFormat/>
    <w:uiPriority w:val="0"/>
    <w:pPr>
      <w:spacing w:after="120"/>
      <w:ind w:left="420" w:leftChars="200"/>
    </w:pPr>
  </w:style>
  <w:style w:type="paragraph" w:customStyle="1" w:styleId="268">
    <w:name w:val="正文 + 自动设置"/>
    <w:basedOn w:val="3"/>
    <w:qFormat/>
    <w:uiPriority w:val="0"/>
    <w:pPr>
      <w:tabs>
        <w:tab w:val="left" w:pos="840"/>
      </w:tabs>
      <w:spacing w:before="360" w:after="360" w:line="480" w:lineRule="auto"/>
    </w:pPr>
    <w:rPr>
      <w:rFonts w:ascii="Times New Roman" w:hAnsi="Times New Roman" w:eastAsia="黑体"/>
      <w:szCs w:val="20"/>
    </w:rPr>
  </w:style>
  <w:style w:type="paragraph" w:customStyle="1" w:styleId="26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70">
    <w:name w:val="段"/>
    <w:next w:val="1"/>
    <w:qFormat/>
    <w:uiPriority w:val="0"/>
    <w:pPr>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271">
    <w:name w:val="标题1 + 三号"/>
    <w:basedOn w:val="1"/>
    <w:qFormat/>
    <w:uiPriority w:val="0"/>
    <w:pPr>
      <w:spacing w:line="480" w:lineRule="auto"/>
    </w:pPr>
    <w:rPr>
      <w:sz w:val="32"/>
    </w:rPr>
  </w:style>
  <w:style w:type="paragraph" w:customStyle="1" w:styleId="272">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line="60" w:lineRule="auto"/>
      <w:jc w:val="center"/>
      <w:textAlignment w:val="center"/>
    </w:pPr>
    <w:rPr>
      <w:rFonts w:ascii="Arial Unicode MS" w:hAnsi="Arial Unicode MS" w:eastAsia="Arial Unicode MS"/>
      <w:kern w:val="0"/>
      <w:sz w:val="18"/>
      <w:szCs w:val="18"/>
      <w:lang w:val="zh-CN"/>
    </w:rPr>
  </w:style>
  <w:style w:type="paragraph" w:customStyle="1" w:styleId="273">
    <w:name w:val="文"/>
    <w:basedOn w:val="2"/>
    <w:qFormat/>
    <w:uiPriority w:val="0"/>
    <w:pPr>
      <w:adjustRightInd w:val="0"/>
      <w:snapToGrid w:val="0"/>
      <w:spacing w:after="0" w:line="360" w:lineRule="auto"/>
      <w:ind w:firstLine="562" w:firstLineChars="200"/>
    </w:pPr>
    <w:rPr>
      <w:rFonts w:ascii="宋体" w:hAnsi="宋体"/>
      <w:b/>
      <w:sz w:val="28"/>
      <w:szCs w:val="28"/>
    </w:rPr>
  </w:style>
  <w:style w:type="paragraph" w:customStyle="1" w:styleId="274">
    <w:name w:val="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75">
    <w:name w:val="普通文字 Char"/>
    <w:basedOn w:val="1"/>
    <w:next w:val="2"/>
    <w:qFormat/>
    <w:uiPriority w:val="0"/>
    <w:rPr>
      <w:sz w:val="24"/>
      <w:szCs w:val="20"/>
    </w:rPr>
  </w:style>
  <w:style w:type="paragraph" w:customStyle="1" w:styleId="276">
    <w:name w:val="样式 小四 行距: 1.5 倍行距 首行缩进:  1.96 字符"/>
    <w:basedOn w:val="1"/>
    <w:qFormat/>
    <w:uiPriority w:val="0"/>
    <w:pPr>
      <w:spacing w:line="360" w:lineRule="auto"/>
      <w:ind w:firstLine="200" w:firstLineChars="200"/>
    </w:pPr>
    <w:rPr>
      <w:rFonts w:eastAsia="仿宋_GB2312" w:cs="宋体"/>
      <w:sz w:val="24"/>
    </w:rPr>
  </w:style>
  <w:style w:type="paragraph" w:customStyle="1" w:styleId="277">
    <w:name w:val="样式 样式 首行缩进:  2 字符 + 首行缩进:  2 字符 Char Char"/>
    <w:basedOn w:val="1"/>
    <w:qFormat/>
    <w:uiPriority w:val="0"/>
    <w:pPr>
      <w:ind w:firstLine="480" w:firstLineChars="200"/>
    </w:pPr>
    <w:rPr>
      <w:sz w:val="24"/>
      <w:szCs w:val="20"/>
    </w:rPr>
  </w:style>
  <w:style w:type="paragraph" w:customStyle="1" w:styleId="278">
    <w:name w:val="pa-19"/>
    <w:basedOn w:val="1"/>
    <w:qFormat/>
    <w:uiPriority w:val="0"/>
    <w:pPr>
      <w:widowControl/>
      <w:spacing w:before="100" w:beforeAutospacing="1" w:after="100" w:afterAutospacing="1"/>
      <w:jc w:val="left"/>
    </w:pPr>
    <w:rPr>
      <w:rFonts w:ascii="宋体" w:hAnsi="宋体" w:cs="宋体"/>
      <w:kern w:val="0"/>
      <w:sz w:val="24"/>
    </w:rPr>
  </w:style>
  <w:style w:type="paragraph" w:customStyle="1" w:styleId="279">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Unicode MS" w:hAnsi="Arial Unicode MS" w:eastAsia="Arial Unicode MS" w:cs="Arial Unicode MS"/>
      <w:kern w:val="0"/>
      <w:sz w:val="24"/>
    </w:rPr>
  </w:style>
  <w:style w:type="paragraph" w:customStyle="1" w:styleId="280">
    <w:name w:val="xl3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81">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82">
    <w:name w:val="xl33"/>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83">
    <w:name w:val="正文_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4">
    <w:name w:val="font9"/>
    <w:basedOn w:val="1"/>
    <w:qFormat/>
    <w:uiPriority w:val="0"/>
    <w:pPr>
      <w:widowControl/>
      <w:spacing w:before="100" w:beforeAutospacing="1" w:after="100" w:afterAutospacing="1"/>
      <w:jc w:val="left"/>
    </w:pPr>
    <w:rPr>
      <w:rFonts w:eastAsia="Arial Unicode MS"/>
      <w:b/>
      <w:bCs/>
      <w:kern w:val="0"/>
      <w:sz w:val="28"/>
      <w:szCs w:val="28"/>
    </w:rPr>
  </w:style>
  <w:style w:type="paragraph" w:customStyle="1" w:styleId="285">
    <w:name w:val="样式 标题 2 + Times New Roman 小二 两端对齐"/>
    <w:basedOn w:val="4"/>
    <w:qFormat/>
    <w:uiPriority w:val="0"/>
    <w:pPr>
      <w:tabs>
        <w:tab w:val="clear" w:pos="618"/>
        <w:tab w:val="clear" w:pos="927"/>
      </w:tabs>
      <w:spacing w:before="340" w:after="330" w:line="576" w:lineRule="auto"/>
      <w:jc w:val="both"/>
    </w:pPr>
    <w:rPr>
      <w:rFonts w:ascii="Times New Roman" w:hAnsi="Times New Roman" w:eastAsia="宋体"/>
      <w:sz w:val="30"/>
      <w:szCs w:val="30"/>
    </w:rPr>
  </w:style>
  <w:style w:type="paragraph" w:customStyle="1" w:styleId="286">
    <w:name w:val="样式1"/>
    <w:basedOn w:val="4"/>
    <w:qFormat/>
    <w:uiPriority w:val="0"/>
    <w:pPr>
      <w:tabs>
        <w:tab w:val="clear" w:pos="618"/>
        <w:tab w:val="clear" w:pos="927"/>
      </w:tabs>
      <w:spacing w:line="360" w:lineRule="auto"/>
      <w:ind w:right="200"/>
    </w:pPr>
    <w:rPr>
      <w:rFonts w:ascii="宋体" w:hAnsi="Times New Roman" w:eastAsia="宋体"/>
      <w:sz w:val="28"/>
    </w:rPr>
  </w:style>
  <w:style w:type="paragraph" w:customStyle="1" w:styleId="287">
    <w:name w:val="列出段落11"/>
    <w:basedOn w:val="1"/>
    <w:qFormat/>
    <w:uiPriority w:val="0"/>
    <w:pPr>
      <w:ind w:firstLine="420" w:firstLineChars="200"/>
    </w:pPr>
  </w:style>
  <w:style w:type="paragraph" w:customStyle="1" w:styleId="288">
    <w:name w:val="_Style 181"/>
    <w:basedOn w:val="1"/>
    <w:next w:val="1"/>
    <w:qFormat/>
    <w:uiPriority w:val="39"/>
    <w:pPr>
      <w:ind w:left="3360" w:leftChars="1600"/>
    </w:pPr>
  </w:style>
  <w:style w:type="character" w:customStyle="1" w:styleId="289">
    <w:name w:val="hover"/>
    <w:basedOn w:val="52"/>
    <w:qFormat/>
    <w:uiPriority w:val="0"/>
    <w:rPr>
      <w:color w:val="5FB878"/>
    </w:rPr>
  </w:style>
  <w:style w:type="character" w:customStyle="1" w:styleId="290">
    <w:name w:val="hover1"/>
    <w:basedOn w:val="52"/>
    <w:qFormat/>
    <w:uiPriority w:val="0"/>
    <w:rPr>
      <w:color w:val="5FB878"/>
    </w:rPr>
  </w:style>
  <w:style w:type="character" w:customStyle="1" w:styleId="291">
    <w:name w:val="hover2"/>
    <w:basedOn w:val="52"/>
    <w:qFormat/>
    <w:uiPriority w:val="0"/>
    <w:rPr>
      <w:color w:val="FFFFFF"/>
    </w:rPr>
  </w:style>
  <w:style w:type="character" w:customStyle="1" w:styleId="292">
    <w:name w:val="category"/>
    <w:basedOn w:val="52"/>
    <w:qFormat/>
    <w:uiPriority w:val="0"/>
  </w:style>
  <w:style w:type="character" w:customStyle="1" w:styleId="293">
    <w:name w:val="hover7"/>
    <w:basedOn w:val="52"/>
    <w:qFormat/>
    <w:uiPriority w:val="0"/>
    <w:rPr>
      <w:color w:val="5FB878"/>
    </w:rPr>
  </w:style>
  <w:style w:type="character" w:customStyle="1" w:styleId="294">
    <w:name w:val="hover8"/>
    <w:basedOn w:val="52"/>
    <w:qFormat/>
    <w:uiPriority w:val="0"/>
    <w:rPr>
      <w:color w:val="5FB878"/>
    </w:rPr>
  </w:style>
  <w:style w:type="character" w:customStyle="1" w:styleId="295">
    <w:name w:val="hover9"/>
    <w:basedOn w:val="52"/>
    <w:qFormat/>
    <w:uiPriority w:val="0"/>
    <w:rPr>
      <w:color w:val="FFFFFF"/>
    </w:rPr>
  </w:style>
  <w:style w:type="paragraph" w:customStyle="1" w:styleId="296">
    <w:name w:val="列出段落9"/>
    <w:basedOn w:val="1"/>
    <w:qFormat/>
    <w:uiPriority w:val="0"/>
    <w:pPr>
      <w:ind w:firstLine="420" w:firstLineChars="200"/>
    </w:pPr>
    <w:rPr>
      <w:szCs w:val="22"/>
    </w:rPr>
  </w:style>
  <w:style w:type="character" w:customStyle="1" w:styleId="297">
    <w:name w:val="layui-laypage-curr"/>
    <w:basedOn w:val="52"/>
    <w:qFormat/>
    <w:uiPriority w:val="0"/>
  </w:style>
  <w:style w:type="character" w:customStyle="1" w:styleId="298">
    <w:name w:val="ui-icon"/>
    <w:basedOn w:val="52"/>
    <w:qFormat/>
    <w:uiPriority w:val="0"/>
  </w:style>
  <w:style w:type="character" w:customStyle="1" w:styleId="299">
    <w:name w:val="not([class*=suffix])"/>
    <w:basedOn w:val="52"/>
    <w:qFormat/>
    <w:uiPriority w:val="0"/>
    <w:rPr>
      <w:sz w:val="19"/>
      <w:szCs w:val="19"/>
    </w:rPr>
  </w:style>
  <w:style w:type="character" w:customStyle="1" w:styleId="300">
    <w:name w:val="not([class*=suffix])1"/>
    <w:basedOn w:val="52"/>
    <w:qFormat/>
    <w:uiPriority w:val="0"/>
  </w:style>
  <w:style w:type="character" w:customStyle="1" w:styleId="301">
    <w:name w:val="nth-child(1)"/>
    <w:basedOn w:val="52"/>
    <w:qFormat/>
    <w:uiPriority w:val="0"/>
  </w:style>
  <w:style w:type="character" w:customStyle="1" w:styleId="302">
    <w:name w:val="ui-icon22"/>
    <w:basedOn w:val="52"/>
    <w:qFormat/>
    <w:uiPriority w:val="0"/>
  </w:style>
  <w:style w:type="paragraph" w:customStyle="1" w:styleId="303">
    <w:name w:val="01、普通正文"/>
    <w:basedOn w:val="1"/>
    <w:qFormat/>
    <w:uiPriority w:val="0"/>
    <w:pPr>
      <w:tabs>
        <w:tab w:val="left" w:pos="0"/>
      </w:tabs>
      <w:wordWrap w:val="0"/>
      <w:topLinePunct/>
      <w:spacing w:line="240" w:lineRule="auto"/>
      <w:ind w:firstLine="0" w:firstLineChars="0"/>
    </w:pPr>
    <w:rPr>
      <w:rFonts w:hAnsi="宋体"/>
      <w:snapToGrid w:val="0"/>
      <w:kern w:val="2"/>
      <w:position w:val="0"/>
      <w:sz w:val="21"/>
      <w:szCs w:val="22"/>
    </w:rPr>
  </w:style>
  <w:style w:type="paragraph" w:customStyle="1" w:styleId="304">
    <w:name w:val="标题一"/>
    <w:basedOn w:val="46"/>
    <w:qFormat/>
    <w:uiPriority w:val="0"/>
    <w:pPr>
      <w:keepNext w:val="0"/>
      <w:keepLines w:val="0"/>
      <w:widowControl w:val="0"/>
      <w:suppressLineNumbers w:val="0"/>
      <w:adjustRightInd w:val="0"/>
      <w:spacing w:before="240" w:beforeAutospacing="0" w:after="60" w:afterAutospacing="0" w:line="276" w:lineRule="auto"/>
      <w:ind w:left="0" w:right="0" w:firstLine="0" w:firstLineChars="0"/>
      <w:jc w:val="center"/>
      <w:outlineLvl w:val="0"/>
    </w:pPr>
    <w:rPr>
      <w:rFonts w:hint="default" w:ascii="Arial" w:hAnsi="Arial" w:eastAsia="宋体" w:cs="Times New Roman"/>
      <w:kern w:val="0"/>
      <w:position w:val="0"/>
      <w:sz w:val="32"/>
      <w:szCs w:val="52"/>
      <w:lang w:val="en-US" w:eastAsia="zh-CN" w:bidi="ar"/>
    </w:rPr>
  </w:style>
  <w:style w:type="paragraph" w:customStyle="1" w:styleId="305">
    <w:name w:val="正文 缩进2字符"/>
    <w:basedOn w:val="1"/>
    <w:qFormat/>
    <w:uiPriority w:val="0"/>
    <w:pPr>
      <w:spacing w:line="288" w:lineRule="auto"/>
    </w:pPr>
    <w:rPr>
      <w:sz w:val="28"/>
      <w:szCs w:val="28"/>
    </w:rPr>
  </w:style>
  <w:style w:type="paragraph" w:customStyle="1" w:styleId="306">
    <w:name w:val="正文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07">
    <w:name w:val="正文 New New New New New New New New New New New New New New New New New New New New New New New New"/>
    <w:qFormat/>
    <w:uiPriority w:val="0"/>
    <w:pPr>
      <w:widowControl w:val="0"/>
      <w:jc w:val="both"/>
    </w:pPr>
    <w:rPr>
      <w:rFonts w:ascii="宋体" w:hAnsi="宋体" w:eastAsia="宋体" w:cs="Times New Roman"/>
      <w:sz w:val="28"/>
      <w:szCs w:val="22"/>
      <w:lang w:val="en-US" w:eastAsia="zh-CN" w:bidi="ar-SA"/>
    </w:rPr>
  </w:style>
  <w:style w:type="paragraph" w:customStyle="1" w:styleId="308">
    <w:name w:val="正文 New New New New New New New New New New New New New New New New New New New New New New New New New"/>
    <w:qFormat/>
    <w:uiPriority w:val="0"/>
    <w:pPr>
      <w:widowControl w:val="0"/>
      <w:jc w:val="both"/>
    </w:pPr>
    <w:rPr>
      <w:rFonts w:ascii="宋体" w:hAnsi="宋体" w:eastAsia="宋体" w:cs="Times New Roman"/>
      <w:sz w:val="28"/>
      <w:szCs w:val="22"/>
      <w:lang w:val="en-US" w:eastAsia="zh-CN" w:bidi="ar-SA"/>
    </w:rPr>
  </w:style>
  <w:style w:type="paragraph" w:customStyle="1" w:styleId="309">
    <w:name w:val="正文 New New New New New New New New New New New New New New New New New New New New New New New New New New New"/>
    <w:qFormat/>
    <w:uiPriority w:val="0"/>
    <w:pPr>
      <w:widowControl w:val="0"/>
      <w:jc w:val="both"/>
    </w:pPr>
    <w:rPr>
      <w:rFonts w:ascii="宋体" w:hAnsi="宋体" w:eastAsia="宋体" w:cs="Times New Roman"/>
      <w:sz w:val="28"/>
      <w:szCs w:val="22"/>
      <w:lang w:val="en-US" w:eastAsia="zh-CN" w:bidi="ar-SA"/>
    </w:rPr>
  </w:style>
  <w:style w:type="paragraph" w:customStyle="1" w:styleId="310">
    <w:name w:val="标4"/>
    <w:basedOn w:val="6"/>
    <w:next w:val="1"/>
    <w:qFormat/>
    <w:uiPriority w:val="0"/>
    <w:pPr>
      <w:numPr>
        <w:ilvl w:val="0"/>
        <w:numId w:val="0"/>
      </w:numPr>
      <w:tabs>
        <w:tab w:val="left" w:pos="360"/>
        <w:tab w:val="left" w:pos="1134"/>
      </w:tabs>
    </w:pPr>
    <w:rPr>
      <w:rFonts w:hAnsi="宋体" w:eastAsia="宋体"/>
      <w:w w:val="90"/>
    </w:rPr>
  </w:style>
  <w:style w:type="character" w:customStyle="1" w:styleId="311">
    <w:name w:val="标题 2 Char Char"/>
    <w:link w:val="4"/>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68</Pages>
  <Words>36381</Words>
  <Characters>38393</Characters>
  <Lines>322</Lines>
  <Paragraphs>90</Paragraphs>
  <TotalTime>32</TotalTime>
  <ScaleCrop>false</ScaleCrop>
  <LinksUpToDate>false</LinksUpToDate>
  <CharactersWithSpaces>39694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2021-07-31T20:07:00Z</dcterms:created>
  <dc:creator>jj</dc:creator>
  <cp:lastModifiedBy>雅痞</cp:lastModifiedBy>
  <cp:lastPrinted>2022-07-24T06:16:00Z</cp:lastPrinted>
  <dcterms:modified xsi:type="dcterms:W3CDTF">2023-04-03T08:14:33Z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580D0E73920C48CBA0378D731A221B09_13</vt:lpwstr>
  </property>
  <property fmtid="{D5CDD505-2E9C-101B-9397-08002B2CF9AE}" pid="4" name="commondata">
    <vt:lpwstr>eyJoZGlkIjoiYzg0YWU3ZGM5YzhjZGNjYmQxNDQ0MGZiZTI5M2UyNTEifQ==</vt:lpwstr>
  </property>
</Properties>
</file>