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新宋体" w:hAnsi="新宋体" w:eastAsia="新宋体" w:cs="新宋体"/>
          <w:b/>
          <w:bCs/>
          <w:kern w:val="0"/>
          <w:sz w:val="52"/>
          <w:szCs w:val="52"/>
        </w:rPr>
      </w:pPr>
    </w:p>
    <w:p>
      <w:pPr>
        <w:spacing w:line="500" w:lineRule="atLeast"/>
        <w:jc w:val="center"/>
        <w:rPr>
          <w:rFonts w:ascii="新宋体" w:hAnsi="新宋体" w:eastAsia="新宋体" w:cs="新宋体"/>
          <w:b/>
          <w:bCs/>
          <w:kern w:val="0"/>
          <w:sz w:val="32"/>
          <w:szCs w:val="32"/>
        </w:rPr>
      </w:pPr>
      <w:r>
        <w:rPr>
          <w:rFonts w:hint="eastAsia" w:ascii="新宋体" w:hAnsi="新宋体" w:eastAsia="新宋体" w:cs="新宋体"/>
          <w:b/>
          <w:bCs/>
          <w:kern w:val="0"/>
          <w:sz w:val="56"/>
          <w:szCs w:val="56"/>
        </w:rPr>
        <w:t>拉萨市第一中等职业技术学校虚拟仿真实训实验室建设项目</w:t>
      </w:r>
    </w:p>
    <w:p>
      <w:pPr>
        <w:spacing w:line="500" w:lineRule="atLeast"/>
        <w:jc w:val="center"/>
        <w:rPr>
          <w:rFonts w:ascii="新宋体" w:hAnsi="新宋体" w:eastAsia="新宋体" w:cs="新宋体"/>
          <w:b/>
          <w:bCs/>
          <w:kern w:val="0"/>
          <w:sz w:val="32"/>
          <w:szCs w:val="32"/>
        </w:rPr>
      </w:pPr>
    </w:p>
    <w:p>
      <w:pPr>
        <w:spacing w:line="500" w:lineRule="atLeast"/>
        <w:jc w:val="center"/>
        <w:rPr>
          <w:rFonts w:ascii="新宋体" w:hAnsi="新宋体" w:eastAsia="新宋体" w:cs="新宋体"/>
          <w:b/>
          <w:bCs/>
          <w:kern w:val="0"/>
          <w:sz w:val="32"/>
          <w:szCs w:val="32"/>
        </w:rPr>
      </w:pPr>
      <w:r>
        <w:rPr>
          <w:rFonts w:hint="eastAsia" w:ascii="新宋体" w:hAnsi="新宋体" w:eastAsia="新宋体" w:cs="新宋体"/>
          <w:b/>
          <w:bCs/>
          <w:kern w:val="0"/>
          <w:sz w:val="32"/>
          <w:szCs w:val="32"/>
        </w:rPr>
        <w:t>项目编号：YDXZCG-2254</w:t>
      </w:r>
    </w:p>
    <w:p>
      <w:pPr>
        <w:spacing w:line="500" w:lineRule="atLeast"/>
        <w:jc w:val="center"/>
        <w:rPr>
          <w:rFonts w:ascii="新宋体" w:hAnsi="新宋体" w:eastAsia="新宋体" w:cs="新宋体"/>
          <w:b/>
          <w:bCs/>
          <w:kern w:val="0"/>
          <w:sz w:val="32"/>
          <w:szCs w:val="32"/>
        </w:rPr>
      </w:pPr>
    </w:p>
    <w:p>
      <w:pPr>
        <w:spacing w:line="500" w:lineRule="atLeast"/>
        <w:jc w:val="center"/>
        <w:rPr>
          <w:rFonts w:ascii="新宋体" w:hAnsi="新宋体" w:eastAsia="新宋体" w:cs="新宋体"/>
          <w:b/>
          <w:bCs/>
          <w:kern w:val="0"/>
          <w:sz w:val="32"/>
          <w:szCs w:val="32"/>
        </w:rPr>
      </w:pPr>
    </w:p>
    <w:p>
      <w:pPr>
        <w:spacing w:line="500" w:lineRule="atLeast"/>
        <w:jc w:val="center"/>
        <w:rPr>
          <w:rFonts w:ascii="新宋体" w:hAnsi="新宋体" w:eastAsia="新宋体" w:cs="新宋体"/>
        </w:rPr>
      </w:pPr>
      <w:r>
        <w:rPr>
          <w:rFonts w:hint="eastAsia" w:ascii="新宋体" w:hAnsi="新宋体" w:eastAsia="新宋体" w:cs="新宋体"/>
          <w:b/>
          <w:sz w:val="84"/>
          <w:szCs w:val="84"/>
        </w:rPr>
        <w:t>招 标 文 件</w:t>
      </w:r>
    </w:p>
    <w:p>
      <w:pPr>
        <w:ind w:left="3218" w:leftChars="500" w:hanging="2168" w:hangingChars="600"/>
        <w:jc w:val="left"/>
        <w:rPr>
          <w:rFonts w:ascii="新宋体" w:hAnsi="新宋体" w:eastAsia="新宋体" w:cs="新宋体"/>
          <w:b/>
          <w:sz w:val="36"/>
          <w:szCs w:val="36"/>
        </w:rPr>
      </w:pPr>
      <w:bookmarkStart w:id="0" w:name="_Hlt101843627"/>
      <w:bookmarkEnd w:id="0"/>
      <w:bookmarkStart w:id="1" w:name="_Hlt101233737"/>
      <w:bookmarkEnd w:id="1"/>
      <w:bookmarkStart w:id="2" w:name="_Toc217446030"/>
      <w:bookmarkStart w:id="3" w:name="_Toc183682338"/>
    </w:p>
    <w:p>
      <w:pPr>
        <w:spacing w:line="240" w:lineRule="atLeast"/>
        <w:ind w:firstLine="1084" w:firstLineChars="300"/>
        <w:jc w:val="left"/>
        <w:rPr>
          <w:rFonts w:ascii="新宋体" w:hAnsi="新宋体" w:eastAsia="新宋体" w:cs="新宋体"/>
          <w:b/>
          <w:sz w:val="36"/>
          <w:szCs w:val="36"/>
        </w:rPr>
      </w:pPr>
    </w:p>
    <w:p>
      <w:pPr>
        <w:pStyle w:val="12"/>
        <w:rPr>
          <w:rFonts w:ascii="新宋体" w:hAnsi="新宋体" w:eastAsia="新宋体" w:cs="新宋体"/>
          <w:b/>
          <w:sz w:val="36"/>
          <w:szCs w:val="36"/>
        </w:rPr>
      </w:pPr>
    </w:p>
    <w:p>
      <w:pPr>
        <w:rPr>
          <w:rFonts w:ascii="新宋体" w:hAnsi="新宋体" w:eastAsia="新宋体" w:cs="新宋体"/>
          <w:b/>
          <w:sz w:val="36"/>
          <w:szCs w:val="36"/>
        </w:rPr>
      </w:pPr>
    </w:p>
    <w:p>
      <w:pPr>
        <w:pStyle w:val="12"/>
        <w:rPr>
          <w:rFonts w:ascii="新宋体" w:hAnsi="新宋体" w:eastAsia="新宋体" w:cs="新宋体"/>
          <w:b/>
          <w:sz w:val="36"/>
          <w:szCs w:val="36"/>
        </w:rPr>
      </w:pPr>
    </w:p>
    <w:p>
      <w:pPr>
        <w:rPr>
          <w:rFonts w:ascii="新宋体" w:hAnsi="新宋体" w:eastAsia="新宋体" w:cs="新宋体"/>
          <w:b/>
          <w:sz w:val="36"/>
          <w:szCs w:val="36"/>
        </w:rPr>
      </w:pPr>
    </w:p>
    <w:p>
      <w:pPr>
        <w:pStyle w:val="12"/>
      </w:pPr>
    </w:p>
    <w:p>
      <w:pPr>
        <w:spacing w:line="360" w:lineRule="exact"/>
        <w:jc w:val="center"/>
        <w:rPr>
          <w:rFonts w:ascii="新宋体" w:hAnsi="新宋体" w:eastAsia="新宋体" w:cs="新宋体"/>
          <w:b/>
          <w:sz w:val="36"/>
          <w:szCs w:val="36"/>
          <w:u w:val="single"/>
        </w:rPr>
      </w:pPr>
      <w:r>
        <w:rPr>
          <w:rFonts w:hint="eastAsia" w:ascii="新宋体" w:hAnsi="新宋体" w:eastAsia="新宋体" w:cs="新宋体"/>
          <w:b/>
          <w:sz w:val="36"/>
          <w:szCs w:val="36"/>
        </w:rPr>
        <w:t xml:space="preserve"> </w:t>
      </w:r>
      <w:r>
        <w:rPr>
          <w:rFonts w:ascii="新宋体" w:hAnsi="新宋体" w:eastAsia="新宋体" w:cs="新宋体"/>
          <w:b/>
          <w:sz w:val="36"/>
          <w:szCs w:val="36"/>
        </w:rPr>
        <w:t xml:space="preserve">   </w:t>
      </w:r>
      <w:r>
        <w:rPr>
          <w:rFonts w:hint="eastAsia" w:ascii="新宋体" w:hAnsi="新宋体" w:eastAsia="新宋体" w:cs="新宋体"/>
          <w:b/>
          <w:sz w:val="36"/>
          <w:szCs w:val="36"/>
        </w:rPr>
        <w:t xml:space="preserve">采 </w:t>
      </w:r>
      <w:r>
        <w:rPr>
          <w:rFonts w:ascii="新宋体" w:hAnsi="新宋体" w:eastAsia="新宋体" w:cs="新宋体"/>
          <w:b/>
          <w:sz w:val="36"/>
          <w:szCs w:val="36"/>
        </w:rPr>
        <w:t xml:space="preserve">  </w:t>
      </w:r>
      <w:r>
        <w:rPr>
          <w:rFonts w:hint="eastAsia" w:ascii="新宋体" w:hAnsi="新宋体" w:eastAsia="新宋体" w:cs="新宋体"/>
          <w:b/>
          <w:sz w:val="36"/>
          <w:szCs w:val="36"/>
        </w:rPr>
        <w:t xml:space="preserve">购 </w:t>
      </w:r>
      <w:r>
        <w:rPr>
          <w:rFonts w:ascii="新宋体" w:hAnsi="新宋体" w:eastAsia="新宋体" w:cs="新宋体"/>
          <w:b/>
          <w:sz w:val="36"/>
          <w:szCs w:val="36"/>
        </w:rPr>
        <w:t xml:space="preserve"> </w:t>
      </w:r>
      <w:r>
        <w:rPr>
          <w:rFonts w:hint="eastAsia" w:ascii="新宋体" w:hAnsi="新宋体" w:eastAsia="新宋体" w:cs="新宋体"/>
          <w:b/>
          <w:sz w:val="36"/>
          <w:szCs w:val="36"/>
        </w:rPr>
        <w:t xml:space="preserve"> 人：拉萨市第一中等职业技术学校</w:t>
      </w:r>
    </w:p>
    <w:p>
      <w:pPr>
        <w:spacing w:line="360" w:lineRule="exact"/>
        <w:ind w:firstLine="1084" w:firstLineChars="300"/>
        <w:rPr>
          <w:rFonts w:ascii="新宋体" w:hAnsi="新宋体" w:eastAsia="新宋体" w:cs="新宋体"/>
          <w:b/>
          <w:sz w:val="36"/>
          <w:szCs w:val="36"/>
          <w:u w:val="single"/>
        </w:rPr>
      </w:pPr>
    </w:p>
    <w:p>
      <w:pPr>
        <w:spacing w:line="360" w:lineRule="exact"/>
        <w:ind w:firstLine="1084" w:firstLineChars="300"/>
        <w:rPr>
          <w:rFonts w:ascii="新宋体" w:hAnsi="新宋体" w:eastAsia="新宋体" w:cs="新宋体"/>
          <w:b/>
          <w:sz w:val="36"/>
          <w:szCs w:val="36"/>
        </w:rPr>
      </w:pPr>
    </w:p>
    <w:p>
      <w:pPr>
        <w:pStyle w:val="23"/>
        <w:spacing w:beforeAutospacing="0" w:afterAutospacing="0" w:line="520" w:lineRule="atLeast"/>
        <w:ind w:firstLine="1840" w:firstLineChars="509"/>
        <w:rPr>
          <w:rFonts w:ascii="Helvetica" w:hAnsi="Helvetica" w:eastAsia="Helvetica" w:cs="Helvetica"/>
          <w:sz w:val="28"/>
          <w:szCs w:val="28"/>
        </w:rPr>
      </w:pPr>
      <w:r>
        <w:rPr>
          <w:rFonts w:hint="eastAsia" w:ascii="新宋体" w:hAnsi="新宋体" w:eastAsia="新宋体" w:cs="新宋体"/>
          <w:b/>
          <w:sz w:val="36"/>
          <w:szCs w:val="36"/>
        </w:rPr>
        <w:t>采购代理机构：</w:t>
      </w:r>
      <w:r>
        <w:rPr>
          <w:rFonts w:ascii="Helvetica" w:hAnsi="Helvetica" w:eastAsia="Helvetica" w:cs="Helvetica"/>
          <w:b/>
          <w:bCs/>
          <w:sz w:val="28"/>
          <w:szCs w:val="28"/>
        </w:rPr>
        <w:t>永道工程咨询（江苏）有限公司</w:t>
      </w:r>
    </w:p>
    <w:p>
      <w:pPr>
        <w:spacing w:line="360" w:lineRule="exact"/>
        <w:ind w:firstLine="723" w:firstLineChars="200"/>
        <w:rPr>
          <w:rFonts w:hAnsi="宋体"/>
          <w:b/>
          <w:sz w:val="36"/>
          <w:szCs w:val="36"/>
          <w:u w:val="single"/>
        </w:rPr>
      </w:pPr>
    </w:p>
    <w:p>
      <w:pPr>
        <w:spacing w:line="360" w:lineRule="exact"/>
        <w:ind w:firstLine="361" w:firstLineChars="100"/>
        <w:jc w:val="center"/>
        <w:rPr>
          <w:rFonts w:ascii="新宋体" w:hAnsi="新宋体" w:eastAsia="新宋体" w:cs="新宋体"/>
          <w:b/>
          <w:sz w:val="36"/>
          <w:szCs w:val="36"/>
        </w:rPr>
      </w:pPr>
    </w:p>
    <w:p>
      <w:pPr>
        <w:spacing w:line="360" w:lineRule="exact"/>
        <w:jc w:val="center"/>
        <w:rPr>
          <w:rFonts w:ascii="新宋体" w:hAnsi="新宋体" w:eastAsia="新宋体" w:cs="新宋体"/>
          <w:b/>
          <w:sz w:val="36"/>
          <w:szCs w:val="36"/>
        </w:rPr>
      </w:pPr>
    </w:p>
    <w:p>
      <w:pPr>
        <w:spacing w:line="360" w:lineRule="exact"/>
        <w:rPr>
          <w:rFonts w:ascii="新宋体" w:hAnsi="新宋体" w:eastAsia="新宋体" w:cs="新宋体"/>
          <w:b/>
          <w:sz w:val="36"/>
          <w:szCs w:val="36"/>
        </w:rPr>
      </w:pPr>
    </w:p>
    <w:p>
      <w:pPr>
        <w:spacing w:line="360" w:lineRule="exact"/>
        <w:jc w:val="center"/>
        <w:rPr>
          <w:rFonts w:ascii="新宋体" w:hAnsi="新宋体" w:eastAsia="新宋体" w:cs="新宋体"/>
          <w:b/>
          <w:sz w:val="36"/>
          <w:szCs w:val="36"/>
        </w:rPr>
      </w:pPr>
      <w:r>
        <w:rPr>
          <w:rFonts w:hint="eastAsia" w:ascii="新宋体" w:hAnsi="新宋体" w:eastAsia="新宋体" w:cs="新宋体"/>
          <w:b/>
          <w:sz w:val="36"/>
          <w:szCs w:val="36"/>
        </w:rPr>
        <w:t>202</w:t>
      </w:r>
      <w:r>
        <w:rPr>
          <w:rFonts w:hint="eastAsia" w:ascii="新宋体" w:hAnsi="新宋体" w:eastAsia="新宋体" w:cs="新宋体"/>
          <w:b/>
          <w:sz w:val="36"/>
          <w:szCs w:val="36"/>
          <w:lang w:val="en-US" w:eastAsia="zh-CN"/>
        </w:rPr>
        <w:t>3</w:t>
      </w:r>
      <w:r>
        <w:rPr>
          <w:rFonts w:hint="eastAsia" w:ascii="新宋体" w:hAnsi="新宋体" w:eastAsia="新宋体" w:cs="新宋体"/>
          <w:b/>
          <w:sz w:val="36"/>
          <w:szCs w:val="36"/>
        </w:rPr>
        <w:t>年</w:t>
      </w:r>
      <w:r>
        <w:rPr>
          <w:rFonts w:hint="eastAsia" w:ascii="新宋体" w:hAnsi="新宋体" w:eastAsia="新宋体" w:cs="新宋体"/>
          <w:b/>
          <w:sz w:val="36"/>
          <w:szCs w:val="36"/>
          <w:lang w:eastAsia="zh-CN"/>
        </w:rPr>
        <w:t>二</w:t>
      </w:r>
      <w:r>
        <w:rPr>
          <w:rFonts w:hint="eastAsia" w:ascii="新宋体" w:hAnsi="新宋体" w:eastAsia="新宋体" w:cs="新宋体"/>
          <w:b/>
          <w:sz w:val="36"/>
          <w:szCs w:val="36"/>
        </w:rPr>
        <w:t>月</w:t>
      </w:r>
    </w:p>
    <w:p>
      <w:pPr>
        <w:pStyle w:val="8"/>
        <w:spacing w:before="0" w:after="0" w:line="360" w:lineRule="exact"/>
        <w:jc w:val="center"/>
        <w:rPr>
          <w:rFonts w:ascii="新宋体" w:hAnsi="新宋体" w:eastAsia="新宋体" w:cs="新宋体"/>
          <w:bCs w:val="0"/>
          <w:sz w:val="36"/>
        </w:rPr>
        <w:sectPr>
          <w:footerReference r:id="rId3" w:type="default"/>
          <w:pgSz w:w="11907" w:h="16840"/>
          <w:pgMar w:top="1440" w:right="1080" w:bottom="1440" w:left="686" w:header="471" w:footer="992" w:gutter="0"/>
          <w:pgNumType w:fmt="decimalFullWidth"/>
          <w:cols w:space="720" w:num="1"/>
          <w:docGrid w:linePitch="312" w:charSpace="0"/>
        </w:sectPr>
      </w:pPr>
    </w:p>
    <w:p>
      <w:pPr>
        <w:rPr>
          <w:rFonts w:ascii="新宋体" w:hAnsi="新宋体" w:eastAsia="新宋体" w:cs="新宋体"/>
        </w:rPr>
      </w:pPr>
    </w:p>
    <w:p>
      <w:pPr>
        <w:jc w:val="center"/>
        <w:rPr>
          <w:rFonts w:ascii="新宋体" w:hAnsi="新宋体" w:eastAsia="新宋体" w:cs="新宋体"/>
          <w:b/>
          <w:sz w:val="44"/>
        </w:rPr>
      </w:pPr>
      <w:bookmarkStart w:id="4" w:name="_Toc12069"/>
      <w:r>
        <w:rPr>
          <w:rFonts w:hint="eastAsia" w:ascii="新宋体" w:hAnsi="新宋体" w:eastAsia="新宋体" w:cs="新宋体"/>
          <w:b/>
          <w:sz w:val="44"/>
        </w:rPr>
        <w:t>目    录</w:t>
      </w:r>
      <w:bookmarkEnd w:id="4"/>
    </w:p>
    <w:p>
      <w:pPr>
        <w:pStyle w:val="21"/>
        <w:tabs>
          <w:tab w:val="right" w:leader="dot" w:pos="9747"/>
        </w:tabs>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TOC \o "1-1" \h \u </w:instrText>
      </w:r>
      <w:r>
        <w:rPr>
          <w:rFonts w:hint="eastAsia" w:ascii="新宋体" w:hAnsi="新宋体" w:eastAsia="新宋体" w:cs="新宋体"/>
          <w:sz w:val="28"/>
          <w:szCs w:val="28"/>
        </w:rPr>
        <w:fldChar w:fldCharType="separate"/>
      </w:r>
      <w:r>
        <w:fldChar w:fldCharType="begin"/>
      </w:r>
      <w:r>
        <w:instrText xml:space="preserve"> HYPERLINK \l "_Toc23236" </w:instrText>
      </w:r>
      <w:r>
        <w:fldChar w:fldCharType="separate"/>
      </w:r>
      <w:r>
        <w:rPr>
          <w:rFonts w:hint="eastAsia" w:ascii="新宋体" w:hAnsi="新宋体" w:eastAsia="新宋体" w:cs="新宋体"/>
        </w:rPr>
        <w:t>第一章  招标公告</w:t>
      </w:r>
      <w:r>
        <w:tab/>
      </w:r>
      <w:r>
        <w:fldChar w:fldCharType="begin"/>
      </w:r>
      <w:r>
        <w:instrText xml:space="preserve"> PAGEREF _Toc23236 \h </w:instrText>
      </w:r>
      <w:r>
        <w:fldChar w:fldCharType="separate"/>
      </w:r>
      <w:r>
        <w:t>2</w:t>
      </w:r>
      <w:r>
        <w:fldChar w:fldCharType="end"/>
      </w:r>
      <w:r>
        <w:fldChar w:fldCharType="end"/>
      </w:r>
    </w:p>
    <w:p>
      <w:pPr>
        <w:pStyle w:val="21"/>
        <w:tabs>
          <w:tab w:val="right" w:leader="dot" w:pos="9747"/>
        </w:tabs>
      </w:pPr>
      <w:r>
        <w:fldChar w:fldCharType="begin"/>
      </w:r>
      <w:r>
        <w:instrText xml:space="preserve"> HYPERLINK \l "_Toc32467" </w:instrText>
      </w:r>
      <w:r>
        <w:fldChar w:fldCharType="separate"/>
      </w:r>
      <w:r>
        <w:rPr>
          <w:rFonts w:hint="eastAsia" w:ascii="新宋体" w:hAnsi="新宋体" w:eastAsia="新宋体" w:cs="新宋体"/>
        </w:rPr>
        <w:t>第二章  投标供应商须知</w:t>
      </w:r>
      <w:r>
        <w:tab/>
      </w:r>
      <w:r>
        <w:fldChar w:fldCharType="begin"/>
      </w:r>
      <w:r>
        <w:instrText xml:space="preserve"> PAGEREF _Toc32467 \h </w:instrText>
      </w:r>
      <w:r>
        <w:fldChar w:fldCharType="separate"/>
      </w:r>
      <w:r>
        <w:t>5</w:t>
      </w:r>
      <w:r>
        <w:fldChar w:fldCharType="end"/>
      </w:r>
      <w:r>
        <w:fldChar w:fldCharType="end"/>
      </w:r>
    </w:p>
    <w:p>
      <w:pPr>
        <w:pStyle w:val="21"/>
        <w:tabs>
          <w:tab w:val="right" w:leader="dot" w:pos="9747"/>
        </w:tabs>
      </w:pPr>
      <w:r>
        <w:fldChar w:fldCharType="begin"/>
      </w:r>
      <w:r>
        <w:instrText xml:space="preserve"> HYPERLINK \l "_Toc7798" </w:instrText>
      </w:r>
      <w:r>
        <w:fldChar w:fldCharType="separate"/>
      </w:r>
      <w:r>
        <w:rPr>
          <w:rFonts w:hint="eastAsia" w:ascii="新宋体" w:hAnsi="新宋体" w:eastAsia="新宋体" w:cs="新宋体"/>
        </w:rPr>
        <w:t>第三章 投标文件格式</w:t>
      </w:r>
      <w:r>
        <w:tab/>
      </w:r>
      <w:r>
        <w:fldChar w:fldCharType="begin"/>
      </w:r>
      <w:r>
        <w:instrText xml:space="preserve"> PAGEREF _Toc7798 \h </w:instrText>
      </w:r>
      <w:r>
        <w:fldChar w:fldCharType="separate"/>
      </w:r>
      <w:r>
        <w:t>23</w:t>
      </w:r>
      <w:r>
        <w:fldChar w:fldCharType="end"/>
      </w:r>
      <w:r>
        <w:fldChar w:fldCharType="end"/>
      </w:r>
    </w:p>
    <w:p>
      <w:pPr>
        <w:pStyle w:val="21"/>
        <w:tabs>
          <w:tab w:val="right" w:leader="dot" w:pos="9747"/>
        </w:tabs>
      </w:pPr>
      <w:r>
        <w:fldChar w:fldCharType="begin"/>
      </w:r>
      <w:r>
        <w:instrText xml:space="preserve"> HYPERLINK \l "_Toc24909" </w:instrText>
      </w:r>
      <w:r>
        <w:fldChar w:fldCharType="separate"/>
      </w:r>
      <w:r>
        <w:rPr>
          <w:rFonts w:hint="eastAsia" w:ascii="新宋体" w:hAnsi="新宋体" w:eastAsia="新宋体" w:cs="新宋体"/>
        </w:rPr>
        <w:t>第四章  投标供应商和投标产品的资格、资质性及其他类似效力要求</w:t>
      </w:r>
      <w:r>
        <w:tab/>
      </w:r>
      <w:r>
        <w:fldChar w:fldCharType="begin"/>
      </w:r>
      <w:r>
        <w:instrText xml:space="preserve"> PAGEREF _Toc24909 \h </w:instrText>
      </w:r>
      <w:r>
        <w:fldChar w:fldCharType="separate"/>
      </w:r>
      <w:r>
        <w:t>47</w:t>
      </w:r>
      <w:r>
        <w:fldChar w:fldCharType="end"/>
      </w:r>
      <w:r>
        <w:fldChar w:fldCharType="end"/>
      </w:r>
    </w:p>
    <w:p>
      <w:pPr>
        <w:pStyle w:val="21"/>
        <w:tabs>
          <w:tab w:val="right" w:leader="dot" w:pos="9747"/>
        </w:tabs>
      </w:pPr>
      <w:r>
        <w:fldChar w:fldCharType="begin"/>
      </w:r>
      <w:r>
        <w:instrText xml:space="preserve"> HYPERLINK \l "_Toc9204" </w:instrText>
      </w:r>
      <w:r>
        <w:fldChar w:fldCharType="separate"/>
      </w:r>
      <w:r>
        <w:rPr>
          <w:rFonts w:hint="eastAsia" w:ascii="新宋体" w:hAnsi="新宋体" w:eastAsia="新宋体" w:cs="新宋体"/>
        </w:rPr>
        <w:t>第六章 招标项目采购清单技术、服务及其他要求</w:t>
      </w:r>
      <w:r>
        <w:tab/>
      </w:r>
      <w:r>
        <w:fldChar w:fldCharType="begin"/>
      </w:r>
      <w:r>
        <w:instrText xml:space="preserve"> PAGEREF _Toc9204 \h </w:instrText>
      </w:r>
      <w:r>
        <w:fldChar w:fldCharType="separate"/>
      </w:r>
      <w:r>
        <w:t>50</w:t>
      </w:r>
      <w:r>
        <w:fldChar w:fldCharType="end"/>
      </w:r>
      <w:r>
        <w:fldChar w:fldCharType="end"/>
      </w:r>
    </w:p>
    <w:p>
      <w:pPr>
        <w:pStyle w:val="21"/>
        <w:tabs>
          <w:tab w:val="right" w:leader="dot" w:pos="9747"/>
        </w:tabs>
      </w:pPr>
      <w:r>
        <w:fldChar w:fldCharType="begin"/>
      </w:r>
      <w:r>
        <w:instrText xml:space="preserve"> HYPERLINK \l "_Toc9710" </w:instrText>
      </w:r>
      <w:r>
        <w:fldChar w:fldCharType="separate"/>
      </w:r>
      <w:r>
        <w:rPr>
          <w:rFonts w:hint="eastAsia" w:ascii="新宋体" w:hAnsi="新宋体" w:eastAsia="新宋体" w:cs="新宋体"/>
          <w:bCs/>
          <w:kern w:val="44"/>
          <w:szCs w:val="44"/>
        </w:rPr>
        <w:t>第七章  评标办法</w:t>
      </w:r>
      <w:r>
        <w:tab/>
      </w:r>
      <w:r>
        <w:fldChar w:fldCharType="begin"/>
      </w:r>
      <w:r>
        <w:instrText xml:space="preserve"> PAGEREF _Toc9710 \h </w:instrText>
      </w:r>
      <w:r>
        <w:fldChar w:fldCharType="separate"/>
      </w:r>
      <w:r>
        <w:t>106</w:t>
      </w:r>
      <w:r>
        <w:fldChar w:fldCharType="end"/>
      </w:r>
      <w:r>
        <w:fldChar w:fldCharType="end"/>
      </w:r>
    </w:p>
    <w:p>
      <w:pPr>
        <w:pStyle w:val="21"/>
        <w:tabs>
          <w:tab w:val="right" w:leader="dot" w:pos="9747"/>
        </w:tabs>
      </w:pPr>
      <w:r>
        <w:fldChar w:fldCharType="begin"/>
      </w:r>
      <w:r>
        <w:instrText xml:space="preserve"> HYPERLINK \l "_Toc28312" </w:instrText>
      </w:r>
      <w:r>
        <w:fldChar w:fldCharType="separate"/>
      </w:r>
      <w:r>
        <w:rPr>
          <w:rFonts w:hint="eastAsia" w:ascii="新宋体" w:hAnsi="新宋体" w:eastAsia="新宋体" w:cs="新宋体"/>
          <w:bCs/>
          <w:kern w:val="44"/>
          <w:szCs w:val="44"/>
        </w:rPr>
        <w:t>第八章  政府采购合同（样例）</w:t>
      </w:r>
      <w:r>
        <w:tab/>
      </w:r>
      <w:r>
        <w:fldChar w:fldCharType="begin"/>
      </w:r>
      <w:r>
        <w:instrText xml:space="preserve"> PAGEREF _Toc28312 \h </w:instrText>
      </w:r>
      <w:r>
        <w:fldChar w:fldCharType="separate"/>
      </w:r>
      <w:r>
        <w:t>121</w:t>
      </w:r>
      <w:r>
        <w:fldChar w:fldCharType="end"/>
      </w:r>
      <w:r>
        <w:fldChar w:fldCharType="end"/>
      </w:r>
    </w:p>
    <w:p>
      <w:pPr>
        <w:pStyle w:val="21"/>
        <w:tabs>
          <w:tab w:val="right" w:leader="dot" w:pos="9747"/>
        </w:tabs>
      </w:pPr>
      <w:r>
        <w:fldChar w:fldCharType="begin"/>
      </w:r>
      <w:r>
        <w:instrText xml:space="preserve"> HYPERLINK \l "_Toc27455" </w:instrText>
      </w:r>
      <w:r>
        <w:fldChar w:fldCharType="separate"/>
      </w:r>
      <w:r>
        <w:rPr>
          <w:rFonts w:hint="eastAsia" w:eastAsia="新宋体"/>
        </w:rPr>
        <w:t xml:space="preserve">第九章  </w:t>
      </w:r>
      <w:r>
        <w:rPr>
          <w:rFonts w:hint="eastAsia"/>
        </w:rPr>
        <w:t>采购项目履约验收标准和要求</w:t>
      </w:r>
      <w:r>
        <w:tab/>
      </w:r>
      <w:r>
        <w:fldChar w:fldCharType="begin"/>
      </w:r>
      <w:r>
        <w:instrText xml:space="preserve"> PAGEREF _Toc27455 \h </w:instrText>
      </w:r>
      <w:r>
        <w:fldChar w:fldCharType="separate"/>
      </w:r>
      <w:r>
        <w:t>127</w:t>
      </w:r>
      <w:r>
        <w:fldChar w:fldCharType="end"/>
      </w:r>
      <w:r>
        <w:fldChar w:fldCharType="end"/>
      </w:r>
    </w:p>
    <w:p>
      <w:pPr>
        <w:pStyle w:val="21"/>
        <w:tabs>
          <w:tab w:val="right" w:leader="dot" w:pos="9747"/>
        </w:tabs>
      </w:pPr>
      <w:r>
        <w:fldChar w:fldCharType="begin"/>
      </w:r>
      <w:r>
        <w:instrText xml:space="preserve"> HYPERLINK \l "_Toc30473" </w:instrText>
      </w:r>
      <w:r>
        <w:fldChar w:fldCharType="separate"/>
      </w:r>
      <w:r>
        <w:rPr>
          <w:rFonts w:hint="eastAsia" w:ascii="新宋体" w:hAnsi="新宋体" w:eastAsia="新宋体" w:cs="新宋体"/>
          <w:szCs w:val="36"/>
        </w:rPr>
        <w:t>第十章  保证金退还申请表</w:t>
      </w:r>
      <w:r>
        <w:tab/>
      </w:r>
      <w:r>
        <w:fldChar w:fldCharType="begin"/>
      </w:r>
      <w:r>
        <w:instrText xml:space="preserve"> PAGEREF _Toc30473 \h </w:instrText>
      </w:r>
      <w:r>
        <w:fldChar w:fldCharType="separate"/>
      </w:r>
      <w:r>
        <w:t>129</w:t>
      </w:r>
      <w:r>
        <w:fldChar w:fldCharType="end"/>
      </w:r>
      <w:r>
        <w:fldChar w:fldCharType="end"/>
      </w:r>
    </w:p>
    <w:p>
      <w:pPr>
        <w:rPr>
          <w:rFonts w:ascii="新宋体" w:hAnsi="新宋体" w:eastAsia="新宋体" w:cs="新宋体"/>
          <w:sz w:val="28"/>
          <w:szCs w:val="28"/>
        </w:rPr>
      </w:pPr>
      <w:r>
        <w:rPr>
          <w:rFonts w:hint="eastAsia" w:ascii="新宋体" w:hAnsi="新宋体" w:eastAsia="新宋体" w:cs="新宋体"/>
          <w:szCs w:val="28"/>
        </w:rPr>
        <w:fldChar w:fldCharType="end"/>
      </w:r>
    </w:p>
    <w:p>
      <w:pPr>
        <w:outlineLvl w:val="0"/>
        <w:rPr>
          <w:rFonts w:ascii="新宋体" w:hAnsi="新宋体" w:eastAsia="新宋体" w:cs="新宋体"/>
        </w:rPr>
      </w:pPr>
      <w:r>
        <w:rPr>
          <w:rFonts w:hint="eastAsia" w:ascii="新宋体" w:hAnsi="新宋体" w:eastAsia="新宋体" w:cs="新宋体"/>
        </w:rPr>
        <w:br w:type="page"/>
      </w:r>
    </w:p>
    <w:p>
      <w:pPr>
        <w:spacing w:before="104"/>
        <w:ind w:firstLine="4019"/>
        <w:rPr>
          <w:rFonts w:ascii="宋体" w:hAnsi="宋体" w:cs="宋体"/>
          <w:sz w:val="32"/>
          <w:szCs w:val="32"/>
        </w:rPr>
      </w:pPr>
      <w:bookmarkStart w:id="5" w:name="_Toc6743"/>
      <w:bookmarkStart w:id="6" w:name="_Toc23236"/>
      <w:bookmarkStart w:id="7" w:name="_Toc12289"/>
      <w:r>
        <w:rPr>
          <w:rFonts w:hint="eastAsia" w:ascii="宋体" w:hAnsi="宋体" w:cs="宋体"/>
          <w:spacing w:val="-3"/>
          <w:sz w:val="32"/>
          <w:szCs w:val="32"/>
          <w14:textOutline w14:w="5791" w14:cap="sq" w14:cmpd="sng" w14:algn="ctr">
            <w14:solidFill>
              <w14:srgbClr w14:val="000000"/>
            </w14:solidFill>
            <w14:prstDash w14:val="solid"/>
            <w14:bevel/>
          </w14:textOutline>
        </w:rPr>
        <w:t xml:space="preserve">第一章 </w:t>
      </w:r>
      <w:r>
        <w:rPr>
          <w:rFonts w:hint="eastAsia" w:ascii="新宋体" w:hAnsi="新宋体" w:eastAsia="新宋体" w:cs="新宋体"/>
        </w:rPr>
        <w:t xml:space="preserve"> </w:t>
      </w:r>
      <w:bookmarkEnd w:id="2"/>
      <w:bookmarkEnd w:id="3"/>
      <w:bookmarkEnd w:id="5"/>
      <w:bookmarkEnd w:id="6"/>
      <w:bookmarkEnd w:id="7"/>
      <w:bookmarkStart w:id="8" w:name="_Toc213396759"/>
      <w:bookmarkStart w:id="9" w:name="_Toc217446031"/>
      <w:bookmarkStart w:id="10" w:name="_Toc213496267"/>
      <w:bookmarkStart w:id="11" w:name="_Toc20736"/>
      <w:bookmarkStart w:id="12" w:name="_Toc213397009"/>
      <w:bookmarkStart w:id="13" w:name="_Toc7915"/>
      <w:bookmarkStart w:id="14" w:name="_Toc213396945"/>
      <w:bookmarkStart w:id="15" w:name="_Toc77400776"/>
      <w:bookmarkStart w:id="16" w:name="_Toc89075871"/>
      <w:bookmarkStart w:id="17" w:name="_Toc183582202"/>
      <w:bookmarkStart w:id="18" w:name="_Toc183682339"/>
      <w:r>
        <w:rPr>
          <w:rFonts w:ascii="宋体" w:hAnsi="宋体" w:cs="宋体"/>
          <w:spacing w:val="-3"/>
          <w:sz w:val="32"/>
          <w:szCs w:val="32"/>
          <w14:textOutline w14:w="5791" w14:cap="sq" w14:cmpd="sng" w14:algn="ctr">
            <w14:solidFill>
              <w14:srgbClr w14:val="000000"/>
            </w14:solidFill>
            <w14:prstDash w14:val="solid"/>
            <w14:bevel/>
          </w14:textOutline>
        </w:rPr>
        <w:t>招标公告</w:t>
      </w:r>
    </w:p>
    <w:p>
      <w:pPr>
        <w:pStyle w:val="23"/>
        <w:spacing w:beforeAutospacing="0" w:afterAutospacing="0" w:line="520" w:lineRule="atLeast"/>
        <w:ind w:firstLine="440"/>
        <w:rPr>
          <w:sz w:val="28"/>
          <w:szCs w:val="28"/>
        </w:rPr>
      </w:pPr>
      <w:r>
        <w:rPr>
          <w:rFonts w:ascii="Helvetica" w:hAnsi="Helvetica" w:eastAsia="Helvetica" w:cs="Helvetica"/>
          <w:sz w:val="28"/>
          <w:szCs w:val="28"/>
        </w:rPr>
        <w:t>项目概况</w:t>
      </w:r>
    </w:p>
    <w:p>
      <w:pPr>
        <w:pStyle w:val="23"/>
        <w:spacing w:beforeAutospacing="0" w:afterAutospacing="0" w:line="520" w:lineRule="atLeast"/>
        <w:ind w:firstLine="440"/>
        <w:rPr>
          <w:sz w:val="28"/>
          <w:szCs w:val="28"/>
        </w:rPr>
      </w:pPr>
      <w:r>
        <w:rPr>
          <w:rFonts w:ascii="Helvetica" w:hAnsi="Helvetica" w:eastAsia="Helvetica" w:cs="Helvetica"/>
          <w:sz w:val="28"/>
          <w:szCs w:val="28"/>
        </w:rPr>
        <w:t xml:space="preserve"> 拉萨市第一中等职业技术学校虚拟仿真实训实验室建设项目的潜在投标人应在通过</w:t>
      </w:r>
      <w:r>
        <w:rPr>
          <w:rFonts w:hint="eastAsia" w:ascii="仿宋" w:hAnsi="仿宋" w:eastAsia="仿宋" w:cs="仿宋"/>
          <w:b/>
          <w:bCs/>
          <w:sz w:val="28"/>
          <w:szCs w:val="28"/>
          <w:shd w:val="clear" w:color="auto" w:fill="FFFFFF"/>
        </w:rPr>
        <w:t>拉萨市公共资源交易网（</w:t>
      </w:r>
      <w:r>
        <w:fldChar w:fldCharType="begin"/>
      </w:r>
      <w:r>
        <w:instrText xml:space="preserve"> HYPERLINK "http://ggzy.lasa.gov.cn/%EF%BC%89%E4%B8%8B%E8%BD%BD%E8%8E%B7%E5%8F%96%E6%8B%9B%E6%A0%87%E6%96%87%E4%BB%B6%EF%BC%8C%E5%B9%B6%E4%BA%8E2021%E5%B9%B4" </w:instrText>
      </w:r>
      <w:r>
        <w:fldChar w:fldCharType="separate"/>
      </w:r>
      <w:r>
        <w:rPr>
          <w:rStyle w:val="31"/>
          <w:rFonts w:hint="default" w:ascii="仿宋" w:hAnsi="仿宋" w:eastAsia="仿宋" w:cs="仿宋"/>
          <w:b/>
          <w:bCs/>
          <w:color w:val="auto"/>
          <w:sz w:val="28"/>
          <w:szCs w:val="28"/>
          <w:u w:val="none"/>
          <w:shd w:val="clear" w:color="auto" w:fill="FFFFFF"/>
        </w:rPr>
        <w:t>http://ggzy.lasa.gov.cn/）</w:t>
      </w:r>
      <w:r>
        <w:rPr>
          <w:rStyle w:val="31"/>
          <w:rFonts w:hint="default" w:ascii="仿宋" w:hAnsi="仿宋" w:eastAsia="仿宋" w:cs="仿宋"/>
          <w:b/>
          <w:bCs/>
          <w:color w:val="auto"/>
          <w:sz w:val="28"/>
          <w:szCs w:val="28"/>
          <w:u w:val="none"/>
          <w:shd w:val="clear" w:color="auto" w:fill="FFFFFF"/>
        </w:rPr>
        <w:fldChar w:fldCharType="end"/>
      </w:r>
      <w:r>
        <w:rPr>
          <w:rFonts w:ascii="Helvetica" w:hAnsi="Helvetica" w:eastAsia="Helvetica" w:cs="Helvetica"/>
          <w:sz w:val="28"/>
          <w:szCs w:val="28"/>
        </w:rPr>
        <w:t>获取采购文件，并于</w:t>
      </w:r>
      <w:r>
        <w:rPr>
          <w:rFonts w:ascii="Helvetica" w:hAnsi="Helvetica" w:eastAsia="Helvetica" w:cs="Helvetica"/>
          <w:sz w:val="28"/>
          <w:szCs w:val="28"/>
          <w:u w:val="single"/>
        </w:rPr>
        <w:t>202</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年</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月</w:t>
      </w:r>
      <w:r>
        <w:rPr>
          <w:rFonts w:hint="eastAsia" w:ascii="Helvetica" w:hAnsi="Helvetica" w:eastAsia="宋体" w:cs="Helvetica"/>
          <w:sz w:val="28"/>
          <w:szCs w:val="28"/>
          <w:u w:val="single"/>
          <w:lang w:val="en-US" w:eastAsia="zh-CN"/>
        </w:rPr>
        <w:t>29</w:t>
      </w:r>
      <w:r>
        <w:rPr>
          <w:rFonts w:ascii="Helvetica" w:hAnsi="Helvetica" w:eastAsia="Helvetica" w:cs="Helvetica"/>
          <w:sz w:val="28"/>
          <w:szCs w:val="28"/>
          <w:u w:val="single"/>
        </w:rPr>
        <w:t>日</w:t>
      </w:r>
      <w:r>
        <w:rPr>
          <w:rFonts w:hint="eastAsia" w:ascii="Helvetica" w:hAnsi="Helvetica" w:cs="Helvetica"/>
          <w:sz w:val="28"/>
          <w:szCs w:val="28"/>
          <w:u w:val="single"/>
          <w:lang w:val="en-US" w:eastAsia="zh-CN"/>
        </w:rPr>
        <w:t>10</w:t>
      </w:r>
      <w:r>
        <w:rPr>
          <w:rFonts w:hint="eastAsia" w:ascii="Helvetica" w:hAnsi="Helvetica" w:cs="Helvetica"/>
          <w:sz w:val="28"/>
          <w:szCs w:val="28"/>
          <w:u w:val="single"/>
        </w:rPr>
        <w:t xml:space="preserve"> </w:t>
      </w:r>
      <w:r>
        <w:rPr>
          <w:rFonts w:ascii="Helvetica" w:hAnsi="Helvetica" w:eastAsia="Helvetica" w:cs="Helvetica"/>
          <w:sz w:val="28"/>
          <w:szCs w:val="28"/>
          <w:u w:val="single"/>
        </w:rPr>
        <w:t>时</w:t>
      </w:r>
      <w:r>
        <w:rPr>
          <w:rFonts w:hint="eastAsia" w:ascii="Helvetica" w:hAnsi="Helvetica" w:cs="Helvetica"/>
          <w:sz w:val="28"/>
          <w:szCs w:val="28"/>
          <w:u w:val="single"/>
          <w:lang w:val="en-US" w:eastAsia="zh-CN"/>
        </w:rPr>
        <w:t>00</w:t>
      </w:r>
      <w:r>
        <w:rPr>
          <w:rFonts w:ascii="Helvetica" w:hAnsi="Helvetica" w:eastAsia="Helvetica" w:cs="Helvetica"/>
          <w:sz w:val="28"/>
          <w:szCs w:val="28"/>
          <w:u w:val="single"/>
        </w:rPr>
        <w:t>分</w:t>
      </w:r>
      <w:r>
        <w:rPr>
          <w:rFonts w:ascii="Helvetica" w:hAnsi="Helvetica" w:eastAsia="Helvetica" w:cs="Helvetica"/>
          <w:sz w:val="28"/>
          <w:szCs w:val="28"/>
        </w:rPr>
        <w:t>前递交投标文件。</w:t>
      </w:r>
    </w:p>
    <w:p>
      <w:pPr>
        <w:pStyle w:val="23"/>
        <w:numPr>
          <w:ilvl w:val="0"/>
          <w:numId w:val="3"/>
        </w:numPr>
        <w:spacing w:before="300" w:beforeAutospacing="0" w:after="300" w:afterAutospacing="0" w:line="300" w:lineRule="atLeast"/>
        <w:outlineLvl w:val="1"/>
        <w:rPr>
          <w:rFonts w:ascii="Helvetica" w:hAnsi="Helvetica" w:eastAsia="Helvetica" w:cs="Helvetica"/>
          <w:b/>
          <w:bCs/>
          <w:sz w:val="32"/>
          <w:szCs w:val="32"/>
        </w:rPr>
      </w:pPr>
      <w:bookmarkStart w:id="19" w:name="_Toc27699"/>
      <w:bookmarkEnd w:id="19"/>
      <w:r>
        <w:rPr>
          <w:rFonts w:ascii="Helvetica" w:hAnsi="Helvetica" w:eastAsia="Helvetica" w:cs="Helvetica"/>
          <w:b/>
          <w:bCs/>
          <w:sz w:val="32"/>
          <w:szCs w:val="32"/>
        </w:rPr>
        <w:t>项目基本情况</w:t>
      </w:r>
    </w:p>
    <w:p>
      <w:pPr>
        <w:pStyle w:val="23"/>
        <w:spacing w:before="300" w:beforeAutospacing="0" w:after="300" w:afterAutospacing="0" w:line="300" w:lineRule="atLeast"/>
        <w:outlineLvl w:val="2"/>
        <w:rPr>
          <w:rFonts w:ascii="Helvetica" w:hAnsi="Helvetica" w:cs="Helvetica"/>
          <w:sz w:val="28"/>
          <w:szCs w:val="28"/>
        </w:rPr>
      </w:pPr>
      <w:bookmarkStart w:id="20" w:name="_Toc15181"/>
      <w:bookmarkEnd w:id="20"/>
      <w:r>
        <w:rPr>
          <w:rFonts w:ascii="Helvetica" w:hAnsi="Helvetica" w:eastAsia="Helvetica" w:cs="Helvetica"/>
          <w:sz w:val="28"/>
          <w:szCs w:val="28"/>
        </w:rPr>
        <w:t>项目编号: </w:t>
      </w:r>
      <w:r>
        <w:rPr>
          <w:rFonts w:hint="eastAsia" w:ascii="Helvetica" w:hAnsi="Helvetica" w:cs="Helvetica"/>
          <w:sz w:val="28"/>
          <w:szCs w:val="28"/>
        </w:rPr>
        <w:t>YDXZCG-2254</w:t>
      </w:r>
    </w:p>
    <w:p>
      <w:pPr>
        <w:pStyle w:val="23"/>
        <w:spacing w:before="300" w:beforeAutospacing="0" w:after="300" w:afterAutospacing="0" w:line="300" w:lineRule="atLeast"/>
        <w:rPr>
          <w:rFonts w:ascii="Helvetica" w:hAnsi="Helvetica" w:eastAsia="Helvetica" w:cs="Helvetica"/>
          <w:sz w:val="28"/>
          <w:szCs w:val="28"/>
        </w:rPr>
      </w:pPr>
      <w:r>
        <w:rPr>
          <w:rFonts w:ascii="Helvetica" w:hAnsi="Helvetica" w:eastAsia="Helvetica" w:cs="Helvetica"/>
          <w:sz w:val="28"/>
          <w:szCs w:val="28"/>
        </w:rPr>
        <w:t>项目名称： 拉萨市第一中等职业技术学校虚拟仿真实训实验室建设项目</w:t>
      </w:r>
    </w:p>
    <w:p>
      <w:pPr>
        <w:pStyle w:val="23"/>
        <w:spacing w:beforeAutospacing="0" w:afterAutospacing="0" w:line="510" w:lineRule="atLeast"/>
        <w:rPr>
          <w:rFonts w:ascii="Helvetica" w:hAnsi="Helvetica" w:eastAsia="Helvetica" w:cs="Helvetica"/>
          <w:sz w:val="28"/>
          <w:szCs w:val="28"/>
        </w:rPr>
      </w:pPr>
      <w:r>
        <w:rPr>
          <w:rFonts w:ascii="Helvetica" w:hAnsi="Helvetica" w:eastAsia="Helvetica" w:cs="Helvetica"/>
          <w:sz w:val="28"/>
          <w:szCs w:val="28"/>
        </w:rPr>
        <w:t>采购方式：公开招标</w:t>
      </w:r>
    </w:p>
    <w:p>
      <w:pPr>
        <w:pStyle w:val="23"/>
        <w:spacing w:beforeAutospacing="0" w:afterAutospacing="0" w:line="510" w:lineRule="atLeast"/>
        <w:rPr>
          <w:sz w:val="28"/>
          <w:szCs w:val="28"/>
        </w:rPr>
      </w:pPr>
      <w:r>
        <w:rPr>
          <w:rFonts w:ascii="Helvetica" w:hAnsi="Helvetica" w:eastAsia="Helvetica" w:cs="Helvetica"/>
          <w:sz w:val="28"/>
          <w:szCs w:val="28"/>
        </w:rPr>
        <w:t>预算金额：</w:t>
      </w:r>
      <w:r>
        <w:rPr>
          <w:rFonts w:hint="eastAsia" w:ascii="Helvetica" w:hAnsi="Helvetica" w:cs="Helvetica"/>
          <w:sz w:val="28"/>
          <w:szCs w:val="28"/>
        </w:rPr>
        <w:t>20496676.00</w:t>
      </w:r>
      <w:r>
        <w:rPr>
          <w:rFonts w:ascii="Helvetica" w:hAnsi="Helvetica" w:eastAsia="Helvetica" w:cs="Helvetica"/>
          <w:sz w:val="28"/>
          <w:szCs w:val="28"/>
        </w:rPr>
        <w:t>元</w:t>
      </w:r>
    </w:p>
    <w:p>
      <w:pPr>
        <w:pStyle w:val="23"/>
        <w:spacing w:beforeAutospacing="0" w:afterAutospacing="0" w:line="520" w:lineRule="atLeast"/>
        <w:rPr>
          <w:rFonts w:ascii="Helvetica" w:hAnsi="Helvetica" w:eastAsia="Helvetica" w:cs="Helvetica"/>
          <w:sz w:val="28"/>
          <w:szCs w:val="28"/>
        </w:rPr>
      </w:pPr>
      <w:r>
        <w:rPr>
          <w:rFonts w:ascii="Helvetica" w:hAnsi="Helvetica" w:eastAsia="Helvetica" w:cs="Helvetica"/>
          <w:sz w:val="28"/>
          <w:szCs w:val="28"/>
        </w:rPr>
        <w:t>最高限价：</w:t>
      </w:r>
      <w:r>
        <w:rPr>
          <w:rFonts w:hint="eastAsia" w:ascii="Helvetica" w:hAnsi="Helvetica" w:cs="Helvetica"/>
          <w:sz w:val="28"/>
          <w:szCs w:val="28"/>
        </w:rPr>
        <w:t>20496676.00</w:t>
      </w:r>
      <w:r>
        <w:rPr>
          <w:rFonts w:ascii="Helvetica" w:hAnsi="Helvetica" w:eastAsia="Helvetica" w:cs="Helvetica"/>
          <w:sz w:val="28"/>
          <w:szCs w:val="28"/>
        </w:rPr>
        <w:t>元</w:t>
      </w:r>
    </w:p>
    <w:p>
      <w:pPr>
        <w:pStyle w:val="23"/>
        <w:spacing w:beforeAutospacing="0" w:afterAutospacing="0" w:line="520" w:lineRule="atLeast"/>
        <w:rPr>
          <w:rFonts w:ascii="Helvetica" w:hAnsi="Helvetica" w:eastAsia="Helvetica" w:cs="Helvetica"/>
          <w:sz w:val="28"/>
          <w:szCs w:val="28"/>
        </w:rPr>
      </w:pPr>
      <w:r>
        <w:rPr>
          <w:rFonts w:ascii="Helvetica" w:hAnsi="Helvetica" w:eastAsia="Helvetica" w:cs="Helvetica"/>
          <w:sz w:val="28"/>
          <w:szCs w:val="28"/>
        </w:rPr>
        <w:t>标段划分：共</w:t>
      </w:r>
      <w:r>
        <w:rPr>
          <w:rFonts w:hint="eastAsia" w:ascii="Helvetica" w:hAnsi="Helvetica" w:cs="Helvetica"/>
          <w:sz w:val="28"/>
          <w:szCs w:val="28"/>
        </w:rPr>
        <w:t>八</w:t>
      </w:r>
      <w:r>
        <w:rPr>
          <w:rFonts w:ascii="Helvetica" w:hAnsi="Helvetica" w:eastAsia="Helvetica" w:cs="Helvetica"/>
          <w:sz w:val="28"/>
          <w:szCs w:val="28"/>
        </w:rPr>
        <w:t>个标段</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一标段：公共区域项目，建设资金3736031.00元。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二标段：现代农艺虚拟仿真项目，建设资金3102352.00元。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三标段：智慧畜牧虚拟仿真项目，建设资金3215995.00元。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四标段：汽车维修虚拟仿真项目，建设资金3070132.00元。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五标段：工程机械虚拟仿真项目，建设资金2761382.00元。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六标段：食品加工虚拟仿真项目，建设资金2018012.00元。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七标段：物业服务虚拟仿真项目，建设资金2092772.00元。</w:t>
      </w:r>
    </w:p>
    <w:p>
      <w:pPr>
        <w:pStyle w:val="23"/>
        <w:spacing w:beforeAutospacing="0" w:afterAutospacing="0" w:line="520" w:lineRule="atLeast"/>
        <w:rPr>
          <w:rFonts w:ascii="Helvetica" w:hAnsi="Helvetica" w:cs="Helvetica"/>
          <w:sz w:val="28"/>
          <w:szCs w:val="28"/>
        </w:rPr>
      </w:pPr>
      <w:r>
        <w:rPr>
          <w:rFonts w:hint="eastAsia" w:ascii="Helvetica" w:hAnsi="Helvetica" w:cs="Helvetica"/>
          <w:sz w:val="28"/>
          <w:szCs w:val="28"/>
        </w:rPr>
        <w:t>八标段：驾校培训班机房项目。建设资金50万元。</w:t>
      </w:r>
    </w:p>
    <w:p>
      <w:pPr>
        <w:pStyle w:val="23"/>
        <w:spacing w:beforeAutospacing="0" w:afterAutospacing="0" w:line="520" w:lineRule="atLeast"/>
        <w:ind w:firstLine="440"/>
        <w:rPr>
          <w:sz w:val="28"/>
          <w:szCs w:val="28"/>
        </w:rPr>
      </w:pPr>
      <w:r>
        <w:rPr>
          <w:rFonts w:ascii="Helvetica" w:hAnsi="Helvetica" w:eastAsia="Helvetica" w:cs="Helvetica"/>
          <w:sz w:val="28"/>
          <w:szCs w:val="28"/>
        </w:rPr>
        <w:t>合同履行期限：具体以签订合同为准。</w:t>
      </w:r>
    </w:p>
    <w:p>
      <w:pPr>
        <w:pStyle w:val="23"/>
        <w:spacing w:beforeAutospacing="0" w:afterAutospacing="0" w:line="520" w:lineRule="atLeast"/>
        <w:ind w:firstLine="440"/>
        <w:rPr>
          <w:sz w:val="28"/>
          <w:szCs w:val="28"/>
        </w:rPr>
      </w:pPr>
      <w:r>
        <w:rPr>
          <w:rFonts w:ascii="Helvetica" w:hAnsi="Helvetica" w:eastAsia="Helvetica" w:cs="Helvetica"/>
          <w:sz w:val="28"/>
          <w:szCs w:val="28"/>
        </w:rPr>
        <w:t>本项目</w:t>
      </w:r>
      <w:r>
        <w:rPr>
          <w:rFonts w:hint="eastAsia" w:ascii="Helvetica" w:hAnsi="Helvetica" w:cs="Helvetica"/>
          <w:sz w:val="28"/>
          <w:szCs w:val="28"/>
        </w:rPr>
        <w:t>不</w:t>
      </w:r>
      <w:r>
        <w:rPr>
          <w:rFonts w:ascii="Helvetica" w:hAnsi="Helvetica" w:eastAsia="Helvetica" w:cs="Helvetica"/>
          <w:sz w:val="28"/>
          <w:szCs w:val="28"/>
        </w:rPr>
        <w:t>接受联合体投标。</w:t>
      </w:r>
    </w:p>
    <w:p>
      <w:pPr>
        <w:pStyle w:val="23"/>
        <w:spacing w:beforeAutospacing="0" w:afterAutospacing="0" w:line="520" w:lineRule="atLeast"/>
        <w:ind w:firstLine="440"/>
        <w:rPr>
          <w:sz w:val="28"/>
          <w:szCs w:val="28"/>
        </w:rPr>
      </w:pPr>
      <w:r>
        <w:rPr>
          <w:rFonts w:ascii="Helvetica" w:hAnsi="Helvetica" w:eastAsia="Helvetica" w:cs="Helvetica"/>
          <w:sz w:val="28"/>
          <w:szCs w:val="28"/>
        </w:rPr>
        <w:t>注：具体要求以本采购文件中的相应规则为准。</w:t>
      </w:r>
    </w:p>
    <w:p>
      <w:pPr>
        <w:pStyle w:val="23"/>
        <w:spacing w:before="300" w:beforeAutospacing="0" w:after="300" w:afterAutospacing="0" w:line="300" w:lineRule="atLeast"/>
        <w:outlineLvl w:val="1"/>
        <w:rPr>
          <w:b/>
          <w:bCs/>
          <w:sz w:val="32"/>
          <w:szCs w:val="32"/>
        </w:rPr>
      </w:pPr>
      <w:bookmarkStart w:id="21" w:name="_Toc22674"/>
      <w:bookmarkEnd w:id="21"/>
      <w:r>
        <w:rPr>
          <w:rFonts w:ascii="Helvetica" w:hAnsi="Helvetica" w:eastAsia="Helvetica" w:cs="Helvetica"/>
          <w:b/>
          <w:bCs/>
          <w:sz w:val="32"/>
          <w:szCs w:val="32"/>
        </w:rPr>
        <w:t>二、申请人的资格要求：</w:t>
      </w:r>
    </w:p>
    <w:p>
      <w:pPr>
        <w:pStyle w:val="23"/>
        <w:spacing w:beforeAutospacing="0" w:afterAutospacing="0" w:line="520" w:lineRule="atLeast"/>
        <w:ind w:firstLine="440"/>
        <w:rPr>
          <w:sz w:val="28"/>
          <w:szCs w:val="28"/>
        </w:rPr>
      </w:pPr>
      <w:r>
        <w:rPr>
          <w:rFonts w:ascii="Helvetica" w:hAnsi="Helvetica" w:eastAsia="Helvetica" w:cs="Helvetica"/>
          <w:sz w:val="28"/>
          <w:szCs w:val="28"/>
        </w:rPr>
        <w:t>1.满足《中华人民共和国政府采购法》第二十二条规定；</w:t>
      </w:r>
    </w:p>
    <w:p>
      <w:pPr>
        <w:pStyle w:val="23"/>
        <w:spacing w:beforeAutospacing="0" w:afterAutospacing="0" w:line="510" w:lineRule="atLeast"/>
        <w:ind w:firstLine="440"/>
        <w:rPr>
          <w:sz w:val="28"/>
          <w:szCs w:val="28"/>
        </w:rPr>
      </w:pPr>
      <w:r>
        <w:rPr>
          <w:rFonts w:ascii="Helvetica" w:hAnsi="Helvetica" w:eastAsia="Helvetica" w:cs="Helvetica"/>
          <w:sz w:val="28"/>
          <w:szCs w:val="28"/>
        </w:rPr>
        <w:t>2.落实政府采购政策需满足的资格要求：</w:t>
      </w:r>
    </w:p>
    <w:p>
      <w:pPr>
        <w:pStyle w:val="23"/>
        <w:spacing w:beforeAutospacing="0" w:afterAutospacing="0" w:line="510" w:lineRule="atLeast"/>
        <w:rPr>
          <w:sz w:val="28"/>
          <w:szCs w:val="28"/>
        </w:rPr>
      </w:pPr>
      <w:r>
        <w:rPr>
          <w:rFonts w:ascii="Helvetica" w:hAnsi="Helvetica" w:eastAsia="Helvetica" w:cs="Helvetica"/>
          <w:sz w:val="28"/>
          <w:szCs w:val="28"/>
        </w:rPr>
        <w:t>本项目执行《政府采购促进中小企业发展管理办法》（财库[2020]46号）、《关于政府采购支持监狱企业发展有关问题的通知》（财库[2014]68号）、《关于促进残疾人就业政府采购政策的通知》（财库[2017]141号）和《关于调整优化节能产品、环境标志产品政府采购执行机制的通知》（财库[2019]9号）等政策；本项目不属于专门面向中小企业采购的项目。</w:t>
      </w:r>
    </w:p>
    <w:p>
      <w:pPr>
        <w:pStyle w:val="23"/>
        <w:spacing w:beforeAutospacing="0" w:afterAutospacing="0" w:line="510" w:lineRule="atLeast"/>
        <w:ind w:firstLine="440"/>
        <w:outlineLvl w:val="2"/>
        <w:rPr>
          <w:sz w:val="28"/>
          <w:szCs w:val="28"/>
        </w:rPr>
      </w:pPr>
      <w:bookmarkStart w:id="22" w:name="_Toc7865"/>
      <w:bookmarkEnd w:id="22"/>
      <w:r>
        <w:rPr>
          <w:rFonts w:ascii="Helvetica" w:hAnsi="Helvetica" w:eastAsia="Helvetica" w:cs="Helvetica"/>
          <w:sz w:val="28"/>
          <w:szCs w:val="28"/>
        </w:rPr>
        <w:t>3.本项目的特定资格要求：</w:t>
      </w:r>
    </w:p>
    <w:p>
      <w:pPr>
        <w:pStyle w:val="23"/>
        <w:spacing w:beforeAutospacing="0" w:afterAutospacing="0" w:line="510" w:lineRule="atLeast"/>
        <w:rPr>
          <w:rFonts w:ascii="Helvetica" w:hAnsi="Helvetica" w:eastAsia="Helvetica" w:cs="Helvetica"/>
          <w:sz w:val="28"/>
          <w:szCs w:val="28"/>
        </w:rPr>
      </w:pPr>
      <w:r>
        <w:rPr>
          <w:rFonts w:hint="eastAsia" w:ascii="Helvetica" w:hAnsi="Helvetica" w:eastAsia="Helvetica" w:cs="Helvetica"/>
          <w:sz w:val="28"/>
          <w:szCs w:val="28"/>
        </w:rPr>
        <w:t>无</w:t>
      </w:r>
    </w:p>
    <w:p>
      <w:pPr>
        <w:pStyle w:val="23"/>
        <w:spacing w:before="300" w:beforeAutospacing="0" w:after="300" w:afterAutospacing="0" w:line="300" w:lineRule="atLeast"/>
        <w:outlineLvl w:val="1"/>
        <w:rPr>
          <w:b/>
          <w:bCs/>
          <w:sz w:val="32"/>
          <w:szCs w:val="32"/>
        </w:rPr>
      </w:pPr>
      <w:bookmarkStart w:id="23" w:name="_Toc31060"/>
      <w:bookmarkEnd w:id="23"/>
      <w:r>
        <w:rPr>
          <w:rFonts w:ascii="Helvetica" w:hAnsi="Helvetica" w:eastAsia="Helvetica" w:cs="Helvetica"/>
          <w:b/>
          <w:bCs/>
          <w:sz w:val="32"/>
          <w:szCs w:val="32"/>
        </w:rPr>
        <w:t>三、获取采购文件</w:t>
      </w:r>
    </w:p>
    <w:p>
      <w:pPr>
        <w:pStyle w:val="23"/>
        <w:spacing w:beforeAutospacing="0" w:afterAutospacing="0" w:line="520" w:lineRule="atLeast"/>
        <w:ind w:firstLine="440"/>
        <w:rPr>
          <w:sz w:val="28"/>
          <w:szCs w:val="28"/>
        </w:rPr>
      </w:pPr>
      <w:r>
        <w:rPr>
          <w:rFonts w:ascii="Helvetica" w:hAnsi="Helvetica" w:eastAsia="Helvetica" w:cs="Helvetica"/>
          <w:sz w:val="28"/>
          <w:szCs w:val="28"/>
        </w:rPr>
        <w:t>时间: </w:t>
      </w:r>
      <w:r>
        <w:rPr>
          <w:rFonts w:ascii="Helvetica" w:hAnsi="Helvetica" w:eastAsia="Helvetica" w:cs="Helvetica"/>
          <w:sz w:val="28"/>
          <w:szCs w:val="28"/>
          <w:u w:val="single"/>
        </w:rPr>
        <w:t>202</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年</w:t>
      </w:r>
      <w:r>
        <w:rPr>
          <w:rFonts w:hint="eastAsia" w:ascii="Helvetica" w:hAnsi="Helvetica" w:cs="Helvetica"/>
          <w:sz w:val="28"/>
          <w:szCs w:val="28"/>
          <w:u w:val="single"/>
          <w:lang w:val="en-US" w:eastAsia="zh-CN"/>
        </w:rPr>
        <w:t>2</w:t>
      </w:r>
      <w:r>
        <w:rPr>
          <w:rFonts w:ascii="Helvetica" w:hAnsi="Helvetica" w:eastAsia="Helvetica" w:cs="Helvetica"/>
          <w:sz w:val="28"/>
          <w:szCs w:val="28"/>
          <w:u w:val="single"/>
        </w:rPr>
        <w:t>月</w:t>
      </w:r>
      <w:r>
        <w:rPr>
          <w:rFonts w:hint="eastAsia" w:ascii="Helvetica" w:hAnsi="Helvetica" w:cs="Helvetica"/>
          <w:sz w:val="28"/>
          <w:szCs w:val="28"/>
          <w:u w:val="single"/>
          <w:lang w:val="en-US" w:eastAsia="zh-CN"/>
        </w:rPr>
        <w:t>13</w:t>
      </w:r>
      <w:r>
        <w:rPr>
          <w:rFonts w:ascii="Helvetica" w:hAnsi="Helvetica" w:eastAsia="Helvetica" w:cs="Helvetica"/>
          <w:sz w:val="28"/>
          <w:szCs w:val="28"/>
          <w:u w:val="single"/>
        </w:rPr>
        <w:t>日 00时00分 至 202</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年</w:t>
      </w:r>
      <w:r>
        <w:rPr>
          <w:rFonts w:hint="eastAsia" w:ascii="Helvetica" w:hAnsi="Helvetica" w:cs="Helvetica"/>
          <w:sz w:val="28"/>
          <w:szCs w:val="28"/>
          <w:u w:val="single"/>
          <w:lang w:val="en-US" w:eastAsia="zh-CN"/>
        </w:rPr>
        <w:t>2</w:t>
      </w:r>
      <w:r>
        <w:rPr>
          <w:rFonts w:ascii="Helvetica" w:hAnsi="Helvetica" w:eastAsia="Helvetica" w:cs="Helvetica"/>
          <w:sz w:val="28"/>
          <w:szCs w:val="28"/>
          <w:u w:val="single"/>
        </w:rPr>
        <w:t>月</w:t>
      </w:r>
      <w:r>
        <w:rPr>
          <w:rFonts w:hint="eastAsia" w:ascii="Helvetica" w:hAnsi="Helvetica" w:cs="Helvetica"/>
          <w:sz w:val="28"/>
          <w:szCs w:val="28"/>
          <w:u w:val="single"/>
          <w:lang w:val="en-US" w:eastAsia="zh-CN"/>
        </w:rPr>
        <w:t>17</w:t>
      </w:r>
      <w:r>
        <w:rPr>
          <w:rFonts w:ascii="Helvetica" w:hAnsi="Helvetica" w:eastAsia="Helvetica" w:cs="Helvetica"/>
          <w:sz w:val="28"/>
          <w:szCs w:val="28"/>
          <w:u w:val="single"/>
        </w:rPr>
        <w:t>日</w:t>
      </w:r>
      <w:r>
        <w:rPr>
          <w:rFonts w:hint="eastAsia" w:ascii="Helvetica" w:hAnsi="Helvetica" w:cs="Helvetica"/>
          <w:sz w:val="28"/>
          <w:szCs w:val="28"/>
          <w:u w:val="single"/>
        </w:rPr>
        <w:t>23</w:t>
      </w:r>
      <w:r>
        <w:rPr>
          <w:rFonts w:ascii="Helvetica" w:hAnsi="Helvetica" w:eastAsia="Helvetica" w:cs="Helvetica"/>
          <w:sz w:val="28"/>
          <w:szCs w:val="28"/>
          <w:u w:val="single"/>
        </w:rPr>
        <w:t>时</w:t>
      </w:r>
      <w:r>
        <w:rPr>
          <w:rFonts w:hint="eastAsia" w:ascii="Helvetica" w:hAnsi="Helvetica" w:cs="Helvetica"/>
          <w:sz w:val="28"/>
          <w:szCs w:val="28"/>
          <w:u w:val="single"/>
        </w:rPr>
        <w:t>59</w:t>
      </w:r>
      <w:r>
        <w:rPr>
          <w:rFonts w:ascii="Helvetica" w:hAnsi="Helvetica" w:eastAsia="Helvetica" w:cs="Helvetica"/>
          <w:sz w:val="28"/>
          <w:szCs w:val="28"/>
          <w:u w:val="single"/>
        </w:rPr>
        <w:t>分</w:t>
      </w:r>
    </w:p>
    <w:p>
      <w:pPr>
        <w:pStyle w:val="23"/>
        <w:spacing w:beforeAutospacing="0" w:afterAutospacing="0" w:line="520" w:lineRule="atLeast"/>
        <w:ind w:firstLine="440"/>
        <w:rPr>
          <w:rFonts w:hint="default" w:ascii="Helvetica" w:hAnsi="Helvetica" w:eastAsia="Helvetica" w:cs="Helvetica"/>
          <w:sz w:val="28"/>
          <w:szCs w:val="28"/>
        </w:rPr>
      </w:pPr>
      <w:r>
        <w:rPr>
          <w:rFonts w:ascii="Helvetica" w:hAnsi="Helvetica" w:eastAsia="Helvetica" w:cs="Helvetica"/>
          <w:sz w:val="28"/>
          <w:szCs w:val="28"/>
        </w:rPr>
        <w:t>地点: 通过</w:t>
      </w:r>
      <w:r>
        <w:rPr>
          <w:rFonts w:hint="eastAsia" w:ascii="Helvetica" w:hAnsi="Helvetica" w:eastAsia="Helvetica" w:cs="Helvetica"/>
          <w:sz w:val="28"/>
          <w:szCs w:val="28"/>
        </w:rPr>
        <w:t>拉萨市公共资源交易网（</w:t>
      </w:r>
      <w:r>
        <w:rPr>
          <w:rFonts w:ascii="Helvetica" w:hAnsi="Helvetica" w:eastAsia="Helvetica" w:cs="Helvetica"/>
          <w:sz w:val="28"/>
          <w:szCs w:val="28"/>
        </w:rPr>
        <w:fldChar w:fldCharType="begin"/>
      </w:r>
      <w:r>
        <w:rPr>
          <w:rFonts w:ascii="Helvetica" w:hAnsi="Helvetica" w:eastAsia="Helvetica" w:cs="Helvetica"/>
          <w:sz w:val="28"/>
          <w:szCs w:val="28"/>
        </w:rPr>
        <w:instrText xml:space="preserve"> HYPERLINK "http://ggzy.lasa.gov.cn/%EF%BC%89%E4%B8%8B%E8%BD%BD%E8%8E%B7%E5%8F%96%E6%8B%9B%E6%A0%87%E6%96%87%E4%BB%B6%EF%BC%8C%E5%B9%B6%E4%BA%8E2021%E5%B9%B4" </w:instrText>
      </w:r>
      <w:r>
        <w:rPr>
          <w:rFonts w:ascii="Helvetica" w:hAnsi="Helvetica" w:eastAsia="Helvetica" w:cs="Helvetica"/>
          <w:sz w:val="28"/>
          <w:szCs w:val="28"/>
        </w:rPr>
        <w:fldChar w:fldCharType="separate"/>
      </w:r>
      <w:r>
        <w:rPr>
          <w:rFonts w:hint="default" w:ascii="Helvetica" w:hAnsi="Helvetica" w:eastAsia="Helvetica" w:cs="Helvetica"/>
          <w:sz w:val="28"/>
          <w:szCs w:val="28"/>
        </w:rPr>
        <w:t>http://ggzy.lasa.gov.cn/）</w:t>
      </w:r>
      <w:r>
        <w:rPr>
          <w:rFonts w:hint="default" w:ascii="Helvetica" w:hAnsi="Helvetica" w:eastAsia="Helvetica" w:cs="Helvetica"/>
          <w:sz w:val="28"/>
          <w:szCs w:val="28"/>
        </w:rPr>
        <w:fldChar w:fldCharType="end"/>
      </w:r>
    </w:p>
    <w:p>
      <w:pPr>
        <w:pStyle w:val="23"/>
        <w:spacing w:beforeAutospacing="0" w:afterAutospacing="0" w:line="520" w:lineRule="atLeast"/>
        <w:ind w:firstLine="440"/>
        <w:rPr>
          <w:sz w:val="28"/>
          <w:szCs w:val="28"/>
        </w:rPr>
      </w:pPr>
      <w:r>
        <w:rPr>
          <w:rFonts w:ascii="Helvetica" w:hAnsi="Helvetica" w:eastAsia="Helvetica" w:cs="Helvetica"/>
          <w:sz w:val="28"/>
          <w:szCs w:val="28"/>
        </w:rPr>
        <w:t>方式: 网上下载</w:t>
      </w:r>
    </w:p>
    <w:p>
      <w:pPr>
        <w:pStyle w:val="23"/>
        <w:spacing w:beforeAutospacing="0" w:afterAutospacing="0" w:line="520" w:lineRule="atLeast"/>
        <w:ind w:firstLine="440"/>
        <w:rPr>
          <w:sz w:val="28"/>
          <w:szCs w:val="28"/>
        </w:rPr>
      </w:pPr>
      <w:r>
        <w:rPr>
          <w:rFonts w:ascii="Helvetica" w:hAnsi="Helvetica" w:eastAsia="Helvetica" w:cs="Helvetica"/>
          <w:sz w:val="28"/>
          <w:szCs w:val="28"/>
        </w:rPr>
        <w:t>售价: 0</w:t>
      </w:r>
    </w:p>
    <w:p>
      <w:pPr>
        <w:pStyle w:val="23"/>
        <w:spacing w:before="300" w:beforeAutospacing="0" w:after="300" w:afterAutospacing="0" w:line="300" w:lineRule="atLeast"/>
        <w:outlineLvl w:val="1"/>
        <w:rPr>
          <w:b/>
          <w:bCs/>
          <w:sz w:val="32"/>
          <w:szCs w:val="32"/>
        </w:rPr>
      </w:pPr>
      <w:bookmarkStart w:id="24" w:name="_Toc3454"/>
      <w:bookmarkEnd w:id="24"/>
      <w:r>
        <w:rPr>
          <w:rFonts w:ascii="Helvetica" w:hAnsi="Helvetica" w:eastAsia="Helvetica" w:cs="Helvetica"/>
          <w:b/>
          <w:bCs/>
          <w:sz w:val="32"/>
          <w:szCs w:val="32"/>
        </w:rPr>
        <w:t>四、提交投标文件截止时间、开标时间和地点</w:t>
      </w:r>
    </w:p>
    <w:p>
      <w:pPr>
        <w:pStyle w:val="23"/>
        <w:spacing w:beforeAutospacing="0" w:afterAutospacing="0" w:line="520" w:lineRule="atLeast"/>
        <w:ind w:firstLine="440"/>
        <w:rPr>
          <w:sz w:val="28"/>
          <w:szCs w:val="28"/>
        </w:rPr>
      </w:pPr>
      <w:r>
        <w:rPr>
          <w:rFonts w:ascii="Helvetica" w:hAnsi="Helvetica" w:eastAsia="Helvetica" w:cs="Helvetica"/>
          <w:sz w:val="28"/>
          <w:szCs w:val="28"/>
          <w:u w:val="single"/>
        </w:rPr>
        <w:t>202</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年</w:t>
      </w:r>
      <w:r>
        <w:rPr>
          <w:rFonts w:hint="eastAsia" w:ascii="Helvetica" w:hAnsi="Helvetica" w:cs="Helvetica"/>
          <w:sz w:val="28"/>
          <w:szCs w:val="28"/>
          <w:u w:val="single"/>
          <w:lang w:val="en-US" w:eastAsia="zh-CN"/>
        </w:rPr>
        <w:t>3</w:t>
      </w:r>
      <w:r>
        <w:rPr>
          <w:rFonts w:ascii="Helvetica" w:hAnsi="Helvetica" w:eastAsia="Helvetica" w:cs="Helvetica"/>
          <w:sz w:val="28"/>
          <w:szCs w:val="28"/>
          <w:u w:val="single"/>
        </w:rPr>
        <w:t>月</w:t>
      </w:r>
      <w:r>
        <w:rPr>
          <w:rFonts w:hint="eastAsia" w:ascii="Helvetica" w:hAnsi="Helvetica" w:eastAsia="宋体" w:cs="Helvetica"/>
          <w:sz w:val="28"/>
          <w:szCs w:val="28"/>
          <w:u w:val="single"/>
          <w:lang w:val="en-US" w:eastAsia="zh-CN"/>
        </w:rPr>
        <w:t>29</w:t>
      </w:r>
      <w:r>
        <w:rPr>
          <w:rFonts w:ascii="Helvetica" w:hAnsi="Helvetica" w:eastAsia="Helvetica" w:cs="Helvetica"/>
          <w:sz w:val="28"/>
          <w:szCs w:val="28"/>
          <w:u w:val="single"/>
        </w:rPr>
        <w:t>日</w:t>
      </w:r>
      <w:r>
        <w:rPr>
          <w:rFonts w:hint="eastAsia" w:ascii="Helvetica" w:hAnsi="Helvetica" w:cs="Helvetica"/>
          <w:sz w:val="28"/>
          <w:szCs w:val="28"/>
          <w:u w:val="single"/>
          <w:lang w:val="en-US" w:eastAsia="zh-CN"/>
        </w:rPr>
        <w:t>10</w:t>
      </w:r>
      <w:r>
        <w:rPr>
          <w:rFonts w:ascii="Helvetica" w:hAnsi="Helvetica" w:eastAsia="Helvetica" w:cs="Helvetica"/>
          <w:sz w:val="28"/>
          <w:szCs w:val="28"/>
          <w:u w:val="single"/>
        </w:rPr>
        <w:t>时</w:t>
      </w:r>
      <w:r>
        <w:rPr>
          <w:rFonts w:hint="eastAsia" w:ascii="Helvetica" w:hAnsi="Helvetica" w:cs="Helvetica"/>
          <w:sz w:val="28"/>
          <w:szCs w:val="28"/>
          <w:u w:val="single"/>
          <w:lang w:val="en-US" w:eastAsia="zh-CN"/>
        </w:rPr>
        <w:t>00</w:t>
      </w:r>
      <w:r>
        <w:rPr>
          <w:rFonts w:ascii="Helvetica" w:hAnsi="Helvetica" w:eastAsia="Helvetica" w:cs="Helvetica"/>
          <w:sz w:val="28"/>
          <w:szCs w:val="28"/>
          <w:u w:val="single"/>
        </w:rPr>
        <w:t>分</w:t>
      </w:r>
    </w:p>
    <w:p>
      <w:pPr>
        <w:pStyle w:val="23"/>
        <w:spacing w:beforeAutospacing="0" w:afterAutospacing="0" w:line="520" w:lineRule="atLeast"/>
        <w:ind w:firstLine="440"/>
        <w:rPr>
          <w:sz w:val="28"/>
          <w:szCs w:val="28"/>
        </w:rPr>
      </w:pPr>
      <w:r>
        <w:rPr>
          <w:rFonts w:ascii="Helvetica" w:hAnsi="Helvetica" w:eastAsia="Helvetica" w:cs="Helvetica"/>
          <w:sz w:val="28"/>
          <w:szCs w:val="28"/>
        </w:rPr>
        <w:t>地点: 西藏自治区公共资源交易中心开标室</w:t>
      </w:r>
    </w:p>
    <w:p>
      <w:pPr>
        <w:pStyle w:val="23"/>
        <w:spacing w:before="300" w:beforeAutospacing="0" w:after="300" w:afterAutospacing="0" w:line="300" w:lineRule="atLeast"/>
        <w:outlineLvl w:val="1"/>
        <w:rPr>
          <w:b/>
          <w:bCs/>
          <w:sz w:val="32"/>
          <w:szCs w:val="32"/>
        </w:rPr>
      </w:pPr>
      <w:bookmarkStart w:id="25" w:name="_Toc9083"/>
      <w:bookmarkEnd w:id="25"/>
      <w:r>
        <w:rPr>
          <w:rFonts w:ascii="Helvetica" w:hAnsi="Helvetica" w:eastAsia="Helvetica" w:cs="Helvetica"/>
          <w:b/>
          <w:bCs/>
          <w:sz w:val="32"/>
          <w:szCs w:val="32"/>
        </w:rPr>
        <w:t>五、公告期限</w:t>
      </w:r>
    </w:p>
    <w:p>
      <w:pPr>
        <w:pStyle w:val="23"/>
        <w:spacing w:beforeAutospacing="0" w:afterAutospacing="0" w:line="520" w:lineRule="atLeast"/>
        <w:ind w:firstLine="440"/>
        <w:rPr>
          <w:sz w:val="28"/>
          <w:szCs w:val="28"/>
        </w:rPr>
      </w:pPr>
      <w:r>
        <w:rPr>
          <w:rFonts w:ascii="Helvetica" w:hAnsi="Helvetica" w:eastAsia="Helvetica" w:cs="Helvetica"/>
          <w:sz w:val="28"/>
          <w:szCs w:val="28"/>
        </w:rPr>
        <w:t>自本公告发布之日起5个工作日。</w:t>
      </w:r>
    </w:p>
    <w:p>
      <w:pPr>
        <w:pStyle w:val="23"/>
        <w:spacing w:before="300" w:beforeAutospacing="0" w:after="300" w:afterAutospacing="0" w:line="300" w:lineRule="atLeast"/>
        <w:outlineLvl w:val="1"/>
        <w:rPr>
          <w:b/>
          <w:bCs/>
          <w:sz w:val="32"/>
          <w:szCs w:val="32"/>
        </w:rPr>
      </w:pPr>
      <w:bookmarkStart w:id="26" w:name="_Toc28360"/>
      <w:bookmarkEnd w:id="26"/>
      <w:r>
        <w:rPr>
          <w:rFonts w:ascii="Helvetica" w:hAnsi="Helvetica" w:eastAsia="Helvetica" w:cs="Helvetica"/>
          <w:b/>
          <w:bCs/>
          <w:sz w:val="32"/>
          <w:szCs w:val="32"/>
        </w:rPr>
        <w:t>六、其他补充事宜</w:t>
      </w:r>
    </w:p>
    <w:p>
      <w:pPr>
        <w:pStyle w:val="23"/>
        <w:spacing w:beforeAutospacing="0" w:afterAutospacing="0" w:line="510" w:lineRule="atLeast"/>
        <w:rPr>
          <w:rFonts w:ascii="Helvetica" w:hAnsi="Helvetica" w:eastAsia="Helvetica" w:cs="Helvetica"/>
          <w:sz w:val="28"/>
          <w:szCs w:val="28"/>
        </w:rPr>
      </w:pPr>
      <w:r>
        <w:rPr>
          <w:rFonts w:ascii="Helvetica" w:hAnsi="Helvetica" w:eastAsia="Helvetica" w:cs="Helvetica"/>
          <w:sz w:val="28"/>
          <w:szCs w:val="28"/>
        </w:rPr>
        <w:t>（1）投标企业在投标时需要上传电子投标文件至系统中，并在开标用企业CA锁制作电子标书的锁，上传的电子标书。</w:t>
      </w:r>
    </w:p>
    <w:p>
      <w:pPr>
        <w:pStyle w:val="23"/>
        <w:spacing w:beforeAutospacing="0" w:afterAutospacing="0" w:line="510" w:lineRule="atLeast"/>
        <w:rPr>
          <w:rFonts w:ascii="Helvetica" w:hAnsi="Helvetica" w:eastAsia="Helvetica" w:cs="Helvetica"/>
          <w:sz w:val="28"/>
          <w:szCs w:val="28"/>
        </w:rPr>
      </w:pPr>
      <w:r>
        <w:rPr>
          <w:rFonts w:ascii="Helvetica" w:hAnsi="Helvetica" w:eastAsia="Helvetica" w:cs="Helvetica"/>
          <w:sz w:val="28"/>
          <w:szCs w:val="28"/>
        </w:rPr>
        <w:t>备注：请投标人将投标文件中需要签字的页面打印出来签字，并制作成电子文件上传至电子招投标系统中，否则投标文件无效。</w:t>
      </w:r>
    </w:p>
    <w:p>
      <w:pPr>
        <w:pStyle w:val="23"/>
        <w:spacing w:beforeAutospacing="0" w:afterAutospacing="0" w:line="510" w:lineRule="atLeast"/>
        <w:rPr>
          <w:rFonts w:ascii="Helvetica" w:hAnsi="Helvetica" w:eastAsia="Helvetica" w:cs="Helvetica"/>
          <w:sz w:val="28"/>
          <w:szCs w:val="28"/>
        </w:rPr>
      </w:pPr>
      <w:r>
        <w:rPr>
          <w:rFonts w:ascii="Helvetica" w:hAnsi="Helvetica" w:eastAsia="Helvetica" w:cs="Helvetica"/>
          <w:sz w:val="28"/>
          <w:szCs w:val="28"/>
        </w:rPr>
        <w:t>（2）投标保证金采取电子保函方式提交(请投标人自行登录拉萨市公共资源交易平台，办理电子投标保函流程，具体要求以拉萨市公共资源交易网最新消息为准）。</w:t>
      </w:r>
    </w:p>
    <w:p>
      <w:pPr>
        <w:pStyle w:val="23"/>
        <w:spacing w:beforeAutospacing="0" w:afterAutospacing="0" w:line="510" w:lineRule="atLeast"/>
        <w:rPr>
          <w:rFonts w:ascii="Helvetica" w:hAnsi="Helvetica" w:eastAsia="Helvetica" w:cs="Helvetica"/>
          <w:sz w:val="28"/>
          <w:szCs w:val="28"/>
        </w:rPr>
      </w:pPr>
      <w:r>
        <w:rPr>
          <w:rFonts w:ascii="Helvetica" w:hAnsi="Helvetica" w:eastAsia="Helvetica" w:cs="Helvetica"/>
          <w:sz w:val="28"/>
          <w:szCs w:val="28"/>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spacing w:beforeAutospacing="0" w:afterAutospacing="0" w:line="510" w:lineRule="atLeast"/>
        <w:rPr>
          <w:sz w:val="28"/>
          <w:szCs w:val="28"/>
        </w:rPr>
      </w:pPr>
      <w:r>
        <w:rPr>
          <w:rFonts w:ascii="Helvetica" w:hAnsi="Helvetica" w:eastAsia="Helvetica" w:cs="Helvetica"/>
          <w:sz w:val="28"/>
          <w:szCs w:val="28"/>
        </w:rPr>
        <w:t>（4）本项目投标时不需要递交纸质版投标文件，中标后根据采购人要求提供纸质版投标文件。纸质版投标文件，中标后根据采购人要求提供纸质版投标文件。</w:t>
      </w:r>
    </w:p>
    <w:p>
      <w:pPr>
        <w:pStyle w:val="23"/>
        <w:spacing w:before="300" w:beforeAutospacing="0" w:after="300" w:afterAutospacing="0" w:line="300" w:lineRule="atLeast"/>
        <w:outlineLvl w:val="1"/>
        <w:rPr>
          <w:b/>
          <w:bCs/>
          <w:sz w:val="32"/>
          <w:szCs w:val="32"/>
        </w:rPr>
      </w:pPr>
      <w:bookmarkStart w:id="27" w:name="_Toc5892"/>
      <w:bookmarkEnd w:id="27"/>
      <w:r>
        <w:rPr>
          <w:rFonts w:ascii="Helvetica" w:hAnsi="Helvetica" w:eastAsia="Helvetica" w:cs="Helvetica"/>
          <w:b/>
          <w:bCs/>
          <w:sz w:val="32"/>
          <w:szCs w:val="32"/>
        </w:rPr>
        <w:t>七、对本次招标提出询问，请按以下方式联系。</w:t>
      </w:r>
    </w:p>
    <w:p>
      <w:pPr>
        <w:pStyle w:val="23"/>
        <w:spacing w:before="225" w:beforeAutospacing="0" w:after="225" w:afterAutospacing="0" w:line="300" w:lineRule="atLeast"/>
        <w:ind w:firstLine="400"/>
        <w:outlineLvl w:val="2"/>
        <w:rPr>
          <w:b/>
          <w:bCs/>
          <w:sz w:val="28"/>
          <w:szCs w:val="28"/>
        </w:rPr>
      </w:pPr>
      <w:bookmarkStart w:id="28" w:name="_Toc10771"/>
      <w:bookmarkEnd w:id="28"/>
      <w:r>
        <w:rPr>
          <w:rFonts w:ascii="Helvetica" w:hAnsi="Helvetica" w:eastAsia="Helvetica" w:cs="Helvetica"/>
          <w:b/>
          <w:bCs/>
          <w:sz w:val="28"/>
          <w:szCs w:val="28"/>
        </w:rPr>
        <w:t>1.采购人信息</w:t>
      </w:r>
    </w:p>
    <w:p>
      <w:pPr>
        <w:pStyle w:val="23"/>
        <w:spacing w:beforeAutospacing="0" w:afterAutospacing="0" w:line="520" w:lineRule="atLeast"/>
        <w:ind w:firstLine="440"/>
        <w:rPr>
          <w:sz w:val="28"/>
          <w:szCs w:val="28"/>
        </w:rPr>
      </w:pPr>
      <w:r>
        <w:rPr>
          <w:rFonts w:ascii="Helvetica" w:hAnsi="Helvetica" w:eastAsia="Helvetica" w:cs="Helvetica"/>
          <w:sz w:val="28"/>
          <w:szCs w:val="28"/>
        </w:rPr>
        <w:t>名 称: 拉萨市第一中等职业技术学校</w:t>
      </w:r>
    </w:p>
    <w:p>
      <w:pPr>
        <w:pStyle w:val="23"/>
        <w:spacing w:beforeAutospacing="0" w:afterAutospacing="0" w:line="520" w:lineRule="atLeast"/>
        <w:ind w:firstLine="440"/>
        <w:rPr>
          <w:rFonts w:ascii="Helvetica" w:hAnsi="Helvetica" w:eastAsia="Helvetica" w:cs="Helvetica"/>
          <w:sz w:val="28"/>
          <w:szCs w:val="28"/>
        </w:rPr>
      </w:pPr>
      <w:r>
        <w:rPr>
          <w:rFonts w:ascii="Helvetica" w:hAnsi="Helvetica" w:eastAsia="Helvetica" w:cs="Helvetica"/>
          <w:sz w:val="28"/>
          <w:szCs w:val="28"/>
        </w:rPr>
        <w:t>地 址: 西藏拉萨市曲水县才纳乡才纳村职业学校一路</w:t>
      </w:r>
    </w:p>
    <w:p>
      <w:pPr>
        <w:pStyle w:val="23"/>
        <w:spacing w:beforeAutospacing="0" w:afterAutospacing="0" w:line="520" w:lineRule="atLeast"/>
        <w:ind w:firstLine="440"/>
        <w:rPr>
          <w:rFonts w:ascii="Helvetica" w:hAnsi="Helvetica" w:cs="Helvetica"/>
          <w:sz w:val="28"/>
          <w:szCs w:val="28"/>
        </w:rPr>
      </w:pPr>
      <w:r>
        <w:rPr>
          <w:rFonts w:ascii="Helvetica" w:hAnsi="Helvetica" w:eastAsia="Helvetica" w:cs="Helvetica"/>
          <w:sz w:val="28"/>
          <w:szCs w:val="28"/>
        </w:rPr>
        <w:t>联系方式: </w:t>
      </w:r>
      <w:r>
        <w:rPr>
          <w:rFonts w:hint="eastAsia" w:ascii="Helvetica" w:hAnsi="Helvetica" w:cs="Helvetica"/>
          <w:sz w:val="28"/>
          <w:szCs w:val="28"/>
        </w:rPr>
        <w:t xml:space="preserve"> 0891-6561011</w:t>
      </w:r>
    </w:p>
    <w:p>
      <w:pPr>
        <w:pStyle w:val="23"/>
        <w:spacing w:beforeAutospacing="0" w:afterAutospacing="0" w:line="520" w:lineRule="atLeast"/>
        <w:ind w:firstLine="440"/>
        <w:outlineLvl w:val="2"/>
        <w:rPr>
          <w:rFonts w:ascii="Helvetica" w:hAnsi="Helvetica" w:eastAsia="Helvetica" w:cs="Helvetica"/>
          <w:sz w:val="28"/>
          <w:szCs w:val="28"/>
        </w:rPr>
      </w:pPr>
      <w:bookmarkStart w:id="29" w:name="_Toc3856"/>
      <w:bookmarkEnd w:id="29"/>
      <w:r>
        <w:rPr>
          <w:rFonts w:ascii="Helvetica" w:hAnsi="Helvetica" w:eastAsia="Helvetica" w:cs="Helvetica"/>
          <w:sz w:val="28"/>
          <w:szCs w:val="28"/>
        </w:rPr>
        <w:t>2.采购代理机构信息</w:t>
      </w:r>
    </w:p>
    <w:p>
      <w:pPr>
        <w:pStyle w:val="23"/>
        <w:spacing w:beforeAutospacing="0" w:afterAutospacing="0" w:line="520" w:lineRule="atLeast"/>
        <w:ind w:firstLine="440"/>
        <w:rPr>
          <w:rFonts w:ascii="Helvetica" w:hAnsi="Helvetica" w:eastAsia="Helvetica" w:cs="Helvetica"/>
          <w:sz w:val="28"/>
          <w:szCs w:val="28"/>
        </w:rPr>
      </w:pPr>
      <w:r>
        <w:rPr>
          <w:rFonts w:ascii="Helvetica" w:hAnsi="Helvetica" w:eastAsia="Helvetica" w:cs="Helvetica"/>
          <w:sz w:val="28"/>
          <w:szCs w:val="28"/>
        </w:rPr>
        <w:t>名 称：永道工程咨询（江苏）有限公司</w:t>
      </w:r>
    </w:p>
    <w:p>
      <w:pPr>
        <w:pStyle w:val="23"/>
        <w:spacing w:beforeAutospacing="0" w:afterAutospacing="0" w:line="520" w:lineRule="atLeast"/>
        <w:ind w:firstLine="440"/>
        <w:rPr>
          <w:rFonts w:ascii="Helvetica" w:hAnsi="Helvetica" w:eastAsia="Helvetica" w:cs="Helvetica"/>
          <w:sz w:val="28"/>
          <w:szCs w:val="28"/>
        </w:rPr>
      </w:pPr>
      <w:r>
        <w:rPr>
          <w:rFonts w:ascii="Helvetica" w:hAnsi="Helvetica" w:eastAsia="Helvetica" w:cs="Helvetica"/>
          <w:sz w:val="28"/>
          <w:szCs w:val="28"/>
        </w:rPr>
        <w:t>地 址: 拉萨市柳梧新区空港花园酒店一楼</w:t>
      </w:r>
    </w:p>
    <w:p>
      <w:pPr>
        <w:pStyle w:val="23"/>
        <w:spacing w:beforeAutospacing="0" w:afterAutospacing="0" w:line="520" w:lineRule="atLeast"/>
        <w:ind w:firstLine="440"/>
        <w:outlineLvl w:val="2"/>
        <w:rPr>
          <w:rFonts w:ascii="Helvetica" w:hAnsi="Helvetica" w:cs="Helvetica"/>
          <w:sz w:val="28"/>
          <w:szCs w:val="28"/>
        </w:rPr>
      </w:pPr>
      <w:bookmarkStart w:id="30" w:name="_Toc327"/>
      <w:bookmarkEnd w:id="30"/>
      <w:r>
        <w:rPr>
          <w:rFonts w:ascii="Helvetica" w:hAnsi="Helvetica" w:eastAsia="Helvetica" w:cs="Helvetica"/>
          <w:sz w:val="28"/>
          <w:szCs w:val="28"/>
        </w:rPr>
        <w:t>3.项目联系方式</w:t>
      </w:r>
    </w:p>
    <w:p>
      <w:pPr>
        <w:pStyle w:val="23"/>
        <w:spacing w:beforeAutospacing="0" w:afterAutospacing="0" w:line="520" w:lineRule="atLeast"/>
        <w:ind w:firstLine="440"/>
        <w:rPr>
          <w:rFonts w:ascii="Helvetica" w:hAnsi="Helvetica" w:eastAsia="Helvetica" w:cs="Helvetica"/>
          <w:sz w:val="28"/>
          <w:szCs w:val="28"/>
        </w:rPr>
      </w:pPr>
      <w:r>
        <w:rPr>
          <w:rFonts w:ascii="Helvetica" w:hAnsi="Helvetica" w:eastAsia="Helvetica" w:cs="Helvetica"/>
          <w:sz w:val="28"/>
          <w:szCs w:val="28"/>
        </w:rPr>
        <w:t>项目联系人：</w:t>
      </w:r>
      <w:r>
        <w:rPr>
          <w:rFonts w:hint="eastAsia" w:ascii="Helvetica" w:hAnsi="Helvetica" w:eastAsia="宋体" w:cs="Helvetica"/>
          <w:sz w:val="28"/>
          <w:szCs w:val="28"/>
          <w:lang w:eastAsia="zh-CN"/>
        </w:rPr>
        <w:t>李</w:t>
      </w:r>
      <w:r>
        <w:rPr>
          <w:rFonts w:hint="eastAsia" w:ascii="Helvetica" w:hAnsi="Helvetica" w:cs="Helvetica"/>
          <w:sz w:val="28"/>
          <w:szCs w:val="28"/>
        </w:rPr>
        <w:t>先生</w:t>
      </w:r>
    </w:p>
    <w:p>
      <w:pPr>
        <w:rPr>
          <w:rFonts w:hint="eastAsia" w:ascii="Helvetica" w:hAnsi="Helvetica" w:cs="Helvetica"/>
          <w:sz w:val="28"/>
          <w:szCs w:val="28"/>
        </w:rPr>
      </w:pPr>
      <w:r>
        <w:rPr>
          <w:rFonts w:ascii="Helvetica" w:hAnsi="Helvetica" w:eastAsia="Helvetica" w:cs="Helvetica"/>
          <w:sz w:val="28"/>
          <w:szCs w:val="28"/>
        </w:rPr>
        <w:t>电　 话：</w:t>
      </w:r>
      <w:r>
        <w:rPr>
          <w:rFonts w:hint="eastAsia" w:ascii="Helvetica" w:hAnsi="Helvetica" w:cs="Helvetica"/>
          <w:sz w:val="28"/>
          <w:szCs w:val="28"/>
        </w:rPr>
        <w:t>15881727935</w:t>
      </w:r>
      <w:bookmarkStart w:id="31" w:name="_Toc32467"/>
    </w:p>
    <w:p>
      <w:pPr>
        <w:pStyle w:val="12"/>
        <w:rPr>
          <w:rFonts w:hint="eastAsia" w:ascii="Helvetica" w:hAnsi="Helvetica" w:cs="Helvetica"/>
          <w:sz w:val="28"/>
          <w:szCs w:val="28"/>
        </w:rPr>
      </w:pPr>
    </w:p>
    <w:p>
      <w:pPr>
        <w:rPr>
          <w:rFonts w:hint="eastAsia" w:ascii="Helvetica" w:hAnsi="Helvetica" w:cs="Helvetica"/>
          <w:sz w:val="28"/>
          <w:szCs w:val="28"/>
        </w:rPr>
      </w:pPr>
    </w:p>
    <w:p>
      <w:pPr>
        <w:pStyle w:val="12"/>
        <w:rPr>
          <w:rFonts w:hint="eastAsia" w:ascii="Helvetica" w:hAnsi="Helvetica" w:cs="Helvetica"/>
          <w:sz w:val="28"/>
          <w:szCs w:val="28"/>
        </w:rPr>
      </w:pPr>
    </w:p>
    <w:p>
      <w:pPr>
        <w:rPr>
          <w:rFonts w:hint="eastAsia"/>
        </w:rPr>
      </w:pPr>
    </w:p>
    <w:p>
      <w:pPr>
        <w:pStyle w:val="3"/>
        <w:ind w:firstLine="2530" w:firstLineChars="700"/>
        <w:jc w:val="both"/>
        <w:rPr>
          <w:rFonts w:hint="eastAsia" w:ascii="新宋体" w:hAnsi="新宋体" w:eastAsia="新宋体" w:cs="新宋体"/>
        </w:rPr>
      </w:pPr>
    </w:p>
    <w:p>
      <w:pPr>
        <w:pStyle w:val="3"/>
        <w:ind w:firstLine="2530" w:firstLineChars="700"/>
        <w:jc w:val="both"/>
        <w:rPr>
          <w:rFonts w:ascii="新宋体" w:hAnsi="新宋体" w:eastAsia="新宋体" w:cs="新宋体"/>
        </w:rPr>
      </w:pPr>
      <w:r>
        <w:rPr>
          <w:rFonts w:hint="eastAsia" w:ascii="新宋体" w:hAnsi="新宋体" w:eastAsia="新宋体" w:cs="新宋体"/>
        </w:rPr>
        <w:t>第二章  投标供应商须知</w:t>
      </w:r>
      <w:bookmarkEnd w:id="8"/>
      <w:bookmarkEnd w:id="9"/>
      <w:bookmarkEnd w:id="10"/>
      <w:bookmarkEnd w:id="11"/>
      <w:bookmarkEnd w:id="12"/>
      <w:bookmarkEnd w:id="13"/>
      <w:bookmarkEnd w:id="14"/>
      <w:bookmarkEnd w:id="31"/>
      <w:bookmarkStart w:id="32" w:name="_Toc184274915"/>
      <w:bookmarkStart w:id="33" w:name="_Toc184283909"/>
    </w:p>
    <w:p>
      <w:pPr>
        <w:pStyle w:val="4"/>
        <w:rPr>
          <w:rFonts w:ascii="新宋体" w:hAnsi="新宋体" w:eastAsia="新宋体" w:cs="新宋体"/>
        </w:rPr>
      </w:pPr>
      <w:bookmarkStart w:id="34" w:name="_Toc213396760"/>
      <w:bookmarkStart w:id="35" w:name="_Toc213397010"/>
      <w:bookmarkStart w:id="36" w:name="_Toc3389"/>
      <w:bookmarkStart w:id="37" w:name="_Toc217446032"/>
      <w:bookmarkStart w:id="38" w:name="_Toc189727030"/>
      <w:bookmarkStart w:id="39" w:name="_Toc213396946"/>
      <w:bookmarkStart w:id="40" w:name="_Toc213496268"/>
      <w:bookmarkStart w:id="41" w:name="_Toc15899"/>
      <w:r>
        <w:rPr>
          <w:rFonts w:hint="eastAsia" w:ascii="新宋体" w:hAnsi="新宋体" w:eastAsia="新宋体" w:cs="新宋体"/>
        </w:rPr>
        <w:t>一、投标供应商须知附表</w:t>
      </w:r>
      <w:bookmarkEnd w:id="32"/>
      <w:bookmarkEnd w:id="33"/>
      <w:bookmarkEnd w:id="34"/>
      <w:bookmarkEnd w:id="35"/>
      <w:bookmarkEnd w:id="36"/>
      <w:bookmarkEnd w:id="37"/>
      <w:bookmarkEnd w:id="38"/>
      <w:bookmarkEnd w:id="39"/>
      <w:bookmarkEnd w:id="40"/>
      <w:bookmarkEnd w:id="41"/>
    </w:p>
    <w:p>
      <w:pPr>
        <w:spacing w:line="360" w:lineRule="auto"/>
        <w:jc w:val="left"/>
        <w:rPr>
          <w:rFonts w:ascii="新宋体" w:hAnsi="新宋体" w:eastAsia="新宋体" w:cs="新宋体"/>
        </w:rPr>
      </w:pPr>
      <w:r>
        <w:rPr>
          <w:rFonts w:hint="eastAsia" w:ascii="新宋体" w:hAnsi="新宋体" w:eastAsia="新宋体" w:cs="新宋体"/>
          <w:b/>
          <w:bCs/>
        </w:rPr>
        <w:t>注：招标文件内相关内容如出现前后不一致，以本须知表内容为准。</w:t>
      </w:r>
    </w:p>
    <w:tbl>
      <w:tblPr>
        <w:tblStyle w:val="26"/>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1950"/>
        <w:gridCol w:w="686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tblHeader/>
          <w:jc w:val="center"/>
        </w:trPr>
        <w:tc>
          <w:tcPr>
            <w:tcW w:w="582" w:type="dxa"/>
            <w:noWrap/>
            <w:vAlign w:val="center"/>
          </w:tcPr>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 xml:space="preserve">序号 </w:t>
            </w:r>
          </w:p>
        </w:tc>
        <w:tc>
          <w:tcPr>
            <w:tcW w:w="1950" w:type="dxa"/>
            <w:noWrap/>
            <w:vAlign w:val="center"/>
          </w:tcPr>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条款名称</w:t>
            </w:r>
          </w:p>
        </w:tc>
        <w:tc>
          <w:tcPr>
            <w:tcW w:w="6867" w:type="dxa"/>
            <w:noWrap/>
            <w:vAlign w:val="center"/>
          </w:tcPr>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1</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采购人</w:t>
            </w:r>
          </w:p>
        </w:tc>
        <w:tc>
          <w:tcPr>
            <w:tcW w:w="6867" w:type="dxa"/>
            <w:noWrap/>
            <w:vAlign w:val="center"/>
          </w:tcPr>
          <w:p>
            <w:pPr>
              <w:spacing w:line="360" w:lineRule="auto"/>
              <w:ind w:firstLine="480" w:firstLineChars="200"/>
              <w:jc w:val="left"/>
              <w:rPr>
                <w:rFonts w:ascii="新宋体" w:hAnsi="新宋体" w:eastAsia="新宋体" w:cs="新宋体"/>
                <w:sz w:val="24"/>
                <w:lang w:val="zh-CN"/>
              </w:rPr>
            </w:pPr>
            <w:r>
              <w:rPr>
                <w:rFonts w:hint="eastAsia" w:ascii="新宋体" w:hAnsi="新宋体" w:eastAsia="新宋体" w:cs="新宋体"/>
                <w:sz w:val="24"/>
              </w:rPr>
              <w:t>拉萨市第一中等职业技术学校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3"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2</w:t>
            </w:r>
          </w:p>
        </w:tc>
        <w:tc>
          <w:tcPr>
            <w:tcW w:w="1950" w:type="dxa"/>
            <w:noWrap/>
            <w:vAlign w:val="center"/>
          </w:tcPr>
          <w:p>
            <w:pPr>
              <w:spacing w:line="360" w:lineRule="auto"/>
              <w:ind w:right="178" w:rightChars="85"/>
              <w:jc w:val="center"/>
              <w:outlineLvl w:val="5"/>
              <w:rPr>
                <w:rFonts w:ascii="新宋体" w:hAnsi="新宋体" w:eastAsia="新宋体" w:cs="新宋体"/>
                <w:sz w:val="24"/>
                <w:lang w:val="zh-CN"/>
              </w:rPr>
            </w:pPr>
            <w:r>
              <w:rPr>
                <w:rFonts w:hint="eastAsia" w:ascii="新宋体" w:hAnsi="新宋体" w:eastAsia="新宋体" w:cs="新宋体"/>
                <w:sz w:val="24"/>
                <w:lang w:val="zh-CN"/>
              </w:rPr>
              <w:t>招标代理机构</w:t>
            </w:r>
          </w:p>
        </w:tc>
        <w:tc>
          <w:tcPr>
            <w:tcW w:w="6867" w:type="dxa"/>
            <w:noWrap/>
            <w:vAlign w:val="center"/>
          </w:tcPr>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rPr>
              <w:t>永道工程咨询（江苏）有限公司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3</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采购项目名称</w:t>
            </w:r>
          </w:p>
        </w:tc>
        <w:tc>
          <w:tcPr>
            <w:tcW w:w="6867" w:type="dxa"/>
            <w:noWrap/>
            <w:vAlign w:val="center"/>
          </w:tcPr>
          <w:p>
            <w:pPr>
              <w:spacing w:line="360" w:lineRule="auto"/>
              <w:ind w:firstLine="480" w:firstLineChars="200"/>
              <w:jc w:val="left"/>
              <w:outlineLvl w:val="5"/>
              <w:rPr>
                <w:rFonts w:ascii="新宋体" w:hAnsi="新宋体" w:eastAsia="新宋体" w:cs="新宋体"/>
                <w:sz w:val="24"/>
              </w:rPr>
            </w:pPr>
            <w:r>
              <w:rPr>
                <w:rFonts w:hint="eastAsia" w:ascii="新宋体" w:hAnsi="新宋体" w:eastAsia="新宋体" w:cs="新宋体"/>
                <w:sz w:val="24"/>
              </w:rPr>
              <w:t>拉萨市第一中等职业技术学校虚拟仿真实训实验室建设项目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4</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采购文件编号</w:t>
            </w:r>
          </w:p>
        </w:tc>
        <w:tc>
          <w:tcPr>
            <w:tcW w:w="6867" w:type="dxa"/>
            <w:noWrap/>
            <w:vAlign w:val="center"/>
          </w:tcPr>
          <w:p>
            <w:pPr>
              <w:spacing w:line="360" w:lineRule="auto"/>
              <w:ind w:left="1919" w:leftChars="228" w:hanging="1440" w:hangingChars="600"/>
              <w:rPr>
                <w:rFonts w:ascii="新宋体" w:hAnsi="新宋体" w:eastAsia="新宋体" w:cs="新宋体"/>
                <w:sz w:val="24"/>
              </w:rPr>
            </w:pPr>
            <w:r>
              <w:rPr>
                <w:rFonts w:hint="eastAsia" w:ascii="新宋体" w:hAnsi="新宋体" w:eastAsia="新宋体" w:cs="新宋体"/>
                <w:sz w:val="24"/>
              </w:rPr>
              <w:t>YDXZCG-2254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5</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招标文件编制</w:t>
            </w:r>
          </w:p>
        </w:tc>
        <w:tc>
          <w:tcPr>
            <w:tcW w:w="6867" w:type="dxa"/>
            <w:noWrap/>
            <w:vAlign w:val="center"/>
          </w:tcPr>
          <w:p>
            <w:pPr>
              <w:spacing w:line="360" w:lineRule="auto"/>
              <w:ind w:firstLine="480" w:firstLineChars="200"/>
              <w:jc w:val="left"/>
              <w:outlineLvl w:val="5"/>
              <w:rPr>
                <w:rFonts w:ascii="新宋体" w:hAnsi="新宋体" w:eastAsia="新宋体" w:cs="新宋体"/>
                <w:sz w:val="24"/>
              </w:rPr>
            </w:pPr>
            <w:r>
              <w:rPr>
                <w:rFonts w:hint="eastAsia" w:ascii="新宋体" w:hAnsi="新宋体" w:eastAsia="新宋体" w:cs="新宋体"/>
                <w:sz w:val="24"/>
              </w:rPr>
              <w:t>由采购人和永道工程咨询（江苏）有限公司共同编制。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6</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资金来源</w:t>
            </w:r>
          </w:p>
        </w:tc>
        <w:tc>
          <w:tcPr>
            <w:tcW w:w="6867" w:type="dxa"/>
            <w:noWrap/>
            <w:vAlign w:val="center"/>
          </w:tcPr>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rPr>
              <w:t>财政资金，已落实。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9" w:hRule="atLeast"/>
          <w:jc w:val="center"/>
        </w:trPr>
        <w:tc>
          <w:tcPr>
            <w:tcW w:w="582" w:type="dxa"/>
            <w:vMerge w:val="restart"/>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7</w:t>
            </w:r>
          </w:p>
        </w:tc>
        <w:tc>
          <w:tcPr>
            <w:tcW w:w="1950" w:type="dxa"/>
            <w:tcBorders>
              <w:bottom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采购预算</w:t>
            </w:r>
          </w:p>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（实质性要求）</w:t>
            </w:r>
          </w:p>
        </w:tc>
        <w:tc>
          <w:tcPr>
            <w:tcW w:w="6867" w:type="dxa"/>
            <w:tcBorders>
              <w:bottom w:val="single" w:color="auto" w:sz="4" w:space="0"/>
            </w:tcBorders>
            <w:noWrap/>
            <w:vAlign w:val="center"/>
          </w:tcPr>
          <w:p>
            <w:pPr>
              <w:pStyle w:val="32"/>
              <w:rPr>
                <w:rFonts w:eastAsia="新宋体"/>
              </w:rPr>
            </w:pPr>
            <w:r>
              <w:rPr>
                <w:rFonts w:hint="eastAsia" w:ascii="新宋体" w:hAnsi="新宋体" w:eastAsia="新宋体" w:cs="新宋体"/>
              </w:rPr>
              <w:t>¥ 20496676.00元（大写：贰仟零肆拾玖万陆仟陆佰柒拾陆元整）</w:t>
            </w:r>
          </w:p>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lang w:val="zh-CN"/>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82" w:type="dxa"/>
            <w:vMerge w:val="continue"/>
            <w:noWrap/>
            <w:vAlign w:val="center"/>
          </w:tcPr>
          <w:p>
            <w:pPr>
              <w:spacing w:line="360" w:lineRule="auto"/>
              <w:jc w:val="center"/>
              <w:outlineLvl w:val="5"/>
              <w:rPr>
                <w:rFonts w:ascii="新宋体" w:hAnsi="新宋体" w:eastAsia="新宋体" w:cs="新宋体"/>
                <w:sz w:val="24"/>
                <w:lang w:val="zh-CN"/>
              </w:rPr>
            </w:pPr>
          </w:p>
        </w:tc>
        <w:tc>
          <w:tcPr>
            <w:tcW w:w="1950" w:type="dxa"/>
            <w:tcBorders>
              <w:top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最高限价</w:t>
            </w:r>
          </w:p>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（实质性要求）</w:t>
            </w:r>
          </w:p>
        </w:tc>
        <w:tc>
          <w:tcPr>
            <w:tcW w:w="6867" w:type="dxa"/>
            <w:tcBorders>
              <w:top w:val="single" w:color="auto" w:sz="4" w:space="0"/>
            </w:tcBorders>
            <w:noWrap/>
            <w:vAlign w:val="center"/>
          </w:tcPr>
          <w:p>
            <w:pPr>
              <w:pStyle w:val="32"/>
              <w:rPr>
                <w:rFonts w:eastAsia="新宋体"/>
              </w:rPr>
            </w:pPr>
            <w:r>
              <w:rPr>
                <w:rFonts w:hint="eastAsia" w:ascii="新宋体" w:hAnsi="新宋体" w:eastAsia="新宋体" w:cs="新宋体"/>
              </w:rPr>
              <w:t>¥ 20496676.00元（大写：  贰仟零肆拾玖万陆仟陆佰柒拾陆元整）</w:t>
            </w:r>
          </w:p>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lang w:val="zh-CN"/>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8</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低于成本价不正当</w:t>
            </w:r>
          </w:p>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竞争预防措施</w:t>
            </w:r>
          </w:p>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sz w:val="24"/>
                <w:lang w:val="zh-CN"/>
              </w:rPr>
              <w:t>（实质性要求）</w:t>
            </w:r>
          </w:p>
        </w:tc>
        <w:tc>
          <w:tcPr>
            <w:tcW w:w="6867" w:type="dxa"/>
            <w:noWrap/>
            <w:vAlign w:val="center"/>
          </w:tcPr>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lang w:val="zh-CN"/>
              </w:rPr>
              <w:t>在评标过程中，评审委员认为投标供应商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4"/>
              <w:tabs>
                <w:tab w:val="left" w:pos="7665"/>
              </w:tabs>
              <w:snapToGrid w:val="0"/>
              <w:spacing w:line="360" w:lineRule="auto"/>
              <w:ind w:firstLine="480" w:firstLineChars="200"/>
              <w:jc w:val="left"/>
              <w:rPr>
                <w:rFonts w:ascii="新宋体" w:hAnsi="新宋体" w:eastAsia="新宋体" w:cs="新宋体"/>
                <w:bCs/>
                <w:kern w:val="2"/>
                <w:szCs w:val="24"/>
              </w:rPr>
            </w:pPr>
            <w:r>
              <w:rPr>
                <w:rFonts w:hint="eastAsia" w:ascii="新宋体" w:hAnsi="新宋体" w:eastAsia="新宋体" w:cs="新宋体"/>
                <w:b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r>
              <w:rPr>
                <w:rFonts w:hint="eastAsia" w:ascii="新宋体" w:hAnsi="新宋体" w:eastAsia="新宋体" w:cs="新宋体"/>
                <w:szCs w:val="24"/>
              </w:rPr>
              <w:t>。</w:t>
            </w:r>
          </w:p>
          <w:p>
            <w:pPr>
              <w:spacing w:line="360" w:lineRule="auto"/>
              <w:ind w:firstLine="480" w:firstLineChars="200"/>
              <w:jc w:val="left"/>
              <w:outlineLvl w:val="5"/>
              <w:rPr>
                <w:rFonts w:ascii="新宋体" w:hAnsi="新宋体" w:eastAsia="新宋体" w:cs="新宋体"/>
                <w:sz w:val="24"/>
                <w:lang w:val="zh-CN"/>
              </w:rPr>
            </w:pPr>
            <w:r>
              <w:rPr>
                <w:rFonts w:hint="eastAsia" w:ascii="新宋体" w:hAnsi="新宋体" w:eastAsia="新宋体" w:cs="新宋体"/>
                <w:sz w:val="24"/>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9</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采购方式</w:t>
            </w:r>
          </w:p>
        </w:tc>
        <w:tc>
          <w:tcPr>
            <w:tcW w:w="6867" w:type="dxa"/>
            <w:noWrap/>
            <w:vAlign w:val="center"/>
          </w:tcPr>
          <w:p>
            <w:pPr>
              <w:spacing w:line="360" w:lineRule="auto"/>
              <w:outlineLvl w:val="5"/>
              <w:rPr>
                <w:rFonts w:ascii="新宋体" w:hAnsi="新宋体" w:eastAsia="新宋体" w:cs="新宋体"/>
                <w:sz w:val="24"/>
                <w:lang w:val="zh-CN"/>
              </w:rPr>
            </w:pPr>
            <w:r>
              <w:rPr>
                <w:rFonts w:hint="eastAsia" w:ascii="新宋体" w:hAnsi="新宋体" w:eastAsia="新宋体" w:cs="新宋体"/>
                <w:sz w:val="24"/>
                <w:lang w:val="zh-CN"/>
              </w:rPr>
              <w:t xml:space="preserve">  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582" w:type="dxa"/>
            <w:tcBorders>
              <w:bottom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10</w:t>
            </w:r>
          </w:p>
        </w:tc>
        <w:tc>
          <w:tcPr>
            <w:tcW w:w="1950" w:type="dxa"/>
            <w:tcBorders>
              <w:bottom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评标方法</w:t>
            </w:r>
          </w:p>
        </w:tc>
        <w:tc>
          <w:tcPr>
            <w:tcW w:w="6867" w:type="dxa"/>
            <w:tcBorders>
              <w:bottom w:val="single" w:color="auto" w:sz="4" w:space="0"/>
            </w:tcBorders>
            <w:noWrap/>
            <w:vAlign w:val="center"/>
          </w:tcPr>
          <w:p>
            <w:pPr>
              <w:spacing w:line="360" w:lineRule="auto"/>
              <w:ind w:left="450" w:leftChars="100" w:hanging="240" w:hangingChars="100"/>
              <w:outlineLvl w:val="5"/>
              <w:rPr>
                <w:rFonts w:ascii="新宋体" w:hAnsi="新宋体" w:eastAsia="新宋体" w:cs="新宋体"/>
                <w:sz w:val="24"/>
                <w:lang w:val="zh-CN"/>
              </w:rPr>
            </w:pPr>
            <w:r>
              <w:rPr>
                <w:rFonts w:hint="eastAsia" w:ascii="新宋体" w:hAnsi="新宋体" w:eastAsia="新宋体" w:cs="新宋体"/>
                <w:sz w:val="24"/>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82" w:type="dxa"/>
            <w:tcBorders>
              <w:bottom w:val="single" w:color="auto" w:sz="4" w:space="0"/>
            </w:tcBorders>
            <w:noWrap/>
          </w:tcPr>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spacing w:before="4"/>
            </w:pPr>
          </w:p>
          <w:p>
            <w:pPr>
              <w:pStyle w:val="59"/>
              <w:spacing w:before="1"/>
              <w:ind w:left="127" w:right="107"/>
              <w:jc w:val="center"/>
              <w:rPr>
                <w:rFonts w:ascii="新宋体" w:hAnsi="新宋体" w:cs="新宋体"/>
                <w:sz w:val="24"/>
                <w:lang w:val="en-US"/>
              </w:rPr>
            </w:pPr>
            <w:r>
              <w:rPr>
                <w:sz w:val="24"/>
              </w:rPr>
              <w:t>1</w:t>
            </w:r>
            <w:r>
              <w:rPr>
                <w:rFonts w:hint="eastAsia"/>
                <w:sz w:val="24"/>
                <w:lang w:val="en-US"/>
              </w:rPr>
              <w:t>1</w:t>
            </w:r>
          </w:p>
        </w:tc>
        <w:tc>
          <w:tcPr>
            <w:tcW w:w="1950" w:type="dxa"/>
            <w:tcBorders>
              <w:bottom w:val="single" w:color="auto" w:sz="4" w:space="0"/>
            </w:tcBorders>
            <w:noWrap/>
          </w:tcPr>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rPr>
                <w:sz w:val="24"/>
              </w:rPr>
            </w:pPr>
          </w:p>
          <w:p>
            <w:pPr>
              <w:pStyle w:val="59"/>
              <w:spacing w:before="211"/>
              <w:ind w:left="54"/>
              <w:jc w:val="center"/>
              <w:rPr>
                <w:rFonts w:ascii="新宋体" w:hAnsi="新宋体" w:eastAsia="新宋体" w:cs="新宋体"/>
                <w:sz w:val="24"/>
              </w:rPr>
            </w:pPr>
            <w:r>
              <w:rPr>
                <w:sz w:val="24"/>
              </w:rPr>
              <w:t>核心产品</w:t>
            </w:r>
          </w:p>
        </w:tc>
        <w:tc>
          <w:tcPr>
            <w:tcW w:w="6867" w:type="dxa"/>
            <w:tcBorders>
              <w:bottom w:val="single" w:color="auto" w:sz="4" w:space="0"/>
            </w:tcBorders>
            <w:noWrap/>
          </w:tcPr>
          <w:p>
            <w:pPr>
              <w:pStyle w:val="4"/>
              <w:spacing w:before="0" w:after="0" w:line="500" w:lineRule="exact"/>
              <w:ind w:firstLine="241" w:firstLineChars="100"/>
              <w:jc w:val="both"/>
              <w:rPr>
                <w:rFonts w:eastAsia="宋体"/>
                <w:sz w:val="24"/>
              </w:rPr>
            </w:pPr>
            <w:r>
              <w:rPr>
                <w:rFonts w:ascii="宋体" w:hAnsi="宋体" w:eastAsia="宋体" w:cs="宋体"/>
                <w:sz w:val="24"/>
                <w:szCs w:val="24"/>
              </w:rPr>
              <w:t>本项目核心产品：</w:t>
            </w:r>
            <w:r>
              <w:rPr>
                <w:rFonts w:hint="eastAsia" w:ascii="宋体" w:hAnsi="宋体" w:eastAsia="宋体" w:cs="宋体"/>
                <w:b w:val="0"/>
                <w:bCs w:val="0"/>
                <w:kern w:val="0"/>
                <w:sz w:val="24"/>
                <w:szCs w:val="24"/>
                <w:shd w:val="clear" w:color="auto" w:fill="FFFFFF"/>
                <w:lang w:bidi="ar"/>
              </w:rPr>
              <w:t>无</w:t>
            </w:r>
          </w:p>
          <w:p>
            <w:pPr>
              <w:pStyle w:val="59"/>
              <w:spacing w:before="2" w:line="360" w:lineRule="auto"/>
              <w:ind w:left="36" w:right="-29" w:firstLine="240"/>
              <w:rPr>
                <w:sz w:val="24"/>
              </w:rPr>
            </w:pPr>
            <w:r>
              <w:rPr>
                <w:sz w:val="24"/>
              </w:rPr>
              <w:t>注：1.非单一产品采购项目根据《政府采购货物和服务招标投标管理办法》第三十一条规定：采购人应当根据采购项目技术构成、产品价格比重等合理确定核心产品，并在招标文件中载明。</w:t>
            </w:r>
          </w:p>
          <w:p>
            <w:pPr>
              <w:pStyle w:val="59"/>
              <w:numPr>
                <w:ilvl w:val="0"/>
                <w:numId w:val="4"/>
              </w:numPr>
              <w:tabs>
                <w:tab w:val="left" w:pos="518"/>
              </w:tabs>
              <w:spacing w:before="122" w:line="360" w:lineRule="auto"/>
              <w:ind w:right="-15" w:firstLine="240"/>
              <w:rPr>
                <w:sz w:val="24"/>
              </w:rPr>
            </w:pPr>
            <w:r>
              <w:rPr>
                <w:spacing w:val="-2"/>
                <w:sz w:val="24"/>
              </w:rPr>
              <w:t>采用最低评标价法的采购项目，提供相同品牌产品的不同投标</w:t>
            </w:r>
            <w:r>
              <w:rPr>
                <w:spacing w:val="-4"/>
                <w:sz w:val="24"/>
              </w:rPr>
              <w:t>人参加同一合同项下投标的，以其中通过资格审查、符合性审查且</w:t>
            </w:r>
            <w:r>
              <w:rPr>
                <w:spacing w:val="-6"/>
                <w:sz w:val="24"/>
              </w:rPr>
              <w:t>报价最低的参加评标；报价相同的，由采购人或者采购人委托评标</w:t>
            </w:r>
            <w:r>
              <w:rPr>
                <w:spacing w:val="-7"/>
                <w:sz w:val="24"/>
              </w:rPr>
              <w:t>委员会按照招标文件规定的方式确定一个参加评标的投标人，招标文件未规定的采取随机抽取方式确定，其他投标无效。</w:t>
            </w:r>
          </w:p>
          <w:p>
            <w:pPr>
              <w:pStyle w:val="59"/>
              <w:numPr>
                <w:ilvl w:val="0"/>
                <w:numId w:val="4"/>
              </w:numPr>
              <w:tabs>
                <w:tab w:val="left" w:pos="518"/>
              </w:tabs>
              <w:spacing w:before="4" w:line="360" w:lineRule="auto"/>
              <w:ind w:left="517" w:hanging="242"/>
              <w:jc w:val="left"/>
              <w:rPr>
                <w:sz w:val="24"/>
              </w:rPr>
            </w:pPr>
            <w:r>
              <w:rPr>
                <w:sz w:val="24"/>
              </w:rPr>
              <w:t>使用综合评分法的采购项目，</w:t>
            </w:r>
          </w:p>
          <w:p>
            <w:pPr>
              <w:pStyle w:val="59"/>
              <w:numPr>
                <w:ilvl w:val="1"/>
                <w:numId w:val="4"/>
              </w:numPr>
              <w:tabs>
                <w:tab w:val="left" w:pos="699"/>
              </w:tabs>
              <w:spacing w:before="123" w:line="360" w:lineRule="auto"/>
              <w:ind w:right="-15" w:firstLine="240"/>
              <w:rPr>
                <w:rFonts w:ascii="新宋体" w:hAnsi="新宋体" w:eastAsia="新宋体" w:cs="新宋体"/>
                <w:sz w:val="24"/>
              </w:rPr>
            </w:pPr>
            <w:r>
              <w:rPr>
                <w:sz w:val="24"/>
              </w:rPr>
              <w:t>提供相同品牌产品且通过资格审查、符合性审查的不同投标</w:t>
            </w:r>
            <w:r>
              <w:rPr>
                <w:spacing w:val="-2"/>
                <w:sz w:val="24"/>
              </w:rPr>
              <w:t>人参加同一合同项下投标的，按一家投标人计算，评审后得分最高</w:t>
            </w:r>
            <w:r>
              <w:rPr>
                <w:spacing w:val="-4"/>
                <w:sz w:val="24"/>
              </w:rPr>
              <w:t>的同品牌投标人获得中标人推荐资格；评审得分相同的，由采购人</w:t>
            </w:r>
            <w:r>
              <w:rPr>
                <w:spacing w:val="6"/>
                <w:sz w:val="24"/>
              </w:rPr>
              <w:t>或者采购人委托评标委员会按照招标文件规定的方式确定一个投</w:t>
            </w:r>
            <w:r>
              <w:rPr>
                <w:sz w:val="24"/>
              </w:rPr>
              <w:t>标人获得中标人推荐资格，招标文件未规定的采取随机抽取方式确定，其他同品牌投标人不作为中标候选人。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2</w:t>
            </w:r>
          </w:p>
        </w:tc>
        <w:tc>
          <w:tcPr>
            <w:tcW w:w="1950" w:type="dxa"/>
            <w:tcBorders>
              <w:top w:val="single" w:color="auto" w:sz="4" w:space="0"/>
              <w:bottom w:val="single" w:color="auto" w:sz="4" w:space="0"/>
            </w:tcBorders>
            <w:noWrap/>
            <w:vAlign w:val="center"/>
          </w:tcPr>
          <w:p>
            <w:pPr>
              <w:pStyle w:val="35"/>
              <w:spacing w:line="360" w:lineRule="auto"/>
              <w:jc w:val="center"/>
              <w:rPr>
                <w:rFonts w:hint="default" w:ascii="新宋体" w:hAnsi="新宋体" w:eastAsia="新宋体" w:cs="新宋体"/>
                <w:color w:val="auto"/>
                <w:sz w:val="24"/>
                <w:szCs w:val="24"/>
              </w:rPr>
            </w:pPr>
            <w:r>
              <w:rPr>
                <w:rFonts w:ascii="新宋体" w:hAnsi="新宋体" w:eastAsia="新宋体" w:cs="新宋体"/>
                <w:color w:val="auto"/>
                <w:sz w:val="24"/>
                <w:szCs w:val="24"/>
              </w:rPr>
              <w:t>小微企业（监狱企业、</w:t>
            </w:r>
            <w:r>
              <w:rPr>
                <w:rFonts w:ascii="新宋体" w:hAnsi="新宋体" w:eastAsia="新宋体" w:cs="新宋体"/>
                <w:color w:val="auto"/>
                <w:sz w:val="24"/>
                <w:szCs w:val="24"/>
                <w:shd w:val="clear" w:color="auto" w:fill="FFFFFF"/>
              </w:rPr>
              <w:t>残疾人福利性单位</w:t>
            </w:r>
            <w:r>
              <w:rPr>
                <w:rFonts w:ascii="新宋体" w:hAnsi="新宋体" w:eastAsia="新宋体" w:cs="新宋体"/>
                <w:color w:val="auto"/>
                <w:sz w:val="24"/>
                <w:szCs w:val="24"/>
              </w:rPr>
              <w:t>视同小微企业）价格扣除</w:t>
            </w:r>
          </w:p>
          <w:p>
            <w:pPr>
              <w:pStyle w:val="35"/>
              <w:spacing w:line="360" w:lineRule="auto"/>
              <w:jc w:val="center"/>
              <w:rPr>
                <w:rFonts w:hint="default" w:ascii="新宋体" w:hAnsi="新宋体" w:eastAsia="新宋体" w:cs="新宋体"/>
                <w:color w:val="auto"/>
                <w:sz w:val="24"/>
                <w:szCs w:val="24"/>
              </w:rPr>
            </w:pPr>
            <w:r>
              <w:rPr>
                <w:rFonts w:ascii="新宋体" w:hAnsi="新宋体" w:eastAsia="新宋体" w:cs="新宋体"/>
                <w:color w:val="auto"/>
                <w:sz w:val="24"/>
                <w:szCs w:val="24"/>
              </w:rPr>
              <w:t>（实质性要求）</w:t>
            </w:r>
          </w:p>
        </w:tc>
        <w:tc>
          <w:tcPr>
            <w:tcW w:w="6867" w:type="dxa"/>
            <w:tcBorders>
              <w:top w:val="single" w:color="auto" w:sz="4" w:space="0"/>
              <w:bottom w:val="single" w:color="auto" w:sz="4" w:space="0"/>
            </w:tcBorders>
            <w:noWrap/>
            <w:vAlign w:val="center"/>
          </w:tcPr>
          <w:p>
            <w:pPr>
              <w:widowControl/>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一、小微企业（监狱企业、残疾人福利性单位视同小微企业）价格扣除</w:t>
            </w:r>
          </w:p>
          <w:p>
            <w:pPr>
              <w:widowControl/>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1、根据《政府采购促进中小企业发展管理办法》（财库[2020]46号）的规定，对于经主管预算单位统筹后未预留份额专门面向中小企业采购的采购项目，以及预留份额项目中的非预留部分采购包，采购人、采购代理机构应当对符合本方法规定的小微企业报价给予</w:t>
            </w:r>
            <w:r>
              <w:rPr>
                <w:rFonts w:hint="eastAsia" w:ascii="新宋体" w:hAnsi="新宋体" w:eastAsia="新宋体" w:cs="新宋体"/>
                <w:kern w:val="0"/>
                <w:sz w:val="24"/>
                <w:lang w:val="en-US" w:eastAsia="zh-CN"/>
              </w:rPr>
              <w:t>10</w:t>
            </w:r>
            <w:r>
              <w:rPr>
                <w:rFonts w:hint="eastAsia" w:ascii="新宋体" w:hAnsi="新宋体" w:eastAsia="新宋体" w:cs="新宋体"/>
                <w:kern w:val="0"/>
                <w:sz w:val="24"/>
              </w:rPr>
              <w:t>%的扣除，用扣除后的价格参与评标。</w:t>
            </w:r>
          </w:p>
          <w:p>
            <w:pPr>
              <w:widowControl/>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2、参加政府采购活动，应当出具本办法规定的《中小企业声明函》原件，否则不得享受相关中小企业扶持政策。</w:t>
            </w:r>
          </w:p>
          <w:p>
            <w:pPr>
              <w:widowControl/>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widowControl/>
              <w:spacing w:line="360" w:lineRule="auto"/>
              <w:ind w:firstLine="480" w:firstLineChars="200"/>
              <w:jc w:val="left"/>
              <w:rPr>
                <w:rFonts w:ascii="新宋体" w:hAnsi="新宋体" w:eastAsia="新宋体" w:cs="新宋体"/>
                <w:bCs/>
                <w:sz w:val="24"/>
              </w:rPr>
            </w:pPr>
            <w:r>
              <w:rPr>
                <w:rFonts w:hint="eastAsia" w:ascii="新宋体" w:hAnsi="新宋体" w:eastAsia="新宋体" w:cs="新宋体"/>
                <w:kern w:val="0"/>
                <w:sz w:val="24"/>
              </w:rPr>
              <w:t xml:space="preserve">联合体各方均为小型、微型企业的，联合体视同为小型、微型企业享受规定的扶持政策。组成联合体的大中型企业和其他自然人、法人或者其他组织，与小型、微型企业之间不得存在投资关系。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582" w:type="dxa"/>
            <w:tcBorders>
              <w:top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3</w:t>
            </w:r>
          </w:p>
        </w:tc>
        <w:tc>
          <w:tcPr>
            <w:tcW w:w="1950" w:type="dxa"/>
            <w:tcBorders>
              <w:top w:val="single" w:color="auto" w:sz="4" w:space="0"/>
            </w:tcBorders>
            <w:noWrap/>
            <w:vAlign w:val="center"/>
          </w:tcPr>
          <w:p>
            <w:pPr>
              <w:spacing w:line="360" w:lineRule="auto"/>
              <w:ind w:left="105" w:leftChars="50" w:right="105" w:rightChars="50"/>
              <w:jc w:val="center"/>
              <w:rPr>
                <w:rFonts w:ascii="新宋体" w:hAnsi="新宋体" w:eastAsia="新宋体" w:cs="新宋体"/>
                <w:sz w:val="24"/>
              </w:rPr>
            </w:pPr>
            <w:r>
              <w:rPr>
                <w:rFonts w:hint="eastAsia" w:ascii="新宋体" w:hAnsi="新宋体" w:eastAsia="新宋体" w:cs="新宋体"/>
                <w:kern w:val="0"/>
                <w:sz w:val="24"/>
              </w:rPr>
              <w:t>评标情况公告</w:t>
            </w:r>
          </w:p>
        </w:tc>
        <w:tc>
          <w:tcPr>
            <w:tcW w:w="6867" w:type="dxa"/>
            <w:tcBorders>
              <w:top w:val="single" w:color="auto" w:sz="4" w:space="0"/>
            </w:tcBorders>
            <w:noWrap/>
            <w:vAlign w:val="center"/>
          </w:tcPr>
          <w:p>
            <w:pPr>
              <w:widowControl/>
              <w:spacing w:line="360" w:lineRule="auto"/>
              <w:jc w:val="left"/>
              <w:rPr>
                <w:rFonts w:ascii="新宋体" w:hAnsi="新宋体" w:eastAsia="新宋体" w:cs="新宋体"/>
                <w:sz w:val="24"/>
              </w:rPr>
            </w:pPr>
            <w:r>
              <w:rPr>
                <w:rFonts w:hint="eastAsia" w:ascii="新宋体" w:hAnsi="新宋体" w:eastAsia="新宋体" w:cs="新宋体"/>
                <w:kern w:val="0"/>
                <w:sz w:val="24"/>
              </w:rPr>
              <w:t>招标文件、评标结果等将在《中国政府采购网》、《西藏自治区政府采购网》、《西藏自治区公共资源交易平台》、《拉萨市公共资源交易平台》上采购结果公告栏中予以公告。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4</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联合体投标</w:t>
            </w:r>
          </w:p>
        </w:tc>
        <w:tc>
          <w:tcPr>
            <w:tcW w:w="6867" w:type="dxa"/>
            <w:noWrap/>
            <w:vAlign w:val="center"/>
          </w:tcPr>
          <w:p>
            <w:pPr>
              <w:spacing w:line="360" w:lineRule="auto"/>
              <w:ind w:firstLine="240" w:firstLineChars="100"/>
              <w:outlineLvl w:val="5"/>
              <w:rPr>
                <w:rFonts w:ascii="新宋体" w:hAnsi="新宋体" w:eastAsia="新宋体" w:cs="新宋体"/>
                <w:sz w:val="24"/>
                <w:lang w:val="zh-CN"/>
              </w:rPr>
            </w:pPr>
            <w:r>
              <w:rPr>
                <w:rFonts w:hint="eastAsia" w:ascii="新宋体" w:hAnsi="新宋体" w:eastAsia="新宋体" w:cs="新宋体"/>
                <w:kern w:val="0"/>
                <w:sz w:val="24"/>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5</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考察现场、标前答疑会</w:t>
            </w:r>
          </w:p>
        </w:tc>
        <w:tc>
          <w:tcPr>
            <w:tcW w:w="6867" w:type="dxa"/>
            <w:noWrap/>
            <w:vAlign w:val="center"/>
          </w:tcPr>
          <w:p>
            <w:pPr>
              <w:spacing w:line="360" w:lineRule="auto"/>
              <w:ind w:firstLine="240" w:firstLineChars="100"/>
              <w:outlineLvl w:val="5"/>
              <w:rPr>
                <w:rFonts w:ascii="新宋体" w:hAnsi="新宋体" w:eastAsia="新宋体" w:cs="新宋体"/>
                <w:sz w:val="24"/>
                <w:lang w:val="zh-CN"/>
              </w:rPr>
            </w:pPr>
            <w:r>
              <w:rPr>
                <w:rFonts w:hint="eastAsia" w:ascii="新宋体" w:hAnsi="新宋体" w:eastAsia="新宋体" w:cs="新宋体"/>
                <w:sz w:val="24"/>
                <w:lang w:val="zh-CN"/>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6</w:t>
            </w:r>
          </w:p>
        </w:tc>
        <w:tc>
          <w:tcPr>
            <w:tcW w:w="1950" w:type="dxa"/>
            <w:noWrap/>
            <w:vAlign w:val="center"/>
          </w:tcPr>
          <w:p>
            <w:pPr>
              <w:spacing w:line="360" w:lineRule="auto"/>
              <w:ind w:left="825" w:leftChars="50" w:hanging="720" w:hangingChars="300"/>
              <w:jc w:val="center"/>
              <w:outlineLvl w:val="5"/>
              <w:rPr>
                <w:rFonts w:ascii="新宋体" w:hAnsi="新宋体" w:eastAsia="新宋体" w:cs="新宋体"/>
                <w:sz w:val="24"/>
              </w:rPr>
            </w:pPr>
            <w:r>
              <w:rPr>
                <w:rFonts w:hint="eastAsia" w:ascii="新宋体" w:hAnsi="新宋体" w:eastAsia="新宋体" w:cs="新宋体"/>
                <w:sz w:val="24"/>
              </w:rPr>
              <w:t>质疑和投诉</w:t>
            </w:r>
          </w:p>
        </w:tc>
        <w:tc>
          <w:tcPr>
            <w:tcW w:w="6867" w:type="dxa"/>
            <w:noWrap/>
            <w:vAlign w:val="center"/>
          </w:tcPr>
          <w:p>
            <w:pPr>
              <w:spacing w:line="360" w:lineRule="auto"/>
              <w:ind w:firstLine="240" w:firstLineChars="100"/>
              <w:outlineLvl w:val="5"/>
              <w:rPr>
                <w:rFonts w:ascii="新宋体" w:hAnsi="新宋体" w:eastAsia="新宋体" w:cs="新宋体"/>
                <w:sz w:val="24"/>
              </w:rPr>
            </w:pPr>
            <w:r>
              <w:rPr>
                <w:rFonts w:hint="eastAsia" w:ascii="新宋体" w:hAnsi="新宋体" w:eastAsia="新宋体" w:cs="新宋体"/>
                <w:kern w:val="0"/>
                <w:sz w:val="24"/>
              </w:rPr>
              <w:t>严格按中华人民共和国财政部令第94号《政府采购质疑和投诉办法》规定执行。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36" w:hRule="exac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7</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投标文件签字盖章</w:t>
            </w:r>
          </w:p>
        </w:tc>
        <w:tc>
          <w:tcPr>
            <w:tcW w:w="6867" w:type="dxa"/>
            <w:noWrap/>
            <w:vAlign w:val="center"/>
          </w:tcPr>
          <w:p>
            <w:pPr>
              <w:spacing w:line="360" w:lineRule="auto"/>
              <w:ind w:left="239" w:leftChars="114"/>
              <w:jc w:val="left"/>
              <w:outlineLvl w:val="5"/>
              <w:rPr>
                <w:rFonts w:hint="eastAsia"/>
              </w:rPr>
            </w:pPr>
            <w:r>
              <w:drawing>
                <wp:inline distT="0" distB="0" distL="114300" distR="114300">
                  <wp:extent cx="38100" cy="13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8100" cy="139700"/>
                          </a:xfrm>
                          <a:prstGeom prst="rect">
                            <a:avLst/>
                          </a:prstGeom>
                          <a:noFill/>
                          <a:ln>
                            <a:noFill/>
                          </a:ln>
                        </pic:spPr>
                      </pic:pic>
                    </a:graphicData>
                  </a:graphic>
                </wp:inline>
              </w:drawing>
            </w:r>
            <w:r>
              <w:drawing>
                <wp:inline distT="0" distB="0" distL="114300" distR="114300">
                  <wp:extent cx="38100" cy="13970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100" cy="139700"/>
                          </a:xfrm>
                          <a:prstGeom prst="rect">
                            <a:avLst/>
                          </a:prstGeom>
                          <a:noFill/>
                          <a:ln>
                            <a:noFill/>
                          </a:ln>
                        </pic:spPr>
                      </pic:pic>
                    </a:graphicData>
                  </a:graphic>
                </wp:inline>
              </w:drawing>
            </w:r>
            <w:r>
              <w:rPr>
                <w:rFonts w:hint="eastAsia"/>
              </w:rPr>
              <w:t>所有要求签字的地方都应由法定代表人或其委托代理人签字。</w:t>
            </w:r>
          </w:p>
          <w:p>
            <w:pPr>
              <w:spacing w:line="360" w:lineRule="auto"/>
              <w:ind w:left="239" w:leftChars="114"/>
              <w:jc w:val="left"/>
              <w:outlineLvl w:val="5"/>
              <w:rPr>
                <w:rFonts w:hint="eastAsia"/>
                <w:lang w:eastAsia="zh-CN"/>
              </w:rPr>
            </w:pPr>
            <w:r>
              <w:rPr>
                <w:rFonts w:hint="eastAsia"/>
                <w:lang w:eastAsia="zh-CN"/>
              </w:rPr>
              <w:t>注：本招标文件所述“法定代表人或其委托代理人签字”可由“法定代表人（供应商主体为法人）/单位负责人（供应商主体为其他组织机构）或委托代理人以及自然人（供应商主体为自然人）、签字（或盖签字人的人名章）”</w:t>
            </w:r>
          </w:p>
          <w:p>
            <w:pPr>
              <w:spacing w:line="360" w:lineRule="auto"/>
              <w:ind w:left="239" w:leftChars="114"/>
              <w:jc w:val="left"/>
              <w:outlineLvl w:val="5"/>
              <w:rPr>
                <w:rFonts w:hint="eastAsia"/>
              </w:rPr>
            </w:pPr>
            <w:r>
              <w:rPr>
                <w:rFonts w:hint="eastAsia"/>
              </w:rPr>
              <w:t>（2）所有要求盖章的地方都应加盖供应商单位（法定名称）章（鲜章），不得使用专用印章（如经济合同章、投标专用章等）或下属单位印章代替。</w:t>
            </w:r>
          </w:p>
          <w:p>
            <w:pPr>
              <w:spacing w:line="360" w:lineRule="auto"/>
              <w:ind w:left="239" w:leftChars="114"/>
              <w:jc w:val="left"/>
              <w:outlineLvl w:val="5"/>
              <w:rPr>
                <w:rFonts w:hint="eastAsia"/>
              </w:rPr>
            </w:pPr>
            <w:r>
              <w:rPr>
                <w:rFonts w:hint="eastAsia"/>
              </w:rPr>
              <w:t>（3）投标文件格式中要求供应商“法定代表人或其委托代理人”签字的，如</w:t>
            </w:r>
            <w:r>
              <w:rPr>
                <w:rFonts w:hint="eastAsia"/>
                <w:lang w:eastAsia="zh-CN"/>
              </w:rPr>
              <w:t>法定代表人（单位负责人）</w:t>
            </w:r>
            <w:r>
              <w:rPr>
                <w:rFonts w:hint="eastAsia"/>
              </w:rPr>
              <w:t>亲自参与投标而不委托代理人参与投标的，由</w:t>
            </w:r>
            <w:r>
              <w:rPr>
                <w:rFonts w:hint="eastAsia"/>
                <w:lang w:eastAsia="zh-CN"/>
              </w:rPr>
              <w:t>法定代表人（单位负责人）</w:t>
            </w:r>
            <w:r>
              <w:rPr>
                <w:rFonts w:hint="eastAsia"/>
              </w:rPr>
              <w:t>签字；如</w:t>
            </w:r>
            <w:r>
              <w:rPr>
                <w:rFonts w:hint="eastAsia"/>
                <w:lang w:eastAsia="zh-CN"/>
              </w:rPr>
              <w:t>法定代表人（单位负责人）</w:t>
            </w:r>
            <w:r>
              <w:rPr>
                <w:rFonts w:hint="eastAsia"/>
              </w:rPr>
              <w:t>授权委托代理人投标，由委托代理人签字，也可由</w:t>
            </w:r>
            <w:r>
              <w:rPr>
                <w:rFonts w:hint="eastAsia"/>
                <w:lang w:eastAsia="zh-CN"/>
              </w:rPr>
              <w:t>法定代表人（单位负责人）</w:t>
            </w:r>
            <w:r>
              <w:rPr>
                <w:rFonts w:hint="eastAsia"/>
              </w:rPr>
              <w:t>签字。</w:t>
            </w:r>
          </w:p>
          <w:p>
            <w:pPr>
              <w:spacing w:line="360" w:lineRule="auto"/>
              <w:ind w:left="239" w:leftChars="114"/>
              <w:jc w:val="left"/>
              <w:outlineLvl w:val="5"/>
              <w:rPr>
                <w:rFonts w:ascii="新宋体" w:hAnsi="新宋体" w:eastAsia="新宋体" w:cs="新宋体"/>
                <w:sz w:val="24"/>
              </w:rPr>
            </w:pPr>
            <w:r>
              <w:rPr>
                <w:rFonts w:hint="eastAsia"/>
                <w:lang w:eastAsia="zh-CN"/>
              </w:rPr>
              <w:t>（</w:t>
            </w:r>
            <w:r>
              <w:rPr>
                <w:rFonts w:hint="eastAsia"/>
                <w:lang w:val="en-US" w:eastAsia="zh-CN"/>
              </w:rPr>
              <w:t>4）</w:t>
            </w:r>
            <w:r>
              <w:rPr>
                <w:rFonts w:hint="eastAsia"/>
                <w:lang w:val="zh-CN"/>
              </w:rPr>
              <w:t>投标文件中任何行间插字、涂改和增删，均应加盖供应商的公章并由法定代表人（单位负责人）或委托代理人签字。因投标文件字迹模糊或表述不清所引起的不利后果由供应商自行承担。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8" w:hRule="exac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1</w:t>
            </w:r>
            <w:r>
              <w:rPr>
                <w:rFonts w:hint="eastAsia" w:ascii="新宋体" w:hAnsi="新宋体" w:eastAsia="新宋体" w:cs="新宋体"/>
                <w:sz w:val="24"/>
              </w:rPr>
              <w:t>8</w:t>
            </w:r>
          </w:p>
        </w:tc>
        <w:tc>
          <w:tcPr>
            <w:tcW w:w="1950" w:type="dxa"/>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投标有效期</w:t>
            </w:r>
          </w:p>
        </w:tc>
        <w:tc>
          <w:tcPr>
            <w:tcW w:w="6867" w:type="dxa"/>
            <w:noWrap/>
            <w:vAlign w:val="center"/>
          </w:tcPr>
          <w:p>
            <w:pPr>
              <w:spacing w:line="360" w:lineRule="auto"/>
              <w:outlineLvl w:val="5"/>
              <w:rPr>
                <w:rFonts w:ascii="新宋体" w:hAnsi="新宋体" w:eastAsia="新宋体" w:cs="新宋体"/>
                <w:kern w:val="0"/>
                <w:sz w:val="24"/>
              </w:rPr>
            </w:pPr>
            <w:r>
              <w:rPr>
                <w:rFonts w:hint="eastAsia" w:ascii="新宋体" w:hAnsi="新宋体" w:eastAsia="新宋体" w:cs="新宋体"/>
                <w:kern w:val="0"/>
                <w:sz w:val="24"/>
              </w:rPr>
              <w:t>递交投标文件截止之日起90日历天。</w:t>
            </w:r>
          </w:p>
          <w:p>
            <w:pPr>
              <w:spacing w:line="360" w:lineRule="auto"/>
              <w:ind w:firstLine="240" w:firstLineChars="100"/>
              <w:outlineLvl w:val="5"/>
              <w:rPr>
                <w:rFonts w:ascii="新宋体" w:hAnsi="新宋体" w:eastAsia="新宋体" w:cs="新宋体"/>
                <w:kern w:val="0"/>
                <w:sz w:val="24"/>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2" w:hRule="atLeast"/>
          <w:jc w:val="center"/>
        </w:trPr>
        <w:tc>
          <w:tcPr>
            <w:tcW w:w="582" w:type="dxa"/>
            <w:tcBorders>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rPr>
              <w:t>19</w:t>
            </w:r>
          </w:p>
        </w:tc>
        <w:tc>
          <w:tcPr>
            <w:tcW w:w="1950" w:type="dxa"/>
            <w:tcBorders>
              <w:bottom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投标保证金（</w:t>
            </w:r>
            <w:r>
              <w:rPr>
                <w:rFonts w:hint="eastAsia" w:ascii="新宋体" w:hAnsi="新宋体" w:eastAsia="新宋体" w:cs="新宋体"/>
                <w:sz w:val="24"/>
              </w:rPr>
              <w:t>实质性要求</w:t>
            </w:r>
            <w:r>
              <w:rPr>
                <w:rFonts w:hint="eastAsia" w:ascii="新宋体" w:hAnsi="新宋体" w:eastAsia="新宋体" w:cs="新宋体"/>
                <w:sz w:val="24"/>
                <w:lang w:val="zh-CN"/>
              </w:rPr>
              <w:t>）</w:t>
            </w:r>
          </w:p>
        </w:tc>
        <w:tc>
          <w:tcPr>
            <w:tcW w:w="6867" w:type="dxa"/>
            <w:tcBorders>
              <w:bottom w:val="single" w:color="auto" w:sz="4" w:space="0"/>
            </w:tcBorders>
            <w:noWrap/>
            <w:vAlign w:val="center"/>
          </w:tcPr>
          <w:p>
            <w:pPr>
              <w:spacing w:line="360" w:lineRule="auto"/>
              <w:jc w:val="left"/>
              <w:outlineLvl w:val="5"/>
              <w:rPr>
                <w:rFonts w:hint="eastAsia" w:ascii="新宋体" w:hAnsi="新宋体" w:eastAsia="新宋体" w:cs="新宋体"/>
                <w:sz w:val="24"/>
                <w:lang w:val="zh-CN" w:eastAsia="zh-CN"/>
              </w:rPr>
            </w:pPr>
            <w:r>
              <w:rPr>
                <w:rFonts w:hint="eastAsia" w:ascii="新宋体" w:hAnsi="新宋体" w:eastAsia="新宋体" w:cs="新宋体"/>
                <w:sz w:val="24"/>
                <w:lang w:val="zh-CN" w:eastAsia="zh-CN"/>
              </w:rPr>
              <w:t>1.</w:t>
            </w:r>
            <w:r>
              <w:rPr>
                <w:rFonts w:hint="eastAsia" w:ascii="新宋体" w:hAnsi="新宋体" w:eastAsia="新宋体" w:cs="新宋体"/>
                <w:sz w:val="24"/>
                <w:lang w:val="zh-CN"/>
              </w:rPr>
              <w:t>投标保证金的形式:</w:t>
            </w:r>
            <w:r>
              <w:rPr>
                <w:rFonts w:hint="eastAsia" w:ascii="新宋体" w:hAnsi="新宋体" w:eastAsia="新宋体" w:cs="新宋体"/>
                <w:sz w:val="24"/>
                <w:lang w:val="zh-CN" w:eastAsia="zh-CN"/>
              </w:rPr>
              <w:t>电子投标保函</w:t>
            </w:r>
          </w:p>
          <w:p>
            <w:pPr>
              <w:spacing w:line="360" w:lineRule="auto"/>
              <w:jc w:val="left"/>
              <w:outlineLvl w:val="5"/>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lang w:val="zh-CN"/>
              </w:rPr>
              <w:t>投标保证金的金额；一标段：保证金</w:t>
            </w:r>
            <w:r>
              <w:rPr>
                <w:rFonts w:hint="eastAsia" w:ascii="新宋体" w:hAnsi="新宋体" w:eastAsia="新宋体" w:cs="新宋体"/>
                <w:sz w:val="24"/>
                <w:lang w:val="en-US" w:eastAsia="zh-CN"/>
              </w:rPr>
              <w:t>6万元；</w:t>
            </w:r>
          </w:p>
          <w:p>
            <w:pPr>
              <w:pStyle w:val="12"/>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二标段：保证金6万元；</w:t>
            </w:r>
          </w:p>
          <w:p>
            <w:pPr>
              <w:ind w:firstLine="1920" w:firstLineChars="8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三标段：保证金6万元；</w:t>
            </w:r>
          </w:p>
          <w:p>
            <w:pPr>
              <w:pStyle w:val="12"/>
              <w:ind w:firstLine="1920" w:firstLineChars="8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四标段：保证金6万元；</w:t>
            </w:r>
          </w:p>
          <w:p>
            <w:pPr>
              <w:ind w:firstLine="1920" w:firstLineChars="8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五标段：保证金5万元；</w:t>
            </w:r>
          </w:p>
          <w:p>
            <w:pPr>
              <w:pStyle w:val="12"/>
              <w:ind w:firstLine="1920" w:firstLineChars="8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六标段：保证金4万元；</w:t>
            </w:r>
          </w:p>
          <w:p>
            <w:pPr>
              <w:ind w:firstLine="1920" w:firstLineChars="800"/>
              <w:rPr>
                <w:rFonts w:hint="default" w:ascii="新宋体" w:hAnsi="新宋体" w:eastAsia="新宋体" w:cs="新宋体"/>
                <w:sz w:val="24"/>
                <w:lang w:val="en-US" w:eastAsia="zh-CN"/>
              </w:rPr>
            </w:pPr>
            <w:r>
              <w:rPr>
                <w:rFonts w:hint="eastAsia" w:ascii="新宋体" w:hAnsi="新宋体" w:eastAsia="新宋体" w:cs="新宋体"/>
                <w:sz w:val="24"/>
                <w:lang w:val="en-US" w:eastAsia="zh-CN"/>
              </w:rPr>
              <w:t>七标段：保证金4万元；</w:t>
            </w:r>
          </w:p>
          <w:p>
            <w:pPr>
              <w:pStyle w:val="12"/>
              <w:ind w:firstLine="1920" w:firstLineChars="800"/>
              <w:rPr>
                <w:rFonts w:hint="default"/>
                <w:lang w:val="en-US" w:eastAsia="zh-CN"/>
              </w:rPr>
            </w:pPr>
            <w:r>
              <w:rPr>
                <w:rFonts w:hint="eastAsia" w:ascii="新宋体" w:hAnsi="新宋体" w:eastAsia="新宋体" w:cs="新宋体"/>
                <w:sz w:val="24"/>
                <w:lang w:val="en-US" w:eastAsia="zh-CN"/>
              </w:rPr>
              <w:t>八标段：保证金1万元；</w:t>
            </w:r>
          </w:p>
          <w:p>
            <w:pPr>
              <w:tabs>
                <w:tab w:val="left" w:pos="7665"/>
              </w:tabs>
              <w:spacing w:line="360" w:lineRule="auto"/>
              <w:rPr>
                <w:rFonts w:hint="eastAsia"/>
                <w:lang w:val="zh-CN"/>
              </w:rPr>
            </w:pPr>
            <w:r>
              <w:rPr>
                <w:rFonts w:hint="eastAsia"/>
                <w:lang w:val="zh-CN"/>
              </w:rPr>
              <w:t>递交方式：登录到拉萨市公共资源交易网（</w:t>
            </w:r>
            <w:r>
              <w:rPr>
                <w:rFonts w:hint="eastAsia"/>
                <w:lang w:val="zh-CN"/>
              </w:rPr>
              <w:fldChar w:fldCharType="begin"/>
            </w:r>
            <w:r>
              <w:rPr>
                <w:rFonts w:hint="eastAsia"/>
                <w:lang w:val="zh-CN"/>
              </w:rPr>
              <w:instrText xml:space="preserve"> HYPERLINK "http://ggzy.lasa.gov.cn/" \h </w:instrText>
            </w:r>
            <w:r>
              <w:rPr>
                <w:rFonts w:hint="eastAsia"/>
                <w:lang w:val="zh-CN"/>
              </w:rPr>
              <w:fldChar w:fldCharType="separate"/>
            </w:r>
            <w:r>
              <w:rPr>
                <w:rFonts w:hint="eastAsia"/>
                <w:lang w:val="zh-CN"/>
              </w:rPr>
              <w:t>http://ggzy.lasa.gov.cn</w:t>
            </w:r>
            <w:r>
              <w:rPr>
                <w:rFonts w:hint="eastAsia"/>
                <w:lang w:val="zh-CN"/>
              </w:rPr>
              <w:fldChar w:fldCharType="end"/>
            </w:r>
            <w:r>
              <w:rPr>
                <w:rFonts w:hint="eastAsia"/>
                <w:lang w:val="zh-CN"/>
              </w:rPr>
              <w:t>），按系统提示在系统中</w:t>
            </w:r>
            <w:r>
              <w:rPr>
                <w:rFonts w:hint="eastAsia"/>
                <w:lang w:val="zh-CN" w:eastAsia="zh-CN"/>
              </w:rPr>
              <w:t>进行缴纳</w:t>
            </w:r>
            <w:r>
              <w:rPr>
                <w:rFonts w:hint="eastAsia"/>
                <w:lang w:val="zh-CN"/>
              </w:rPr>
              <w:t>。</w:t>
            </w:r>
          </w:p>
          <w:p>
            <w:pPr>
              <w:tabs>
                <w:tab w:val="left" w:pos="7665"/>
              </w:tabs>
              <w:spacing w:line="360" w:lineRule="auto"/>
              <w:rPr>
                <w:rFonts w:hint="eastAsia"/>
                <w:lang w:val="zh-CN"/>
              </w:rPr>
            </w:pPr>
            <w:r>
              <w:rPr>
                <w:rFonts w:hint="eastAsia"/>
                <w:lang w:val="zh-CN"/>
              </w:rPr>
              <w:t>递交</w:t>
            </w:r>
            <w:r>
              <w:rPr>
                <w:rFonts w:hint="eastAsia"/>
                <w:lang w:val="zh-CN" w:eastAsia="zh-CN"/>
              </w:rPr>
              <w:t>截止</w:t>
            </w:r>
            <w:r>
              <w:rPr>
                <w:rFonts w:hint="eastAsia"/>
                <w:lang w:val="zh-CN"/>
              </w:rPr>
              <w:t>时间：</w:t>
            </w:r>
            <w:r>
              <w:rPr>
                <w:rFonts w:hint="eastAsia"/>
                <w:lang w:val="zh-CN" w:eastAsia="zh-CN"/>
              </w:rPr>
              <w:t>同</w:t>
            </w:r>
            <w:r>
              <w:rPr>
                <w:rFonts w:hint="eastAsia"/>
                <w:lang w:val="zh-CN"/>
              </w:rPr>
              <w:t>投标截止时间</w:t>
            </w:r>
          </w:p>
          <w:p>
            <w:pPr>
              <w:tabs>
                <w:tab w:val="left" w:pos="7665"/>
              </w:tabs>
              <w:spacing w:line="360" w:lineRule="auto"/>
              <w:rPr>
                <w:rFonts w:hint="eastAsia"/>
                <w:lang w:val="zh-CN"/>
              </w:rPr>
            </w:pPr>
            <w:r>
              <w:rPr>
                <w:rFonts w:hint="eastAsia"/>
                <w:lang w:val="zh-CN"/>
              </w:rPr>
              <w:t>备注：</w:t>
            </w:r>
          </w:p>
          <w:p>
            <w:pPr>
              <w:tabs>
                <w:tab w:val="left" w:pos="7665"/>
              </w:tabs>
              <w:spacing w:line="360" w:lineRule="auto"/>
              <w:rPr>
                <w:rFonts w:hint="eastAsia"/>
                <w:lang w:val="zh-CN" w:eastAsia="zh-CN"/>
              </w:rPr>
            </w:pPr>
            <w:r>
              <w:rPr>
                <w:rFonts w:hint="eastAsia"/>
                <w:lang w:val="zh-CN" w:eastAsia="zh-CN"/>
              </w:rPr>
              <w:t>投标保证金依据《关于拉萨市公共资源交易平台投标电子保函系统上线运行的通知》精神出具电子保函。</w:t>
            </w:r>
          </w:p>
          <w:p>
            <w:pPr>
              <w:tabs>
                <w:tab w:val="left" w:pos="7665"/>
              </w:tabs>
              <w:spacing w:line="360" w:lineRule="auto"/>
              <w:rPr>
                <w:rFonts w:hint="eastAsia"/>
                <w:lang w:val="zh-CN"/>
              </w:rPr>
            </w:pPr>
            <w:r>
              <w:rPr>
                <w:rFonts w:hint="eastAsia"/>
                <w:lang w:val="zh-CN" w:eastAsia="zh-CN"/>
              </w:rPr>
              <w:t>供应商需在拉萨市公共资源交易平台电子保函系统自行办理。</w:t>
            </w:r>
          </w:p>
          <w:p>
            <w:pPr>
              <w:tabs>
                <w:tab w:val="left" w:pos="7665"/>
              </w:tabs>
              <w:spacing w:line="360" w:lineRule="auto"/>
              <w:rPr>
                <w:rFonts w:hint="eastAsia"/>
                <w:lang w:val="zh-CN"/>
              </w:rPr>
            </w:pPr>
            <w:r>
              <w:rPr>
                <w:rFonts w:hint="eastAsia"/>
                <w:lang w:val="zh-CN" w:eastAsia="zh-CN"/>
              </w:rPr>
              <w:t>供应商编制投标文件时，将提交投标保证金的电子投标保函打印件封装在招标文件指定位置；开标时需提供加盖公章打印件作为原件备查。</w:t>
            </w:r>
          </w:p>
          <w:p>
            <w:pPr>
              <w:tabs>
                <w:tab w:val="left" w:pos="7665"/>
              </w:tabs>
              <w:spacing w:line="360" w:lineRule="auto"/>
              <w:rPr>
                <w:rFonts w:hint="eastAsia"/>
                <w:lang w:val="zh-CN"/>
              </w:rPr>
            </w:pPr>
            <w:r>
              <w:rPr>
                <w:rFonts w:hint="eastAsia"/>
                <w:lang w:val="zh-CN" w:eastAsia="zh-CN"/>
              </w:rPr>
              <w:t>进藏企业在藏设立分支机构的，其投标保证金电子投标保函须由总公司授权后方可由分公司代办。</w:t>
            </w:r>
          </w:p>
          <w:p>
            <w:pPr>
              <w:tabs>
                <w:tab w:val="left" w:pos="7665"/>
              </w:tabs>
              <w:spacing w:line="360" w:lineRule="auto"/>
              <w:rPr>
                <w:rFonts w:hint="eastAsia"/>
                <w:lang w:val="zh-CN"/>
              </w:rPr>
            </w:pPr>
            <w:r>
              <w:rPr>
                <w:rFonts w:hint="eastAsia"/>
                <w:lang w:val="zh-CN" w:eastAsia="zh-CN"/>
              </w:rPr>
              <w:t>在投标截止前办理的电子投标保函为有效投标保证金凭证。</w:t>
            </w:r>
          </w:p>
          <w:p>
            <w:pPr>
              <w:tabs>
                <w:tab w:val="left" w:pos="7665"/>
              </w:tabs>
              <w:spacing w:line="360" w:lineRule="auto"/>
              <w:rPr>
                <w:lang w:val="zh-CN"/>
              </w:rPr>
            </w:pPr>
            <w:r>
              <w:rPr>
                <w:rFonts w:hint="eastAsia"/>
                <w:lang w:val="zh-CN" w:eastAsia="zh-CN"/>
              </w:rPr>
              <w:t>6.电子投标保函与投标保证金具有同等法律效力，投标保证金有效期应当与投标有效期一致。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rPr>
              <w:t>20</w:t>
            </w:r>
          </w:p>
        </w:tc>
        <w:tc>
          <w:tcPr>
            <w:tcW w:w="1950" w:type="dxa"/>
            <w:tcBorders>
              <w:top w:val="single" w:color="auto" w:sz="4" w:space="0"/>
              <w:bottom w:val="single" w:color="auto" w:sz="4" w:space="0"/>
            </w:tcBorders>
            <w:noWrap/>
            <w:vAlign w:val="center"/>
          </w:tcPr>
          <w:p>
            <w:pPr>
              <w:pStyle w:val="35"/>
              <w:spacing w:line="360" w:lineRule="auto"/>
              <w:ind w:left="96"/>
              <w:rPr>
                <w:rFonts w:hint="default" w:ascii="新宋体" w:hAnsi="新宋体" w:eastAsia="新宋体" w:cs="新宋体"/>
                <w:color w:val="auto"/>
                <w:sz w:val="24"/>
                <w:szCs w:val="24"/>
                <w:lang w:val="zh-CN"/>
              </w:rPr>
            </w:pPr>
            <w:r>
              <w:rPr>
                <w:rFonts w:ascii="新宋体" w:hAnsi="新宋体" w:eastAsia="新宋体" w:cs="新宋体"/>
                <w:color w:val="auto"/>
                <w:sz w:val="24"/>
                <w:szCs w:val="24"/>
                <w:lang w:val="zh-CN"/>
              </w:rPr>
              <w:t>履约保证金</w:t>
            </w:r>
          </w:p>
        </w:tc>
        <w:tc>
          <w:tcPr>
            <w:tcW w:w="6867" w:type="dxa"/>
            <w:tcBorders>
              <w:top w:val="single" w:color="auto" w:sz="4" w:space="0"/>
              <w:bottom w:val="single" w:color="auto" w:sz="4" w:space="0"/>
            </w:tcBorders>
            <w:noWrap/>
            <w:vAlign w:val="center"/>
          </w:tcPr>
          <w:p>
            <w:pPr>
              <w:pStyle w:val="35"/>
              <w:spacing w:line="360" w:lineRule="auto"/>
              <w:rPr>
                <w:rFonts w:hint="default" w:ascii="新宋体" w:hAnsi="新宋体" w:eastAsia="新宋体" w:cs="新宋体"/>
                <w:color w:val="auto"/>
                <w:sz w:val="24"/>
                <w:szCs w:val="24"/>
                <w:lang w:val="zh-CN"/>
              </w:rPr>
            </w:pPr>
            <w:r>
              <w:rPr>
                <w:rFonts w:ascii="新宋体" w:hAnsi="新宋体" w:eastAsia="新宋体" w:cs="新宋体"/>
                <w:color w:val="auto"/>
                <w:sz w:val="24"/>
                <w:szCs w:val="24"/>
                <w:lang w:val="zh-CN"/>
              </w:rPr>
              <w:t>签订合同时约定。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1</w:t>
            </w:r>
          </w:p>
        </w:tc>
        <w:tc>
          <w:tcPr>
            <w:tcW w:w="1950" w:type="dxa"/>
            <w:tcBorders>
              <w:top w:val="single" w:color="auto" w:sz="4" w:space="0"/>
              <w:bottom w:val="single" w:color="auto" w:sz="4" w:space="0"/>
            </w:tcBorders>
            <w:noWrap/>
            <w:vAlign w:val="center"/>
          </w:tcPr>
          <w:p>
            <w:pPr>
              <w:pStyle w:val="35"/>
              <w:spacing w:line="360" w:lineRule="auto"/>
              <w:rPr>
                <w:rFonts w:hint="default" w:ascii="新宋体" w:hAnsi="新宋体" w:eastAsia="新宋体" w:cs="新宋体"/>
                <w:color w:val="auto"/>
                <w:sz w:val="24"/>
                <w:szCs w:val="24"/>
              </w:rPr>
            </w:pPr>
            <w:r>
              <w:rPr>
                <w:rFonts w:ascii="新宋体" w:hAnsi="新宋体" w:eastAsia="新宋体" w:cs="新宋体"/>
                <w:color w:val="auto"/>
                <w:sz w:val="24"/>
                <w:szCs w:val="24"/>
              </w:rPr>
              <w:t>招标文件、开评标工作咨询</w:t>
            </w:r>
          </w:p>
        </w:tc>
        <w:tc>
          <w:tcPr>
            <w:tcW w:w="6867" w:type="dxa"/>
            <w:tcBorders>
              <w:top w:val="single" w:color="auto" w:sz="4" w:space="0"/>
              <w:bottom w:val="single" w:color="auto" w:sz="4" w:space="0"/>
            </w:tcBorders>
            <w:noWrap/>
          </w:tcPr>
          <w:p>
            <w:pPr>
              <w:spacing w:line="360" w:lineRule="auto"/>
              <w:ind w:right="105" w:rightChars="50"/>
              <w:rPr>
                <w:rFonts w:ascii="新宋体" w:hAnsi="新宋体" w:eastAsia="新宋体" w:cs="新宋体"/>
                <w:sz w:val="24"/>
              </w:rPr>
            </w:pPr>
            <w:r>
              <w:rPr>
                <w:rFonts w:hint="eastAsia" w:ascii="新宋体" w:hAnsi="新宋体" w:eastAsia="新宋体" w:cs="新宋体"/>
                <w:sz w:val="24"/>
              </w:rPr>
              <w:t>联 系 人：</w:t>
            </w:r>
            <w:r>
              <w:rPr>
                <w:rFonts w:hint="eastAsia" w:ascii="新宋体" w:hAnsi="新宋体" w:eastAsia="新宋体" w:cs="新宋体"/>
                <w:sz w:val="24"/>
                <w:lang w:eastAsia="zh-CN"/>
              </w:rPr>
              <w:t>李</w:t>
            </w:r>
            <w:r>
              <w:rPr>
                <w:rFonts w:hint="eastAsia" w:ascii="新宋体" w:hAnsi="新宋体" w:eastAsia="新宋体" w:cs="新宋体"/>
                <w:sz w:val="24"/>
              </w:rPr>
              <w:t>先生</w:t>
            </w:r>
          </w:p>
          <w:p>
            <w:pPr>
              <w:spacing w:line="360" w:lineRule="auto"/>
              <w:ind w:right="105" w:rightChars="50"/>
              <w:rPr>
                <w:rFonts w:ascii="新宋体" w:hAnsi="新宋体" w:eastAsia="新宋体" w:cs="新宋体"/>
                <w:sz w:val="24"/>
              </w:rPr>
            </w:pPr>
            <w:r>
              <w:rPr>
                <w:rFonts w:hint="eastAsia" w:ascii="新宋体" w:hAnsi="新宋体" w:eastAsia="新宋体" w:cs="新宋体"/>
                <w:sz w:val="24"/>
              </w:rPr>
              <w:t>联系电话：15881727935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2</w:t>
            </w:r>
          </w:p>
        </w:tc>
        <w:tc>
          <w:tcPr>
            <w:tcW w:w="1950" w:type="dxa"/>
            <w:tcBorders>
              <w:top w:val="single" w:color="auto" w:sz="4" w:space="0"/>
              <w:bottom w:val="single" w:color="auto" w:sz="4" w:space="0"/>
            </w:tcBorders>
            <w:noWrap/>
            <w:vAlign w:val="center"/>
          </w:tcPr>
          <w:p>
            <w:pPr>
              <w:spacing w:line="360" w:lineRule="auto"/>
              <w:ind w:right="105" w:rightChars="50"/>
              <w:rPr>
                <w:rFonts w:ascii="新宋体" w:hAnsi="新宋体" w:eastAsia="新宋体" w:cs="新宋体"/>
                <w:sz w:val="24"/>
              </w:rPr>
            </w:pPr>
            <w:r>
              <w:rPr>
                <w:rFonts w:hint="eastAsia" w:ascii="新宋体" w:hAnsi="新宋体" w:eastAsia="新宋体" w:cs="新宋体"/>
                <w:sz w:val="24"/>
              </w:rPr>
              <w:t>中标通知书领取</w:t>
            </w:r>
          </w:p>
        </w:tc>
        <w:tc>
          <w:tcPr>
            <w:tcW w:w="6867" w:type="dxa"/>
            <w:tcBorders>
              <w:top w:val="single" w:color="auto" w:sz="4" w:space="0"/>
              <w:bottom w:val="single" w:color="auto" w:sz="4" w:space="0"/>
            </w:tcBorders>
            <w:noWrap/>
            <w:vAlign w:val="center"/>
          </w:tcPr>
          <w:p>
            <w:pPr>
              <w:tabs>
                <w:tab w:val="left" w:pos="7665"/>
              </w:tabs>
              <w:spacing w:line="360" w:lineRule="auto"/>
              <w:rPr>
                <w:rFonts w:ascii="新宋体" w:hAnsi="新宋体" w:eastAsia="新宋体" w:cs="新宋体"/>
                <w:b/>
                <w:i/>
                <w:sz w:val="24"/>
              </w:rPr>
            </w:pPr>
            <w:r>
              <w:rPr>
                <w:rFonts w:hint="eastAsia" w:ascii="新宋体" w:hAnsi="新宋体" w:eastAsia="新宋体" w:cs="新宋体"/>
                <w:sz w:val="24"/>
              </w:rPr>
              <w:t>中标公告在</w:t>
            </w:r>
            <w:r>
              <w:rPr>
                <w:rFonts w:hint="eastAsia" w:ascii="新宋体" w:hAnsi="新宋体" w:eastAsia="新宋体" w:cs="新宋体"/>
                <w:kern w:val="0"/>
                <w:sz w:val="24"/>
              </w:rPr>
              <w:t>《《中国政府采购网》、《西藏自治区政府采购网》、《西藏自治区公共资源交易平台》、《拉萨市公共资源交易平台》</w:t>
            </w:r>
            <w:r>
              <w:rPr>
                <w:rFonts w:hint="eastAsia" w:ascii="新宋体" w:hAnsi="新宋体" w:eastAsia="新宋体" w:cs="新宋体"/>
                <w:sz w:val="24"/>
              </w:rPr>
              <w:t>上公示后，中标单位凭有效身份证明证件（单位介绍信和个人身份证）到采购代理机构处领取中标通知书。</w:t>
            </w:r>
          </w:p>
          <w:p>
            <w:pPr>
              <w:spacing w:line="360" w:lineRule="auto"/>
              <w:ind w:right="105" w:rightChars="50"/>
              <w:rPr>
                <w:rFonts w:ascii="新宋体" w:hAnsi="新宋体" w:eastAsia="新宋体" w:cs="新宋体"/>
                <w:sz w:val="24"/>
              </w:rPr>
            </w:pPr>
            <w:r>
              <w:rPr>
                <w:rFonts w:hint="eastAsia" w:ascii="新宋体" w:hAnsi="新宋体" w:eastAsia="新宋体" w:cs="新宋体"/>
                <w:sz w:val="24"/>
                <w:lang w:val="zh-CN"/>
              </w:rPr>
              <w:t>联系人：李</w:t>
            </w:r>
            <w:r>
              <w:rPr>
                <w:rFonts w:hint="eastAsia" w:ascii="新宋体" w:hAnsi="新宋体" w:eastAsia="新宋体" w:cs="新宋体"/>
                <w:sz w:val="24"/>
              </w:rPr>
              <w:t>先生</w:t>
            </w:r>
          </w:p>
          <w:p>
            <w:pPr>
              <w:spacing w:line="360" w:lineRule="auto"/>
              <w:rPr>
                <w:rFonts w:ascii="新宋体" w:hAnsi="新宋体" w:eastAsia="新宋体" w:cs="新宋体"/>
                <w:sz w:val="24"/>
              </w:rPr>
            </w:pPr>
            <w:r>
              <w:rPr>
                <w:rFonts w:hint="eastAsia" w:ascii="新宋体" w:hAnsi="新宋体" w:eastAsia="新宋体" w:cs="新宋体"/>
                <w:sz w:val="24"/>
                <w:lang w:val="zh-CN"/>
              </w:rPr>
              <w:t>联系电话：</w:t>
            </w:r>
            <w:r>
              <w:rPr>
                <w:rFonts w:hint="eastAsia" w:ascii="新宋体" w:hAnsi="新宋体" w:eastAsia="新宋体" w:cs="新宋体"/>
                <w:sz w:val="24"/>
              </w:rPr>
              <w:t>15881727935</w:t>
            </w:r>
          </w:p>
          <w:p>
            <w:pPr>
              <w:spacing w:line="360" w:lineRule="auto"/>
              <w:rPr>
                <w:rFonts w:ascii="新宋体" w:hAnsi="新宋体" w:eastAsia="新宋体" w:cs="新宋体"/>
                <w:sz w:val="24"/>
                <w:lang w:val="zh-CN"/>
              </w:rPr>
            </w:pPr>
            <w:r>
              <w:rPr>
                <w:rFonts w:hint="eastAsia" w:ascii="新宋体" w:hAnsi="新宋体" w:eastAsia="新宋体" w:cs="新宋体"/>
                <w:sz w:val="24"/>
              </w:rPr>
              <w:t>地址：永道工程咨询（江苏）有限公司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3</w:t>
            </w:r>
          </w:p>
        </w:tc>
        <w:tc>
          <w:tcPr>
            <w:tcW w:w="1950" w:type="dxa"/>
            <w:tcBorders>
              <w:top w:val="single" w:color="auto" w:sz="4" w:space="0"/>
              <w:bottom w:val="single" w:color="auto" w:sz="4" w:space="0"/>
            </w:tcBorders>
            <w:noWrap/>
            <w:vAlign w:val="center"/>
          </w:tcPr>
          <w:p>
            <w:pPr>
              <w:pStyle w:val="35"/>
              <w:spacing w:line="360" w:lineRule="auto"/>
              <w:jc w:val="center"/>
              <w:rPr>
                <w:rFonts w:hint="default" w:ascii="新宋体" w:hAnsi="新宋体" w:eastAsia="新宋体" w:cs="新宋体"/>
                <w:color w:val="auto"/>
                <w:sz w:val="24"/>
                <w:szCs w:val="24"/>
              </w:rPr>
            </w:pPr>
            <w:r>
              <w:rPr>
                <w:rFonts w:ascii="新宋体" w:hAnsi="新宋体" w:eastAsia="新宋体" w:cs="新宋体"/>
                <w:color w:val="auto"/>
                <w:sz w:val="24"/>
                <w:szCs w:val="24"/>
              </w:rPr>
              <w:t>供应商询问、质疑</w:t>
            </w:r>
          </w:p>
        </w:tc>
        <w:tc>
          <w:tcPr>
            <w:tcW w:w="6867" w:type="dxa"/>
            <w:tcBorders>
              <w:top w:val="single" w:color="auto" w:sz="4" w:space="0"/>
              <w:bottom w:val="single" w:color="auto" w:sz="4" w:space="0"/>
            </w:tcBorders>
            <w:noWrap/>
          </w:tcPr>
          <w:p>
            <w:pPr>
              <w:spacing w:line="360" w:lineRule="auto"/>
              <w:rPr>
                <w:rFonts w:ascii="新宋体" w:hAnsi="新宋体" w:eastAsia="新宋体" w:cs="新宋体"/>
                <w:sz w:val="24"/>
                <w:lang w:val="zh-CN"/>
              </w:rPr>
            </w:pPr>
            <w:r>
              <w:rPr>
                <w:rFonts w:hint="eastAsia" w:ascii="新宋体" w:hAnsi="新宋体" w:eastAsia="新宋体" w:cs="新宋体"/>
                <w:sz w:val="24"/>
              </w:rPr>
              <w:t>供应商询问、质疑问由</w:t>
            </w:r>
            <w:r>
              <w:rPr>
                <w:rFonts w:hint="eastAsia" w:ascii="新宋体" w:hAnsi="新宋体" w:eastAsia="新宋体" w:cs="新宋体"/>
                <w:sz w:val="24"/>
                <w:u w:val="single"/>
              </w:rPr>
              <w:t>永道工程咨询（江苏）有限公司</w:t>
            </w:r>
            <w:r>
              <w:rPr>
                <w:rFonts w:hint="eastAsia" w:ascii="新宋体" w:hAnsi="新宋体" w:eastAsia="新宋体" w:cs="新宋体"/>
                <w:sz w:val="24"/>
                <w:lang w:val="zh-CN"/>
              </w:rPr>
              <w:t>负责答复。</w:t>
            </w:r>
          </w:p>
          <w:p>
            <w:pPr>
              <w:spacing w:line="360" w:lineRule="auto"/>
              <w:ind w:right="105" w:rightChars="50"/>
              <w:rPr>
                <w:rFonts w:ascii="新宋体" w:hAnsi="新宋体" w:eastAsia="新宋体" w:cs="新宋体"/>
                <w:sz w:val="24"/>
              </w:rPr>
            </w:pPr>
            <w:r>
              <w:rPr>
                <w:rFonts w:hint="eastAsia" w:ascii="新宋体" w:hAnsi="新宋体" w:eastAsia="新宋体" w:cs="新宋体"/>
                <w:sz w:val="24"/>
                <w:lang w:val="zh-CN"/>
              </w:rPr>
              <w:t>联 系 人：李</w:t>
            </w:r>
            <w:r>
              <w:rPr>
                <w:rFonts w:hint="eastAsia" w:ascii="新宋体" w:hAnsi="新宋体" w:eastAsia="新宋体" w:cs="新宋体"/>
                <w:sz w:val="24"/>
              </w:rPr>
              <w:t>先生</w:t>
            </w:r>
          </w:p>
          <w:p>
            <w:pPr>
              <w:spacing w:line="360" w:lineRule="auto"/>
              <w:rPr>
                <w:rFonts w:ascii="新宋体" w:hAnsi="新宋体" w:eastAsia="新宋体" w:cs="新宋体"/>
                <w:sz w:val="24"/>
              </w:rPr>
            </w:pPr>
            <w:r>
              <w:rPr>
                <w:rFonts w:hint="eastAsia" w:ascii="新宋体" w:hAnsi="新宋体" w:eastAsia="新宋体" w:cs="新宋体"/>
                <w:sz w:val="24"/>
                <w:lang w:val="zh-CN"/>
              </w:rPr>
              <w:t>联系电话：</w:t>
            </w:r>
            <w:r>
              <w:rPr>
                <w:rFonts w:hint="eastAsia" w:ascii="新宋体" w:hAnsi="新宋体" w:eastAsia="新宋体" w:cs="新宋体"/>
                <w:sz w:val="24"/>
              </w:rPr>
              <w:t>15881727935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4</w:t>
            </w:r>
          </w:p>
        </w:tc>
        <w:tc>
          <w:tcPr>
            <w:tcW w:w="1950" w:type="dxa"/>
            <w:tcBorders>
              <w:top w:val="single" w:color="auto" w:sz="4" w:space="0"/>
              <w:bottom w:val="single" w:color="auto" w:sz="4" w:space="0"/>
            </w:tcBorders>
            <w:noWrap/>
            <w:vAlign w:val="center"/>
          </w:tcPr>
          <w:p>
            <w:pPr>
              <w:pStyle w:val="35"/>
              <w:spacing w:line="360" w:lineRule="auto"/>
              <w:jc w:val="center"/>
              <w:rPr>
                <w:rFonts w:hint="default" w:ascii="新宋体" w:hAnsi="新宋体" w:eastAsia="新宋体" w:cs="新宋体"/>
                <w:color w:val="auto"/>
                <w:sz w:val="24"/>
                <w:szCs w:val="24"/>
              </w:rPr>
            </w:pPr>
            <w:r>
              <w:rPr>
                <w:rFonts w:ascii="新宋体" w:hAnsi="新宋体" w:eastAsia="新宋体" w:cs="新宋体"/>
                <w:color w:val="auto"/>
                <w:sz w:val="24"/>
                <w:szCs w:val="24"/>
              </w:rPr>
              <w:t>供应商投诉</w:t>
            </w:r>
          </w:p>
        </w:tc>
        <w:tc>
          <w:tcPr>
            <w:tcW w:w="6867" w:type="dxa"/>
            <w:tcBorders>
              <w:top w:val="single" w:color="auto" w:sz="4" w:space="0"/>
              <w:bottom w:val="single" w:color="auto" w:sz="4" w:space="0"/>
            </w:tcBorders>
            <w:noWrap/>
            <w:vAlign w:val="center"/>
          </w:tcPr>
          <w:p>
            <w:pPr>
              <w:spacing w:line="360" w:lineRule="auto"/>
              <w:ind w:right="105" w:rightChars="50"/>
              <w:jc w:val="left"/>
              <w:rPr>
                <w:rFonts w:ascii="新宋体" w:hAnsi="新宋体" w:eastAsia="新宋体" w:cs="新宋体"/>
                <w:sz w:val="24"/>
              </w:rPr>
            </w:pPr>
            <w:r>
              <w:rPr>
                <w:rFonts w:hint="eastAsia" w:ascii="新宋体" w:hAnsi="新宋体" w:eastAsia="新宋体" w:cs="新宋体"/>
                <w:sz w:val="24"/>
              </w:rPr>
              <w:t xml:space="preserve">投诉受理单位：本采购项目同级财政部门。 </w:t>
            </w:r>
          </w:p>
          <w:p>
            <w:pPr>
              <w:spacing w:line="360" w:lineRule="auto"/>
              <w:ind w:right="105" w:rightChars="50"/>
              <w:jc w:val="left"/>
              <w:rPr>
                <w:rFonts w:ascii="新宋体" w:hAnsi="新宋体" w:eastAsia="新宋体" w:cs="新宋体"/>
                <w:sz w:val="24"/>
              </w:rPr>
            </w:pPr>
            <w:r>
              <w:rPr>
                <w:rFonts w:hint="eastAsia" w:ascii="新宋体" w:hAnsi="新宋体" w:eastAsia="新宋体" w:cs="新宋体"/>
                <w:sz w:val="24"/>
              </w:rPr>
              <w:t>注：根据《中华人民共和国政府采购法实施条例》及中华人民共和国财政部令第94号《政府采购质疑和投诉》办法的规定，供应商投诉事项不得超出已质疑事项的范围。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582" w:type="dxa"/>
            <w:tcBorders>
              <w:top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5</w:t>
            </w:r>
          </w:p>
        </w:tc>
        <w:tc>
          <w:tcPr>
            <w:tcW w:w="1950" w:type="dxa"/>
            <w:tcBorders>
              <w:top w:val="single" w:color="auto" w:sz="4" w:space="0"/>
            </w:tcBorders>
            <w:noWrap/>
            <w:vAlign w:val="center"/>
          </w:tcPr>
          <w:p>
            <w:pPr>
              <w:pStyle w:val="35"/>
              <w:spacing w:line="360" w:lineRule="auto"/>
              <w:jc w:val="center"/>
              <w:rPr>
                <w:rFonts w:hint="default" w:ascii="新宋体" w:hAnsi="新宋体" w:eastAsia="新宋体" w:cs="新宋体"/>
                <w:color w:val="auto"/>
                <w:sz w:val="24"/>
                <w:szCs w:val="24"/>
              </w:rPr>
            </w:pPr>
            <w:r>
              <w:rPr>
                <w:rFonts w:ascii="新宋体" w:hAnsi="新宋体" w:eastAsia="新宋体" w:cs="新宋体"/>
                <w:color w:val="auto"/>
                <w:sz w:val="24"/>
                <w:szCs w:val="24"/>
              </w:rPr>
              <w:t>政府采购合同备案</w:t>
            </w:r>
          </w:p>
        </w:tc>
        <w:tc>
          <w:tcPr>
            <w:tcW w:w="6867" w:type="dxa"/>
            <w:tcBorders>
              <w:top w:val="single" w:color="auto" w:sz="4" w:space="0"/>
            </w:tcBorders>
            <w:noWrap/>
          </w:tcPr>
          <w:p>
            <w:pPr>
              <w:pStyle w:val="35"/>
              <w:spacing w:line="360" w:lineRule="auto"/>
              <w:ind w:firstLine="480" w:firstLineChars="200"/>
              <w:jc w:val="left"/>
              <w:rPr>
                <w:rFonts w:hint="default" w:ascii="新宋体" w:hAnsi="新宋体" w:eastAsia="新宋体" w:cs="新宋体"/>
                <w:color w:val="auto"/>
                <w:sz w:val="24"/>
                <w:szCs w:val="24"/>
              </w:rPr>
            </w:pPr>
            <w:r>
              <w:rPr>
                <w:rFonts w:ascii="新宋体" w:hAnsi="新宋体" w:eastAsia="新宋体" w:cs="新宋体"/>
                <w:color w:val="auto"/>
                <w:sz w:val="24"/>
                <w:szCs w:val="24"/>
              </w:rPr>
              <w:t>政府采购合同签订之日起2个工作日内，政府采购合同将在</w:t>
            </w:r>
            <w:r>
              <w:rPr>
                <w:rFonts w:ascii="新宋体" w:hAnsi="新宋体" w:eastAsia="新宋体" w:cs="新宋体"/>
                <w:color w:val="auto"/>
                <w:kern w:val="0"/>
                <w:sz w:val="24"/>
              </w:rPr>
              <w:t>《中国政府采购网》、《西藏自治区政府采购网》、《西藏自治区公共资源交易平台》、《拉萨市公共资源交易平台》</w:t>
            </w:r>
            <w:r>
              <w:rPr>
                <w:rFonts w:ascii="新宋体" w:hAnsi="新宋体" w:eastAsia="新宋体" w:cs="新宋体"/>
                <w:color w:val="auto"/>
                <w:sz w:val="24"/>
                <w:szCs w:val="24"/>
              </w:rPr>
              <w:t>公示；政府采购合同签订之日起7个工作日内，政府采购合同将向本采购项目同级财政部门备案；采购合同签订之日起2个工作日内，采购合同在代理机构备案。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3" w:hRule="atLeast"/>
          <w:jc w:val="center"/>
        </w:trPr>
        <w:tc>
          <w:tcPr>
            <w:tcW w:w="582" w:type="dxa"/>
            <w:tcBorders>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6</w:t>
            </w:r>
          </w:p>
        </w:tc>
        <w:tc>
          <w:tcPr>
            <w:tcW w:w="1950" w:type="dxa"/>
            <w:tcBorders>
              <w:bottom w:val="single" w:color="auto" w:sz="4" w:space="0"/>
            </w:tcBorders>
            <w:noWrap/>
            <w:vAlign w:val="center"/>
          </w:tcPr>
          <w:p>
            <w:pPr>
              <w:spacing w:line="360" w:lineRule="auto"/>
              <w:jc w:val="center"/>
              <w:outlineLvl w:val="5"/>
              <w:rPr>
                <w:rFonts w:ascii="新宋体" w:hAnsi="新宋体" w:eastAsia="新宋体" w:cs="新宋体"/>
                <w:sz w:val="24"/>
                <w:lang w:val="zh-CN"/>
              </w:rPr>
            </w:pPr>
            <w:r>
              <w:rPr>
                <w:rFonts w:hint="eastAsia" w:ascii="新宋体" w:hAnsi="新宋体" w:eastAsia="新宋体" w:cs="新宋体"/>
                <w:sz w:val="24"/>
                <w:lang w:val="zh-CN"/>
              </w:rPr>
              <w:t>备选投标方案和报价</w:t>
            </w:r>
          </w:p>
        </w:tc>
        <w:tc>
          <w:tcPr>
            <w:tcW w:w="6867" w:type="dxa"/>
            <w:tcBorders>
              <w:bottom w:val="single" w:color="auto" w:sz="4" w:space="0"/>
            </w:tcBorders>
            <w:noWrap/>
            <w:vAlign w:val="center"/>
          </w:tcPr>
          <w:p>
            <w:pPr>
              <w:spacing w:line="360" w:lineRule="auto"/>
              <w:ind w:firstLine="240" w:firstLineChars="100"/>
              <w:jc w:val="left"/>
              <w:outlineLvl w:val="5"/>
              <w:rPr>
                <w:rFonts w:ascii="新宋体" w:hAnsi="新宋体" w:eastAsia="新宋体" w:cs="新宋体"/>
                <w:sz w:val="24"/>
                <w:lang w:val="zh-CN"/>
              </w:rPr>
            </w:pPr>
            <w:r>
              <w:rPr>
                <w:rFonts w:hint="eastAsia" w:ascii="新宋体" w:hAnsi="新宋体" w:eastAsia="新宋体" w:cs="新宋体"/>
                <w:sz w:val="24"/>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43" w:hRule="atLeast"/>
          <w:jc w:val="center"/>
        </w:trPr>
        <w:tc>
          <w:tcPr>
            <w:tcW w:w="582" w:type="dxa"/>
            <w:tcBorders>
              <w:top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7</w:t>
            </w:r>
          </w:p>
        </w:tc>
        <w:tc>
          <w:tcPr>
            <w:tcW w:w="1950" w:type="dxa"/>
            <w:tcBorders>
              <w:top w:val="single" w:color="auto" w:sz="4" w:space="0"/>
            </w:tcBorders>
            <w:noWrap/>
            <w:vAlign w:val="center"/>
          </w:tcPr>
          <w:p>
            <w:pPr>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国家规定的强制采购范围内产品评审</w:t>
            </w:r>
          </w:p>
          <w:p>
            <w:pPr>
              <w:spacing w:line="360" w:lineRule="auto"/>
              <w:jc w:val="center"/>
              <w:outlineLvl w:val="5"/>
              <w:rPr>
                <w:rFonts w:ascii="新宋体" w:hAnsi="新宋体" w:eastAsia="新宋体" w:cs="新宋体"/>
                <w:b/>
                <w:sz w:val="24"/>
                <w:lang w:val="zh-CN"/>
              </w:rPr>
            </w:pPr>
            <w:r>
              <w:rPr>
                <w:rFonts w:hint="eastAsia" w:ascii="新宋体" w:hAnsi="新宋体" w:eastAsia="新宋体" w:cs="新宋体"/>
                <w:b/>
                <w:kern w:val="0"/>
                <w:sz w:val="24"/>
              </w:rPr>
              <w:t>（实质性要求）</w:t>
            </w:r>
          </w:p>
        </w:tc>
        <w:tc>
          <w:tcPr>
            <w:tcW w:w="6867" w:type="dxa"/>
            <w:tcBorders>
              <w:top w:val="single" w:color="auto" w:sz="4" w:space="0"/>
            </w:tcBorders>
            <w:noWrap/>
            <w:vAlign w:val="center"/>
          </w:tcPr>
          <w:p>
            <w:pPr>
              <w:shd w:val="clear" w:color="auto" w:fill="FFFFFF"/>
              <w:tabs>
                <w:tab w:val="left" w:pos="900"/>
                <w:tab w:val="left" w:pos="5366"/>
              </w:tabs>
              <w:snapToGrid w:val="0"/>
              <w:spacing w:line="360" w:lineRule="auto"/>
              <w:outlineLvl w:val="5"/>
              <w:rPr>
                <w:rFonts w:ascii="新宋体" w:hAnsi="新宋体" w:eastAsia="新宋体" w:cs="新宋体"/>
                <w:sz w:val="24"/>
              </w:rPr>
            </w:pPr>
            <w:r>
              <w:rPr>
                <w:rFonts w:hint="eastAsia" w:ascii="新宋体" w:hAnsi="新宋体" w:eastAsia="新宋体" w:cs="新宋体"/>
                <w:kern w:val="0"/>
                <w:sz w:val="24"/>
                <w:lang w:val="zh-CN"/>
              </w:rPr>
              <w:t>本项目采购需求中涉及</w:t>
            </w:r>
            <w:r>
              <w:rPr>
                <w:rFonts w:hint="eastAsia" w:ascii="新宋体" w:hAnsi="新宋体" w:eastAsia="新宋体" w:cs="新宋体"/>
                <w:kern w:val="0"/>
                <w:sz w:val="24"/>
              </w:rPr>
              <w:t>国家规定的强制采购范围内产品，均应按照国家相关要求进行审核。不管招标文件是否要求，供应商应提供相关证明材料复印件或承诺函原件，优先采购范围内的产品按招标文件约定执行。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exact"/>
          <w:jc w:val="center"/>
        </w:trPr>
        <w:tc>
          <w:tcPr>
            <w:tcW w:w="582" w:type="dxa"/>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8</w:t>
            </w:r>
          </w:p>
        </w:tc>
        <w:tc>
          <w:tcPr>
            <w:tcW w:w="1950" w:type="dxa"/>
            <w:noWrap/>
            <w:vAlign w:val="center"/>
          </w:tcPr>
          <w:p>
            <w:pPr>
              <w:shd w:val="clear" w:color="auto" w:fill="FFFFFF"/>
              <w:tabs>
                <w:tab w:val="left" w:pos="900"/>
                <w:tab w:val="left" w:pos="5366"/>
              </w:tabs>
              <w:snapToGrid w:val="0"/>
              <w:spacing w:line="360" w:lineRule="auto"/>
              <w:jc w:val="center"/>
              <w:outlineLvl w:val="5"/>
              <w:rPr>
                <w:rFonts w:ascii="新宋体" w:hAnsi="新宋体" w:eastAsia="新宋体" w:cs="新宋体"/>
                <w:kern w:val="0"/>
                <w:sz w:val="24"/>
                <w:lang w:val="zh-CN"/>
              </w:rPr>
            </w:pPr>
            <w:r>
              <w:rPr>
                <w:rFonts w:hint="eastAsia" w:ascii="新宋体" w:hAnsi="新宋体" w:eastAsia="新宋体" w:cs="新宋体"/>
                <w:kern w:val="0"/>
                <w:sz w:val="24"/>
                <w:lang w:val="zh-CN"/>
              </w:rPr>
              <w:t>招标代理服务费</w:t>
            </w:r>
          </w:p>
        </w:tc>
        <w:tc>
          <w:tcPr>
            <w:tcW w:w="6867" w:type="dxa"/>
            <w:noWrap/>
            <w:vAlign w:val="center"/>
          </w:tcPr>
          <w:p>
            <w:pPr>
              <w:shd w:val="clear" w:color="auto" w:fill="FFFFFF"/>
              <w:tabs>
                <w:tab w:val="left" w:pos="900"/>
                <w:tab w:val="left" w:pos="5366"/>
              </w:tabs>
              <w:snapToGrid w:val="0"/>
              <w:spacing w:line="360" w:lineRule="auto"/>
              <w:outlineLvl w:val="5"/>
              <w:rPr>
                <w:rFonts w:ascii="新宋体" w:hAnsi="新宋体" w:eastAsia="新宋体" w:cs="新宋体"/>
                <w:kern w:val="0"/>
                <w:sz w:val="24"/>
                <w:lang w:val="zh-CN"/>
              </w:rPr>
            </w:pPr>
            <w:r>
              <w:rPr>
                <w:rFonts w:hint="eastAsia" w:ascii="宋体" w:hAnsi="宋体" w:cs="宋体"/>
                <w:bCs/>
                <w:sz w:val="24"/>
              </w:rPr>
              <w:t>向中标人收取。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61" w:hRule="exact"/>
          <w:jc w:val="center"/>
        </w:trPr>
        <w:tc>
          <w:tcPr>
            <w:tcW w:w="582" w:type="dxa"/>
            <w:tcBorders>
              <w:top w:val="single" w:color="auto" w:sz="4" w:space="0"/>
              <w:bottom w:val="single" w:color="auto" w:sz="4" w:space="0"/>
            </w:tcBorders>
            <w:noWrap/>
            <w:vAlign w:val="center"/>
          </w:tcPr>
          <w:p>
            <w:pPr>
              <w:spacing w:line="360" w:lineRule="auto"/>
              <w:jc w:val="center"/>
              <w:outlineLvl w:val="5"/>
              <w:rPr>
                <w:rFonts w:ascii="新宋体" w:hAnsi="新宋体" w:eastAsia="新宋体" w:cs="新宋体"/>
                <w:sz w:val="24"/>
              </w:rPr>
            </w:pPr>
            <w:r>
              <w:rPr>
                <w:rFonts w:hint="eastAsia" w:ascii="新宋体" w:hAnsi="新宋体" w:eastAsia="新宋体" w:cs="新宋体"/>
                <w:sz w:val="24"/>
              </w:rPr>
              <w:t>29</w:t>
            </w:r>
          </w:p>
        </w:tc>
        <w:tc>
          <w:tcPr>
            <w:tcW w:w="1950" w:type="dxa"/>
            <w:tcBorders>
              <w:top w:val="single" w:color="auto" w:sz="4" w:space="0"/>
              <w:bottom w:val="single" w:color="auto" w:sz="4" w:space="0"/>
            </w:tcBorders>
            <w:noWrap/>
            <w:vAlign w:val="center"/>
          </w:tcPr>
          <w:p>
            <w:pPr>
              <w:spacing w:line="440" w:lineRule="exact"/>
              <w:jc w:val="center"/>
              <w:outlineLvl w:val="5"/>
              <w:rPr>
                <w:rFonts w:ascii="新宋体" w:hAnsi="新宋体" w:eastAsia="新宋体" w:cs="新宋体"/>
                <w:kern w:val="0"/>
                <w:sz w:val="24"/>
              </w:rPr>
            </w:pPr>
            <w:r>
              <w:rPr>
                <w:rFonts w:hint="eastAsia" w:ascii="宋体" w:hAnsi="宋体" w:cs="宋体"/>
                <w:kern w:val="0"/>
                <w:sz w:val="24"/>
              </w:rPr>
              <w:t>其它要求</w:t>
            </w:r>
          </w:p>
        </w:tc>
        <w:tc>
          <w:tcPr>
            <w:tcW w:w="6867" w:type="dxa"/>
            <w:tcBorders>
              <w:top w:val="single" w:color="auto" w:sz="4" w:space="0"/>
              <w:bottom w:val="single" w:color="auto" w:sz="4" w:space="0"/>
            </w:tcBorders>
            <w:noWrap/>
            <w:vAlign w:val="center"/>
          </w:tcPr>
          <w:p>
            <w:pPr>
              <w:pStyle w:val="32"/>
              <w:ind w:firstLine="0" w:firstLineChars="0"/>
            </w:pPr>
            <w:r>
              <w:rPr>
                <w:rFonts w:hint="eastAsia"/>
              </w:rPr>
              <w:t>1、招标文件需求中提出的技术规格仅为参考，投标人可以进行优化，提供更优的（或者性能实质上不低于的）技术方案或者设备配置。</w:t>
            </w:r>
          </w:p>
          <w:p>
            <w:pPr>
              <w:pStyle w:val="32"/>
              <w:ind w:firstLine="0" w:firstLineChars="0"/>
            </w:pPr>
            <w:r>
              <w:rPr>
                <w:rFonts w:hint="eastAsia"/>
              </w:rPr>
              <w:t>2、为鼓励不同品牌的充分竞争，如某设备的某技术参数属于个别品牌所专有，则该技术参数不具有限制性，投标人可对该参数进行适当调整，并应说明调整的理由（见技术规格偏离表）。对含差别歧视待遇的专有技术条款不视为实质性要求。</w:t>
            </w:r>
          </w:p>
          <w:p>
            <w:pPr>
              <w:pStyle w:val="32"/>
              <w:ind w:firstLine="0" w:firstLineChars="0"/>
              <w:rPr>
                <w:rFonts w:ascii="新宋体" w:hAnsi="新宋体" w:eastAsia="新宋体" w:cs="新宋体"/>
              </w:rPr>
            </w:pPr>
            <w:r>
              <w:rPr>
                <w:rFonts w:hint="eastAsia"/>
              </w:rPr>
              <w:t>3、本招标文件解释权归永道工程咨询（江苏）有限公司法务部。</w:t>
            </w:r>
          </w:p>
        </w:tc>
      </w:tr>
      <w:bookmarkEnd w:id="15"/>
      <w:bookmarkEnd w:id="16"/>
      <w:bookmarkEnd w:id="17"/>
      <w:bookmarkEnd w:id="18"/>
    </w:tbl>
    <w:p>
      <w:pPr>
        <w:rPr>
          <w:rFonts w:ascii="新宋体" w:hAnsi="新宋体" w:eastAsia="新宋体" w:cs="新宋体"/>
        </w:rPr>
      </w:pPr>
      <w:bookmarkStart w:id="42" w:name="_Toc183582204"/>
      <w:bookmarkStart w:id="43" w:name="_Toc217446033"/>
      <w:bookmarkStart w:id="44" w:name="_Toc77400778"/>
      <w:bookmarkStart w:id="45" w:name="_Toc89075873"/>
      <w:bookmarkStart w:id="46" w:name="_Toc25712"/>
      <w:bookmarkStart w:id="47" w:name="_Toc7438"/>
      <w:bookmarkStart w:id="48" w:name="_Toc183682341"/>
      <w:r>
        <w:rPr>
          <w:rFonts w:hint="eastAsia" w:ascii="新宋体" w:hAnsi="新宋体" w:eastAsia="新宋体" w:cs="新宋体"/>
        </w:rPr>
        <w:br w:type="page"/>
      </w:r>
    </w:p>
    <w:p>
      <w:pPr>
        <w:pStyle w:val="4"/>
        <w:numPr>
          <w:ilvl w:val="0"/>
          <w:numId w:val="5"/>
        </w:numPr>
        <w:jc w:val="both"/>
        <w:rPr>
          <w:rFonts w:ascii="新宋体" w:hAnsi="新宋体" w:eastAsia="新宋体" w:cs="新宋体"/>
        </w:rPr>
      </w:pPr>
      <w:r>
        <w:rPr>
          <w:rFonts w:hint="eastAsia" w:ascii="新宋体" w:hAnsi="新宋体" w:eastAsia="新宋体" w:cs="新宋体"/>
        </w:rPr>
        <w:t>总  则</w:t>
      </w:r>
      <w:bookmarkEnd w:id="42"/>
      <w:bookmarkEnd w:id="43"/>
      <w:bookmarkEnd w:id="44"/>
      <w:bookmarkEnd w:id="45"/>
      <w:bookmarkEnd w:id="46"/>
      <w:bookmarkEnd w:id="47"/>
      <w:bookmarkEnd w:id="48"/>
    </w:p>
    <w:p>
      <w:pPr>
        <w:spacing w:line="360" w:lineRule="auto"/>
        <w:ind w:firstLine="482"/>
        <w:rPr>
          <w:rFonts w:ascii="新宋体" w:hAnsi="新宋体" w:eastAsia="新宋体" w:cs="新宋体"/>
          <w:b/>
          <w:bCs/>
          <w:sz w:val="24"/>
        </w:rPr>
      </w:pPr>
      <w:bookmarkStart w:id="49" w:name="_Toc183682342"/>
      <w:bookmarkStart w:id="50" w:name="_Toc183582205"/>
      <w:bookmarkStart w:id="51" w:name="_Toc217446034"/>
      <w:r>
        <w:rPr>
          <w:rFonts w:hint="eastAsia" w:ascii="新宋体" w:hAnsi="新宋体" w:eastAsia="新宋体" w:cs="新宋体"/>
          <w:b/>
          <w:bCs/>
          <w:sz w:val="24"/>
        </w:rPr>
        <w:t>1.</w:t>
      </w:r>
      <w:bookmarkEnd w:id="49"/>
      <w:bookmarkEnd w:id="50"/>
      <w:r>
        <w:rPr>
          <w:rFonts w:hint="eastAsia" w:ascii="新宋体" w:hAnsi="新宋体" w:eastAsia="新宋体" w:cs="新宋体"/>
          <w:b/>
          <w:bCs/>
          <w:sz w:val="24"/>
        </w:rPr>
        <w:t xml:space="preserve"> 适用范围</w:t>
      </w:r>
      <w:bookmarkEnd w:id="51"/>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 本招标文件仅适用于本次公开招标采购项目。</w:t>
      </w:r>
    </w:p>
    <w:p>
      <w:pPr>
        <w:spacing w:line="360" w:lineRule="auto"/>
        <w:ind w:firstLine="482"/>
        <w:rPr>
          <w:rFonts w:ascii="新宋体" w:hAnsi="新宋体" w:eastAsia="新宋体" w:cs="新宋体"/>
          <w:b/>
          <w:bCs/>
          <w:sz w:val="24"/>
        </w:rPr>
      </w:pPr>
      <w:bookmarkStart w:id="52" w:name="_Toc183582206"/>
      <w:bookmarkStart w:id="53" w:name="_Toc183682343"/>
      <w:bookmarkStart w:id="54" w:name="_Toc217446035"/>
      <w:r>
        <w:rPr>
          <w:rFonts w:hint="eastAsia" w:ascii="新宋体" w:hAnsi="新宋体" w:eastAsia="新宋体" w:cs="新宋体"/>
          <w:b/>
          <w:bCs/>
          <w:sz w:val="24"/>
        </w:rPr>
        <w:t xml:space="preserve">2. </w:t>
      </w:r>
      <w:bookmarkEnd w:id="52"/>
      <w:bookmarkEnd w:id="53"/>
      <w:r>
        <w:rPr>
          <w:rFonts w:hint="eastAsia" w:ascii="新宋体" w:hAnsi="新宋体" w:eastAsia="新宋体" w:cs="新宋体"/>
          <w:b/>
          <w:bCs/>
          <w:sz w:val="24"/>
        </w:rPr>
        <w:t>有关定义</w:t>
      </w:r>
      <w:bookmarkEnd w:id="54"/>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2.1 “采购人”系指依法进行政府采购的国家机关、事业单位、团体组织。本次招标的采购人是</w:t>
      </w:r>
      <w:r>
        <w:rPr>
          <w:rFonts w:hint="eastAsia" w:ascii="新宋体" w:hAnsi="新宋体" w:eastAsia="新宋体" w:cs="新宋体"/>
          <w:sz w:val="24"/>
          <w:u w:val="single"/>
        </w:rPr>
        <w:t>拉萨市第一中等职业技术学校</w:t>
      </w:r>
      <w:r>
        <w:rPr>
          <w:rFonts w:hint="eastAsia" w:ascii="新宋体" w:hAnsi="新宋体" w:eastAsia="新宋体" w:cs="新宋体"/>
          <w:sz w:val="24"/>
        </w:rPr>
        <w:t>。</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 “采购代理机构” 系指根据采购人的委托依法办理招标事宜的采购机构。本次招标的采购代理机构是</w:t>
      </w:r>
      <w:r>
        <w:rPr>
          <w:rFonts w:hint="eastAsia" w:ascii="新宋体" w:hAnsi="新宋体" w:eastAsia="新宋体" w:cs="新宋体"/>
          <w:sz w:val="24"/>
          <w:u w:val="single"/>
        </w:rPr>
        <w:t>永道工程咨询（江苏）有限公司</w:t>
      </w:r>
      <w:r>
        <w:rPr>
          <w:rFonts w:hint="eastAsia" w:ascii="新宋体" w:hAnsi="新宋体" w:eastAsia="新宋体" w:cs="新宋体"/>
          <w:sz w:val="24"/>
        </w:rPr>
        <w:t>。</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 “招标采购单位”系指“采购人”和“采购代理机构”的统称。</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2.4 “投标供应商”系指购买了招标文件拟参加投标和向采购人提供货物及相应服务的供应商。</w:t>
      </w:r>
      <w:bookmarkStart w:id="55" w:name="_Toc217390843"/>
      <w:bookmarkStart w:id="56" w:name="_Toc217446036"/>
      <w:bookmarkStart w:id="57" w:name="_Toc183682344"/>
      <w:bookmarkStart w:id="58" w:name="_Toc183582207"/>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3. 合格的</w:t>
      </w:r>
      <w:bookmarkEnd w:id="55"/>
      <w:bookmarkEnd w:id="56"/>
      <w:bookmarkEnd w:id="57"/>
      <w:bookmarkEnd w:id="58"/>
      <w:r>
        <w:rPr>
          <w:rFonts w:hint="eastAsia" w:ascii="新宋体" w:hAnsi="新宋体" w:eastAsia="新宋体" w:cs="新宋体"/>
          <w:b/>
          <w:bCs/>
          <w:sz w:val="24"/>
        </w:rPr>
        <w:t>投标供应商（实质性要求）</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合格的投标供应商应具备以下条件：</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3.1本招标文件规定的供应商资格条件；</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3.2向采购代理机构获取了招标文件；</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3.3遵守国家有关的法律、法规、规章和其他政策制度；</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3.4不属于禁止参加本项目采购活动的供应商；</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3.5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3.6【《关于在政府采购活动中查询及使用信用记录有关问题的通知》财库[2016]125号】信用记录查询渠道：供应商处于《中国政府采购网》“政府采购严重违法失信行为信息记录”；处于《信用中国》网站中的“失信被执行人”名单、“重大税收违法案件当事人名单”、“企业经营异常名录”、“政府采购不良行为行为记录”；2017年至今中国裁判文书网有行贿犯罪记录的、以及其他不符合《政府采购法》第二十二条规定条件的供应商禁止参加政府采购活动（处罚期限届满的除外）；</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3.7有下列情形之一的，视为供应商串通投标，其报价无效：</w:t>
      </w:r>
    </w:p>
    <w:p>
      <w:pPr>
        <w:tabs>
          <w:tab w:val="left" w:pos="7665"/>
        </w:tabs>
        <w:snapToGrid w:val="0"/>
        <w:spacing w:line="360" w:lineRule="auto"/>
        <w:ind w:left="420" w:leftChars="200" w:firstLine="480" w:firstLineChars="200"/>
        <w:rPr>
          <w:rFonts w:ascii="新宋体" w:hAnsi="新宋体" w:eastAsia="新宋体" w:cs="新宋体"/>
          <w:sz w:val="24"/>
        </w:rPr>
      </w:pPr>
      <w:r>
        <w:rPr>
          <w:rFonts w:hint="eastAsia" w:ascii="新宋体" w:hAnsi="新宋体" w:eastAsia="新宋体" w:cs="新宋体"/>
          <w:sz w:val="24"/>
        </w:rPr>
        <w:t>（一）不同投标供应商的投标文件由同一单位或者个人编制；</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　　（二）不同投标供应商委托同一单位或者个人办理投标事宜；</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　　（三）不同投标供应商的投标文件载明的项目管理成员或者联系人员为同一人；</w:t>
      </w:r>
    </w:p>
    <w:p>
      <w:pPr>
        <w:tabs>
          <w:tab w:val="left" w:pos="7665"/>
        </w:tabs>
        <w:snapToGrid w:val="0"/>
        <w:spacing w:line="360" w:lineRule="auto"/>
        <w:ind w:left="420" w:leftChars="200"/>
        <w:rPr>
          <w:rFonts w:ascii="新宋体" w:hAnsi="新宋体" w:eastAsia="新宋体" w:cs="新宋体"/>
          <w:sz w:val="24"/>
        </w:rPr>
      </w:pPr>
      <w:r>
        <w:rPr>
          <w:rFonts w:hint="eastAsia" w:ascii="新宋体" w:hAnsi="新宋体" w:eastAsia="新宋体" w:cs="新宋体"/>
          <w:sz w:val="24"/>
        </w:rPr>
        <w:t>　　（四）不同投标供应商的投标文件异常一致或者投标报价呈规律性差异；</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　 （五）不同投标供应商的投标文件相互混装；</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　 （六）不同投标供应商的投标保证金从同一单位或者个人的账户转出。</w:t>
      </w:r>
    </w:p>
    <w:p>
      <w:pPr>
        <w:spacing w:line="360" w:lineRule="auto"/>
        <w:ind w:firstLine="482"/>
        <w:rPr>
          <w:rFonts w:ascii="新宋体" w:hAnsi="新宋体" w:eastAsia="新宋体" w:cs="新宋体"/>
          <w:b/>
          <w:bCs/>
          <w:sz w:val="24"/>
        </w:rPr>
      </w:pPr>
      <w:bookmarkStart w:id="59" w:name="_Toc183682345"/>
      <w:bookmarkStart w:id="60" w:name="_Toc217446037"/>
      <w:bookmarkStart w:id="61" w:name="_Toc183582208"/>
      <w:r>
        <w:rPr>
          <w:rFonts w:hint="eastAsia" w:ascii="新宋体" w:hAnsi="新宋体" w:eastAsia="新宋体" w:cs="新宋体"/>
          <w:b/>
          <w:bCs/>
          <w:sz w:val="24"/>
        </w:rPr>
        <w:t>4. 投标费用</w:t>
      </w:r>
      <w:bookmarkEnd w:id="59"/>
      <w:bookmarkEnd w:id="60"/>
      <w:bookmarkEnd w:id="61"/>
      <w:r>
        <w:rPr>
          <w:rFonts w:hint="eastAsia" w:ascii="新宋体" w:hAnsi="新宋体" w:eastAsia="新宋体" w:cs="新宋体"/>
          <w:b/>
          <w:bCs/>
          <w:sz w:val="24"/>
        </w:rPr>
        <w:t>（实质性要求）</w:t>
      </w:r>
    </w:p>
    <w:p>
      <w:pPr>
        <w:tabs>
          <w:tab w:val="left" w:pos="7665"/>
        </w:tabs>
        <w:snapToGrid w:val="0"/>
        <w:spacing w:line="360" w:lineRule="auto"/>
        <w:rPr>
          <w:rFonts w:ascii="新宋体" w:hAnsi="新宋体" w:eastAsia="新宋体" w:cs="新宋体"/>
          <w:b/>
          <w:sz w:val="24"/>
        </w:rPr>
      </w:pPr>
      <w:r>
        <w:rPr>
          <w:rFonts w:hint="eastAsia" w:ascii="新宋体" w:hAnsi="新宋体" w:eastAsia="新宋体" w:cs="新宋体"/>
          <w:sz w:val="24"/>
        </w:rPr>
        <w:t>投标供应商参加投标的有关费用由投标供应商自行承担。</w:t>
      </w:r>
    </w:p>
    <w:p>
      <w:pPr>
        <w:spacing w:line="360" w:lineRule="auto"/>
        <w:ind w:firstLine="482"/>
        <w:rPr>
          <w:rFonts w:ascii="新宋体" w:hAnsi="新宋体" w:eastAsia="新宋体" w:cs="新宋体"/>
        </w:rPr>
      </w:pPr>
      <w:bookmarkStart w:id="62" w:name="_Toc183682346"/>
      <w:bookmarkStart w:id="63" w:name="_Toc20146"/>
      <w:bookmarkStart w:id="64" w:name="_Toc12399"/>
      <w:bookmarkStart w:id="65" w:name="_Toc217446038"/>
      <w:bookmarkStart w:id="66" w:name="_Toc77400779"/>
      <w:bookmarkStart w:id="67" w:name="_Toc89075875"/>
      <w:bookmarkStart w:id="68" w:name="_Toc183582209"/>
      <w:r>
        <w:rPr>
          <w:rFonts w:hint="eastAsia" w:ascii="新宋体" w:hAnsi="新宋体" w:eastAsia="新宋体" w:cs="新宋体"/>
          <w:b/>
          <w:bCs/>
          <w:sz w:val="24"/>
        </w:rPr>
        <w:t>5、充分、公平竞争保障措施（实质性要求）</w:t>
      </w:r>
    </w:p>
    <w:p>
      <w:pPr>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5.1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5.4利害关系代理人处理。2家以上的供应商不得在同一合同项下的采购项目中，同时委托同一个自然人、同一家庭的人员、同一单位的人员作为其代理人，否则，其投标文件作为无效处理。</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5.5有下列情形之一的，视为投标供应商串通投标，其投标无效：</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(一)不同投标供应商的投标文件由同一单位或者个人编制;</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(二)不同投标供应商委托同一单位或者个人办理投标事宜;</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(三)不同投标供应商的投标文件载明的项目管理成员或者联系人员为同一人;</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(四)不同投标供应商的投标文件异常一致或者投标报价呈规律性差异;</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(五)不同投标供应商的投标文件相互混装;</w:t>
      </w:r>
    </w:p>
    <w:p>
      <w:pPr>
        <w:snapToGrid w:val="0"/>
        <w:spacing w:line="360" w:lineRule="auto"/>
        <w:ind w:left="1" w:firstLine="480" w:firstLineChars="200"/>
        <w:rPr>
          <w:rFonts w:ascii="新宋体" w:hAnsi="新宋体" w:eastAsia="新宋体" w:cs="新宋体"/>
          <w:sz w:val="24"/>
        </w:rPr>
      </w:pPr>
      <w:r>
        <w:rPr>
          <w:rFonts w:hint="eastAsia" w:ascii="新宋体" w:hAnsi="新宋体" w:eastAsia="新宋体" w:cs="新宋体"/>
          <w:sz w:val="24"/>
        </w:rPr>
        <w:t>(六)不同投标供应商的投标保证金从同一单位或者个人的账户转出。</w:t>
      </w:r>
    </w:p>
    <w:p>
      <w:pPr>
        <w:pStyle w:val="4"/>
        <w:rPr>
          <w:rFonts w:ascii="新宋体" w:hAnsi="新宋体" w:eastAsia="新宋体" w:cs="新宋体"/>
        </w:rPr>
      </w:pPr>
      <w:r>
        <w:rPr>
          <w:rFonts w:hint="eastAsia" w:ascii="新宋体" w:hAnsi="新宋体" w:eastAsia="新宋体" w:cs="新宋体"/>
        </w:rPr>
        <w:t>三、招标文件</w:t>
      </w:r>
      <w:bookmarkEnd w:id="62"/>
      <w:bookmarkEnd w:id="63"/>
      <w:bookmarkEnd w:id="64"/>
      <w:bookmarkEnd w:id="65"/>
      <w:bookmarkEnd w:id="66"/>
      <w:bookmarkEnd w:id="67"/>
      <w:bookmarkEnd w:id="68"/>
    </w:p>
    <w:p>
      <w:pPr>
        <w:spacing w:line="360" w:lineRule="auto"/>
        <w:ind w:firstLine="482"/>
        <w:rPr>
          <w:rFonts w:ascii="新宋体" w:hAnsi="新宋体" w:eastAsia="新宋体" w:cs="新宋体"/>
          <w:b/>
          <w:bCs/>
          <w:sz w:val="24"/>
        </w:rPr>
      </w:pPr>
      <w:bookmarkStart w:id="69" w:name="_Toc217446039"/>
      <w:bookmarkStart w:id="70" w:name="_Toc183582210"/>
      <w:bookmarkStart w:id="71" w:name="_Toc183682347"/>
      <w:r>
        <w:rPr>
          <w:rFonts w:hint="eastAsia" w:ascii="新宋体" w:hAnsi="新宋体" w:eastAsia="新宋体" w:cs="新宋体"/>
          <w:b/>
          <w:bCs/>
          <w:sz w:val="24"/>
        </w:rPr>
        <w:t>6．招标文件的构成</w:t>
      </w:r>
      <w:bookmarkEnd w:id="69"/>
      <w:bookmarkEnd w:id="70"/>
      <w:bookmarkEnd w:id="71"/>
    </w:p>
    <w:p>
      <w:pPr>
        <w:tabs>
          <w:tab w:val="left" w:pos="7665"/>
        </w:tabs>
        <w:snapToGrid w:val="0"/>
        <w:spacing w:line="360" w:lineRule="auto"/>
        <w:rPr>
          <w:rFonts w:ascii="新宋体" w:hAnsi="新宋体" w:eastAsia="新宋体" w:cs="新宋体"/>
          <w:sz w:val="24"/>
        </w:rPr>
      </w:pPr>
      <w:r>
        <w:rPr>
          <w:rFonts w:hint="eastAsia" w:ascii="新宋体" w:hAnsi="新宋体" w:eastAsia="新宋体" w:cs="新宋体"/>
          <w:sz w:val="24"/>
        </w:rPr>
        <w:t xml:space="preserve">    6</w:t>
      </w:r>
      <w:r>
        <w:rPr>
          <w:rFonts w:hint="eastAsia" w:ascii="新宋体" w:hAnsi="新宋体" w:eastAsia="新宋体" w:cs="新宋体"/>
          <w:b/>
          <w:bCs/>
          <w:sz w:val="24"/>
        </w:rPr>
        <w:t>.</w:t>
      </w:r>
      <w:r>
        <w:rPr>
          <w:rFonts w:hint="eastAsia" w:ascii="新宋体" w:hAnsi="新宋体" w:eastAsia="新宋体" w:cs="新宋体"/>
          <w:sz w:val="24"/>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（一）招标公告；</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（二）投标供应商须知；</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（三）投标文件格式；</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（四）投标供应商和投标产品的资格、资质性及其他类似效力要求；</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（五）投标供应商应当提供的资格、资质性及其他类似效力要求的相关证明材料；</w:t>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（六）招标项目采购清单技术、服务及其他要求；</w:t>
      </w:r>
    </w:p>
    <w:p>
      <w:pPr>
        <w:tabs>
          <w:tab w:val="left" w:pos="720"/>
          <w:tab w:val="left" w:pos="6575"/>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（七）评标办法；</w:t>
      </w:r>
      <w:r>
        <w:rPr>
          <w:rFonts w:hint="eastAsia" w:ascii="新宋体" w:hAnsi="新宋体" w:eastAsia="新宋体" w:cs="新宋体"/>
          <w:sz w:val="24"/>
        </w:rPr>
        <w:tab/>
      </w:r>
      <w:r>
        <w:rPr>
          <w:rFonts w:hint="eastAsia" w:ascii="新宋体" w:hAnsi="新宋体" w:eastAsia="新宋体" w:cs="新宋体"/>
          <w:sz w:val="24"/>
        </w:rPr>
        <w:tab/>
      </w:r>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（八）政府采购合同（样例）；</w:t>
      </w:r>
    </w:p>
    <w:p>
      <w:pPr>
        <w:spacing w:line="360" w:lineRule="auto"/>
        <w:ind w:firstLine="480" w:firstLineChars="200"/>
        <w:rPr>
          <w:rFonts w:eastAsia="新宋体"/>
        </w:rPr>
      </w:pPr>
      <w:r>
        <w:rPr>
          <w:rFonts w:hint="eastAsia" w:ascii="新宋体" w:hAnsi="新宋体" w:eastAsia="新宋体" w:cs="新宋体"/>
          <w:sz w:val="24"/>
        </w:rPr>
        <w:t>（九）采购项目履约验收标准和要求；</w:t>
      </w:r>
    </w:p>
    <w:p>
      <w:pPr>
        <w:tabs>
          <w:tab w:val="left" w:pos="7665"/>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w:t>
      </w:r>
      <w:r>
        <w:rPr>
          <w:rFonts w:hint="eastAsia" w:ascii="新宋体" w:hAnsi="新宋体" w:eastAsia="新宋体" w:cs="新宋体"/>
          <w:b/>
          <w:bCs/>
          <w:sz w:val="24"/>
        </w:rPr>
        <w:t>.</w:t>
      </w:r>
      <w:r>
        <w:rPr>
          <w:rFonts w:hint="eastAsia" w:ascii="新宋体" w:hAnsi="新宋体" w:eastAsia="新宋体" w:cs="新宋体"/>
          <w:sz w:val="24"/>
        </w:rPr>
        <w:t>2 投标供应商应认真阅读和充分理解招标文件中所有的事项、格式条款和规范要求。投标供应商没有对招标文件全面做出实质性响应是投标供应商的风险。没有按照招标文件要求作出实质性响应的投标文件将被拒绝。</w:t>
      </w:r>
    </w:p>
    <w:p>
      <w:pPr>
        <w:spacing w:line="360" w:lineRule="auto"/>
        <w:ind w:firstLine="482"/>
        <w:rPr>
          <w:rFonts w:ascii="新宋体" w:hAnsi="新宋体" w:eastAsia="新宋体" w:cs="新宋体"/>
          <w:b/>
          <w:bCs/>
          <w:sz w:val="24"/>
        </w:rPr>
      </w:pPr>
      <w:bookmarkStart w:id="72" w:name="_Toc183582211"/>
      <w:bookmarkStart w:id="73" w:name="_Toc183682348"/>
      <w:bookmarkStart w:id="74" w:name="_Toc217446040"/>
      <w:r>
        <w:rPr>
          <w:rFonts w:hint="eastAsia" w:ascii="新宋体" w:hAnsi="新宋体" w:eastAsia="新宋体" w:cs="新宋体"/>
          <w:b/>
          <w:bCs/>
          <w:sz w:val="24"/>
        </w:rPr>
        <w:t>7. 招标文件的澄清</w:t>
      </w:r>
      <w:bookmarkEnd w:id="72"/>
      <w:bookmarkEnd w:id="73"/>
      <w:r>
        <w:rPr>
          <w:rFonts w:hint="eastAsia" w:ascii="新宋体" w:hAnsi="新宋体" w:eastAsia="新宋体" w:cs="新宋体"/>
          <w:b/>
          <w:bCs/>
          <w:sz w:val="24"/>
        </w:rPr>
        <w:t>和修改</w:t>
      </w:r>
      <w:bookmarkEnd w:id="74"/>
    </w:p>
    <w:p>
      <w:pPr>
        <w:tabs>
          <w:tab w:val="left" w:pos="720"/>
        </w:tabs>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7.1招标采购单位可以依法对招标文件进行澄清或者修改。</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7.2招标采购单位对已发出的招标文件进行澄清或者修改，应当以书面形式将澄清或者修改的内容通知所有购买了招标文件的供应商，同时在《中国政府采购网》、《西藏自治区政府采购网》、《西藏自治区公共资源交易平台》、《拉萨市公共资源交易平台》上发布更正公告。该澄清或者修改的内容为招标文件的组成部分，澄清或者修改的内容可能影响投标文件、资格预审申请文件编制的，采购代表或者采购代理机构发布公告并书面通知供应商的时间，应当在投标截止时间至少15日前、提交资格预审申请文件截止时间至少3日前；不足上述时间的，应当顺延提交投标文件、资格预审申请文件的截止时间。</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w:t>
      </w:r>
      <w:r>
        <w:rPr>
          <w:rFonts w:hint="eastAsia" w:ascii="新宋体" w:hAnsi="新宋体" w:eastAsia="新宋体" w:cs="新宋体"/>
          <w:b/>
          <w:bCs/>
          <w:sz w:val="24"/>
        </w:rPr>
        <w:t>.</w:t>
      </w:r>
      <w:r>
        <w:rPr>
          <w:rFonts w:hint="eastAsia" w:ascii="新宋体" w:hAnsi="新宋体" w:eastAsia="新宋体" w:cs="新宋体"/>
          <w:sz w:val="24"/>
        </w:rPr>
        <w:t>3 投标供应商认为需要对招标文件进行澄清或者修改的，可以以书面形式向招标采购单位提出申请，但招标采购单位可以决定是否采纳投标供应商的申请事项。</w:t>
      </w:r>
    </w:p>
    <w:p>
      <w:pPr>
        <w:spacing w:line="360" w:lineRule="auto"/>
        <w:ind w:firstLine="482"/>
        <w:rPr>
          <w:rFonts w:ascii="新宋体" w:hAnsi="新宋体" w:eastAsia="新宋体" w:cs="新宋体"/>
          <w:b/>
          <w:bCs/>
          <w:sz w:val="24"/>
        </w:rPr>
      </w:pPr>
      <w:bookmarkStart w:id="75" w:name="_Toc217446041"/>
      <w:bookmarkStart w:id="76" w:name="_Toc208848971"/>
      <w:r>
        <w:rPr>
          <w:rFonts w:hint="eastAsia" w:ascii="新宋体" w:hAnsi="新宋体" w:eastAsia="新宋体" w:cs="新宋体"/>
          <w:b/>
          <w:bCs/>
          <w:sz w:val="24"/>
        </w:rPr>
        <w:t>8. 答疑会和现场考察</w:t>
      </w:r>
      <w:bookmarkEnd w:id="75"/>
      <w:bookmarkEnd w:id="76"/>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8.1 根据采购项目和具体情况，招标采购单位认为有必要，可以在招标文件提供期限截止后，组织已获取招标文件的潜在投标供应商现场考察或者召开开标前答疑会；组织现场考察或者召开答疑会的，应当以书面形式通知所有获取招标文件的潜在投标供应商。</w:t>
      </w:r>
    </w:p>
    <w:p>
      <w:pPr>
        <w:adjustRightInd w:val="0"/>
        <w:snapToGrid w:val="0"/>
        <w:spacing w:line="360" w:lineRule="auto"/>
        <w:ind w:firstLine="420" w:firstLineChars="175"/>
        <w:rPr>
          <w:rFonts w:ascii="新宋体" w:hAnsi="新宋体" w:eastAsia="新宋体" w:cs="新宋体"/>
          <w:sz w:val="24"/>
        </w:rPr>
      </w:pPr>
      <w:r>
        <w:rPr>
          <w:rFonts w:hint="eastAsia" w:ascii="新宋体" w:hAnsi="新宋体" w:eastAsia="新宋体" w:cs="新宋体"/>
          <w:sz w:val="24"/>
        </w:rPr>
        <w:t>8.2 供应商考察现场所发生的一切费用由供应商自己承担。</w:t>
      </w:r>
    </w:p>
    <w:p>
      <w:pPr>
        <w:pStyle w:val="4"/>
        <w:rPr>
          <w:rFonts w:ascii="新宋体" w:hAnsi="新宋体" w:eastAsia="新宋体" w:cs="新宋体"/>
        </w:rPr>
      </w:pPr>
      <w:bookmarkStart w:id="77" w:name="_Toc15488"/>
      <w:bookmarkStart w:id="78" w:name="_Toc183582214"/>
      <w:bookmarkStart w:id="79" w:name="_Toc89075876"/>
      <w:bookmarkStart w:id="80" w:name="_Toc77400780"/>
      <w:bookmarkStart w:id="81" w:name="_Toc32092"/>
      <w:bookmarkStart w:id="82" w:name="_Toc183682351"/>
      <w:bookmarkStart w:id="83" w:name="_Toc217446042"/>
      <w:r>
        <w:rPr>
          <w:rFonts w:hint="eastAsia" w:ascii="新宋体" w:hAnsi="新宋体" w:eastAsia="新宋体" w:cs="新宋体"/>
        </w:rPr>
        <w:t>四、投标文件</w:t>
      </w:r>
      <w:bookmarkEnd w:id="77"/>
      <w:bookmarkEnd w:id="78"/>
      <w:bookmarkEnd w:id="79"/>
      <w:bookmarkEnd w:id="80"/>
      <w:bookmarkEnd w:id="81"/>
      <w:bookmarkEnd w:id="82"/>
      <w:bookmarkEnd w:id="83"/>
    </w:p>
    <w:p>
      <w:pPr>
        <w:spacing w:line="360" w:lineRule="auto"/>
        <w:ind w:firstLine="482"/>
        <w:rPr>
          <w:rFonts w:ascii="新宋体" w:hAnsi="新宋体" w:eastAsia="新宋体" w:cs="新宋体"/>
        </w:rPr>
      </w:pPr>
      <w:bookmarkStart w:id="84" w:name="_Toc217446043"/>
      <w:bookmarkStart w:id="85" w:name="_Toc183682352"/>
      <w:bookmarkStart w:id="86" w:name="_Toc183582215"/>
      <w:r>
        <w:rPr>
          <w:rFonts w:hint="eastAsia" w:ascii="新宋体" w:hAnsi="新宋体" w:eastAsia="新宋体" w:cs="新宋体"/>
          <w:b/>
          <w:bCs/>
          <w:sz w:val="24"/>
        </w:rPr>
        <w:t>9．投标文件的语言</w:t>
      </w:r>
      <w:bookmarkEnd w:id="84"/>
      <w:bookmarkEnd w:id="85"/>
      <w:bookmarkEnd w:id="86"/>
      <w:r>
        <w:rPr>
          <w:rFonts w:hint="eastAsia" w:ascii="新宋体" w:hAnsi="新宋体" w:eastAsia="新宋体" w:cs="新宋体"/>
          <w:b/>
          <w:sz w:val="24"/>
        </w:rPr>
        <w:t>（实质性要求）</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9.1 投标供应商提交的投标文件以及投标供应商与招标采购单位就有关投标的所有来往书面文件均须使用中文。投标文件中如附有外文资料，应对应翻译成中文并加盖投标供应商公章后附在相关外文资料后面。（说明：供应商的法定代表人为外籍人士的，法定代表人的签字和护照除外。）</w:t>
      </w:r>
    </w:p>
    <w:p>
      <w:pPr>
        <w:tabs>
          <w:tab w:val="left" w:pos="1134"/>
        </w:tabs>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 xml:space="preserve">9.2 </w:t>
      </w:r>
      <w:bookmarkStart w:id="87" w:name="_Toc217446044"/>
      <w:bookmarkStart w:id="88" w:name="_Toc183582216"/>
      <w:bookmarkStart w:id="89" w:name="_Toc183682353"/>
      <w:r>
        <w:rPr>
          <w:rFonts w:hint="eastAsia" w:ascii="新宋体" w:hAnsi="新宋体" w:eastAsia="新宋体" w:cs="新宋体"/>
          <w:sz w:val="24"/>
        </w:rPr>
        <w:t>翻译的中文资料与外文资料如果出现差异和矛盾时，以中文为准；涉嫌虚假响应的按照相关法律法规处理。</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10．计量单位</w:t>
      </w:r>
      <w:bookmarkEnd w:id="87"/>
      <w:bookmarkEnd w:id="88"/>
      <w:bookmarkEnd w:id="89"/>
      <w:r>
        <w:rPr>
          <w:rFonts w:hint="eastAsia" w:ascii="新宋体" w:hAnsi="新宋体" w:eastAsia="新宋体" w:cs="新宋体"/>
          <w:b/>
          <w:bCs/>
          <w:sz w:val="24"/>
        </w:rPr>
        <w:t>（实质性要求）</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除招标文件中另有规定外，本次采购项目所有合同项下的投标均采用国家法定的计量单位。</w:t>
      </w:r>
    </w:p>
    <w:p>
      <w:pPr>
        <w:spacing w:line="360" w:lineRule="auto"/>
        <w:ind w:firstLine="482"/>
        <w:rPr>
          <w:rFonts w:ascii="新宋体" w:hAnsi="新宋体" w:eastAsia="新宋体" w:cs="新宋体"/>
          <w:b/>
          <w:bCs/>
          <w:sz w:val="24"/>
        </w:rPr>
      </w:pPr>
      <w:bookmarkStart w:id="90" w:name="_Toc217446045"/>
      <w:r>
        <w:rPr>
          <w:rFonts w:hint="eastAsia" w:ascii="新宋体" w:hAnsi="新宋体" w:eastAsia="新宋体" w:cs="新宋体"/>
          <w:b/>
          <w:bCs/>
          <w:sz w:val="24"/>
        </w:rPr>
        <w:t>11.投标货币</w:t>
      </w:r>
      <w:bookmarkEnd w:id="90"/>
      <w:r>
        <w:rPr>
          <w:rFonts w:hint="eastAsia" w:ascii="新宋体" w:hAnsi="新宋体" w:eastAsia="新宋体" w:cs="新宋体"/>
          <w:b/>
          <w:bCs/>
          <w:sz w:val="24"/>
        </w:rPr>
        <w:t>（实质性要求）</w:t>
      </w:r>
    </w:p>
    <w:p>
      <w:pPr>
        <w:tabs>
          <w:tab w:val="left" w:pos="7665"/>
        </w:tabs>
        <w:spacing w:line="360" w:lineRule="auto"/>
        <w:ind w:hanging="118"/>
        <w:rPr>
          <w:rFonts w:ascii="新宋体" w:hAnsi="新宋体" w:eastAsia="新宋体" w:cs="新宋体"/>
          <w:sz w:val="24"/>
        </w:rPr>
      </w:pPr>
      <w:r>
        <w:rPr>
          <w:rFonts w:hint="eastAsia" w:ascii="新宋体" w:hAnsi="新宋体" w:eastAsia="新宋体" w:cs="新宋体"/>
          <w:sz w:val="24"/>
        </w:rPr>
        <w:t xml:space="preserve">     本次招标项目的投标均以人民币报价。</w:t>
      </w:r>
    </w:p>
    <w:p>
      <w:pPr>
        <w:spacing w:line="360" w:lineRule="auto"/>
        <w:ind w:firstLine="482"/>
        <w:rPr>
          <w:rFonts w:ascii="新宋体" w:hAnsi="新宋体" w:eastAsia="新宋体" w:cs="新宋体"/>
          <w:b/>
          <w:bCs/>
          <w:sz w:val="24"/>
        </w:rPr>
      </w:pPr>
      <w:bookmarkStart w:id="91" w:name="_Toc217446046"/>
      <w:r>
        <w:rPr>
          <w:rFonts w:hint="eastAsia" w:ascii="新宋体" w:hAnsi="新宋体" w:eastAsia="新宋体" w:cs="新宋体"/>
          <w:b/>
          <w:bCs/>
          <w:sz w:val="24"/>
        </w:rPr>
        <w:t>12.联合体投标</w:t>
      </w:r>
      <w:bookmarkEnd w:id="91"/>
      <w:r>
        <w:rPr>
          <w:rFonts w:hint="eastAsia" w:ascii="新宋体" w:hAnsi="新宋体" w:eastAsia="新宋体" w:cs="新宋体"/>
          <w:b/>
          <w:bCs/>
          <w:sz w:val="24"/>
        </w:rPr>
        <w:t>（实质性要求）</w:t>
      </w:r>
    </w:p>
    <w:p>
      <w:pPr>
        <w:spacing w:line="360" w:lineRule="auto"/>
        <w:ind w:firstLine="470" w:firstLineChars="196"/>
        <w:rPr>
          <w:rFonts w:ascii="新宋体" w:hAnsi="新宋体" w:eastAsia="新宋体" w:cs="新宋体"/>
          <w:sz w:val="24"/>
        </w:rPr>
      </w:pPr>
      <w:bookmarkStart w:id="92" w:name="_Toc217446047"/>
      <w:r>
        <w:rPr>
          <w:rFonts w:hint="eastAsia" w:ascii="新宋体" w:hAnsi="新宋体" w:eastAsia="新宋体" w:cs="新宋体"/>
          <w:sz w:val="24"/>
        </w:rPr>
        <w:t>本项目不允许联合体投标。</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13.知识产权</w:t>
      </w:r>
      <w:bookmarkEnd w:id="92"/>
      <w:r>
        <w:rPr>
          <w:rFonts w:hint="eastAsia" w:ascii="新宋体" w:hAnsi="新宋体" w:eastAsia="新宋体" w:cs="新宋体"/>
          <w:b/>
          <w:bCs/>
          <w:sz w:val="24"/>
        </w:rPr>
        <w:t>（实质性要求）</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13.1 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13.2 采购人享有本项目实施过程中产生的知识成果及知识产权。</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 xml:space="preserve">13.3 如采用投标供应商所不拥有的知识产权，则在投标报价中必须包括合法获取该知识产权的相关费用。  </w:t>
      </w:r>
      <w:bookmarkStart w:id="93" w:name="_Toc183682354"/>
      <w:bookmarkStart w:id="94" w:name="_Toc217446048"/>
      <w:bookmarkStart w:id="95" w:name="_Toc183582217"/>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14．投标文件的组成</w:t>
      </w:r>
      <w:bookmarkEnd w:id="93"/>
      <w:bookmarkEnd w:id="94"/>
      <w:bookmarkEnd w:id="95"/>
    </w:p>
    <w:p>
      <w:pPr>
        <w:adjustRightInd w:val="0"/>
        <w:snapToGrid w:val="0"/>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投标供应商应按照招标文件的规定和要求编制投标文件。投标供应商拟在中标后将中标项目的非主体、非关键性工作交由他人完成的，应当在投标文件中载明。投标供应商编写的投标文件应包括下列部分：</w:t>
      </w:r>
    </w:p>
    <w:p>
      <w:pPr>
        <w:adjustRightInd w:val="0"/>
        <w:snapToGrid w:val="0"/>
        <w:spacing w:line="360" w:lineRule="auto"/>
        <w:ind w:firstLine="472" w:firstLineChars="196"/>
        <w:rPr>
          <w:rFonts w:ascii="新宋体" w:hAnsi="新宋体" w:eastAsia="新宋体" w:cs="新宋体"/>
          <w:b/>
          <w:sz w:val="24"/>
        </w:rPr>
      </w:pPr>
      <w:r>
        <w:rPr>
          <w:rFonts w:hint="eastAsia" w:ascii="新宋体" w:hAnsi="新宋体" w:eastAsia="新宋体" w:cs="新宋体"/>
          <w:b/>
          <w:sz w:val="24"/>
        </w:rPr>
        <w:t>14.1 报价部分</w:t>
      </w:r>
      <w:r>
        <w:rPr>
          <w:rFonts w:hint="eastAsia" w:ascii="新宋体" w:hAnsi="新宋体" w:eastAsia="新宋体" w:cs="新宋体"/>
          <w:b/>
          <w:bCs/>
          <w:sz w:val="24"/>
        </w:rPr>
        <w:t>（实质性要求）</w:t>
      </w:r>
    </w:p>
    <w:p>
      <w:pPr>
        <w:adjustRightInd w:val="0"/>
        <w:snapToGrid w:val="0"/>
        <w:spacing w:line="360" w:lineRule="auto"/>
        <w:ind w:firstLine="470" w:firstLineChars="196"/>
        <w:rPr>
          <w:rFonts w:ascii="新宋体" w:hAnsi="新宋体" w:eastAsia="新宋体" w:cs="新宋体"/>
          <w:sz w:val="24"/>
        </w:rPr>
      </w:pPr>
      <w:r>
        <w:rPr>
          <w:rFonts w:hint="eastAsia" w:ascii="新宋体" w:hAnsi="新宋体" w:eastAsia="新宋体" w:cs="新宋体"/>
          <w:bCs/>
          <w:sz w:val="24"/>
        </w:rPr>
        <w:t>投标供应商</w:t>
      </w:r>
      <w:r>
        <w:rPr>
          <w:rFonts w:hint="eastAsia" w:ascii="新宋体" w:hAnsi="新宋体" w:eastAsia="新宋体" w:cs="新宋体"/>
          <w:sz w:val="24"/>
        </w:rPr>
        <w:t>按照招标文件要求填写的“开标一览表”及“分项报价明细表”。 本次招标报价要求：</w:t>
      </w:r>
    </w:p>
    <w:p>
      <w:pPr>
        <w:numPr>
          <w:ilvl w:val="0"/>
          <w:numId w:val="6"/>
        </w:numPr>
        <w:adjustRightInd w:val="0"/>
        <w:snapToGrid w:val="0"/>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投标供应商的报价是投标供应商响应招标项目要求的全部工作内容的价格体现，包括投标供应商完成本项目所需的一切费用。</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（2）投标供应商每种货物只允许有一个报价，并且在合同履行过程中是固定不变的，任何有选择或可调整的报价将不予接受，并按无效投标处理。</w:t>
      </w:r>
    </w:p>
    <w:p>
      <w:pPr>
        <w:tabs>
          <w:tab w:val="left" w:pos="540"/>
        </w:tabs>
        <w:adjustRightInd w:val="0"/>
        <w:snapToGrid w:val="0"/>
        <w:spacing w:line="360" w:lineRule="auto"/>
        <w:ind w:firstLine="472" w:firstLineChars="196"/>
        <w:rPr>
          <w:rFonts w:ascii="新宋体" w:hAnsi="新宋体" w:eastAsia="新宋体" w:cs="新宋体"/>
          <w:b/>
          <w:bCs/>
          <w:sz w:val="24"/>
        </w:rPr>
      </w:pPr>
      <w:r>
        <w:rPr>
          <w:rFonts w:hint="eastAsia" w:ascii="新宋体" w:hAnsi="新宋体" w:eastAsia="新宋体" w:cs="新宋体"/>
          <w:b/>
          <w:bCs/>
          <w:sz w:val="24"/>
        </w:rPr>
        <w:t>14.2 技术部分</w:t>
      </w:r>
    </w:p>
    <w:p>
      <w:pPr>
        <w:adjustRightInd w:val="0"/>
        <w:snapToGrid w:val="0"/>
        <w:spacing w:line="360" w:lineRule="auto"/>
        <w:ind w:firstLine="470" w:firstLineChars="196"/>
        <w:rPr>
          <w:rFonts w:ascii="新宋体" w:hAnsi="新宋体" w:eastAsia="新宋体" w:cs="新宋体"/>
          <w:bCs/>
          <w:sz w:val="24"/>
        </w:rPr>
      </w:pPr>
      <w:bookmarkStart w:id="96" w:name="_Toc217446081"/>
      <w:r>
        <w:rPr>
          <w:rFonts w:hint="eastAsia" w:ascii="新宋体" w:hAnsi="新宋体" w:eastAsia="新宋体" w:cs="新宋体"/>
          <w:bCs/>
          <w:sz w:val="24"/>
        </w:rPr>
        <w:t>投标人按照招标文件要求做出的技术应答，主要是针对招标项目的技术指标、参数和技术要求做出的响应和满足。投标人的技术应答应包括下列内容：</w:t>
      </w:r>
    </w:p>
    <w:p>
      <w:pPr>
        <w:adjustRightInd w:val="0"/>
        <w:snapToGrid w:val="0"/>
        <w:spacing w:line="360" w:lineRule="auto"/>
        <w:ind w:firstLine="470" w:firstLineChars="196"/>
        <w:rPr>
          <w:rFonts w:ascii="新宋体" w:hAnsi="新宋体" w:eastAsia="新宋体" w:cs="新宋体"/>
          <w:bCs/>
          <w:sz w:val="24"/>
        </w:rPr>
      </w:pPr>
      <w:r>
        <w:rPr>
          <w:rFonts w:hint="eastAsia" w:ascii="新宋体" w:hAnsi="新宋体" w:eastAsia="新宋体" w:cs="新宋体"/>
          <w:bCs/>
          <w:sz w:val="24"/>
        </w:rPr>
        <w:t>（1）技术方案；</w:t>
      </w:r>
    </w:p>
    <w:p>
      <w:pPr>
        <w:adjustRightInd w:val="0"/>
        <w:snapToGrid w:val="0"/>
        <w:spacing w:line="360" w:lineRule="auto"/>
        <w:ind w:firstLine="470" w:firstLineChars="196"/>
        <w:rPr>
          <w:rFonts w:ascii="新宋体" w:hAnsi="新宋体" w:eastAsia="新宋体" w:cs="新宋体"/>
          <w:bCs/>
          <w:sz w:val="24"/>
        </w:rPr>
      </w:pPr>
      <w:r>
        <w:rPr>
          <w:rFonts w:hint="eastAsia" w:ascii="新宋体" w:hAnsi="新宋体" w:eastAsia="新宋体" w:cs="新宋体"/>
          <w:bCs/>
          <w:sz w:val="24"/>
        </w:rPr>
        <w:t>（2）项目实施方案；</w:t>
      </w:r>
    </w:p>
    <w:p>
      <w:pPr>
        <w:adjustRightInd w:val="0"/>
        <w:snapToGrid w:val="0"/>
        <w:spacing w:line="360" w:lineRule="auto"/>
        <w:ind w:firstLine="470" w:firstLineChars="196"/>
        <w:rPr>
          <w:rFonts w:ascii="新宋体" w:hAnsi="新宋体" w:eastAsia="新宋体" w:cs="新宋体"/>
          <w:bCs/>
          <w:sz w:val="24"/>
        </w:rPr>
      </w:pPr>
      <w:r>
        <w:rPr>
          <w:rFonts w:hint="eastAsia" w:ascii="新宋体" w:hAnsi="新宋体" w:eastAsia="新宋体" w:cs="新宋体"/>
          <w:bCs/>
          <w:sz w:val="24"/>
        </w:rPr>
        <w:t>（3）项目验收标准和验收方法；</w:t>
      </w:r>
    </w:p>
    <w:p>
      <w:pPr>
        <w:adjustRightInd w:val="0"/>
        <w:snapToGrid w:val="0"/>
        <w:spacing w:line="360" w:lineRule="auto"/>
        <w:ind w:firstLine="470" w:firstLineChars="196"/>
        <w:rPr>
          <w:rFonts w:ascii="新宋体" w:hAnsi="新宋体" w:eastAsia="新宋体" w:cs="新宋体"/>
          <w:bCs/>
          <w:sz w:val="24"/>
        </w:rPr>
      </w:pPr>
      <w:r>
        <w:rPr>
          <w:rFonts w:hint="eastAsia" w:ascii="新宋体" w:hAnsi="新宋体" w:eastAsia="新宋体" w:cs="新宋体"/>
          <w:bCs/>
          <w:sz w:val="24"/>
        </w:rPr>
        <w:t>（4）投标人认为需要提供的其他文件和资料。</w:t>
      </w:r>
    </w:p>
    <w:p>
      <w:pPr>
        <w:adjustRightInd w:val="0"/>
        <w:snapToGrid w:val="0"/>
        <w:spacing w:line="360" w:lineRule="auto"/>
        <w:ind w:firstLine="472" w:firstLineChars="196"/>
        <w:rPr>
          <w:rFonts w:ascii="新宋体" w:hAnsi="新宋体" w:eastAsia="新宋体" w:cs="新宋体"/>
          <w:b/>
          <w:bCs/>
          <w:sz w:val="24"/>
        </w:rPr>
      </w:pPr>
      <w:r>
        <w:rPr>
          <w:rFonts w:hint="eastAsia" w:ascii="新宋体" w:hAnsi="新宋体" w:eastAsia="新宋体" w:cs="新宋体"/>
          <w:b/>
          <w:bCs/>
          <w:sz w:val="24"/>
        </w:rPr>
        <w:t>14.3商务部分</w:t>
      </w:r>
    </w:p>
    <w:p>
      <w:pPr>
        <w:adjustRightInd w:val="0"/>
        <w:snapToGrid w:val="0"/>
        <w:spacing w:line="360" w:lineRule="auto"/>
        <w:ind w:firstLine="470" w:firstLineChars="196"/>
        <w:rPr>
          <w:rFonts w:ascii="新宋体" w:hAnsi="新宋体" w:eastAsia="新宋体" w:cs="新宋体"/>
          <w:sz w:val="24"/>
        </w:rPr>
      </w:pPr>
      <w:r>
        <w:rPr>
          <w:rFonts w:hint="eastAsia" w:ascii="新宋体" w:hAnsi="新宋体" w:eastAsia="新宋体" w:cs="新宋体"/>
          <w:bCs/>
          <w:sz w:val="24"/>
        </w:rPr>
        <w:t>投标供应商</w:t>
      </w:r>
      <w:r>
        <w:rPr>
          <w:rFonts w:hint="eastAsia" w:ascii="新宋体" w:hAnsi="新宋体" w:eastAsia="新宋体" w:cs="新宋体"/>
          <w:sz w:val="24"/>
        </w:rPr>
        <w:t>按照招标文件要求提供的有关证明材料及优惠承诺，包括以下内容：</w:t>
      </w:r>
    </w:p>
    <w:p>
      <w:pPr>
        <w:numPr>
          <w:ilvl w:val="0"/>
          <w:numId w:val="7"/>
        </w:numPr>
        <w:adjustRightInd w:val="0"/>
        <w:snapToGrid w:val="0"/>
        <w:spacing w:line="360" w:lineRule="auto"/>
        <w:ind w:left="508" w:leftChars="226" w:hanging="33" w:hangingChars="14"/>
        <w:rPr>
          <w:rFonts w:ascii="新宋体" w:hAnsi="新宋体" w:eastAsia="新宋体" w:cs="新宋体"/>
        </w:rPr>
      </w:pPr>
      <w:r>
        <w:rPr>
          <w:rFonts w:hint="eastAsia" w:ascii="新宋体" w:hAnsi="新宋体" w:eastAsia="新宋体" w:cs="新宋体"/>
          <w:sz w:val="24"/>
        </w:rPr>
        <w:t>投标函；</w:t>
      </w:r>
    </w:p>
    <w:p>
      <w:pPr>
        <w:numPr>
          <w:ilvl w:val="0"/>
          <w:numId w:val="7"/>
        </w:numPr>
        <w:adjustRightInd w:val="0"/>
        <w:snapToGrid w:val="0"/>
        <w:spacing w:line="360" w:lineRule="auto"/>
        <w:ind w:left="508" w:leftChars="226" w:hanging="33" w:hangingChars="14"/>
        <w:rPr>
          <w:rFonts w:ascii="新宋体" w:hAnsi="新宋体" w:eastAsia="新宋体" w:cs="新宋体"/>
          <w:sz w:val="24"/>
        </w:rPr>
      </w:pPr>
      <w:r>
        <w:rPr>
          <w:rFonts w:hint="eastAsia" w:ascii="新宋体" w:hAnsi="新宋体" w:eastAsia="新宋体" w:cs="新宋体"/>
          <w:sz w:val="24"/>
        </w:rPr>
        <w:t>投标供应商应当提供的资格、资质性及其他类似效力要求的相关证明材料（详见第五章）；</w:t>
      </w:r>
    </w:p>
    <w:p>
      <w:pPr>
        <w:pStyle w:val="32"/>
        <w:numPr>
          <w:ilvl w:val="0"/>
          <w:numId w:val="7"/>
        </w:numPr>
        <w:ind w:left="508" w:leftChars="226" w:hanging="33" w:hangingChars="14"/>
        <w:rPr>
          <w:rFonts w:ascii="新宋体" w:hAnsi="新宋体" w:eastAsia="新宋体" w:cs="新宋体"/>
        </w:rPr>
      </w:pPr>
      <w:r>
        <w:rPr>
          <w:rFonts w:hint="eastAsia" w:ascii="新宋体" w:hAnsi="新宋体" w:eastAsia="新宋体" w:cs="新宋体"/>
        </w:rPr>
        <w:t>投标承诺函；</w:t>
      </w:r>
    </w:p>
    <w:p>
      <w:pPr>
        <w:adjustRightInd w:val="0"/>
        <w:snapToGrid w:val="0"/>
        <w:spacing w:line="360" w:lineRule="auto"/>
        <w:ind w:left="508" w:leftChars="226" w:hanging="33" w:hangingChars="14"/>
        <w:rPr>
          <w:rFonts w:ascii="新宋体" w:hAnsi="新宋体" w:eastAsia="新宋体" w:cs="新宋体"/>
          <w:sz w:val="24"/>
        </w:rPr>
      </w:pPr>
      <w:r>
        <w:rPr>
          <w:rFonts w:hint="eastAsia" w:ascii="新宋体" w:hAnsi="新宋体" w:eastAsia="新宋体" w:cs="新宋体"/>
          <w:sz w:val="24"/>
        </w:rPr>
        <w:t>（4）商务应答表；</w:t>
      </w:r>
    </w:p>
    <w:p>
      <w:pPr>
        <w:adjustRightInd w:val="0"/>
        <w:snapToGrid w:val="0"/>
        <w:spacing w:line="360" w:lineRule="auto"/>
        <w:ind w:left="508" w:leftChars="226" w:hanging="33" w:hangingChars="14"/>
        <w:rPr>
          <w:rFonts w:ascii="新宋体" w:hAnsi="新宋体" w:eastAsia="新宋体" w:cs="新宋体"/>
          <w:sz w:val="24"/>
        </w:rPr>
      </w:pPr>
      <w:r>
        <w:rPr>
          <w:rFonts w:hint="eastAsia" w:ascii="新宋体" w:hAnsi="新宋体" w:eastAsia="新宋体" w:cs="新宋体"/>
          <w:sz w:val="24"/>
        </w:rPr>
        <w:t>（5）证明投标供应商业绩和荣誉的有关材料复印件；</w:t>
      </w:r>
    </w:p>
    <w:p>
      <w:pPr>
        <w:adjustRightInd w:val="0"/>
        <w:snapToGrid w:val="0"/>
        <w:spacing w:line="360" w:lineRule="auto"/>
        <w:ind w:left="508" w:leftChars="226" w:hanging="33" w:hangingChars="14"/>
        <w:rPr>
          <w:rFonts w:ascii="新宋体" w:hAnsi="新宋体" w:eastAsia="新宋体" w:cs="新宋体"/>
          <w:sz w:val="24"/>
        </w:rPr>
      </w:pPr>
      <w:r>
        <w:rPr>
          <w:rFonts w:hint="eastAsia" w:ascii="新宋体" w:hAnsi="新宋体" w:eastAsia="新宋体" w:cs="新宋体"/>
          <w:sz w:val="24"/>
        </w:rPr>
        <w:t>（6）其他投标供应商认为需要提供的文件和资料。</w:t>
      </w:r>
    </w:p>
    <w:p>
      <w:pPr>
        <w:adjustRightInd w:val="0"/>
        <w:snapToGrid w:val="0"/>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14.4其他部分</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bCs/>
          <w:sz w:val="24"/>
        </w:rPr>
        <w:t>投标供应商按照招标文件要求作出的其他应答和承诺。</w:t>
      </w:r>
    </w:p>
    <w:p>
      <w:pPr>
        <w:spacing w:line="360" w:lineRule="auto"/>
        <w:ind w:firstLine="482" w:firstLineChars="200"/>
        <w:rPr>
          <w:rFonts w:ascii="新宋体" w:hAnsi="新宋体" w:eastAsia="新宋体" w:cs="新宋体"/>
          <w:b/>
          <w:bCs/>
          <w:sz w:val="24"/>
        </w:rPr>
      </w:pPr>
      <w:bookmarkStart w:id="97" w:name="_Toc217446049"/>
      <w:bookmarkStart w:id="98" w:name="_Toc183582218"/>
      <w:bookmarkStart w:id="99" w:name="_Toc183682355"/>
      <w:r>
        <w:rPr>
          <w:rFonts w:hint="eastAsia" w:ascii="新宋体" w:hAnsi="新宋体" w:eastAsia="新宋体" w:cs="新宋体"/>
          <w:b/>
          <w:bCs/>
          <w:sz w:val="24"/>
        </w:rPr>
        <w:t>15．投标文件格式</w:t>
      </w:r>
      <w:bookmarkEnd w:id="97"/>
      <w:bookmarkEnd w:id="98"/>
      <w:bookmarkEnd w:id="99"/>
    </w:p>
    <w:p>
      <w:pPr>
        <w:tabs>
          <w:tab w:val="left" w:pos="7665"/>
        </w:tabs>
        <w:spacing w:line="360" w:lineRule="auto"/>
        <w:ind w:left="13" w:leftChars="6" w:firstLine="480" w:firstLineChars="200"/>
        <w:rPr>
          <w:rFonts w:ascii="新宋体" w:hAnsi="新宋体" w:eastAsia="新宋体" w:cs="新宋体"/>
          <w:sz w:val="24"/>
        </w:rPr>
      </w:pPr>
      <w:bookmarkStart w:id="100" w:name="_Toc183682360"/>
      <w:bookmarkStart w:id="101" w:name="_Toc217446050"/>
      <w:bookmarkStart w:id="102" w:name="_Toc183582223"/>
      <w:r>
        <w:rPr>
          <w:rFonts w:hint="eastAsia" w:ascii="新宋体" w:hAnsi="新宋体" w:eastAsia="新宋体" w:cs="新宋体"/>
          <w:sz w:val="24"/>
        </w:rPr>
        <w:t>15.1 投标供应商应执行招标文件第三章的规定要求。</w:t>
      </w:r>
    </w:p>
    <w:p>
      <w:pPr>
        <w:tabs>
          <w:tab w:val="left" w:pos="7665"/>
        </w:tabs>
        <w:spacing w:line="360" w:lineRule="auto"/>
        <w:ind w:left="13" w:leftChars="6" w:firstLine="480" w:firstLineChars="200"/>
        <w:rPr>
          <w:rFonts w:ascii="新宋体" w:hAnsi="新宋体" w:eastAsia="新宋体" w:cs="新宋体"/>
          <w:sz w:val="24"/>
        </w:rPr>
      </w:pPr>
      <w:r>
        <w:rPr>
          <w:rFonts w:hint="eastAsia" w:ascii="新宋体" w:hAnsi="新宋体" w:eastAsia="新宋体" w:cs="新宋体"/>
          <w:sz w:val="24"/>
        </w:rPr>
        <w:t>15.2 对于没有格式要求的投标文件由投标供应商自行编写。</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16．投标保证金</w:t>
      </w:r>
      <w:bookmarkEnd w:id="100"/>
      <w:bookmarkEnd w:id="101"/>
      <w:bookmarkEnd w:id="102"/>
      <w:r>
        <w:rPr>
          <w:rFonts w:hint="eastAsia" w:ascii="新宋体" w:hAnsi="新宋体" w:eastAsia="新宋体" w:cs="新宋体"/>
          <w:b/>
          <w:bCs/>
          <w:sz w:val="24"/>
        </w:rPr>
        <w:t>（实质性要求）</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16.1 投标供应商投标时，必须以人民币提交招标文件规定数额的投标保证金，并作为其投标的一部分。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16.2投标保证金交款方式：详见投标供应商须知附表。</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16.3未按招标文件要求在规定时间前缴纳规定数额投标保证金的，投标文件将被拒绝。</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16.4未中标人的投标保证金，将在中标通知书发出后5个工作日内全额退还。中标人的投标保证金，在合同签订生效并递交至采购代理机构，5个工作日内全额退还。</w:t>
      </w:r>
      <w:r>
        <w:rPr>
          <w:rFonts w:hint="eastAsia" w:ascii="新宋体" w:hAnsi="新宋体" w:eastAsia="新宋体" w:cs="新宋体"/>
          <w:b/>
          <w:bCs/>
          <w:sz w:val="24"/>
        </w:rPr>
        <w:t>（①因投标供应商自身原因造成的保证金延迟退还的除外；</w:t>
      </w:r>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 = 2 \* GB3 \* MERGEFORMAT </w:instrText>
      </w:r>
      <w:r>
        <w:rPr>
          <w:rFonts w:hint="eastAsia" w:ascii="新宋体" w:hAnsi="新宋体" w:eastAsia="新宋体" w:cs="新宋体"/>
          <w:b/>
          <w:bCs/>
          <w:sz w:val="24"/>
        </w:rPr>
        <w:fldChar w:fldCharType="separate"/>
      </w:r>
      <w:r>
        <w:rPr>
          <w:rFonts w:hint="eastAsia" w:ascii="新宋体" w:hAnsi="新宋体" w:eastAsia="新宋体" w:cs="新宋体"/>
          <w:b/>
          <w:bCs/>
          <w:sz w:val="24"/>
        </w:rPr>
        <w:t>②</w:t>
      </w:r>
      <w:r>
        <w:rPr>
          <w:rFonts w:hint="eastAsia" w:ascii="新宋体" w:hAnsi="新宋体" w:eastAsia="新宋体" w:cs="新宋体"/>
          <w:b/>
          <w:bCs/>
          <w:sz w:val="24"/>
        </w:rPr>
        <w:fldChar w:fldCharType="end"/>
      </w:r>
      <w:r>
        <w:rPr>
          <w:rFonts w:hint="eastAsia" w:ascii="新宋体" w:hAnsi="新宋体" w:eastAsia="新宋体" w:cs="新宋体"/>
          <w:b/>
          <w:bCs/>
          <w:sz w:val="24"/>
        </w:rPr>
        <w:t>供应商因涉嫌违法违规，按照规定应当不予退还保证金的，有关部门处理认定违法违规行为期间不计入退还保证金时限之内。）</w:t>
      </w:r>
    </w:p>
    <w:p>
      <w:pPr>
        <w:spacing w:line="360" w:lineRule="auto"/>
        <w:ind w:firstLine="470" w:firstLineChars="196"/>
        <w:rPr>
          <w:rFonts w:ascii="新宋体" w:hAnsi="新宋体" w:eastAsia="新宋体" w:cs="新宋体"/>
          <w:sz w:val="24"/>
        </w:rPr>
      </w:pPr>
      <w:bookmarkStart w:id="103" w:name="_Toc183582224"/>
      <w:bookmarkStart w:id="104" w:name="_Toc217446051"/>
      <w:bookmarkStart w:id="105" w:name="_Toc183682361"/>
      <w:r>
        <w:rPr>
          <w:rFonts w:hint="eastAsia" w:ascii="新宋体" w:hAnsi="新宋体" w:eastAsia="新宋体" w:cs="新宋体"/>
          <w:sz w:val="24"/>
        </w:rPr>
        <w:t>16.5发生下列情形之一的，采购代理机构将不予退还投标供应商缴纳的投标保证金：</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（1）在招标文件规定的投标截止时间后撤回投标的；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（2）在采购人确定中标人以前放弃中标候选资格的；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（3）中标后放弃中标、不领取或者不接收中标通知书的；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（4）由于中标人的原因未能按照招标文件的规定与采购人签订合同的；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（5）由于中标人的原因未能按照招标文件的规定缴纳履约保证金的；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（6）投标供应商提供虚假资料的；</w:t>
      </w:r>
    </w:p>
    <w:p>
      <w:pPr>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（7）投标有效期内，投标供应商在政府采购活动中有违法、违规、违纪行为。</w:t>
      </w:r>
    </w:p>
    <w:p>
      <w:pPr>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17．投标有效期</w:t>
      </w:r>
      <w:bookmarkEnd w:id="103"/>
      <w:bookmarkEnd w:id="104"/>
      <w:bookmarkEnd w:id="105"/>
      <w:r>
        <w:rPr>
          <w:rFonts w:hint="eastAsia" w:ascii="新宋体" w:hAnsi="新宋体" w:eastAsia="新宋体" w:cs="新宋体"/>
          <w:b/>
          <w:bCs/>
          <w:sz w:val="24"/>
        </w:rPr>
        <w:t>（实质性要求）</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17.1投标有效期见投标供应商须知前附表。投标供应商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17.2 因不可抗力事件，采购人可于投标有效期届满之前与投标供应商协商延长投标有效期。投标供应商拒绝延长投标有效期的，不得再参与该项目后续采购活动，但由此给投标供应商造成的损失，采购人可以自主决定是否可以给予适当补偿。投标供应商同意延长投标有效期的，不能修改投标文件。 </w:t>
      </w:r>
    </w:p>
    <w:p>
      <w:pPr>
        <w:tabs>
          <w:tab w:val="left" w:pos="7665"/>
        </w:tabs>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17.3 因采购人采购需求作出必要调整，采购人可于投标有效期届满之前与投标供应商协商延长投标有效期。投标供应商拒绝延长投标有效期的，不得再参与该项目后续采购活动，但由此给投标供应商造成的损失，采购人应当予以赔偿或者合理补偿。投标供应商同意延长投标有效期的，不能修改投标文件。</w:t>
      </w:r>
    </w:p>
    <w:p>
      <w:pPr>
        <w:spacing w:line="360" w:lineRule="auto"/>
        <w:ind w:firstLine="482"/>
        <w:rPr>
          <w:rFonts w:ascii="宋体" w:hAnsi="宋体" w:cs="宋体"/>
          <w:b/>
          <w:bCs/>
          <w:sz w:val="24"/>
        </w:rPr>
      </w:pPr>
      <w:bookmarkStart w:id="106" w:name="_Toc22907"/>
      <w:bookmarkStart w:id="107" w:name="_Toc22945"/>
      <w:bookmarkStart w:id="108" w:name="_Toc217446065"/>
      <w:bookmarkStart w:id="109" w:name="_Toc183682377"/>
      <w:bookmarkStart w:id="110" w:name="_Toc183582240"/>
      <w:r>
        <w:rPr>
          <w:rFonts w:hint="eastAsia" w:ascii="宋体" w:hAnsi="宋体" w:cs="宋体"/>
          <w:b/>
          <w:bCs/>
          <w:sz w:val="24"/>
        </w:rPr>
        <w:t>18．投标文件的印盖章和签署（实质性要求）</w:t>
      </w:r>
    </w:p>
    <w:p>
      <w:pPr>
        <w:tabs>
          <w:tab w:val="left" w:pos="1080"/>
        </w:tabs>
        <w:spacing w:line="360" w:lineRule="auto"/>
        <w:ind w:firstLine="460" w:firstLineChars="192"/>
        <w:rPr>
          <w:rFonts w:ascii="宋体" w:hAnsi="宋体" w:cs="宋体"/>
          <w:sz w:val="24"/>
        </w:rPr>
      </w:pPr>
      <w:bookmarkStart w:id="111" w:name="_Toc77400781"/>
      <w:bookmarkStart w:id="112" w:name="_Toc183682363"/>
      <w:bookmarkStart w:id="113" w:name="_Toc89075877"/>
      <w:bookmarkStart w:id="114" w:name="_Toc183582226"/>
      <w:bookmarkStart w:id="115" w:name="_Toc217446053"/>
      <w:r>
        <w:rPr>
          <w:rFonts w:hint="eastAsia" w:ascii="宋体" w:hAnsi="宋体" w:cs="宋体"/>
          <w:sz w:val="24"/>
        </w:rPr>
        <w:t>18.1 投标供应商的法定代表人或其授权代表在规定签章处签字或盖章。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18.2 投标文件应根据招标文件的要求制作，签署、盖章和内容应完整。</w:t>
      </w:r>
    </w:p>
    <w:p>
      <w:pPr>
        <w:spacing w:line="360" w:lineRule="auto"/>
        <w:ind w:firstLine="241" w:firstLineChars="100"/>
        <w:rPr>
          <w:rFonts w:ascii="宋体" w:hAnsi="宋体" w:cs="宋体"/>
          <w:b/>
          <w:bCs/>
          <w:sz w:val="24"/>
        </w:rPr>
      </w:pPr>
      <w:r>
        <w:rPr>
          <w:rFonts w:hint="eastAsia" w:ascii="宋体" w:hAnsi="宋体" w:cs="宋体"/>
          <w:b/>
          <w:bCs/>
          <w:sz w:val="24"/>
        </w:rPr>
        <w:t xml:space="preserve"> 19.投标文件的标</w:t>
      </w:r>
      <w:bookmarkEnd w:id="111"/>
      <w:bookmarkEnd w:id="112"/>
      <w:bookmarkEnd w:id="113"/>
      <w:bookmarkEnd w:id="114"/>
      <w:r>
        <w:rPr>
          <w:rFonts w:hint="eastAsia" w:ascii="宋体" w:hAnsi="宋体" w:cs="宋体"/>
          <w:b/>
          <w:bCs/>
          <w:sz w:val="24"/>
        </w:rPr>
        <w:t>注</w:t>
      </w:r>
      <w:bookmarkEnd w:id="115"/>
      <w:r>
        <w:rPr>
          <w:rFonts w:hint="eastAsia" w:ascii="宋体" w:hAnsi="宋体" w:cs="宋体"/>
          <w:b/>
          <w:bCs/>
          <w:sz w:val="24"/>
        </w:rPr>
        <w:t>（实质性要求）</w:t>
      </w:r>
    </w:p>
    <w:p>
      <w:pPr>
        <w:tabs>
          <w:tab w:val="left" w:pos="1080"/>
        </w:tabs>
        <w:spacing w:line="360" w:lineRule="auto"/>
        <w:ind w:firstLine="480" w:firstLineChars="200"/>
        <w:rPr>
          <w:rFonts w:ascii="宋体" w:hAnsi="宋体" w:cs="宋体"/>
          <w:sz w:val="24"/>
        </w:rPr>
      </w:pPr>
      <w:bookmarkStart w:id="116" w:name="_Toc183582227"/>
      <w:bookmarkStart w:id="117" w:name="_Toc183682364"/>
      <w:bookmarkStart w:id="118" w:name="_Toc217446054"/>
      <w:r>
        <w:rPr>
          <w:rFonts w:hint="eastAsia" w:ascii="宋体" w:hAnsi="宋体" w:cs="宋体"/>
          <w:sz w:val="24"/>
        </w:rPr>
        <w:t>19.1 投标供应商应在投标文件上注明投标供应商名称、项目编号、项目名称。</w:t>
      </w:r>
    </w:p>
    <w:p>
      <w:pPr>
        <w:spacing w:line="360" w:lineRule="auto"/>
        <w:ind w:firstLine="482"/>
        <w:rPr>
          <w:rFonts w:ascii="宋体" w:hAnsi="宋体" w:cs="宋体"/>
        </w:rPr>
      </w:pPr>
      <w:r>
        <w:rPr>
          <w:rFonts w:hint="eastAsia" w:ascii="宋体" w:hAnsi="宋体" w:cs="宋体"/>
          <w:b/>
          <w:bCs/>
          <w:sz w:val="24"/>
        </w:rPr>
        <w:t>20．投标文件的</w:t>
      </w:r>
      <w:bookmarkEnd w:id="116"/>
      <w:bookmarkEnd w:id="117"/>
      <w:r>
        <w:rPr>
          <w:rFonts w:hint="eastAsia" w:ascii="宋体" w:hAnsi="宋体" w:cs="宋体"/>
          <w:b/>
          <w:bCs/>
          <w:sz w:val="24"/>
        </w:rPr>
        <w:t>递交</w:t>
      </w:r>
      <w:bookmarkEnd w:id="118"/>
      <w:r>
        <w:rPr>
          <w:rFonts w:hint="eastAsia" w:ascii="宋体" w:hAnsi="宋体" w:cs="宋体"/>
          <w:b/>
          <w:bCs/>
          <w:sz w:val="24"/>
        </w:rPr>
        <w:t>（实质性要求）</w:t>
      </w:r>
    </w:p>
    <w:p>
      <w:pPr>
        <w:tabs>
          <w:tab w:val="left" w:pos="1095"/>
        </w:tabs>
        <w:spacing w:line="360" w:lineRule="auto"/>
        <w:ind w:firstLine="460" w:firstLineChars="192"/>
        <w:rPr>
          <w:rFonts w:ascii="宋体" w:hAnsi="宋体" w:cs="宋体"/>
          <w:sz w:val="24"/>
        </w:rPr>
      </w:pPr>
      <w:bookmarkStart w:id="119" w:name="_Toc183682365"/>
      <w:bookmarkStart w:id="120" w:name="_Toc183582228"/>
      <w:bookmarkStart w:id="121" w:name="_Toc217446055"/>
      <w:r>
        <w:rPr>
          <w:rFonts w:hint="eastAsia" w:ascii="宋体" w:hAnsi="宋体" w:cs="宋体"/>
          <w:sz w:val="24"/>
        </w:rPr>
        <w:t>20.1 投标供应商应在招标文件规定的投标截止时间前，将投标文件按招标文件的规定上传并解密开标地点。投标截止时间以后上传的投标文件将不予接收。</w:t>
      </w:r>
    </w:p>
    <w:p>
      <w:pPr>
        <w:tabs>
          <w:tab w:val="left" w:pos="1095"/>
        </w:tabs>
        <w:spacing w:line="360" w:lineRule="auto"/>
        <w:ind w:firstLine="460" w:firstLineChars="192"/>
        <w:rPr>
          <w:rFonts w:ascii="宋体" w:hAnsi="宋体" w:cs="宋体"/>
          <w:sz w:val="24"/>
        </w:rPr>
      </w:pPr>
      <w:r>
        <w:rPr>
          <w:rFonts w:hint="eastAsia" w:ascii="宋体" w:hAnsi="宋体" w:cs="宋体"/>
          <w:sz w:val="24"/>
        </w:rPr>
        <w:t>20.2递交投标文件时，报名供应商名称和招标文件的文号、应当与投标供应商名称和招标文件的文号一致。但是，投标文件实质内容报名供应商名称和招标文件的编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ascii="宋体" w:hAnsi="宋体" w:cs="宋体"/>
          <w:sz w:val="24"/>
        </w:rPr>
      </w:pPr>
      <w:r>
        <w:rPr>
          <w:rFonts w:hint="eastAsia" w:ascii="宋体" w:hAnsi="宋体" w:cs="宋体"/>
          <w:sz w:val="24"/>
        </w:rPr>
        <w:t>20.3本次招标不接收邮寄的投标文件。</w:t>
      </w:r>
    </w:p>
    <w:p>
      <w:pPr>
        <w:tabs>
          <w:tab w:val="left" w:pos="1095"/>
        </w:tabs>
        <w:spacing w:line="360" w:lineRule="auto"/>
        <w:ind w:firstLine="460" w:firstLineChars="192"/>
        <w:rPr>
          <w:rFonts w:ascii="宋体" w:hAnsi="宋体" w:cs="宋体"/>
          <w:sz w:val="24"/>
        </w:rPr>
      </w:pPr>
      <w:r>
        <w:rPr>
          <w:rFonts w:hint="eastAsia" w:ascii="宋体" w:hAnsi="宋体" w:cs="宋体"/>
          <w:sz w:val="24"/>
        </w:rPr>
        <w:t>20.4 开标时递交一份加盖鲜章的保证金退还申请表，以便尽快退还投标供应商的投标保证金（仅作为退还保证金使用）。</w:t>
      </w:r>
    </w:p>
    <w:p>
      <w:pPr>
        <w:spacing w:line="360" w:lineRule="auto"/>
        <w:ind w:firstLine="482"/>
        <w:rPr>
          <w:rFonts w:ascii="宋体" w:hAnsi="宋体" w:cs="宋体"/>
          <w:b/>
          <w:bCs/>
          <w:sz w:val="24"/>
        </w:rPr>
      </w:pPr>
      <w:r>
        <w:rPr>
          <w:rFonts w:hint="eastAsia" w:ascii="宋体" w:hAnsi="宋体" w:cs="宋体"/>
          <w:b/>
          <w:bCs/>
          <w:sz w:val="24"/>
        </w:rPr>
        <w:t>21．投标文件的修改和撤</w:t>
      </w:r>
      <w:bookmarkEnd w:id="119"/>
      <w:bookmarkEnd w:id="120"/>
      <w:r>
        <w:rPr>
          <w:rFonts w:hint="eastAsia" w:ascii="宋体" w:hAnsi="宋体" w:cs="宋体"/>
          <w:b/>
          <w:bCs/>
          <w:sz w:val="24"/>
        </w:rPr>
        <w:t>回</w:t>
      </w:r>
      <w:bookmarkEnd w:id="121"/>
    </w:p>
    <w:p>
      <w:pPr>
        <w:spacing w:line="360" w:lineRule="auto"/>
        <w:ind w:firstLine="470" w:firstLineChars="196"/>
        <w:rPr>
          <w:rFonts w:ascii="宋体" w:hAnsi="宋体" w:cs="宋体"/>
          <w:sz w:val="24"/>
        </w:rPr>
      </w:pPr>
      <w:r>
        <w:rPr>
          <w:rFonts w:hint="eastAsia" w:ascii="宋体" w:hAnsi="宋体" w:cs="宋体"/>
          <w:sz w:val="24"/>
        </w:rPr>
        <w:t>21.1 投标供应商在递交了投标文件后，可以修改或撤回其投标文件，但必须在规定的投标截止时间前，以书面形式通知采购代理机构。</w:t>
      </w:r>
    </w:p>
    <w:p>
      <w:pPr>
        <w:spacing w:line="360" w:lineRule="auto"/>
        <w:ind w:firstLine="470" w:firstLineChars="196"/>
        <w:rPr>
          <w:rFonts w:ascii="宋体" w:hAnsi="宋体" w:cs="宋体"/>
          <w:sz w:val="24"/>
        </w:rPr>
      </w:pPr>
      <w:r>
        <w:rPr>
          <w:rFonts w:hint="eastAsia" w:ascii="宋体" w:hAnsi="宋体" w:cs="宋体"/>
          <w:sz w:val="24"/>
        </w:rPr>
        <w:t>21.2 投标供应商的修改书或撤回通知书，应由其法定代表人或授权代表签署并盖单位印章。修改书应按投标须知第28条规定进行标注。</w:t>
      </w:r>
    </w:p>
    <w:p>
      <w:pPr>
        <w:spacing w:line="360" w:lineRule="auto"/>
        <w:ind w:firstLine="480"/>
        <w:rPr>
          <w:rFonts w:ascii="宋体" w:hAnsi="宋体" w:cs="宋体"/>
          <w:sz w:val="24"/>
        </w:rPr>
      </w:pPr>
      <w:r>
        <w:rPr>
          <w:rFonts w:hint="eastAsia" w:ascii="宋体" w:hAnsi="宋体" w:cs="宋体"/>
          <w:sz w:val="24"/>
        </w:rPr>
        <w:t>21.3 在投标截止时间之后，投标供应商不得对其递交的投标文件做任何修改，撤回投标的，将按照有关规定进行相应处理。</w:t>
      </w:r>
    </w:p>
    <w:p>
      <w:pPr>
        <w:spacing w:line="360" w:lineRule="auto"/>
        <w:ind w:firstLine="480"/>
        <w:rPr>
          <w:rFonts w:ascii="新宋体" w:hAnsi="新宋体" w:eastAsia="新宋体" w:cs="新宋体"/>
          <w:sz w:val="24"/>
        </w:rPr>
      </w:pPr>
    </w:p>
    <w:p>
      <w:pPr>
        <w:pStyle w:val="4"/>
        <w:rPr>
          <w:rFonts w:ascii="新宋体" w:hAnsi="新宋体" w:eastAsia="新宋体" w:cs="新宋体"/>
        </w:rPr>
      </w:pPr>
      <w:r>
        <w:rPr>
          <w:rFonts w:hint="eastAsia" w:ascii="新宋体" w:hAnsi="新宋体" w:eastAsia="新宋体" w:cs="新宋体"/>
        </w:rPr>
        <w:t>五、开标和中标</w:t>
      </w:r>
      <w:bookmarkEnd w:id="106"/>
      <w:bookmarkEnd w:id="107"/>
    </w:p>
    <w:p>
      <w:pPr>
        <w:spacing w:line="360" w:lineRule="auto"/>
        <w:ind w:firstLine="482"/>
        <w:rPr>
          <w:rFonts w:ascii="新宋体" w:hAnsi="新宋体" w:eastAsia="新宋体" w:cs="新宋体"/>
          <w:b/>
          <w:bCs/>
          <w:sz w:val="24"/>
        </w:rPr>
      </w:pPr>
      <w:bookmarkStart w:id="122" w:name="_Toc183682369"/>
      <w:bookmarkStart w:id="123" w:name="_Toc183582232"/>
      <w:bookmarkStart w:id="124" w:name="_Toc217446057"/>
      <w:r>
        <w:rPr>
          <w:rFonts w:hint="eastAsia" w:ascii="新宋体" w:hAnsi="新宋体" w:eastAsia="新宋体" w:cs="新宋体"/>
          <w:b/>
          <w:bCs/>
          <w:sz w:val="24"/>
        </w:rPr>
        <w:t>22．开标</w:t>
      </w:r>
      <w:bookmarkEnd w:id="122"/>
      <w:bookmarkEnd w:id="123"/>
      <w:bookmarkEnd w:id="124"/>
    </w:p>
    <w:p>
      <w:pPr>
        <w:spacing w:before="120" w:line="360" w:lineRule="auto"/>
        <w:ind w:firstLine="480" w:firstLineChars="200"/>
        <w:rPr>
          <w:rFonts w:ascii="新宋体" w:hAnsi="新宋体" w:eastAsia="新宋体" w:cs="新宋体"/>
          <w:b/>
          <w:bCs/>
          <w:sz w:val="24"/>
        </w:rPr>
      </w:pPr>
      <w:bookmarkStart w:id="125" w:name="_Toc217446058"/>
      <w:r>
        <w:rPr>
          <w:rFonts w:hint="eastAsia" w:ascii="新宋体" w:hAnsi="新宋体" w:eastAsia="新宋体" w:cs="新宋体"/>
          <w:sz w:val="24"/>
        </w:rPr>
        <w:t>22.1 开标在招标文件规定的时间和地点公开进行，采购人、投标供应商须派代表参加并签到以证明其出席；开标由采购代理机构主持，采购人代表、投标供应商代表参加；</w:t>
      </w:r>
      <w:r>
        <w:rPr>
          <w:rFonts w:hint="eastAsia" w:ascii="新宋体" w:hAnsi="新宋体" w:eastAsia="新宋体" w:cs="新宋体"/>
          <w:b/>
          <w:bCs/>
          <w:sz w:val="24"/>
        </w:rPr>
        <w:t>评标专家不参加开标活动。</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22.2 开标时，可能根据具体情况邀请有关监督管理部门对开标活动进行现场监督。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22.3 开标时，“开标一览表”中的大写金额与小写金额不一致的，以大写金额为准；总价金额与按单价计算的汇总金额不一致的，以单价计算的汇总金额为准；单价金额小数点或者百分比有明显错位的，以开标一览表的总价为准，并修改单价。</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22.4 投标文件中有关明细表内容与“开标一览表”不一致的，以“开标一览表”为准。对不同文字文本投标文件的解释发生异议的，以中文文本为准。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22.5 所有投标唱标完毕，如投标供应商代表对宣读的“开标一览表”上的内容有异议的，应在获得开标会主持人同意后当场提出。如确实属于唱标人员宣读错了的，经现场监督人员核实后，当场予以更正。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22.6 开标时属于下列情况之一的，将作为无效投标处理:</w:t>
      </w:r>
    </w:p>
    <w:p>
      <w:pPr>
        <w:snapToGrid w:val="0"/>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（1）开标现场未在规定时间内对投标文件进行解密的；</w:t>
      </w:r>
    </w:p>
    <w:p>
      <w:pPr>
        <w:snapToGrid w:val="0"/>
        <w:spacing w:line="360" w:lineRule="auto"/>
        <w:rPr>
          <w:rFonts w:ascii="新宋体" w:hAnsi="新宋体" w:eastAsia="新宋体" w:cs="新宋体"/>
          <w:b/>
          <w:bCs/>
          <w:sz w:val="24"/>
        </w:rPr>
      </w:pPr>
      <w:r>
        <w:rPr>
          <w:rFonts w:hint="eastAsia" w:ascii="新宋体" w:hAnsi="新宋体" w:eastAsia="新宋体" w:cs="新宋体"/>
          <w:b/>
          <w:bCs/>
          <w:sz w:val="24"/>
        </w:rPr>
        <w:t>23. 开标程序</w:t>
      </w:r>
      <w:bookmarkEnd w:id="125"/>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开标会主持人按照招标文件规定的开标时间宣布开标，按照规定要求主持开标会。开标会将按以下程序进行：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23.1宣布开标会开始，开标由采购代理机构主持，邀请投标供应商参加。根据“投标供应商签到表”宣布参加本项目的供应商名单；</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23.2宣布会场纪律和有关注意事项；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23.3根据投标供应商或者其推选的代表对投标文件解密情况的检查结果，当众宣布投标文件的解密情况；</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23.4开标唱标，由唱标人员宣读投标供应商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供应商代表现场进行澄清或确认。唱标完毕后投标供应商或者其推选的代表需现场对开标记录进行签字确认，投标供应商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23.5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开标过程中未提出疑义或回避申请，事后提出的质疑将不予受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23.6宣布开标会结束，主持人宣布开标会结束，所有投标供应商代表应立即退场（招标文件要求有演示、介绍等的除外）。同时所有投标供应商应保持通讯设备的畅通，以方便在评标过程中评标委员会要求投标供应商对投标文件的必要澄清。评标结果投标供应商在《中国政府采购网》、《西藏自治区政府采购网》、《西藏自治区公共资源交易平台》、《拉萨市公共资源交易平台》上查询。投标供应商未参加开标的，视同认可开标结果。　</w:t>
      </w:r>
    </w:p>
    <w:bookmarkEnd w:id="108"/>
    <w:bookmarkEnd w:id="109"/>
    <w:bookmarkEnd w:id="110"/>
    <w:p>
      <w:pPr>
        <w:spacing w:line="360" w:lineRule="auto"/>
        <w:ind w:firstLine="480" w:firstLineChars="200"/>
        <w:rPr>
          <w:rFonts w:ascii="新宋体" w:hAnsi="新宋体" w:eastAsia="新宋体" w:cs="新宋体"/>
          <w:sz w:val="24"/>
        </w:rPr>
      </w:pPr>
      <w:bookmarkStart w:id="126" w:name="_Toc183682375"/>
      <w:bookmarkStart w:id="127" w:name="_Toc183582238"/>
      <w:bookmarkStart w:id="128" w:name="_Toc217446063"/>
      <w:r>
        <w:rPr>
          <w:rFonts w:hint="eastAsia" w:ascii="新宋体" w:hAnsi="新宋体" w:eastAsia="新宋体" w:cs="新宋体"/>
          <w:sz w:val="24"/>
        </w:rPr>
        <w:t>24. 开评标过程存档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开标和评标过程进行全过程电子监控，并将电子监控资料存储介质留存归档。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25. 评标情况公告</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中标信息、主要标的信息、评审专家名单、代理服务费收费标准等将在《中国政府采购网》、《西藏自治区政府采购网》、《西藏自治区公共资源交易平台》、《拉萨市公共资源交易平台》上采购结果公告栏中予以公示。</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26. 中标通知</w:t>
      </w:r>
      <w:bookmarkEnd w:id="126"/>
      <w:bookmarkEnd w:id="127"/>
      <w:r>
        <w:rPr>
          <w:rFonts w:hint="eastAsia" w:ascii="新宋体" w:hAnsi="新宋体" w:eastAsia="新宋体" w:cs="新宋体"/>
          <w:b/>
          <w:bCs/>
          <w:sz w:val="24"/>
        </w:rPr>
        <w:t>书</w:t>
      </w:r>
      <w:bookmarkEnd w:id="128"/>
    </w:p>
    <w:p>
      <w:pPr>
        <w:tabs>
          <w:tab w:val="left" w:pos="7665"/>
        </w:tabs>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26</w:t>
      </w:r>
      <w:r>
        <w:rPr>
          <w:rFonts w:hint="eastAsia" w:ascii="新宋体" w:hAnsi="新宋体" w:eastAsia="新宋体" w:cs="新宋体"/>
          <w:bCs/>
          <w:sz w:val="24"/>
        </w:rPr>
        <w:t>.</w:t>
      </w:r>
      <w:r>
        <w:rPr>
          <w:rFonts w:hint="eastAsia" w:ascii="新宋体" w:hAnsi="新宋体" w:eastAsia="新宋体" w:cs="新宋体"/>
          <w:sz w:val="24"/>
        </w:rPr>
        <w:t>1 中标通知书为签订政府采购合同的依据之一，是合同的有效组成部分。</w:t>
      </w:r>
    </w:p>
    <w:p>
      <w:pPr>
        <w:tabs>
          <w:tab w:val="left" w:pos="7665"/>
        </w:tabs>
        <w:adjustRightInd w:val="0"/>
        <w:snapToGrid w:val="0"/>
        <w:spacing w:line="360" w:lineRule="auto"/>
        <w:ind w:firstLine="480"/>
        <w:rPr>
          <w:rFonts w:ascii="新宋体" w:hAnsi="新宋体" w:eastAsia="新宋体" w:cs="新宋体"/>
          <w:sz w:val="24"/>
        </w:rPr>
      </w:pPr>
      <w:r>
        <w:rPr>
          <w:rFonts w:hint="eastAsia" w:ascii="新宋体" w:hAnsi="新宋体" w:eastAsia="新宋体" w:cs="新宋体"/>
          <w:sz w:val="24"/>
        </w:rPr>
        <w:t>26.2 中标通知书对采购人和中标人均具有法律效力。中标通知书发出后，采购人改变中标结果，或者中标人无正当理由放弃中标的，应当承担相应的法律责任。</w:t>
      </w:r>
    </w:p>
    <w:p>
      <w:pPr>
        <w:tabs>
          <w:tab w:val="left" w:pos="7665"/>
        </w:tabs>
        <w:adjustRightInd w:val="0"/>
        <w:snapToGrid w:val="0"/>
        <w:spacing w:line="360" w:lineRule="auto"/>
        <w:ind w:firstLine="480"/>
        <w:rPr>
          <w:rFonts w:ascii="新宋体" w:hAnsi="新宋体" w:eastAsia="新宋体" w:cs="新宋体"/>
          <w:sz w:val="24"/>
        </w:rPr>
      </w:pPr>
      <w:r>
        <w:rPr>
          <w:rFonts w:hint="eastAsia" w:ascii="新宋体" w:hAnsi="新宋体" w:eastAsia="新宋体" w:cs="新宋体"/>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单位也应当缴回），依法重新确定中标单位或者重新开展采购活动。</w:t>
      </w:r>
    </w:p>
    <w:p>
      <w:pPr>
        <w:tabs>
          <w:tab w:val="left" w:pos="7665"/>
        </w:tabs>
        <w:adjustRightInd w:val="0"/>
        <w:snapToGrid w:val="0"/>
        <w:spacing w:line="360" w:lineRule="auto"/>
        <w:ind w:firstLine="480"/>
        <w:rPr>
          <w:rFonts w:ascii="新宋体" w:hAnsi="新宋体" w:eastAsia="新宋体" w:cs="新宋体"/>
          <w:sz w:val="24"/>
        </w:rPr>
      </w:pPr>
      <w:r>
        <w:rPr>
          <w:rFonts w:hint="eastAsia" w:ascii="新宋体" w:hAnsi="新宋体" w:eastAsia="新宋体" w:cs="新宋体"/>
          <w:sz w:val="24"/>
        </w:rPr>
        <w:t>26.4中标公告发出后，中标供应商自行领取中标通知书的，可凭有效身份证明证件（单位介绍信和个人身份证）到采购代理机构处领取中标通知书。</w:t>
      </w:r>
    </w:p>
    <w:p>
      <w:pPr>
        <w:pStyle w:val="4"/>
        <w:rPr>
          <w:rFonts w:ascii="新宋体" w:hAnsi="新宋体" w:eastAsia="新宋体" w:cs="新宋体"/>
        </w:rPr>
      </w:pPr>
      <w:r>
        <w:rPr>
          <w:rFonts w:hint="eastAsia" w:ascii="新宋体" w:hAnsi="新宋体" w:eastAsia="新宋体" w:cs="新宋体"/>
        </w:rPr>
        <w:t>六、签订及履行合同和验收</w:t>
      </w:r>
    </w:p>
    <w:p>
      <w:pPr>
        <w:spacing w:line="360" w:lineRule="auto"/>
        <w:ind w:firstLine="482"/>
        <w:rPr>
          <w:rFonts w:ascii="新宋体" w:hAnsi="新宋体" w:eastAsia="新宋体" w:cs="新宋体"/>
        </w:rPr>
      </w:pPr>
      <w:r>
        <w:rPr>
          <w:rFonts w:hint="eastAsia" w:ascii="新宋体" w:hAnsi="新宋体" w:eastAsia="新宋体" w:cs="新宋体"/>
          <w:b/>
          <w:bCs/>
          <w:sz w:val="24"/>
        </w:rPr>
        <w:t>27. 签订合同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27.1 中标供应商应在中标通知书发出之日起30日内与采购单位代表签订采购合同。由于中标供应商本身的原因逾期未与采购单位签订采购合同的，将视为放弃中标资格，取消其中标资格并将按相关规定进行处理。</w:t>
      </w:r>
    </w:p>
    <w:p>
      <w:pPr>
        <w:spacing w:line="360" w:lineRule="auto"/>
        <w:ind w:firstLine="420" w:firstLineChars="175"/>
        <w:rPr>
          <w:rFonts w:ascii="新宋体" w:hAnsi="新宋体" w:eastAsia="新宋体" w:cs="新宋体"/>
          <w:sz w:val="24"/>
        </w:rPr>
      </w:pPr>
      <w:r>
        <w:rPr>
          <w:rFonts w:hint="eastAsia" w:ascii="新宋体" w:hAnsi="新宋体" w:eastAsia="新宋体" w:cs="新宋体"/>
          <w:sz w:val="24"/>
        </w:rPr>
        <w:t>27.2 采购单位代表不得向中标单位提出任何不合理的要求，作为签订合同的条件，不得与中标供应商私下订立背离合同实质性内容的任何协议，所签订的合同不得对招标文件和中标供应商投标文件确定的事项进行修改。</w:t>
      </w:r>
    </w:p>
    <w:p>
      <w:pPr>
        <w:pStyle w:val="38"/>
        <w:shd w:val="clear" w:color="auto" w:fill="FFFFFF"/>
        <w:spacing w:line="360" w:lineRule="auto"/>
        <w:ind w:firstLine="480" w:firstLineChars="200"/>
        <w:textAlignment w:val="center"/>
        <w:rPr>
          <w:rFonts w:ascii="新宋体" w:hAnsi="新宋体" w:eastAsia="新宋体" w:cs="新宋体"/>
          <w:kern w:val="2"/>
          <w:sz w:val="24"/>
          <w:szCs w:val="24"/>
        </w:rPr>
      </w:pPr>
      <w:r>
        <w:rPr>
          <w:rFonts w:hint="eastAsia" w:ascii="新宋体" w:hAnsi="新宋体" w:eastAsia="新宋体" w:cs="新宋体"/>
          <w:kern w:val="2"/>
          <w:sz w:val="24"/>
          <w:szCs w:val="24"/>
        </w:rPr>
        <w:t>27.3</w:t>
      </w:r>
      <w:r>
        <w:rPr>
          <w:rFonts w:hint="eastAsia" w:ascii="新宋体" w:hAnsi="新宋体" w:eastAsia="新宋体" w:cs="新宋体"/>
          <w:sz w:val="24"/>
        </w:rPr>
        <w:t>中标供应商</w:t>
      </w:r>
      <w:r>
        <w:rPr>
          <w:rFonts w:hint="eastAsia" w:ascii="新宋体" w:hAnsi="新宋体" w:eastAsia="新宋体" w:cs="新宋体"/>
          <w:kern w:val="2"/>
          <w:sz w:val="24"/>
          <w:szCs w:val="24"/>
        </w:rPr>
        <w:t>拒绝或因不可抗力原因不能履行采购合同或放弃中标的，采购单位代表可以按照评标报告推荐的中标候选人名单排序，确定下一候选人为中标人，以此类推。也可以重新开展政府采购活动。</w:t>
      </w:r>
    </w:p>
    <w:p>
      <w:pPr>
        <w:spacing w:line="360" w:lineRule="auto"/>
        <w:ind w:firstLine="420" w:firstLineChars="175"/>
        <w:rPr>
          <w:rFonts w:ascii="新宋体" w:hAnsi="新宋体" w:eastAsia="新宋体" w:cs="新宋体"/>
          <w:sz w:val="24"/>
        </w:rPr>
      </w:pPr>
      <w:r>
        <w:rPr>
          <w:rFonts w:hint="eastAsia" w:ascii="新宋体" w:hAnsi="新宋体" w:eastAsia="新宋体" w:cs="新宋体"/>
          <w:sz w:val="24"/>
        </w:rPr>
        <w:t>27.4 中标供应商在合同签订之后2个工作日内，将签订的合同（一份）送采购代理机构财务科室。签订的合同编号按照本项目中标通知书上的编号执行。</w:t>
      </w:r>
    </w:p>
    <w:p>
      <w:pPr>
        <w:spacing w:line="360" w:lineRule="auto"/>
        <w:ind w:firstLine="420" w:firstLineChars="175"/>
        <w:rPr>
          <w:rFonts w:ascii="新宋体" w:hAnsi="新宋体" w:eastAsia="新宋体" w:cs="新宋体"/>
          <w:sz w:val="24"/>
        </w:rPr>
      </w:pPr>
      <w:r>
        <w:rPr>
          <w:rFonts w:hint="eastAsia" w:ascii="新宋体" w:hAnsi="新宋体" w:eastAsia="新宋体" w:cs="新宋体"/>
          <w:sz w:val="24"/>
        </w:rPr>
        <w:t>27.5中标供应商在合同履行验收后3个工作日内，将采购人代表出具的验收书（一份）送采购代理机构财务科室。</w:t>
      </w:r>
    </w:p>
    <w:p>
      <w:pPr>
        <w:spacing w:line="360" w:lineRule="auto"/>
        <w:ind w:firstLine="482"/>
        <w:rPr>
          <w:rFonts w:ascii="新宋体" w:hAnsi="新宋体" w:eastAsia="新宋体" w:cs="新宋体"/>
          <w:b/>
          <w:bCs/>
          <w:sz w:val="24"/>
        </w:rPr>
      </w:pPr>
      <w:bookmarkStart w:id="129" w:name="_Toc217446066"/>
      <w:r>
        <w:rPr>
          <w:rFonts w:hint="eastAsia" w:ascii="新宋体" w:hAnsi="新宋体" w:eastAsia="新宋体" w:cs="新宋体"/>
          <w:b/>
          <w:bCs/>
          <w:sz w:val="24"/>
        </w:rPr>
        <w:t>28. 合同分包</w:t>
      </w:r>
      <w:bookmarkEnd w:id="129"/>
      <w:r>
        <w:rPr>
          <w:rFonts w:hint="eastAsia" w:ascii="新宋体" w:hAnsi="新宋体" w:eastAsia="新宋体" w:cs="新宋体"/>
          <w:b/>
          <w:bCs/>
          <w:sz w:val="24"/>
        </w:rPr>
        <w:t>（实质性要求）</w:t>
      </w:r>
    </w:p>
    <w:p>
      <w:pPr>
        <w:adjustRightInd w:val="0"/>
        <w:snapToGrid w:val="0"/>
        <w:spacing w:line="360" w:lineRule="auto"/>
        <w:ind w:firstLine="480" w:firstLineChars="200"/>
        <w:rPr>
          <w:rFonts w:ascii="新宋体" w:hAnsi="新宋体" w:eastAsia="新宋体" w:cs="新宋体"/>
          <w:sz w:val="24"/>
        </w:rPr>
      </w:pPr>
      <w:bookmarkStart w:id="130" w:name="_Toc217446067"/>
      <w:r>
        <w:rPr>
          <w:rFonts w:hint="eastAsia" w:ascii="新宋体" w:hAnsi="新宋体" w:eastAsia="新宋体" w:cs="新宋体"/>
          <w:sz w:val="24"/>
        </w:rPr>
        <w:t>28.1 经采购人代表同意，中标人可以依法采取分包方式履行合同。这种要求应当在合同签订之前征得采购人同意，并且分包供应商履行的分包项目的品牌、规格型号及技术要求等，必须与中标的一致。</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分包履行合同的部分应当为采购项目的非主体、非关键性工作，不属于中标人的主要合同义务。投标供应商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28.2 采购合同实行分包履行的，中标人就采购项目和分包项目向采购人代表负责，分包供应商就分包项目承担责任。</w:t>
      </w:r>
    </w:p>
    <w:p>
      <w:pPr>
        <w:adjustRightInd w:val="0"/>
        <w:snapToGrid w:val="0"/>
        <w:spacing w:line="360" w:lineRule="auto"/>
        <w:ind w:firstLine="540" w:firstLineChars="225"/>
        <w:rPr>
          <w:rFonts w:ascii="新宋体" w:hAnsi="新宋体" w:eastAsia="新宋体" w:cs="新宋体"/>
          <w:sz w:val="24"/>
        </w:rPr>
      </w:pPr>
      <w:r>
        <w:rPr>
          <w:rFonts w:hint="eastAsia" w:ascii="新宋体" w:hAnsi="新宋体" w:eastAsia="新宋体" w:cs="新宋体"/>
          <w:sz w:val="24"/>
        </w:rPr>
        <w:t>28.3 中小企业依据按照&lt;财政部工业和信息化部关于印发《政府采购促进中小企业发展管理办法》的通知&gt;（财库[2020]46号）的规定，落实促进中小企业发展政策规定的政策获取政府采购合同后，小型、微型企业不得分包或转包给大型、中型企业，中型企业不得分包或转包给大型企业。</w:t>
      </w:r>
    </w:p>
    <w:bookmarkEnd w:id="130"/>
    <w:p>
      <w:pPr>
        <w:spacing w:line="360" w:lineRule="auto"/>
        <w:ind w:firstLine="482"/>
        <w:rPr>
          <w:rFonts w:ascii="新宋体" w:hAnsi="新宋体" w:eastAsia="新宋体" w:cs="新宋体"/>
          <w:b/>
          <w:bCs/>
          <w:sz w:val="24"/>
        </w:rPr>
      </w:pPr>
      <w:bookmarkStart w:id="131" w:name="_Toc217446069"/>
      <w:r>
        <w:rPr>
          <w:rFonts w:hint="eastAsia" w:ascii="新宋体" w:hAnsi="新宋体" w:eastAsia="新宋体" w:cs="新宋体"/>
          <w:b/>
          <w:bCs/>
          <w:sz w:val="24"/>
        </w:rPr>
        <w:t>29.合同转包（实质性要求）</w:t>
      </w:r>
    </w:p>
    <w:p>
      <w:pPr>
        <w:adjustRightInd w:val="0"/>
        <w:snapToGrid w:val="0"/>
        <w:spacing w:line="360" w:lineRule="auto"/>
        <w:ind w:firstLine="540" w:firstLineChars="225"/>
        <w:rPr>
          <w:rFonts w:ascii="新宋体" w:hAnsi="新宋体" w:eastAsia="新宋体" w:cs="新宋体"/>
          <w:sz w:val="24"/>
        </w:rPr>
      </w:pPr>
      <w:r>
        <w:rPr>
          <w:rFonts w:hint="eastAsia" w:ascii="新宋体" w:hAnsi="新宋体" w:eastAsia="新宋体" w:cs="新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adjustRightInd w:val="0"/>
        <w:snapToGrid w:val="0"/>
        <w:spacing w:line="360" w:lineRule="auto"/>
        <w:ind w:firstLine="540" w:firstLineChars="225"/>
        <w:rPr>
          <w:rFonts w:ascii="新宋体" w:hAnsi="新宋体" w:eastAsia="新宋体" w:cs="新宋体"/>
          <w:sz w:val="24"/>
        </w:rPr>
      </w:pPr>
      <w:r>
        <w:rPr>
          <w:rFonts w:hint="eastAsia" w:ascii="新宋体" w:hAnsi="新宋体" w:eastAsia="新宋体" w:cs="新宋体"/>
          <w:sz w:val="24"/>
        </w:rPr>
        <w:t>中标人转包的，视同拒绝履行政府采购合同义务，将依法追究法律责任。</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30. 补充合同</w:t>
      </w:r>
    </w:p>
    <w:p>
      <w:pPr>
        <w:adjustRightInd w:val="0"/>
        <w:snapToGrid w:val="0"/>
        <w:spacing w:line="360" w:lineRule="auto"/>
        <w:ind w:firstLine="540" w:firstLineChars="225"/>
        <w:rPr>
          <w:rFonts w:ascii="新宋体" w:hAnsi="新宋体" w:eastAsia="新宋体" w:cs="新宋体"/>
          <w:sz w:val="24"/>
        </w:rPr>
      </w:pPr>
      <w:r>
        <w:rPr>
          <w:rFonts w:hint="eastAsia" w:ascii="新宋体" w:hAnsi="新宋体" w:eastAsia="新宋体" w:cs="新宋体"/>
          <w:sz w:val="24"/>
        </w:rPr>
        <w:t>采购合同履行过程中，采购人需要追加与合同标的相同的货物或者服务的，在不改变合同其他条款的前提下，可以与中标供应商协商签订补充合同，但所有补充合同的采购金额不得超过原合同采购金额的10%，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rPr>
          <w:rFonts w:ascii="新宋体" w:hAnsi="新宋体" w:eastAsia="新宋体" w:cs="新宋体"/>
        </w:rPr>
      </w:pPr>
      <w:bookmarkStart w:id="132" w:name="_Toc308164812"/>
      <w:r>
        <w:rPr>
          <w:rFonts w:hint="eastAsia" w:ascii="新宋体" w:hAnsi="新宋体" w:eastAsia="新宋体" w:cs="新宋体"/>
          <w:b/>
          <w:bCs/>
          <w:sz w:val="24"/>
        </w:rPr>
        <w:t>31. 履约保证金</w:t>
      </w:r>
      <w:bookmarkEnd w:id="132"/>
      <w:r>
        <w:rPr>
          <w:rFonts w:hint="eastAsia" w:ascii="新宋体" w:hAnsi="新宋体" w:eastAsia="新宋体" w:cs="新宋体"/>
          <w:b/>
          <w:bCs/>
          <w:sz w:val="24"/>
        </w:rPr>
        <w:t>（如适用）</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30.1 中标人应在合同签订之前缴纳招标文件规定数额的履约保证金。</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30.2 如果中标人在规定的合同签订时间内，没有按照招标文件的规定缴纳履约保证金，且又无正当理由的，将视为放弃中标。</w:t>
      </w:r>
    </w:p>
    <w:p>
      <w:pPr>
        <w:spacing w:line="360" w:lineRule="auto"/>
        <w:ind w:firstLine="482"/>
        <w:rPr>
          <w:rFonts w:ascii="新宋体" w:hAnsi="新宋体" w:eastAsia="新宋体" w:cs="新宋体"/>
        </w:rPr>
      </w:pPr>
      <w:r>
        <w:rPr>
          <w:rFonts w:hint="eastAsia" w:ascii="新宋体" w:hAnsi="新宋体" w:eastAsia="新宋体" w:cs="新宋体"/>
          <w:b/>
          <w:bCs/>
          <w:sz w:val="24"/>
        </w:rPr>
        <w:t>32.合同公告</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采购人应当自政府采购合同签订（双方当事人均已签字盖章）之日起2个工作日内，将政府采购合同在省级以上人民政府财政部门指定的媒体《中国政府采购网》、《西藏自治区政府采购网》、《西藏自治区公共资源交易平台》、《拉萨市公共资源交易平台》予以公示，但政府采购合同中涉及国家秘密、商业秘密的内容除外。</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33.合同备案</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采购人应当将政府采购合同副本自签订（双方当事人均已签字盖章）之日起7个工作日内通过《中国政府采购网》、《西藏自治区政府采购网》、《西藏自治区公共资源交易平台》、《拉萨市公共资源交易平台》报同级财政部门备案。</w:t>
      </w:r>
    </w:p>
    <w:p>
      <w:pPr>
        <w:spacing w:line="360" w:lineRule="auto"/>
        <w:ind w:firstLine="482"/>
        <w:rPr>
          <w:rFonts w:ascii="新宋体" w:hAnsi="新宋体" w:eastAsia="新宋体" w:cs="新宋体"/>
        </w:rPr>
      </w:pPr>
      <w:r>
        <w:rPr>
          <w:rFonts w:hint="eastAsia" w:ascii="新宋体" w:hAnsi="新宋体" w:eastAsia="新宋体" w:cs="新宋体"/>
          <w:b/>
          <w:bCs/>
          <w:sz w:val="24"/>
        </w:rPr>
        <w:t>34. 履行合同</w:t>
      </w:r>
    </w:p>
    <w:p>
      <w:pPr>
        <w:spacing w:line="360" w:lineRule="auto"/>
        <w:rPr>
          <w:rFonts w:ascii="新宋体" w:hAnsi="新宋体" w:eastAsia="新宋体" w:cs="新宋体"/>
          <w:sz w:val="24"/>
        </w:rPr>
      </w:pPr>
      <w:r>
        <w:rPr>
          <w:rFonts w:hint="eastAsia" w:ascii="新宋体" w:hAnsi="新宋体" w:eastAsia="新宋体" w:cs="新宋体"/>
          <w:sz w:val="24"/>
        </w:rPr>
        <w:t xml:space="preserve">    34.1 中标单位与采购单位代表签订合同后，合同双方应严格执行合同条款，履行合同规定的义务，保证合同的顺利完成。</w:t>
      </w:r>
    </w:p>
    <w:p>
      <w:pPr>
        <w:spacing w:line="360" w:lineRule="auto"/>
        <w:rPr>
          <w:rFonts w:ascii="新宋体" w:hAnsi="新宋体" w:eastAsia="新宋体" w:cs="新宋体"/>
          <w:sz w:val="24"/>
        </w:rPr>
      </w:pPr>
      <w:r>
        <w:rPr>
          <w:rFonts w:hint="eastAsia" w:ascii="新宋体" w:hAnsi="新宋体" w:eastAsia="新宋体" w:cs="新宋体"/>
          <w:sz w:val="24"/>
        </w:rPr>
        <w:t xml:space="preserve">    34.2 在合同履行过程中，如发生合同纠纷，合同双方应按照《中华人民共和国合同法》的有关规定进行处理。</w:t>
      </w:r>
    </w:p>
    <w:p>
      <w:pPr>
        <w:spacing w:line="360" w:lineRule="auto"/>
        <w:ind w:firstLine="482"/>
        <w:rPr>
          <w:rFonts w:ascii="新宋体" w:hAnsi="新宋体" w:eastAsia="新宋体" w:cs="新宋体"/>
          <w:b/>
          <w:bCs/>
          <w:sz w:val="24"/>
        </w:rPr>
      </w:pPr>
      <w:bookmarkStart w:id="133" w:name="_Toc308164814"/>
      <w:r>
        <w:rPr>
          <w:rFonts w:hint="eastAsia" w:ascii="新宋体" w:hAnsi="新宋体" w:eastAsia="新宋体" w:cs="新宋体"/>
          <w:b/>
          <w:bCs/>
          <w:sz w:val="24"/>
        </w:rPr>
        <w:t>35. 验收</w:t>
      </w:r>
      <w:bookmarkEnd w:id="133"/>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35.1本项目采购人将严格按照政府采购相关法律法规以及《西藏自治区政府采购履约验收管理办法》的要求进行验收。</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35.2 验收结果合格的，中标供应商凭“验收结果”办理履约保证金的退付手续；验收结果不合格的，履约保证金将不予退还，也将不予支付采购资金，还可能会报本项目同级财政部门按照政府采购法律法规及《西藏自治区政府采购管理办法（暂行）》等有关规定给予行政处罚或者以失信行为记入诚信档案。</w:t>
      </w:r>
      <w:bookmarkEnd w:id="131"/>
      <w:bookmarkStart w:id="134" w:name="_Toc217446074"/>
      <w:bookmarkStart w:id="135" w:name="_Toc183682380"/>
      <w:bookmarkStart w:id="136" w:name="_Toc183582243"/>
    </w:p>
    <w:p>
      <w:pPr>
        <w:pStyle w:val="4"/>
        <w:rPr>
          <w:rFonts w:ascii="新宋体" w:hAnsi="新宋体" w:eastAsia="新宋体" w:cs="新宋体"/>
        </w:rPr>
      </w:pPr>
      <w:r>
        <w:rPr>
          <w:rFonts w:hint="eastAsia" w:ascii="新宋体" w:hAnsi="新宋体" w:eastAsia="新宋体" w:cs="新宋体"/>
        </w:rPr>
        <w:t>七、投标纪律要求</w:t>
      </w:r>
      <w:bookmarkEnd w:id="134"/>
    </w:p>
    <w:p>
      <w:pPr>
        <w:spacing w:line="360" w:lineRule="auto"/>
        <w:ind w:firstLine="482"/>
        <w:rPr>
          <w:rFonts w:ascii="新宋体" w:hAnsi="新宋体" w:eastAsia="新宋体" w:cs="新宋体"/>
          <w:b/>
          <w:bCs/>
          <w:sz w:val="24"/>
        </w:rPr>
      </w:pPr>
      <w:bookmarkStart w:id="137" w:name="_Toc217446075"/>
      <w:r>
        <w:rPr>
          <w:rFonts w:hint="eastAsia" w:ascii="新宋体" w:hAnsi="新宋体" w:eastAsia="新宋体" w:cs="新宋体"/>
          <w:b/>
          <w:bCs/>
          <w:sz w:val="24"/>
        </w:rPr>
        <w:t>36. 投标供应商不得具有的情形</w:t>
      </w:r>
      <w:bookmarkEnd w:id="137"/>
    </w:p>
    <w:p>
      <w:pPr>
        <w:pStyle w:val="17"/>
        <w:spacing w:line="360" w:lineRule="auto"/>
        <w:ind w:firstLine="480"/>
        <w:rPr>
          <w:rFonts w:ascii="新宋体" w:hAnsi="新宋体" w:eastAsia="新宋体" w:cs="新宋体"/>
          <w:sz w:val="24"/>
        </w:rPr>
      </w:pPr>
      <w:bookmarkStart w:id="138" w:name="_Toc217446076"/>
      <w:r>
        <w:rPr>
          <w:rFonts w:hint="eastAsia" w:ascii="新宋体" w:hAnsi="新宋体" w:eastAsia="新宋体" w:cs="新宋体"/>
          <w:sz w:val="24"/>
        </w:rPr>
        <w:t>投标供应商参加本项目投标不得有下列情形：</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36.1提供虚假材料、承诺谋取中标；</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36.2采取不正当手段诋毁、排挤其他投标供应商；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36.3与招标采购单位、其他投标供应商恶意串通；</w:t>
      </w:r>
    </w:p>
    <w:p>
      <w:pPr>
        <w:spacing w:line="360" w:lineRule="auto"/>
        <w:ind w:left="489" w:leftChars="233"/>
        <w:rPr>
          <w:rFonts w:ascii="新宋体" w:hAnsi="新宋体" w:eastAsia="新宋体" w:cs="新宋体"/>
          <w:sz w:val="24"/>
        </w:rPr>
      </w:pPr>
      <w:r>
        <w:rPr>
          <w:rFonts w:hint="eastAsia" w:ascii="新宋体" w:hAnsi="新宋体" w:eastAsia="新宋体" w:cs="新宋体"/>
          <w:sz w:val="24"/>
        </w:rPr>
        <w:t>36.4向招标采购单位、评标委员会成员行贿或者提供其他不正当利益；</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36.5在招标过程中与招标采购单位进行协商招标；</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36.6中标后无正当理由拒不与采购人签订政府采购合同；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36.7未按照招标（采购）文件确定的事项签订政府采购合同；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36.8将政府采购合同转包或者违规分包；</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36.9提供假冒伪劣产品；</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36.10擅自变更、中止或者终止政府采购合同；</w:t>
      </w:r>
    </w:p>
    <w:p>
      <w:pPr>
        <w:spacing w:line="360" w:lineRule="auto"/>
        <w:ind w:firstLine="460" w:firstLineChars="192"/>
        <w:rPr>
          <w:rFonts w:ascii="新宋体" w:hAnsi="新宋体" w:eastAsia="新宋体" w:cs="新宋体"/>
          <w:sz w:val="24"/>
        </w:rPr>
      </w:pPr>
      <w:r>
        <w:rPr>
          <w:rFonts w:hint="eastAsia" w:ascii="新宋体" w:hAnsi="新宋体" w:eastAsia="新宋体" w:cs="新宋体"/>
          <w:sz w:val="24"/>
        </w:rPr>
        <w:t>36.11拒绝有关部门的监督检查或者向监督检查部门提供虚假情况；</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36.12法律法规规定的其他情形。</w:t>
      </w:r>
    </w:p>
    <w:p>
      <w:pPr>
        <w:spacing w:line="360" w:lineRule="auto"/>
        <w:ind w:firstLine="480" w:firstLineChars="200"/>
        <w:rPr>
          <w:rFonts w:ascii="新宋体" w:hAnsi="新宋体" w:eastAsia="新宋体" w:cs="新宋体"/>
          <w:szCs w:val="28"/>
        </w:rPr>
      </w:pPr>
      <w:r>
        <w:rPr>
          <w:rFonts w:hint="eastAsia" w:ascii="新宋体" w:hAnsi="新宋体" w:eastAsia="新宋体" w:cs="新宋体"/>
          <w:sz w:val="24"/>
        </w:rPr>
        <w:t>投标供应商有上述情形的，按照规定追究法律责任，具备（36.1）-（36.12）条情形之一的，同时将取消中标资格或者认定中标无效。</w:t>
      </w:r>
      <w:bookmarkEnd w:id="138"/>
      <w:bookmarkStart w:id="139" w:name="_Toc217446077"/>
    </w:p>
    <w:p>
      <w:pPr>
        <w:pStyle w:val="4"/>
        <w:rPr>
          <w:rFonts w:ascii="新宋体" w:hAnsi="新宋体" w:eastAsia="新宋体" w:cs="新宋体"/>
        </w:rPr>
      </w:pPr>
      <w:r>
        <w:rPr>
          <w:rFonts w:hint="eastAsia" w:ascii="新宋体" w:hAnsi="新宋体" w:eastAsia="新宋体" w:cs="新宋体"/>
        </w:rPr>
        <w:t>八、质疑和投诉</w:t>
      </w:r>
    </w:p>
    <w:bookmarkEnd w:id="139"/>
    <w:p>
      <w:pPr>
        <w:pStyle w:val="15"/>
        <w:snapToGrid w:val="0"/>
        <w:spacing w:line="360" w:lineRule="auto"/>
        <w:ind w:firstLine="472" w:firstLineChars="196"/>
        <w:rPr>
          <w:rFonts w:ascii="新宋体" w:hAnsi="新宋体" w:eastAsia="新宋体" w:cs="新宋体"/>
          <w:sz w:val="24"/>
        </w:rPr>
      </w:pPr>
      <w:bookmarkStart w:id="140" w:name="_Toc217446079"/>
      <w:r>
        <w:rPr>
          <w:rFonts w:hint="eastAsia" w:ascii="新宋体" w:hAnsi="新宋体" w:eastAsia="新宋体" w:cs="新宋体"/>
          <w:b/>
          <w:bCs/>
          <w:sz w:val="24"/>
        </w:rPr>
        <w:t xml:space="preserve"> 3</w:t>
      </w:r>
      <w:bookmarkEnd w:id="140"/>
      <w:r>
        <w:rPr>
          <w:rFonts w:hint="eastAsia" w:ascii="新宋体" w:hAnsi="新宋体" w:eastAsia="新宋体" w:cs="新宋体"/>
          <w:b/>
          <w:bCs/>
          <w:sz w:val="24"/>
        </w:rPr>
        <w:t>7．</w:t>
      </w:r>
      <w:bookmarkEnd w:id="135"/>
      <w:bookmarkEnd w:id="136"/>
      <w:r>
        <w:rPr>
          <w:rFonts w:hint="eastAsia" w:ascii="新宋体" w:hAnsi="新宋体" w:eastAsia="新宋体" w:cs="新宋体"/>
          <w:sz w:val="24"/>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西藏自治区政府采购供应商投诉处理暂行办法》的规定办理（详细规定请在《西藏自治区政府采购网》政策法规模块查询）。本项目要求供应商在法定质疑期内一次性提出针对同一采购程序环节的质疑，只有购买了本次招标文件且参与了本次投标的投标供应商，才能提出质疑。</w:t>
      </w:r>
    </w:p>
    <w:p>
      <w:pPr>
        <w:pStyle w:val="4"/>
        <w:rPr>
          <w:rFonts w:ascii="新宋体" w:hAnsi="新宋体" w:eastAsia="新宋体" w:cs="新宋体"/>
        </w:rPr>
      </w:pPr>
      <w:r>
        <w:rPr>
          <w:rFonts w:hint="eastAsia" w:ascii="新宋体" w:hAnsi="新宋体" w:eastAsia="新宋体" w:cs="新宋体"/>
        </w:rPr>
        <w:t>九、其他</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2"/>
        <w:rPr>
          <w:rFonts w:ascii="新宋体" w:hAnsi="新宋体" w:eastAsia="新宋体" w:cs="新宋体"/>
        </w:rPr>
      </w:pPr>
    </w:p>
    <w:p>
      <w:pPr>
        <w:pStyle w:val="32"/>
        <w:rPr>
          <w:rFonts w:ascii="新宋体" w:hAnsi="新宋体" w:eastAsia="新宋体" w:cs="新宋体"/>
        </w:rPr>
      </w:pPr>
    </w:p>
    <w:p>
      <w:pPr>
        <w:pStyle w:val="32"/>
        <w:ind w:firstLine="0" w:firstLineChars="0"/>
        <w:rPr>
          <w:rFonts w:ascii="新宋体" w:hAnsi="新宋体" w:eastAsia="新宋体" w:cs="新宋体"/>
        </w:rPr>
      </w:pPr>
    </w:p>
    <w:p>
      <w:pPr>
        <w:pStyle w:val="3"/>
        <w:rPr>
          <w:rFonts w:hint="eastAsia" w:ascii="新宋体" w:hAnsi="新宋体" w:eastAsia="新宋体" w:cs="新宋体"/>
        </w:rPr>
      </w:pPr>
      <w:bookmarkStart w:id="141" w:name="_Toc18552"/>
      <w:bookmarkStart w:id="142" w:name="_Toc7798"/>
      <w:bookmarkStart w:id="143" w:name="_Toc18996"/>
    </w:p>
    <w:p>
      <w:pPr>
        <w:rPr>
          <w:rFonts w:hint="eastAsia" w:ascii="新宋体" w:hAnsi="新宋体" w:eastAsia="新宋体" w:cs="新宋体"/>
        </w:rPr>
      </w:pPr>
    </w:p>
    <w:p>
      <w:pPr>
        <w:pStyle w:val="12"/>
        <w:rPr>
          <w:rFonts w:hint="eastAsia" w:ascii="新宋体" w:hAnsi="新宋体" w:eastAsia="新宋体" w:cs="新宋体"/>
        </w:rPr>
      </w:pPr>
    </w:p>
    <w:p>
      <w:pPr>
        <w:rPr>
          <w:rFonts w:hint="eastAsia"/>
        </w:rPr>
      </w:pPr>
    </w:p>
    <w:p>
      <w:pPr>
        <w:pStyle w:val="3"/>
        <w:rPr>
          <w:rFonts w:ascii="新宋体" w:hAnsi="新宋体" w:eastAsia="新宋体" w:cs="新宋体"/>
        </w:rPr>
      </w:pPr>
      <w:r>
        <w:rPr>
          <w:rFonts w:hint="eastAsia" w:ascii="新宋体" w:hAnsi="新宋体" w:eastAsia="新宋体" w:cs="新宋体"/>
        </w:rPr>
        <w:t>第三章 投标文件格式</w:t>
      </w:r>
      <w:bookmarkEnd w:id="96"/>
      <w:bookmarkEnd w:id="141"/>
      <w:bookmarkEnd w:id="142"/>
      <w:bookmarkEnd w:id="143"/>
    </w:p>
    <w:p>
      <w:pPr>
        <w:spacing w:line="360" w:lineRule="auto"/>
        <w:rPr>
          <w:rFonts w:ascii="新宋体" w:hAnsi="新宋体" w:eastAsia="新宋体" w:cs="新宋体"/>
        </w:rPr>
      </w:pPr>
    </w:p>
    <w:p>
      <w:pPr>
        <w:widowControl/>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一、本章所制投标文件格式有关表格中的备注栏，由投标供应商根据自身投标情况作解释性说明，不作为必填项。</w:t>
      </w:r>
    </w:p>
    <w:p>
      <w:pPr>
        <w:widowControl/>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二、本章所制投标文件格式中需要填写的相关内容事项，可能会与本采购项目无关，在不改变投标文件原义、不影响本项目采购需求的情况下，投标供应商可以不予填写，但应当注明。</w:t>
      </w: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spacing w:line="360" w:lineRule="auto"/>
        <w:rPr>
          <w:rFonts w:ascii="新宋体" w:hAnsi="新宋体" w:eastAsia="新宋体" w:cs="新宋体"/>
        </w:rPr>
      </w:pPr>
    </w:p>
    <w:p>
      <w:pPr>
        <w:rPr>
          <w:rFonts w:ascii="新宋体" w:hAnsi="新宋体" w:eastAsia="新宋体" w:cs="新宋体"/>
        </w:rPr>
      </w:pPr>
      <w:bookmarkStart w:id="144" w:name="_Toc217446082"/>
      <w:bookmarkStart w:id="145" w:name="_Toc217446092"/>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一、投 标 函</w:t>
      </w:r>
      <w:bookmarkEnd w:id="144"/>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致：永道工程咨询（江苏）有限公司</w:t>
      </w:r>
    </w:p>
    <w:p>
      <w:pPr>
        <w:spacing w:line="360" w:lineRule="auto"/>
        <w:ind w:firstLine="960" w:firstLineChars="400"/>
        <w:rPr>
          <w:rFonts w:ascii="宋体" w:hAnsi="宋体" w:cs="宋体"/>
          <w:sz w:val="24"/>
        </w:rPr>
      </w:pPr>
      <w:r>
        <w:rPr>
          <w:rFonts w:hint="eastAsia" w:ascii="宋体" w:hAnsi="宋体" w:cs="宋体"/>
          <w:sz w:val="24"/>
        </w:rPr>
        <w:t>我方全面研究了“</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】招标文件；决定参加贵单位组织的本项目投标。我方授权（姓名：职务：）代表我方（投标单位的名称）全权处理本项目投标的有关事宜。</w:t>
      </w:r>
    </w:p>
    <w:p>
      <w:pPr>
        <w:spacing w:line="360" w:lineRule="auto"/>
        <w:ind w:firstLine="480" w:firstLineChars="200"/>
        <w:rPr>
          <w:rFonts w:ascii="宋体" w:hAnsi="宋体" w:cs="宋体"/>
          <w:sz w:val="24"/>
        </w:rPr>
      </w:pPr>
      <w:r>
        <w:rPr>
          <w:rFonts w:hint="eastAsia" w:ascii="宋体" w:hAnsi="宋体" w:cs="宋体"/>
          <w:sz w:val="24"/>
        </w:rPr>
        <w:t>1、我方自愿按照招标文件规定的各项要求向采购人提供所需货物，投标总价为人民币小写：</w:t>
      </w:r>
      <w:r>
        <w:rPr>
          <w:rFonts w:hint="eastAsia" w:ascii="宋体" w:hAnsi="宋体" w:cs="宋体"/>
          <w:sz w:val="24"/>
          <w:u w:val="single"/>
        </w:rPr>
        <w:t xml:space="preserve">            </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2、一旦我方中标，我方将严格履行政府采购合同规定的责任和义务。</w:t>
      </w:r>
    </w:p>
    <w:p>
      <w:pPr>
        <w:spacing w:line="360" w:lineRule="auto"/>
        <w:ind w:firstLine="480" w:firstLineChars="200"/>
        <w:rPr>
          <w:rFonts w:ascii="宋体" w:hAnsi="宋体" w:cs="宋体"/>
          <w:sz w:val="24"/>
        </w:rPr>
      </w:pPr>
      <w:r>
        <w:rPr>
          <w:rFonts w:hint="eastAsia" w:ascii="宋体" w:hAnsi="宋体" w:cs="宋体"/>
          <w:sz w:val="24"/>
        </w:rPr>
        <w:t>3、我们已详细审核全部招标文件，包括文件修改书(如果有的话)，参考资料及有关附件，我们完全理解并放弃提出含糊不清或误解的问题的权利。</w:t>
      </w:r>
    </w:p>
    <w:p>
      <w:pPr>
        <w:spacing w:line="360" w:lineRule="auto"/>
        <w:ind w:firstLine="480" w:firstLineChars="200"/>
        <w:rPr>
          <w:rFonts w:ascii="宋体" w:hAnsi="宋体" w:cs="宋体"/>
          <w:sz w:val="24"/>
        </w:rPr>
      </w:pPr>
      <w:r>
        <w:rPr>
          <w:rFonts w:hint="eastAsia" w:ascii="宋体" w:hAnsi="宋体" w:cs="宋体"/>
          <w:sz w:val="24"/>
        </w:rPr>
        <w:t>4、我方同意按照招标文件的要求，向贵单位缴纳人民币小写：</w:t>
      </w:r>
      <w:r>
        <w:rPr>
          <w:rFonts w:hint="eastAsia" w:ascii="宋体" w:hAnsi="宋体" w:cs="宋体"/>
          <w:sz w:val="24"/>
          <w:u w:val="single"/>
        </w:rPr>
        <w:t xml:space="preserve">        </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）的投标保证金。并承诺：下列任何情况发生时，我方将不要求退还投标保证金：</w:t>
      </w:r>
    </w:p>
    <w:p>
      <w:pPr>
        <w:spacing w:line="360" w:lineRule="auto"/>
        <w:ind w:firstLine="480" w:firstLineChars="200"/>
        <w:rPr>
          <w:rFonts w:ascii="宋体" w:hAnsi="宋体" w:cs="宋体"/>
          <w:sz w:val="24"/>
        </w:rPr>
      </w:pPr>
      <w:r>
        <w:rPr>
          <w:rFonts w:hint="eastAsia" w:ascii="宋体" w:hAnsi="宋体" w:cs="宋体"/>
          <w:sz w:val="24"/>
        </w:rPr>
        <w:t>（1）在招标文件规定的投标截止时间后撤回投标的；</w:t>
      </w:r>
    </w:p>
    <w:p>
      <w:pPr>
        <w:spacing w:line="360" w:lineRule="auto"/>
        <w:ind w:firstLine="480" w:firstLineChars="200"/>
        <w:rPr>
          <w:rFonts w:ascii="宋体" w:hAnsi="宋体" w:cs="宋体"/>
          <w:sz w:val="24"/>
        </w:rPr>
      </w:pPr>
      <w:r>
        <w:rPr>
          <w:rFonts w:hint="eastAsia" w:ascii="宋体" w:hAnsi="宋体" w:cs="宋体"/>
          <w:sz w:val="24"/>
        </w:rPr>
        <w:t>（2）在采购人确定中标人以前放弃中标候选资格的；</w:t>
      </w:r>
    </w:p>
    <w:p>
      <w:pPr>
        <w:spacing w:line="360" w:lineRule="auto"/>
        <w:ind w:firstLine="480" w:firstLineChars="200"/>
        <w:rPr>
          <w:rFonts w:ascii="宋体" w:hAnsi="宋体" w:cs="宋体"/>
          <w:sz w:val="24"/>
        </w:rPr>
      </w:pPr>
      <w:r>
        <w:rPr>
          <w:rFonts w:hint="eastAsia" w:ascii="宋体" w:hAnsi="宋体" w:cs="宋体"/>
          <w:sz w:val="24"/>
        </w:rPr>
        <w:t>（3）中标后放弃中标、不领取或者不接收中标通知书的；</w:t>
      </w:r>
    </w:p>
    <w:p>
      <w:pPr>
        <w:spacing w:line="360" w:lineRule="auto"/>
        <w:ind w:firstLine="480" w:firstLineChars="200"/>
        <w:rPr>
          <w:rFonts w:ascii="宋体" w:hAnsi="宋体" w:cs="宋体"/>
          <w:sz w:val="24"/>
        </w:rPr>
      </w:pPr>
      <w:r>
        <w:rPr>
          <w:rFonts w:hint="eastAsia" w:ascii="宋体" w:hAnsi="宋体" w:cs="宋体"/>
          <w:sz w:val="24"/>
        </w:rPr>
        <w:t>（4）由于中标人的原因未能按照招标文件的规定与采购人签订合同的；</w:t>
      </w:r>
    </w:p>
    <w:p>
      <w:pPr>
        <w:spacing w:line="360" w:lineRule="auto"/>
        <w:ind w:firstLine="480" w:firstLineChars="200"/>
        <w:rPr>
          <w:rFonts w:ascii="宋体" w:hAnsi="宋体" w:cs="宋体"/>
          <w:sz w:val="24"/>
        </w:rPr>
      </w:pPr>
      <w:r>
        <w:rPr>
          <w:rFonts w:hint="eastAsia" w:ascii="宋体" w:hAnsi="宋体" w:cs="宋体"/>
          <w:sz w:val="24"/>
        </w:rPr>
        <w:t>（5）由于中标人的原因未能按照招标文件的规定缴纳履约保证金的；</w:t>
      </w:r>
    </w:p>
    <w:p>
      <w:pPr>
        <w:spacing w:line="360" w:lineRule="auto"/>
        <w:ind w:firstLine="480" w:firstLineChars="200"/>
        <w:rPr>
          <w:rFonts w:ascii="宋体" w:hAnsi="宋体" w:cs="宋体"/>
          <w:sz w:val="24"/>
        </w:rPr>
      </w:pPr>
      <w:r>
        <w:rPr>
          <w:rFonts w:hint="eastAsia" w:ascii="宋体" w:hAnsi="宋体" w:cs="宋体"/>
          <w:sz w:val="24"/>
        </w:rPr>
        <w:t>（6）投标供应商提供虚假资料、承诺、声明的；</w:t>
      </w:r>
    </w:p>
    <w:p>
      <w:pPr>
        <w:spacing w:line="360" w:lineRule="auto"/>
        <w:ind w:firstLine="480" w:firstLineChars="200"/>
        <w:rPr>
          <w:rFonts w:ascii="宋体" w:hAnsi="宋体" w:cs="宋体"/>
          <w:sz w:val="24"/>
        </w:rPr>
      </w:pPr>
      <w:r>
        <w:rPr>
          <w:rFonts w:hint="eastAsia" w:ascii="宋体" w:hAnsi="宋体" w:cs="宋体"/>
          <w:sz w:val="24"/>
        </w:rPr>
        <w:t>（7）投标有效期内，投标供应商在政府采购活动中有违法、违规、违纪行为。</w:t>
      </w:r>
    </w:p>
    <w:p>
      <w:pPr>
        <w:spacing w:line="360" w:lineRule="auto"/>
        <w:ind w:firstLine="480" w:firstLineChars="200"/>
        <w:rPr>
          <w:rFonts w:ascii="宋体" w:hAnsi="宋体" w:cs="宋体"/>
          <w:sz w:val="24"/>
        </w:rPr>
      </w:pPr>
      <w:r>
        <w:rPr>
          <w:rFonts w:hint="eastAsia" w:ascii="宋体" w:hAnsi="宋体" w:cs="宋体"/>
          <w:sz w:val="24"/>
        </w:rPr>
        <w:t>5、投标有效期为递交投标文件截止之日起90日历天。</w:t>
      </w:r>
    </w:p>
    <w:p>
      <w:pPr>
        <w:spacing w:line="360" w:lineRule="auto"/>
        <w:ind w:firstLine="480" w:firstLineChars="200"/>
        <w:rPr>
          <w:rFonts w:ascii="宋体" w:hAnsi="宋体" w:cs="宋体"/>
          <w:sz w:val="24"/>
        </w:rPr>
      </w:pPr>
      <w:r>
        <w:rPr>
          <w:rFonts w:hint="eastAsia" w:ascii="宋体" w:hAnsi="宋体" w:cs="宋体"/>
          <w:sz w:val="24"/>
        </w:rPr>
        <w:t>6、我方完全理解采购人不一定接受最低报价的投标或收到的任何投标。</w:t>
      </w:r>
    </w:p>
    <w:p>
      <w:pPr>
        <w:spacing w:line="360" w:lineRule="auto"/>
        <w:ind w:firstLine="480" w:firstLineChars="200"/>
        <w:rPr>
          <w:rFonts w:ascii="宋体" w:hAnsi="宋体" w:cs="宋体"/>
          <w:sz w:val="24"/>
        </w:rPr>
      </w:pPr>
      <w:r>
        <w:rPr>
          <w:rFonts w:hint="eastAsia" w:ascii="宋体" w:hAnsi="宋体" w:cs="宋体"/>
          <w:sz w:val="24"/>
        </w:rPr>
        <w:t>7、我方同意本招标文件对我方可能存在的失信行为进行的惩戒。</w:t>
      </w:r>
    </w:p>
    <w:p>
      <w:pPr>
        <w:spacing w:line="360" w:lineRule="auto"/>
        <w:ind w:firstLine="480" w:firstLineChars="200"/>
        <w:rPr>
          <w:rFonts w:ascii="宋体" w:hAnsi="宋体" w:cs="宋体"/>
          <w:sz w:val="24"/>
        </w:rPr>
      </w:pPr>
      <w:r>
        <w:rPr>
          <w:rFonts w:hint="eastAsia" w:ascii="宋体" w:hAnsi="宋体" w:cs="宋体"/>
          <w:sz w:val="24"/>
        </w:rPr>
        <w:t>8.如果我方中标，我方保证按照招标文件的规定向贵方缴纳中标服务费。</w:t>
      </w:r>
    </w:p>
    <w:p>
      <w:pPr>
        <w:spacing w:line="360" w:lineRule="auto"/>
        <w:ind w:firstLine="480" w:firstLineChars="200"/>
        <w:rPr>
          <w:rFonts w:ascii="宋体" w:hAnsi="宋体" w:cs="宋体"/>
          <w:sz w:val="24"/>
        </w:rPr>
      </w:pPr>
      <w:r>
        <w:rPr>
          <w:rFonts w:hint="eastAsia" w:ascii="宋体" w:hAnsi="宋体" w:cs="宋体"/>
          <w:sz w:val="24"/>
        </w:rPr>
        <w:t>9、我方愿意提供贵方可能另外要求的，与投标有关的文件资料，并保证我方已提供和将要提供的文件资料是真实、准确的。</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投标供应商名称：（盖单位公章）      </w:t>
      </w:r>
    </w:p>
    <w:p>
      <w:pPr>
        <w:spacing w:line="360" w:lineRule="auto"/>
        <w:ind w:firstLine="480" w:firstLineChars="200"/>
        <w:rPr>
          <w:rFonts w:ascii="宋体" w:hAnsi="宋体" w:cs="宋体"/>
          <w:sz w:val="24"/>
        </w:rPr>
      </w:pPr>
      <w:r>
        <w:rPr>
          <w:rFonts w:hint="eastAsia" w:ascii="宋体" w:hAnsi="宋体" w:cs="宋体"/>
          <w:sz w:val="24"/>
        </w:rPr>
        <w:t>法定代表人或授权代表（签字）：</w:t>
      </w:r>
    </w:p>
    <w:p>
      <w:pPr>
        <w:spacing w:line="360" w:lineRule="auto"/>
        <w:ind w:firstLine="480" w:firstLineChars="200"/>
        <w:rPr>
          <w:rFonts w:ascii="宋体" w:hAnsi="宋体" w:cs="宋体"/>
          <w:sz w:val="24"/>
        </w:rPr>
      </w:pPr>
      <w:r>
        <w:rPr>
          <w:rFonts w:hint="eastAsia" w:ascii="宋体" w:hAnsi="宋体" w:cs="宋体"/>
          <w:sz w:val="24"/>
        </w:rPr>
        <w:t>联系电话：</w:t>
      </w:r>
    </w:p>
    <w:p>
      <w:pPr>
        <w:spacing w:line="360" w:lineRule="auto"/>
        <w:ind w:firstLine="480" w:firstLineChars="200"/>
        <w:rPr>
          <w:rFonts w:ascii="宋体" w:hAnsi="宋体" w:cs="宋体"/>
          <w:sz w:val="24"/>
        </w:rPr>
      </w:pPr>
      <w:r>
        <w:rPr>
          <w:rFonts w:hint="eastAsia" w:ascii="宋体" w:hAnsi="宋体" w:cs="宋体"/>
          <w:sz w:val="24"/>
        </w:rPr>
        <w:t>传    真：</w:t>
      </w:r>
    </w:p>
    <w:p>
      <w:pPr>
        <w:spacing w:line="360" w:lineRule="auto"/>
        <w:ind w:firstLine="480" w:firstLineChars="200"/>
        <w:rPr>
          <w:rFonts w:ascii="宋体" w:hAnsi="宋体" w:cs="宋体"/>
          <w:sz w:val="24"/>
        </w:rPr>
      </w:pPr>
      <w:r>
        <w:rPr>
          <w:rFonts w:hint="eastAsia" w:ascii="宋体" w:hAnsi="宋体" w:cs="宋体"/>
          <w:sz w:val="24"/>
        </w:rPr>
        <w:t>通讯地址：</w:t>
      </w:r>
    </w:p>
    <w:p>
      <w:pPr>
        <w:spacing w:line="360" w:lineRule="auto"/>
        <w:ind w:firstLine="480" w:firstLineChars="200"/>
        <w:rPr>
          <w:rFonts w:ascii="宋体" w:hAnsi="宋体" w:cs="宋体"/>
          <w:sz w:val="24"/>
        </w:rPr>
      </w:pPr>
      <w:r>
        <w:rPr>
          <w:rFonts w:hint="eastAsia" w:ascii="宋体" w:hAnsi="宋体" w:cs="宋体"/>
          <w:sz w:val="24"/>
        </w:rPr>
        <w:t>邮政编码：</w:t>
      </w:r>
    </w:p>
    <w:p>
      <w:pPr>
        <w:spacing w:line="360" w:lineRule="auto"/>
        <w:ind w:firstLine="480" w:firstLineChars="200"/>
        <w:rPr>
          <w:rFonts w:ascii="宋体" w:hAnsi="宋体" w:cs="宋体"/>
          <w:sz w:val="24"/>
        </w:rPr>
      </w:pPr>
      <w:r>
        <w:rPr>
          <w:rFonts w:hint="eastAsia" w:ascii="宋体" w:hAnsi="宋体" w:cs="宋体"/>
          <w:sz w:val="24"/>
        </w:rPr>
        <w:t>日    期：</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pStyle w:val="4"/>
        <w:spacing w:line="360" w:lineRule="exact"/>
        <w:rPr>
          <w:rFonts w:ascii="新宋体" w:hAnsi="新宋体" w:eastAsia="新宋体" w:cs="新宋体"/>
        </w:rPr>
      </w:pPr>
      <w:r>
        <w:rPr>
          <w:rFonts w:hint="eastAsia" w:ascii="新宋体" w:hAnsi="新宋体" w:eastAsia="新宋体" w:cs="新宋体"/>
        </w:rPr>
        <w:br w:type="page"/>
      </w:r>
      <w:r>
        <w:rPr>
          <w:rFonts w:hint="eastAsia" w:ascii="新宋体" w:hAnsi="新宋体" w:eastAsia="新宋体" w:cs="新宋体"/>
        </w:rPr>
        <w:t>二、承诺函</w:t>
      </w:r>
    </w:p>
    <w:p>
      <w:pPr>
        <w:spacing w:after="240" w:afterLines="100" w:line="360" w:lineRule="auto"/>
        <w:ind w:firstLine="480" w:firstLineChars="200"/>
        <w:rPr>
          <w:rFonts w:ascii="宋体" w:hAnsi="宋体" w:cs="宋体"/>
          <w:sz w:val="24"/>
        </w:rPr>
      </w:pPr>
      <w:r>
        <w:rPr>
          <w:rFonts w:hint="eastAsia" w:ascii="宋体" w:hAnsi="宋体" w:cs="宋体"/>
          <w:sz w:val="24"/>
        </w:rPr>
        <w:t>致：永道工程咨询（江苏）有限公司</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我公司作为本次采购项目的投标人，根据招标文件要求，现郑重承诺如下：</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一、具备《中华人民共和国政府采购法》第二十二条第一款和本项目规定的条件：</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（1）具有独立承担民事责任的能力； </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（2）具有良好的商业信誉和健全的财务会计制度； </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（3）具有履行合同所必需的设备和专业技术能力； </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（4）有依法缴纳税收和社会保障资金的良好记录； </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（5）参加政府采购活动前三年内，在经营活动中没有重大违法记录；</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（6）法律、行政法规规定的其他条件；</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（7）根据采购项目提出的特殊条件。</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五、我司未被对列入失信被执行人、重大税收违法案件当事人名单、政府采购严重违法失信行为记录名单及其他不符合《中华人民共和国政府采购法》第二十二条规定条件的供应商。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六、如果有记入诚信档案的失信行为，将在投标文件中全面如实反映。</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七、投标文件中提供的能够给予我公司带来优惠、好处的任何材料资料和技术、服务、商务等响应承诺情况都是真实的、有效的、合法的。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九、我司完全同意招标文件中关于知识产权的说明，承诺由此造成的纠纷由我单位全权负责。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本公司对上述承诺内容事项真实性负责。如经查实上述承诺的内容事项存在虚假，我公司愿意接受以提供虚假材料谋取中标追究法律责任。</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bCs/>
          <w:sz w:val="24"/>
          <w:u w:val="single"/>
        </w:rPr>
      </w:pPr>
      <w:r>
        <w:rPr>
          <w:rFonts w:hint="eastAsia" w:ascii="新宋体" w:hAnsi="新宋体" w:eastAsia="新宋体" w:cs="新宋体"/>
          <w:bCs/>
          <w:sz w:val="24"/>
        </w:rPr>
        <w:t>法定代表人或授权代表（签字）：</w:t>
      </w:r>
      <w:r>
        <w:rPr>
          <w:rFonts w:hint="eastAsia" w:ascii="新宋体" w:hAnsi="新宋体" w:eastAsia="新宋体" w:cs="新宋体"/>
          <w:bCs/>
          <w:sz w:val="24"/>
          <w:u w:val="single"/>
        </w:rPr>
        <w:t xml:space="preserve">           </w:t>
      </w:r>
    </w:p>
    <w:p>
      <w:pPr>
        <w:spacing w:line="360" w:lineRule="auto"/>
        <w:ind w:firstLine="480" w:firstLineChars="200"/>
        <w:rPr>
          <w:rFonts w:ascii="新宋体" w:hAnsi="新宋体" w:eastAsia="新宋体" w:cs="新宋体"/>
        </w:rPr>
      </w:pPr>
      <w:r>
        <w:rPr>
          <w:rFonts w:hint="eastAsia" w:ascii="新宋体" w:hAnsi="新宋体" w:eastAsia="新宋体" w:cs="新宋体"/>
          <w:bCs/>
          <w:sz w:val="24"/>
        </w:rPr>
        <w:t>日期：</w:t>
      </w:r>
      <w:r>
        <w:rPr>
          <w:rFonts w:hint="eastAsia" w:ascii="新宋体" w:hAnsi="新宋体" w:eastAsia="新宋体" w:cs="新宋体"/>
          <w:bCs/>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rPr>
        <w:br w:type="page"/>
      </w:r>
    </w:p>
    <w:p>
      <w:pPr>
        <w:jc w:val="center"/>
        <w:outlineLvl w:val="1"/>
        <w:rPr>
          <w:rFonts w:ascii="宋体" w:hAnsi="宋体" w:cs="宋体"/>
          <w:b/>
          <w:bCs/>
          <w:kern w:val="0"/>
          <w:sz w:val="32"/>
          <w:szCs w:val="32"/>
        </w:rPr>
      </w:pPr>
      <w:r>
        <w:rPr>
          <w:rFonts w:hint="eastAsia" w:ascii="宋体" w:hAnsi="宋体" w:cs="宋体"/>
          <w:b/>
          <w:bCs/>
          <w:kern w:val="0"/>
          <w:sz w:val="32"/>
          <w:szCs w:val="32"/>
        </w:rPr>
        <w:t>三、法定代表人身份证明</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致：永道工程咨询（江苏）有限公司</w:t>
      </w:r>
    </w:p>
    <w:p>
      <w:pPr>
        <w:widowControl/>
        <w:snapToGrid w:val="0"/>
        <w:spacing w:line="360" w:lineRule="auto"/>
        <w:jc w:val="left"/>
        <w:rPr>
          <w:rFonts w:ascii="宋体" w:hAnsi="宋体" w:cs="宋体"/>
          <w:kern w:val="0"/>
          <w:sz w:val="24"/>
          <w:u w:val="single"/>
          <w:shd w:val="clear" w:color="auto" w:fill="FFFFFF"/>
        </w:rPr>
      </w:pPr>
      <w:r>
        <w:rPr>
          <w:rFonts w:hint="eastAsia" w:ascii="宋体" w:hAnsi="宋体" w:cs="宋体"/>
          <w:kern w:val="0"/>
          <w:sz w:val="24"/>
          <w:shd w:val="clear" w:color="auto" w:fill="FFFFFF"/>
        </w:rPr>
        <w:t>投标供应商名称：</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kern w:val="0"/>
          <w:sz w:val="24"/>
          <w:u w:val="single"/>
          <w:shd w:val="clear" w:color="auto" w:fill="FFFFFF"/>
        </w:rPr>
      </w:pPr>
      <w:r>
        <w:rPr>
          <w:rFonts w:hint="eastAsia" w:ascii="宋体" w:hAnsi="宋体" w:cs="宋体"/>
          <w:kern w:val="0"/>
          <w:sz w:val="24"/>
          <w:shd w:val="clear" w:color="auto" w:fill="FFFFFF"/>
        </w:rPr>
        <w:t>单位性质：</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kern w:val="0"/>
          <w:sz w:val="24"/>
          <w:shd w:val="clear" w:color="auto" w:fill="FFFFFF"/>
        </w:rPr>
      </w:pPr>
      <w:r>
        <w:rPr>
          <w:rFonts w:hint="eastAsia" w:ascii="宋体" w:hAnsi="宋体" w:cs="宋体"/>
          <w:kern w:val="0"/>
          <w:sz w:val="24"/>
          <w:shd w:val="clear" w:color="auto" w:fill="FFFFFF"/>
        </w:rPr>
        <w:t>地  址：</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成立时间：</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日</w:t>
      </w: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经营期限：</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姓    名：</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性    别：</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年    龄：</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职   务：</w:t>
      </w:r>
      <w:r>
        <w:rPr>
          <w:rFonts w:hint="eastAsia" w:ascii="宋体" w:hAnsi="宋体" w:cs="宋体"/>
          <w:kern w:val="0"/>
          <w:sz w:val="24"/>
          <w:u w:val="single"/>
          <w:shd w:val="clear" w:color="auto" w:fill="FFFFFF"/>
        </w:rPr>
        <w:t xml:space="preserve">        </w:t>
      </w: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系</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（投标供应商名称）的法定代表人。</w:t>
      </w:r>
    </w:p>
    <w:p>
      <w:pPr>
        <w:widowControl/>
        <w:snapToGrid w:val="0"/>
        <w:spacing w:line="360" w:lineRule="auto"/>
        <w:rPr>
          <w:rFonts w:ascii="宋体" w:hAnsi="宋体" w:cs="宋体"/>
          <w:sz w:val="24"/>
        </w:rPr>
      </w:pPr>
      <w:r>
        <w:rPr>
          <w:rFonts w:hint="eastAsia" w:ascii="宋体" w:hAnsi="宋体" w:cs="宋体"/>
          <w:kern w:val="0"/>
          <w:sz w:val="24"/>
          <w:shd w:val="clear" w:color="auto" w:fill="FFFFFF"/>
        </w:rPr>
        <w:t>特此证明。</w:t>
      </w:r>
    </w:p>
    <w:p>
      <w:pPr>
        <w:widowControl/>
        <w:snapToGrid w:val="0"/>
        <w:spacing w:line="360" w:lineRule="auto"/>
        <w:jc w:val="right"/>
        <w:rPr>
          <w:rFonts w:ascii="宋体" w:hAnsi="宋体" w:cs="宋体"/>
          <w:kern w:val="0"/>
          <w:sz w:val="24"/>
          <w:shd w:val="clear" w:color="auto" w:fill="FFFFFF"/>
        </w:rPr>
      </w:pPr>
    </w:p>
    <w:p>
      <w:pPr>
        <w:widowControl/>
        <w:snapToGrid w:val="0"/>
        <w:spacing w:line="360" w:lineRule="auto"/>
        <w:jc w:val="right"/>
        <w:rPr>
          <w:rFonts w:ascii="宋体" w:hAnsi="宋体" w:cs="宋体"/>
          <w:kern w:val="0"/>
          <w:sz w:val="24"/>
          <w:shd w:val="clear" w:color="auto" w:fill="FFFFFF"/>
        </w:rPr>
      </w:pPr>
    </w:p>
    <w:p>
      <w:pPr>
        <w:widowControl/>
        <w:snapToGrid w:val="0"/>
        <w:spacing w:line="360" w:lineRule="auto"/>
        <w:jc w:val="left"/>
        <w:rPr>
          <w:rFonts w:ascii="宋体" w:hAnsi="宋体" w:cs="宋体"/>
          <w:kern w:val="0"/>
          <w:sz w:val="24"/>
          <w:shd w:val="clear" w:color="auto" w:fill="FFFFFF"/>
        </w:rPr>
      </w:pP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投标供应商名称：</w:t>
      </w:r>
      <w:r>
        <w:rPr>
          <w:rFonts w:hint="eastAsia" w:ascii="宋体" w:hAnsi="宋体" w:cs="宋体"/>
          <w:kern w:val="0"/>
          <w:sz w:val="24"/>
          <w:u w:val="single"/>
          <w:shd w:val="clear" w:color="auto" w:fill="FFFFFF"/>
        </w:rPr>
        <w:t xml:space="preserve">            </w:t>
      </w:r>
      <w:r>
        <w:rPr>
          <w:rFonts w:hint="eastAsia" w:ascii="宋体" w:hAnsi="宋体" w:cs="宋体"/>
          <w:bCs/>
          <w:sz w:val="24"/>
        </w:rPr>
        <w:t>（盖单位公章）</w:t>
      </w:r>
    </w:p>
    <w:p>
      <w:pPr>
        <w:widowControl/>
        <w:snapToGrid w:val="0"/>
        <w:spacing w:line="360" w:lineRule="auto"/>
        <w:jc w:val="left"/>
        <w:rPr>
          <w:rFonts w:ascii="宋体" w:hAnsi="宋体" w:cs="宋体"/>
          <w:kern w:val="0"/>
          <w:sz w:val="24"/>
          <w:u w:val="single"/>
          <w:shd w:val="clear" w:color="auto" w:fill="FFFFFF"/>
        </w:rPr>
      </w:pPr>
    </w:p>
    <w:p>
      <w:pPr>
        <w:widowControl/>
        <w:snapToGrid w:val="0"/>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w:t>
      </w:r>
    </w:p>
    <w:p>
      <w:pPr>
        <w:rPr>
          <w:rFonts w:ascii="新宋体" w:hAnsi="新宋体" w:eastAsia="新宋体" w:cs="新宋体"/>
          <w:kern w:val="0"/>
          <w:sz w:val="24"/>
        </w:rPr>
      </w:pPr>
    </w:p>
    <w:p>
      <w:pPr>
        <w:rPr>
          <w:rFonts w:ascii="新宋体" w:hAnsi="新宋体" w:eastAsia="新宋体" w:cs="新宋体"/>
          <w:kern w:val="0"/>
          <w:sz w:val="24"/>
        </w:rPr>
      </w:pPr>
    </w:p>
    <w:p>
      <w:pPr>
        <w:jc w:val="left"/>
        <w:rPr>
          <w:rFonts w:ascii="新宋体" w:hAnsi="新宋体" w:eastAsia="新宋体" w:cs="新宋体"/>
          <w:b/>
          <w:bCs/>
          <w:kern w:val="0"/>
          <w:sz w:val="24"/>
        </w:rPr>
      </w:pPr>
      <w:r>
        <w:rPr>
          <w:rFonts w:hint="eastAsia" w:ascii="新宋体" w:hAnsi="新宋体" w:eastAsia="新宋体" w:cs="新宋体"/>
          <w:b/>
          <w:bCs/>
          <w:kern w:val="0"/>
          <w:sz w:val="24"/>
        </w:rPr>
        <w:t>注：法人参与本项目投标及相关事宜的需提供本项资料，后附法定代表人身份证复印件。</w:t>
      </w:r>
    </w:p>
    <w:p>
      <w:pPr>
        <w:rPr>
          <w:rFonts w:ascii="宋体" w:hAnsi="宋体" w:cs="宋体"/>
          <w:b/>
          <w:bCs/>
          <w:kern w:val="0"/>
          <w:sz w:val="24"/>
        </w:rPr>
      </w:pPr>
      <w:r>
        <w:rPr>
          <w:rFonts w:hint="eastAsia" w:ascii="宋体" w:hAnsi="宋体" w:cs="宋体"/>
          <w:b/>
          <w:bCs/>
          <w:kern w:val="0"/>
          <w:sz w:val="24"/>
        </w:rPr>
        <w:br w:type="page"/>
      </w:r>
    </w:p>
    <w:p>
      <w:pPr>
        <w:pStyle w:val="4"/>
        <w:rPr>
          <w:rFonts w:ascii="新宋体" w:hAnsi="新宋体" w:eastAsia="新宋体" w:cs="新宋体"/>
        </w:rPr>
      </w:pPr>
      <w:r>
        <w:rPr>
          <w:rFonts w:hint="eastAsia" w:ascii="新宋体" w:hAnsi="新宋体" w:eastAsia="新宋体" w:cs="新宋体"/>
        </w:rPr>
        <w:t>四、法定代表人授权委托书</w:t>
      </w:r>
    </w:p>
    <w:p>
      <w:pPr>
        <w:spacing w:before="104" w:line="185" w:lineRule="auto"/>
        <w:ind w:firstLine="3053"/>
        <w:rPr>
          <w:rFonts w:ascii="宋体" w:hAnsi="宋体" w:cs="宋体"/>
          <w:sz w:val="32"/>
          <w:szCs w:val="32"/>
        </w:rPr>
      </w:pPr>
      <w:r>
        <w:rPr>
          <w:rFonts w:ascii="宋体" w:hAnsi="宋体" w:cs="宋体"/>
          <w:spacing w:val="-1"/>
          <w:sz w:val="32"/>
          <w:szCs w:val="32"/>
          <w14:textOutline w14:w="5791" w14:cap="sq" w14:cmpd="sng" w14:algn="ctr">
            <w14:solidFill>
              <w14:srgbClr w14:val="000000"/>
            </w14:solidFill>
            <w14:prstDash w14:val="solid"/>
            <w14:bevel/>
          </w14:textOutline>
        </w:rPr>
        <w:t>法定代表人授权委托书</w:t>
      </w:r>
    </w:p>
    <w:p>
      <w:pPr>
        <w:pStyle w:val="23"/>
        <w:spacing w:beforeAutospacing="0" w:afterAutospacing="0" w:line="520" w:lineRule="atLeast"/>
        <w:rPr>
          <w:rFonts w:ascii="宋体" w:hAnsi="宋体" w:cs="宋体"/>
        </w:rPr>
      </w:pPr>
      <w:r>
        <w:rPr>
          <w:rFonts w:ascii="Helvetica" w:hAnsi="Helvetica" w:eastAsia="Helvetica" w:cs="Helvetica"/>
          <w:b/>
          <w:bCs/>
          <w:sz w:val="28"/>
          <w:szCs w:val="28"/>
        </w:rPr>
        <w:t>永道工程咨询（江苏）有限公司</w:t>
      </w:r>
      <w:r>
        <w:rPr>
          <w:rFonts w:hint="eastAsia" w:ascii="Helvetica" w:hAnsi="Helvetica" w:cs="Helvetica"/>
          <w:b/>
          <w:bCs/>
          <w:sz w:val="28"/>
          <w:szCs w:val="28"/>
        </w:rPr>
        <w:t>：</w:t>
      </w:r>
    </w:p>
    <w:p>
      <w:pPr>
        <w:spacing w:line="265" w:lineRule="auto"/>
        <w:rPr>
          <w:rFonts w:ascii="宋体"/>
        </w:rPr>
      </w:pPr>
    </w:p>
    <w:p>
      <w:pPr>
        <w:spacing w:before="78" w:line="479" w:lineRule="auto"/>
        <w:ind w:firstLine="480"/>
        <w:rPr>
          <w:rFonts w:ascii="宋体" w:hAnsi="宋体" w:cs="宋体"/>
          <w:sz w:val="24"/>
        </w:rPr>
      </w:pPr>
      <w:r>
        <w:rPr>
          <w:rFonts w:ascii="宋体" w:hAnsi="宋体" w:cs="宋体"/>
          <w:spacing w:val="-3"/>
          <w:sz w:val="24"/>
        </w:rPr>
        <w:t>我公司法定代表人</w:t>
      </w:r>
      <w:r>
        <w:rPr>
          <w:rFonts w:ascii="宋体" w:hAnsi="宋体" w:cs="宋体"/>
          <w:spacing w:val="1"/>
          <w:sz w:val="24"/>
          <w:u w:val="single"/>
        </w:rPr>
        <w:t xml:space="preserve">        </w:t>
      </w:r>
      <w:r>
        <w:rPr>
          <w:rFonts w:ascii="宋体" w:hAnsi="宋体" w:cs="宋体"/>
          <w:spacing w:val="-3"/>
          <w:sz w:val="24"/>
        </w:rPr>
        <w:t>授权委托</w:t>
      </w:r>
      <w:r>
        <w:rPr>
          <w:rFonts w:ascii="宋体" w:hAnsi="宋体" w:cs="宋体"/>
          <w:spacing w:val="7"/>
          <w:sz w:val="24"/>
          <w:u w:val="single"/>
        </w:rPr>
        <w:t xml:space="preserve">         </w:t>
      </w:r>
      <w:r>
        <w:rPr>
          <w:rFonts w:ascii="宋体" w:hAnsi="宋体" w:cs="宋体"/>
          <w:spacing w:val="-3"/>
          <w:sz w:val="24"/>
          <w:u w:val="single"/>
        </w:rPr>
        <w:t>（公司职务</w:t>
      </w:r>
      <w:r>
        <w:rPr>
          <w:rFonts w:ascii="宋体" w:hAnsi="宋体" w:cs="宋体"/>
          <w:spacing w:val="-95"/>
          <w:sz w:val="24"/>
          <w:u w:val="single"/>
        </w:rPr>
        <w:t>：</w:t>
      </w:r>
      <w:r>
        <w:rPr>
          <w:rFonts w:ascii="宋体" w:hAnsi="宋体" w:cs="宋体"/>
          <w:spacing w:val="17"/>
          <w:sz w:val="24"/>
          <w:u w:val="single"/>
        </w:rPr>
        <w:t xml:space="preserve">       </w:t>
      </w:r>
      <w:r>
        <w:rPr>
          <w:rFonts w:ascii="宋体" w:hAnsi="宋体" w:cs="宋体"/>
          <w:spacing w:val="-95"/>
          <w:sz w:val="24"/>
          <w:u w:val="single"/>
        </w:rPr>
        <w:t>）</w:t>
      </w:r>
      <w:r>
        <w:rPr>
          <w:rFonts w:ascii="宋体" w:hAnsi="宋体" w:cs="宋体"/>
          <w:spacing w:val="-45"/>
          <w:sz w:val="24"/>
          <w:u w:val="single"/>
        </w:rPr>
        <w:t xml:space="preserve"> </w:t>
      </w:r>
      <w:r>
        <w:rPr>
          <w:rFonts w:ascii="宋体" w:hAnsi="宋体" w:cs="宋体"/>
          <w:spacing w:val="-3"/>
          <w:sz w:val="24"/>
        </w:rPr>
        <w:t>为其代理人，</w:t>
      </w:r>
      <w:r>
        <w:rPr>
          <w:rFonts w:ascii="宋体" w:hAnsi="宋体" w:cs="宋体"/>
          <w:sz w:val="24"/>
        </w:rPr>
        <w:t xml:space="preserve"> </w:t>
      </w:r>
      <w:r>
        <w:rPr>
          <w:rFonts w:ascii="宋体" w:hAnsi="宋体" w:cs="宋体"/>
          <w:spacing w:val="-1"/>
          <w:sz w:val="24"/>
        </w:rPr>
        <w:t>参加贵单位于</w:t>
      </w:r>
      <w:r>
        <w:rPr>
          <w:rFonts w:ascii="宋体" w:hAnsi="宋体" w:cs="宋体"/>
          <w:spacing w:val="-26"/>
          <w:sz w:val="24"/>
        </w:rPr>
        <w:t xml:space="preserve"> </w:t>
      </w:r>
      <w:r>
        <w:rPr>
          <w:rFonts w:ascii="宋体" w:hAnsi="宋体" w:cs="宋体"/>
          <w:spacing w:val="-1"/>
          <w:sz w:val="24"/>
        </w:rPr>
        <w:t>202</w:t>
      </w:r>
      <w:r>
        <w:rPr>
          <w:rFonts w:hint="eastAsia" w:ascii="宋体" w:hAnsi="宋体" w:cs="宋体"/>
          <w:spacing w:val="-1"/>
          <w:sz w:val="24"/>
          <w:lang w:val="en-US" w:eastAsia="zh-CN"/>
        </w:rPr>
        <w:t>3</w:t>
      </w:r>
      <w:r>
        <w:rPr>
          <w:rFonts w:ascii="宋体" w:hAnsi="宋体" w:cs="宋体"/>
          <w:spacing w:val="-47"/>
          <w:sz w:val="24"/>
        </w:rPr>
        <w:t xml:space="preserve"> </w:t>
      </w:r>
      <w:r>
        <w:rPr>
          <w:rFonts w:ascii="宋体" w:hAnsi="宋体" w:cs="宋体"/>
          <w:spacing w:val="-1"/>
          <w:sz w:val="24"/>
        </w:rPr>
        <w:t>年</w:t>
      </w:r>
      <w:r>
        <w:rPr>
          <w:rFonts w:ascii="宋体" w:hAnsi="宋体" w:cs="宋体"/>
          <w:spacing w:val="7"/>
          <w:sz w:val="24"/>
          <w:u w:val="single"/>
        </w:rPr>
        <w:t xml:space="preserve">     </w:t>
      </w:r>
      <w:r>
        <w:rPr>
          <w:rFonts w:ascii="宋体" w:hAnsi="宋体" w:cs="宋体"/>
          <w:spacing w:val="-1"/>
          <w:sz w:val="24"/>
        </w:rPr>
        <w:t>月</w:t>
      </w:r>
      <w:r>
        <w:rPr>
          <w:rFonts w:ascii="宋体" w:hAnsi="宋体" w:cs="宋体"/>
          <w:spacing w:val="12"/>
          <w:sz w:val="24"/>
          <w:u w:val="single"/>
        </w:rPr>
        <w:t xml:space="preserve">      </w:t>
      </w:r>
      <w:r>
        <w:rPr>
          <w:rFonts w:ascii="宋体" w:hAnsi="宋体" w:cs="宋体"/>
          <w:spacing w:val="-1"/>
          <w:sz w:val="24"/>
        </w:rPr>
        <w:t>日组织的“</w:t>
      </w:r>
      <w:r>
        <w:rPr>
          <w:rFonts w:ascii="宋体" w:hAnsi="宋体" w:cs="宋体"/>
          <w:spacing w:val="-1"/>
          <w:sz w:val="24"/>
          <w14:textOutline w14:w="4356" w14:cap="sq" w14:cmpd="sng" w14:algn="ctr">
            <w14:solidFill>
              <w14:srgbClr w14:val="000000"/>
            </w14:solidFill>
            <w14:prstDash w14:val="solid"/>
            <w14:bevel/>
          </w14:textOutline>
        </w:rPr>
        <w:t>(</w:t>
      </w:r>
      <w:r>
        <w:rPr>
          <w:rFonts w:hint="eastAsia" w:ascii="宋体" w:hAnsi="宋体" w:cs="宋体"/>
          <w:spacing w:val="-1"/>
          <w:sz w:val="24"/>
          <w14:textOutline w14:w="4356" w14:cap="sq" w14:cmpd="sng" w14:algn="ctr">
            <w14:solidFill>
              <w14:srgbClr w14:val="000000"/>
            </w14:solidFill>
            <w14:prstDash w14:val="solid"/>
            <w14:bevel/>
          </w14:textOutline>
        </w:rPr>
        <w:t>拉萨市第一中等职业技术学校虚拟仿真实训实验室建设项目</w:t>
      </w:r>
      <w:r>
        <w:rPr>
          <w:rFonts w:ascii="宋体" w:hAnsi="宋体" w:cs="宋体"/>
          <w:spacing w:val="-6"/>
          <w:sz w:val="24"/>
          <w14:textOutline w14:w="4356" w14:cap="sq" w14:cmpd="sng" w14:algn="ctr">
            <w14:solidFill>
              <w14:srgbClr w14:val="000000"/>
            </w14:solidFill>
            <w14:prstDash w14:val="solid"/>
            <w14:bevel/>
          </w14:textOutline>
        </w:rPr>
        <w:t>）</w:t>
      </w:r>
      <w:r>
        <w:rPr>
          <w:rFonts w:ascii="宋体" w:hAnsi="宋体" w:cs="宋体"/>
          <w:spacing w:val="25"/>
          <w:sz w:val="24"/>
        </w:rPr>
        <w:t xml:space="preserve"> </w:t>
      </w:r>
      <w:r>
        <w:rPr>
          <w:rFonts w:ascii="宋体" w:hAnsi="宋体" w:cs="宋体"/>
          <w:spacing w:val="-6"/>
          <w:sz w:val="24"/>
          <w14:textOutline w14:w="4356" w14:cap="sq" w14:cmpd="sng" w14:algn="ctr">
            <w14:solidFill>
              <w14:srgbClr w14:val="000000"/>
            </w14:solidFill>
            <w14:prstDash w14:val="solid"/>
            <w14:bevel/>
          </w14:textOutline>
        </w:rPr>
        <w:t>”</w:t>
      </w:r>
      <w:r>
        <w:rPr>
          <w:rFonts w:ascii="宋体" w:hAnsi="宋体" w:cs="宋体"/>
          <w:spacing w:val="-6"/>
          <w:sz w:val="24"/>
        </w:rPr>
        <w:t>采购活动，并全权代表我公司处理活动中的一切事宜，我公司</w:t>
      </w:r>
      <w:r>
        <w:rPr>
          <w:rFonts w:ascii="宋体" w:hAnsi="宋体" w:cs="宋体"/>
          <w:sz w:val="24"/>
        </w:rPr>
        <w:t xml:space="preserve"> </w:t>
      </w:r>
      <w:r>
        <w:rPr>
          <w:rFonts w:ascii="宋体" w:hAnsi="宋体" w:cs="宋体"/>
          <w:spacing w:val="-3"/>
          <w:sz w:val="24"/>
        </w:rPr>
        <w:t>均予承认。</w:t>
      </w:r>
    </w:p>
    <w:p>
      <w:pPr>
        <w:spacing w:before="1" w:line="202" w:lineRule="auto"/>
        <w:ind w:firstLine="360"/>
        <w:rPr>
          <w:rFonts w:ascii="宋体" w:hAnsi="宋体" w:cs="宋体"/>
          <w:sz w:val="24"/>
        </w:rPr>
      </w:pPr>
      <w:r>
        <w:rPr>
          <w:rFonts w:ascii="宋体" w:hAnsi="宋体" w:cs="宋体"/>
          <w:spacing w:val="-5"/>
          <w:sz w:val="24"/>
        </w:rPr>
        <w:t>本授权书自</w:t>
      </w:r>
      <w:r>
        <w:rPr>
          <w:rFonts w:ascii="宋体" w:hAnsi="宋体" w:cs="宋体"/>
          <w:spacing w:val="2"/>
          <w:sz w:val="24"/>
          <w:u w:val="single"/>
        </w:rPr>
        <w:t xml:space="preserve">      </w:t>
      </w:r>
      <w:r>
        <w:rPr>
          <w:rFonts w:ascii="宋体" w:hAnsi="宋体" w:cs="宋体"/>
          <w:spacing w:val="-5"/>
          <w:sz w:val="24"/>
        </w:rPr>
        <w:t>年</w:t>
      </w:r>
      <w:r>
        <w:rPr>
          <w:rFonts w:ascii="宋体" w:hAnsi="宋体" w:cs="宋体"/>
          <w:spacing w:val="2"/>
          <w:sz w:val="24"/>
          <w:u w:val="single"/>
        </w:rPr>
        <w:t xml:space="preserve">      </w:t>
      </w:r>
      <w:r>
        <w:rPr>
          <w:rFonts w:ascii="宋体" w:hAnsi="宋体" w:cs="宋体"/>
          <w:spacing w:val="-5"/>
          <w:sz w:val="24"/>
        </w:rPr>
        <w:t>月</w:t>
      </w:r>
      <w:r>
        <w:rPr>
          <w:rFonts w:ascii="宋体" w:hAnsi="宋体" w:cs="宋体"/>
          <w:spacing w:val="9"/>
          <w:sz w:val="24"/>
          <w:u w:val="single"/>
        </w:rPr>
        <w:t xml:space="preserve">      </w:t>
      </w:r>
      <w:r>
        <w:rPr>
          <w:rFonts w:ascii="宋体" w:hAnsi="宋体" w:cs="宋体"/>
          <w:spacing w:val="-5"/>
          <w:sz w:val="24"/>
        </w:rPr>
        <w:t>日签字生效，特此声明。</w:t>
      </w:r>
    </w:p>
    <w:p/>
    <w:p>
      <w:pPr>
        <w:spacing w:line="69" w:lineRule="exact"/>
      </w:pPr>
    </w:p>
    <w:p>
      <w:pPr>
        <w:sectPr>
          <w:footerReference r:id="rId4" w:type="default"/>
          <w:pgSz w:w="11907" w:h="16840"/>
          <w:pgMar w:top="1354" w:right="1201" w:bottom="952" w:left="1337" w:header="0" w:footer="826" w:gutter="0"/>
          <w:pgNumType w:fmt="decimal" w:start="1"/>
          <w:cols w:equalWidth="0" w:num="1">
            <w:col w:w="9368"/>
          </w:cols>
        </w:sectPr>
      </w:pPr>
    </w:p>
    <w:p>
      <w:pPr>
        <w:spacing w:before="48" w:line="185" w:lineRule="auto"/>
        <w:ind w:firstLine="359"/>
        <w:rPr>
          <w:rFonts w:ascii="宋体" w:hAnsi="宋体" w:cs="宋体"/>
          <w:sz w:val="24"/>
        </w:rPr>
      </w:pPr>
      <w:r>
        <w:rPr>
          <w:rFonts w:ascii="宋体" w:hAnsi="宋体" w:cs="宋体"/>
          <w:spacing w:val="-1"/>
          <w:sz w:val="24"/>
        </w:rPr>
        <w:t>被授权代理人无转委托权,特此委托。</w:t>
      </w:r>
    </w:p>
    <w:p>
      <w:pPr>
        <w:spacing w:line="266" w:lineRule="auto"/>
        <w:rPr>
          <w:rFonts w:ascii="宋体"/>
        </w:rPr>
      </w:pPr>
    </w:p>
    <w:p>
      <w:pPr>
        <w:spacing w:before="79" w:line="624" w:lineRule="exact"/>
        <w:ind w:firstLine="361"/>
        <w:rPr>
          <w:rFonts w:ascii="宋体" w:hAnsi="宋体" w:cs="宋体"/>
          <w:sz w:val="24"/>
        </w:rPr>
      </w:pPr>
      <w:r>
        <w:rPr>
          <w:rFonts w:ascii="宋体" w:hAnsi="宋体" w:cs="宋体"/>
          <w:spacing w:val="2"/>
          <w:position w:val="29"/>
          <w:sz w:val="24"/>
        </w:rPr>
        <w:t>投标人名称（加盖公章</w:t>
      </w:r>
      <w:r>
        <w:rPr>
          <w:rFonts w:ascii="宋体" w:hAnsi="宋体" w:cs="宋体"/>
          <w:spacing w:val="-82"/>
          <w:position w:val="29"/>
          <w:sz w:val="24"/>
        </w:rPr>
        <w:t>）</w:t>
      </w:r>
      <w:r>
        <w:rPr>
          <w:rFonts w:ascii="宋体" w:hAnsi="宋体" w:cs="宋体"/>
          <w:spacing w:val="11"/>
          <w:position w:val="29"/>
          <w:sz w:val="24"/>
        </w:rPr>
        <w:t xml:space="preserve"> </w:t>
      </w:r>
      <w:r>
        <w:rPr>
          <w:rFonts w:ascii="宋体" w:hAnsi="宋体" w:cs="宋体"/>
          <w:spacing w:val="-82"/>
          <w:position w:val="29"/>
          <w:sz w:val="24"/>
        </w:rPr>
        <w:t>：</w:t>
      </w:r>
      <w:r>
        <w:rPr>
          <w:rFonts w:ascii="宋体" w:hAnsi="宋体" w:cs="宋体"/>
          <w:position w:val="29"/>
          <w:sz w:val="24"/>
          <w:u w:val="single"/>
        </w:rPr>
        <w:t xml:space="preserve">                 </w:t>
      </w:r>
    </w:p>
    <w:p>
      <w:pPr>
        <w:spacing w:line="185" w:lineRule="auto"/>
        <w:ind w:firstLine="360"/>
        <w:rPr>
          <w:rFonts w:ascii="宋体" w:hAnsi="宋体" w:cs="宋体"/>
          <w:sz w:val="24"/>
        </w:rPr>
      </w:pPr>
      <w:r>
        <w:rPr>
          <w:rFonts w:ascii="宋体" w:hAnsi="宋体" w:cs="宋体"/>
          <w:spacing w:val="2"/>
          <w:sz w:val="24"/>
        </w:rPr>
        <w:t>法定代表人（签字或印章</w:t>
      </w:r>
      <w:r>
        <w:rPr>
          <w:rFonts w:ascii="宋体" w:hAnsi="宋体" w:cs="宋体"/>
          <w:spacing w:val="-82"/>
          <w:sz w:val="24"/>
        </w:rPr>
        <w:t>）</w:t>
      </w:r>
      <w:r>
        <w:rPr>
          <w:rFonts w:ascii="宋体" w:hAnsi="宋体" w:cs="宋体"/>
          <w:spacing w:val="11"/>
          <w:sz w:val="24"/>
        </w:rPr>
        <w:t xml:space="preserve"> </w:t>
      </w:r>
      <w:r>
        <w:rPr>
          <w:rFonts w:ascii="宋体" w:hAnsi="宋体" w:cs="宋体"/>
          <w:spacing w:val="-82"/>
          <w:sz w:val="24"/>
        </w:rPr>
        <w:t>：</w:t>
      </w:r>
      <w:r>
        <w:rPr>
          <w:rFonts w:ascii="宋体" w:hAnsi="宋体" w:cs="宋体"/>
          <w:sz w:val="24"/>
          <w:u w:val="single"/>
        </w:rPr>
        <w:t xml:space="preserve">               </w:t>
      </w:r>
    </w:p>
    <w:p>
      <w:pPr>
        <w:spacing w:line="14" w:lineRule="auto"/>
        <w:rPr>
          <w:rFonts w:ascii="宋体"/>
          <w:sz w:val="2"/>
        </w:rPr>
      </w:pPr>
      <w:r>
        <w:rPr>
          <w:rFonts w:ascii="宋体" w:hAnsi="宋体" w:cs="宋体"/>
          <w:sz w:val="2"/>
          <w:szCs w:val="2"/>
        </w:rPr>
        <w:br w:type="column"/>
      </w:r>
    </w:p>
    <w:p>
      <w:pPr>
        <w:spacing w:line="259" w:lineRule="auto"/>
        <w:rPr>
          <w:rFonts w:ascii="宋体"/>
        </w:rPr>
      </w:pPr>
    </w:p>
    <w:p>
      <w:pPr>
        <w:spacing w:line="260" w:lineRule="auto"/>
        <w:rPr>
          <w:rFonts w:ascii="宋体"/>
        </w:rPr>
      </w:pPr>
    </w:p>
    <w:p>
      <w:pPr>
        <w:spacing w:before="78" w:line="185" w:lineRule="auto"/>
        <w:ind w:firstLine="172"/>
        <w:rPr>
          <w:rFonts w:ascii="宋体" w:hAnsi="宋体" w:cs="宋体"/>
          <w:sz w:val="24"/>
        </w:rPr>
      </w:pPr>
      <w:r>
        <w:rPr>
          <w:rFonts w:ascii="宋体" w:hAnsi="宋体" w:cs="宋体"/>
          <w:spacing w:val="-18"/>
          <w:w w:val="76"/>
          <w:sz w:val="24"/>
        </w:rPr>
        <w:t>日</w:t>
      </w:r>
      <w:r>
        <w:rPr>
          <w:rFonts w:ascii="宋体" w:hAnsi="宋体" w:cs="宋体"/>
          <w:spacing w:val="3"/>
          <w:sz w:val="24"/>
        </w:rPr>
        <w:t xml:space="preserve">    </w:t>
      </w:r>
      <w:r>
        <w:rPr>
          <w:rFonts w:ascii="宋体" w:hAnsi="宋体" w:cs="宋体"/>
          <w:spacing w:val="-18"/>
          <w:w w:val="76"/>
          <w:sz w:val="24"/>
        </w:rPr>
        <w:t>期：</w:t>
      </w:r>
      <w:r>
        <w:rPr>
          <w:rFonts w:ascii="宋体" w:hAnsi="宋体" w:cs="宋体"/>
          <w:sz w:val="24"/>
          <w:u w:val="single"/>
        </w:rPr>
        <w:t xml:space="preserve">                     </w:t>
      </w:r>
    </w:p>
    <w:p>
      <w:pPr>
        <w:spacing w:line="268" w:lineRule="auto"/>
        <w:rPr>
          <w:rFonts w:ascii="宋体"/>
        </w:rPr>
      </w:pPr>
    </w:p>
    <w:p>
      <w:pPr>
        <w:spacing w:before="79" w:line="185" w:lineRule="auto"/>
        <w:ind w:firstLine="138"/>
        <w:rPr>
          <w:rFonts w:ascii="宋体" w:hAnsi="宋体" w:cs="宋体"/>
          <w:sz w:val="24"/>
        </w:rPr>
      </w:pPr>
      <w:r>
        <w:rPr>
          <w:rFonts w:ascii="宋体" w:hAnsi="宋体" w:cs="宋体"/>
          <w:spacing w:val="-22"/>
          <w:w w:val="94"/>
          <w:sz w:val="24"/>
        </w:rPr>
        <w:t>身份证号：</w:t>
      </w:r>
      <w:r>
        <w:rPr>
          <w:rFonts w:ascii="宋体" w:hAnsi="宋体" w:cs="宋体"/>
          <w:sz w:val="24"/>
          <w:u w:val="single"/>
        </w:rPr>
        <w:t xml:space="preserve">                     </w:t>
      </w:r>
    </w:p>
    <w:p>
      <w:pPr>
        <w:sectPr>
          <w:type w:val="continuous"/>
          <w:pgSz w:w="11907" w:h="16840"/>
          <w:pgMar w:top="1354" w:right="1201" w:bottom="952" w:left="1337" w:header="0" w:footer="826" w:gutter="0"/>
          <w:pgNumType w:fmt="decimal"/>
          <w:cols w:equalWidth="0" w:num="2">
            <w:col w:w="5288" w:space="100"/>
            <w:col w:w="3981"/>
          </w:cols>
        </w:sectPr>
      </w:pPr>
    </w:p>
    <w:p>
      <w:pPr>
        <w:spacing w:line="266" w:lineRule="auto"/>
        <w:rPr>
          <w:rFonts w:ascii="宋体"/>
        </w:rPr>
      </w:pPr>
    </w:p>
    <w:p>
      <w:pPr>
        <w:spacing w:before="78" w:line="478" w:lineRule="auto"/>
        <w:ind w:left="359" w:right="273" w:firstLine="3486"/>
        <w:rPr>
          <w:rFonts w:ascii="宋体" w:hAnsi="宋体" w:cs="宋体"/>
          <w:sz w:val="24"/>
        </w:rPr>
      </w:pPr>
      <w:r>
        <w:rPr>
          <w:rFonts w:ascii="宋体" w:hAnsi="宋体" w:cs="宋体"/>
          <w:spacing w:val="-2"/>
          <w:sz w:val="24"/>
        </w:rPr>
        <w:t>（附加盖投标人公章的法定代表人身份证复印件）</w:t>
      </w:r>
      <w:r>
        <w:rPr>
          <w:rFonts w:ascii="宋体" w:hAnsi="宋体" w:cs="宋体"/>
          <w:spacing w:val="12"/>
          <w:sz w:val="24"/>
        </w:rPr>
        <w:t xml:space="preserve"> </w:t>
      </w:r>
      <w:r>
        <w:rPr>
          <w:rFonts w:ascii="宋体" w:hAnsi="宋体" w:cs="宋体"/>
          <w:spacing w:val="-24"/>
          <w:w w:val="99"/>
          <w:sz w:val="24"/>
        </w:rPr>
        <w:t>被授权代理人签字：</w:t>
      </w:r>
      <w:r>
        <w:rPr>
          <w:rFonts w:ascii="宋体" w:hAnsi="宋体" w:cs="宋体"/>
          <w:spacing w:val="3"/>
          <w:sz w:val="24"/>
          <w:u w:val="single"/>
        </w:rPr>
        <w:t xml:space="preserve">                         </w:t>
      </w:r>
      <w:r>
        <w:rPr>
          <w:rFonts w:ascii="宋体" w:hAnsi="宋体" w:cs="宋体"/>
          <w:spacing w:val="-24"/>
          <w:w w:val="99"/>
          <w:sz w:val="24"/>
        </w:rPr>
        <w:t>身份证号：</w:t>
      </w:r>
      <w:r>
        <w:rPr>
          <w:rFonts w:ascii="宋体" w:hAnsi="宋体" w:cs="宋体"/>
          <w:sz w:val="24"/>
          <w:u w:val="single"/>
        </w:rPr>
        <w:t xml:space="preserve">                     </w:t>
      </w:r>
    </w:p>
    <w:p>
      <w:pPr>
        <w:spacing w:before="3" w:line="202" w:lineRule="auto"/>
        <w:ind w:firstLine="17"/>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附</w:t>
      </w:r>
      <w:r>
        <w:rPr>
          <w:rFonts w:ascii="宋体" w:hAnsi="宋体" w:cs="宋体"/>
          <w:spacing w:val="3"/>
          <w:sz w:val="24"/>
        </w:rPr>
        <w:t xml:space="preserve">   </w:t>
      </w:r>
      <w:r>
        <w:rPr>
          <w:rFonts w:ascii="宋体" w:hAnsi="宋体" w:cs="宋体"/>
          <w:spacing w:val="-1"/>
          <w:sz w:val="24"/>
        </w:rPr>
        <w:t>法定代表人授权代理人情况（附加盖投标人公章的代理人身份证复印件</w:t>
      </w:r>
      <w:r>
        <w:rPr>
          <w:rFonts w:ascii="宋体" w:hAnsi="宋体" w:cs="宋体"/>
          <w:spacing w:val="-54"/>
          <w:sz w:val="24"/>
        </w:rPr>
        <w:t>）</w:t>
      </w:r>
      <w:r>
        <w:rPr>
          <w:rFonts w:ascii="宋体" w:hAnsi="宋体" w:cs="宋体"/>
          <w:spacing w:val="-18"/>
          <w:sz w:val="24"/>
        </w:rPr>
        <w:t xml:space="preserve"> </w:t>
      </w:r>
      <w:r>
        <w:rPr>
          <w:rFonts w:ascii="宋体" w:hAnsi="宋体" w:cs="宋体"/>
          <w:spacing w:val="-54"/>
          <w:sz w:val="24"/>
        </w:rPr>
        <w:t>：</w:t>
      </w:r>
    </w:p>
    <w:p>
      <w:pPr>
        <w:spacing w:line="247" w:lineRule="auto"/>
        <w:rPr>
          <w:rFonts w:ascii="宋体"/>
        </w:rPr>
      </w:pPr>
    </w:p>
    <w:p>
      <w:pPr>
        <w:spacing w:before="78" w:line="185" w:lineRule="auto"/>
        <w:ind w:firstLine="599"/>
        <w:rPr>
          <w:rFonts w:ascii="宋体" w:hAnsi="宋体" w:cs="宋体"/>
          <w:sz w:val="24"/>
        </w:rPr>
      </w:pPr>
      <w:r>
        <w:rPr>
          <w:rFonts w:ascii="宋体" w:hAnsi="宋体" w:cs="宋体"/>
          <w:spacing w:val="-20"/>
          <w:w w:val="83"/>
          <w:sz w:val="24"/>
        </w:rPr>
        <w:t>姓名：</w:t>
      </w:r>
      <w:r>
        <w:rPr>
          <w:rFonts w:ascii="宋体" w:hAnsi="宋体" w:cs="宋体"/>
          <w:spacing w:val="2"/>
          <w:sz w:val="24"/>
          <w:u w:val="single"/>
        </w:rPr>
        <w:t xml:space="preserve">                            </w:t>
      </w:r>
      <w:r>
        <w:rPr>
          <w:rFonts w:ascii="宋体" w:hAnsi="宋体" w:cs="宋体"/>
          <w:spacing w:val="-20"/>
          <w:w w:val="83"/>
          <w:sz w:val="24"/>
        </w:rPr>
        <w:t>性别：</w:t>
      </w:r>
      <w:r>
        <w:rPr>
          <w:rFonts w:ascii="宋体" w:hAnsi="宋体" w:cs="宋体"/>
          <w:sz w:val="24"/>
          <w:u w:val="single"/>
        </w:rPr>
        <w:t xml:space="preserve">                        </w:t>
      </w:r>
    </w:p>
    <w:p>
      <w:pPr>
        <w:spacing w:line="268" w:lineRule="auto"/>
        <w:rPr>
          <w:rFonts w:ascii="宋体"/>
        </w:rPr>
      </w:pPr>
    </w:p>
    <w:p>
      <w:pPr>
        <w:spacing w:before="79" w:line="185" w:lineRule="auto"/>
        <w:ind w:firstLine="600"/>
        <w:rPr>
          <w:rFonts w:ascii="宋体" w:hAnsi="宋体" w:cs="宋体"/>
          <w:sz w:val="24"/>
        </w:rPr>
      </w:pPr>
      <w:r>
        <w:rPr>
          <w:rFonts w:ascii="宋体" w:hAnsi="宋体" w:cs="宋体"/>
          <w:spacing w:val="-20"/>
          <w:w w:val="83"/>
          <w:sz w:val="24"/>
        </w:rPr>
        <w:t>年龄：</w:t>
      </w:r>
      <w:r>
        <w:rPr>
          <w:rFonts w:ascii="宋体" w:hAnsi="宋体" w:cs="宋体"/>
          <w:spacing w:val="2"/>
          <w:sz w:val="24"/>
          <w:u w:val="single"/>
        </w:rPr>
        <w:t xml:space="preserve">                            </w:t>
      </w:r>
      <w:r>
        <w:rPr>
          <w:rFonts w:ascii="宋体" w:hAnsi="宋体" w:cs="宋体"/>
          <w:spacing w:val="-20"/>
          <w:w w:val="83"/>
          <w:sz w:val="24"/>
        </w:rPr>
        <w:t>职务：</w:t>
      </w:r>
      <w:r>
        <w:rPr>
          <w:rFonts w:ascii="宋体" w:hAnsi="宋体" w:cs="宋体"/>
          <w:sz w:val="24"/>
          <w:u w:val="single"/>
        </w:rPr>
        <w:t xml:space="preserve">                        </w:t>
      </w:r>
    </w:p>
    <w:p>
      <w:pPr>
        <w:spacing w:line="266" w:lineRule="auto"/>
        <w:rPr>
          <w:rFonts w:ascii="宋体"/>
        </w:rPr>
      </w:pPr>
    </w:p>
    <w:p>
      <w:pPr>
        <w:spacing w:before="78" w:line="185" w:lineRule="auto"/>
        <w:ind w:firstLine="600"/>
        <w:rPr>
          <w:rFonts w:ascii="宋体" w:hAnsi="宋体" w:cs="宋体"/>
          <w:sz w:val="24"/>
        </w:rPr>
      </w:pPr>
      <w:r>
        <w:rPr>
          <w:rFonts w:ascii="宋体" w:hAnsi="宋体" w:cs="宋体"/>
          <w:spacing w:val="-21"/>
          <w:w w:val="90"/>
          <w:sz w:val="24"/>
        </w:rPr>
        <w:t>联系电话：</w:t>
      </w:r>
      <w:r>
        <w:rPr>
          <w:rFonts w:ascii="宋体" w:hAnsi="宋体" w:cs="宋体"/>
          <w:spacing w:val="2"/>
          <w:sz w:val="24"/>
          <w:u w:val="single"/>
        </w:rPr>
        <w:t xml:space="preserve">                        </w:t>
      </w:r>
      <w:r>
        <w:rPr>
          <w:rFonts w:ascii="宋体" w:hAnsi="宋体" w:cs="宋体"/>
          <w:spacing w:val="-21"/>
          <w:w w:val="90"/>
          <w:sz w:val="24"/>
        </w:rPr>
        <w:t>手机：</w:t>
      </w:r>
      <w:r>
        <w:rPr>
          <w:rFonts w:ascii="宋体" w:hAnsi="宋体" w:cs="宋体"/>
          <w:sz w:val="24"/>
          <w:u w:val="single"/>
        </w:rPr>
        <w:t xml:space="preserve">                        </w:t>
      </w:r>
    </w:p>
    <w:p>
      <w:pPr>
        <w:spacing w:line="266" w:lineRule="auto"/>
        <w:rPr>
          <w:rFonts w:ascii="宋体"/>
        </w:rPr>
      </w:pPr>
    </w:p>
    <w:p>
      <w:pPr>
        <w:spacing w:before="79" w:line="185" w:lineRule="auto"/>
        <w:ind w:firstLine="601"/>
        <w:rPr>
          <w:rFonts w:ascii="宋体" w:hAnsi="宋体" w:cs="宋体"/>
          <w:sz w:val="24"/>
        </w:rPr>
      </w:pPr>
      <w:r>
        <w:rPr>
          <w:rFonts w:ascii="宋体" w:hAnsi="宋体" w:cs="宋体"/>
          <w:spacing w:val="-24"/>
          <w:w w:val="99"/>
          <w:sz w:val="24"/>
        </w:rPr>
        <w:t>详细通信地址：</w:t>
      </w:r>
      <w:r>
        <w:rPr>
          <w:rFonts w:ascii="宋体" w:hAnsi="宋体" w:cs="宋体"/>
          <w:sz w:val="24"/>
          <w:u w:val="single"/>
        </w:rPr>
        <w:t xml:space="preserve">                                                 </w:t>
      </w:r>
    </w:p>
    <w:p>
      <w:pPr>
        <w:spacing w:line="268" w:lineRule="auto"/>
        <w:rPr>
          <w:rFonts w:ascii="宋体"/>
        </w:rPr>
      </w:pPr>
    </w:p>
    <w:p>
      <w:pPr>
        <w:spacing w:before="79" w:line="478" w:lineRule="auto"/>
        <w:ind w:left="1079" w:right="68" w:hanging="1078"/>
        <w:rPr>
          <w:rFonts w:ascii="宋体" w:hAnsi="宋体" w:cs="宋体"/>
          <w:sz w:val="24"/>
        </w:rPr>
      </w:pPr>
      <w:r>
        <w:rPr>
          <w:rFonts w:ascii="宋体" w:hAnsi="宋体" w:cs="宋体"/>
          <w:spacing w:val="-4"/>
          <w:sz w:val="24"/>
        </w:rPr>
        <w:t>说明：</w:t>
      </w:r>
      <w:r>
        <w:rPr>
          <w:rFonts w:ascii="宋体" w:hAnsi="宋体" w:cs="宋体"/>
          <w:spacing w:val="93"/>
          <w:sz w:val="24"/>
        </w:rPr>
        <w:t xml:space="preserve"> </w:t>
      </w:r>
      <w:r>
        <w:rPr>
          <w:rFonts w:ascii="宋体" w:hAnsi="宋体" w:cs="宋体"/>
          <w:spacing w:val="-4"/>
          <w:sz w:val="24"/>
        </w:rPr>
        <w:t>1、如法定代表人参加投标的投标文件中不需提供法定代表人授权委托书，但必须</w:t>
      </w:r>
      <w:r>
        <w:rPr>
          <w:rFonts w:ascii="宋体" w:hAnsi="宋体" w:cs="宋体"/>
          <w:sz w:val="24"/>
        </w:rPr>
        <w:t xml:space="preserve"> </w:t>
      </w:r>
      <w:r>
        <w:rPr>
          <w:rFonts w:ascii="宋体" w:hAnsi="宋体" w:cs="宋体"/>
          <w:spacing w:val="-1"/>
          <w:sz w:val="24"/>
        </w:rPr>
        <w:t>提供法定代表人身份证复印件。</w:t>
      </w:r>
    </w:p>
    <w:p>
      <w:pPr>
        <w:spacing w:line="624" w:lineRule="exact"/>
        <w:ind w:firstLine="719"/>
        <w:rPr>
          <w:rFonts w:ascii="宋体" w:hAnsi="宋体" w:cs="宋体"/>
          <w:sz w:val="24"/>
        </w:rPr>
      </w:pPr>
      <w:r>
        <w:rPr>
          <w:rFonts w:ascii="宋体" w:hAnsi="宋体" w:cs="宋体"/>
          <w:spacing w:val="1"/>
          <w:position w:val="29"/>
          <w:sz w:val="24"/>
        </w:rPr>
        <w:t>2、如委托代理人参加投标的，投标文件中必须提供法定代表人授权委托书，法定</w:t>
      </w:r>
    </w:p>
    <w:p>
      <w:pPr>
        <w:spacing w:line="185" w:lineRule="auto"/>
        <w:ind w:firstLine="715"/>
        <w:rPr>
          <w:rFonts w:ascii="宋体" w:hAnsi="宋体" w:cs="宋体"/>
          <w:sz w:val="24"/>
        </w:rPr>
      </w:pPr>
      <w:r>
        <w:rPr>
          <w:rFonts w:ascii="宋体" w:hAnsi="宋体" w:cs="宋体"/>
          <w:spacing w:val="-1"/>
          <w:sz w:val="24"/>
        </w:rPr>
        <w:t>代表人和委托代理人的身份证复印件。</w:t>
      </w:r>
    </w:p>
    <w:p>
      <w:pPr>
        <w:sectPr>
          <w:type w:val="continuous"/>
          <w:pgSz w:w="11907" w:h="16840"/>
          <w:pgMar w:top="1354" w:right="1201" w:bottom="952" w:left="1337" w:header="0" w:footer="826" w:gutter="0"/>
          <w:pgNumType w:fmt="decimal"/>
          <w:cols w:equalWidth="0" w:num="1">
            <w:col w:w="9368"/>
          </w:cols>
        </w:sectPr>
      </w:pPr>
    </w:p>
    <w:p>
      <w:pPr>
        <w:spacing w:line="360" w:lineRule="auto"/>
        <w:rPr>
          <w:rFonts w:asciiTheme="minorEastAsia" w:hAnsiTheme="minorEastAsia" w:eastAsiaTheme="minorEastAsia"/>
          <w:sz w:val="24"/>
        </w:rPr>
      </w:pPr>
    </w:p>
    <w:p>
      <w:pPr>
        <w:tabs>
          <w:tab w:val="left" w:pos="420"/>
          <w:tab w:val="left" w:pos="1134"/>
        </w:tabs>
        <w:rPr>
          <w:rFonts w:asciiTheme="minorEastAsia" w:hAnsiTheme="minorEastAsia" w:eastAsiaTheme="minorEastAsia"/>
          <w:b/>
          <w:sz w:val="24"/>
        </w:rPr>
      </w:pPr>
    </w:p>
    <w:p>
      <w:pPr>
        <w:tabs>
          <w:tab w:val="left" w:pos="420"/>
          <w:tab w:val="left" w:pos="1134"/>
        </w:tabs>
        <w:rPr>
          <w:rFonts w:asciiTheme="minorEastAsia" w:hAnsiTheme="minorEastAsia" w:eastAsiaTheme="minorEastAsia"/>
          <w:b/>
          <w:sz w:val="24"/>
        </w:rPr>
      </w:pPr>
    </w:p>
    <w:p>
      <w:pPr>
        <w:tabs>
          <w:tab w:val="left" w:pos="420"/>
          <w:tab w:val="left" w:pos="1134"/>
        </w:tabs>
        <w:rPr>
          <w:rFonts w:asciiTheme="minorEastAsia" w:hAnsiTheme="minorEastAsia" w:eastAsiaTheme="minorEastAsia"/>
          <w:b/>
          <w:sz w:val="24"/>
        </w:rPr>
      </w:pPr>
      <w:r>
        <w:rPr>
          <w:rFonts w:asciiTheme="minorEastAsia" w:hAnsiTheme="minorEastAsia" w:eastAsiaTheme="minorEastAsia"/>
          <w:b/>
          <w:sz w:val="24"/>
        </w:rPr>
        <w:t>附：</w:t>
      </w:r>
      <w:r>
        <w:rPr>
          <w:rFonts w:hint="eastAsia" w:asciiTheme="minorEastAsia" w:hAnsiTheme="minorEastAsia" w:eastAsiaTheme="minorEastAsia"/>
          <w:b/>
          <w:sz w:val="24"/>
        </w:rPr>
        <w:t>非</w:t>
      </w:r>
      <w:r>
        <w:rPr>
          <w:rFonts w:hint="eastAsia" w:ascii="宋体" w:hAnsi="宋体" w:cs="宋体"/>
          <w:b/>
          <w:bCs/>
          <w:kern w:val="0"/>
          <w:sz w:val="24"/>
        </w:rPr>
        <w:t>法人参与本项目投标及相关事宜的，需提供本项资料。后附</w:t>
      </w:r>
      <w:r>
        <w:rPr>
          <w:rFonts w:asciiTheme="minorEastAsia" w:hAnsiTheme="minorEastAsia" w:eastAsiaTheme="minorEastAsia"/>
          <w:b/>
          <w:sz w:val="24"/>
        </w:rPr>
        <w:t>法定代表人</w:t>
      </w:r>
      <w:r>
        <w:rPr>
          <w:rFonts w:hint="eastAsia" w:asciiTheme="minorEastAsia" w:hAnsiTheme="minorEastAsia" w:eastAsiaTheme="minorEastAsia"/>
          <w:b/>
          <w:sz w:val="24"/>
        </w:rPr>
        <w:t>和授权代表的</w:t>
      </w:r>
      <w:r>
        <w:rPr>
          <w:rFonts w:asciiTheme="minorEastAsia" w:hAnsiTheme="minorEastAsia" w:eastAsiaTheme="minorEastAsia"/>
          <w:b/>
          <w:sz w:val="24"/>
        </w:rPr>
        <w:t>身份证件复印件。</w:t>
      </w:r>
    </w:p>
    <w:p>
      <w:pPr>
        <w:sectPr>
          <w:headerReference r:id="rId5" w:type="default"/>
          <w:footerReference r:id="rId6" w:type="default"/>
          <w:pgSz w:w="11907" w:h="16840"/>
          <w:pgMar w:top="1440" w:right="1080" w:bottom="1440" w:left="1080" w:header="851" w:footer="992" w:gutter="0"/>
          <w:pgNumType w:fmt="decimal"/>
          <w:cols w:space="720" w:num="1"/>
          <w:docGrid w:linePitch="312" w:charSpace="0"/>
        </w:sectPr>
      </w:pPr>
    </w:p>
    <w:p>
      <w:pPr>
        <w:pStyle w:val="5"/>
        <w:ind w:firstLine="643"/>
        <w:jc w:val="center"/>
        <w:rPr>
          <w:rFonts w:ascii="宋体" w:hAnsi="宋体" w:cs="宋体"/>
          <w:sz w:val="28"/>
          <w:szCs w:val="28"/>
        </w:rPr>
      </w:pPr>
      <w:r>
        <w:rPr>
          <w:rFonts w:hint="eastAsia" w:ascii="宋体" w:hAnsi="宋体" w:cs="宋体"/>
          <w:sz w:val="32"/>
        </w:rPr>
        <w:t>五、开标一览表</w:t>
      </w:r>
    </w:p>
    <w:p>
      <w:pPr>
        <w:spacing w:line="360" w:lineRule="auto"/>
        <w:rPr>
          <w:rFonts w:ascii="宋体" w:hAnsi="宋体" w:cs="宋体"/>
          <w:b/>
          <w:bCs/>
          <w:sz w:val="24"/>
          <w:u w:val="single"/>
        </w:rPr>
      </w:pPr>
      <w:r>
        <w:rPr>
          <w:rFonts w:hint="eastAsia" w:ascii="宋体" w:hAnsi="宋体" w:cs="宋体"/>
          <w:b/>
          <w:sz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项目名称</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项目编号</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投标报价（元）</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供货期限</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供货地点</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投标保证金递交情况</w:t>
            </w:r>
          </w:p>
        </w:tc>
        <w:tc>
          <w:tcPr>
            <w:tcW w:w="7162" w:type="dxa"/>
            <w:vAlign w:val="center"/>
          </w:tcPr>
          <w:p>
            <w:pPr>
              <w:spacing w:line="360" w:lineRule="auto"/>
              <w:jc w:val="center"/>
              <w:rPr>
                <w:rFonts w:ascii="宋体" w:hAnsi="宋体" w:cs="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77" w:type="dxa"/>
            <w:vAlign w:val="center"/>
          </w:tcPr>
          <w:p>
            <w:pPr>
              <w:spacing w:line="360" w:lineRule="auto"/>
              <w:jc w:val="center"/>
              <w:rPr>
                <w:rFonts w:ascii="宋体" w:hAnsi="宋体" w:cs="宋体"/>
                <w:b/>
                <w:bCs/>
                <w:sz w:val="24"/>
              </w:rPr>
            </w:pPr>
            <w:r>
              <w:rPr>
                <w:rFonts w:hint="eastAsia" w:ascii="宋体" w:hAnsi="宋体" w:cs="宋体"/>
                <w:b/>
                <w:bCs/>
                <w:sz w:val="24"/>
              </w:rPr>
              <w:t>备注</w:t>
            </w:r>
          </w:p>
        </w:tc>
        <w:tc>
          <w:tcPr>
            <w:tcW w:w="7162" w:type="dxa"/>
            <w:vAlign w:val="center"/>
          </w:tcPr>
          <w:p>
            <w:pPr>
              <w:spacing w:line="360" w:lineRule="auto"/>
              <w:jc w:val="center"/>
              <w:rPr>
                <w:rFonts w:ascii="宋体" w:hAnsi="宋体" w:cs="宋体"/>
                <w:b/>
                <w:bCs/>
                <w:sz w:val="24"/>
                <w:u w:val="single"/>
              </w:rPr>
            </w:pPr>
          </w:p>
        </w:tc>
      </w:tr>
    </w:tbl>
    <w:p>
      <w:pPr>
        <w:spacing w:line="360" w:lineRule="auto"/>
        <w:rPr>
          <w:rFonts w:ascii="宋体" w:hAnsi="宋体" w:cs="宋体"/>
          <w:sz w:val="24"/>
        </w:rPr>
      </w:pPr>
    </w:p>
    <w:p>
      <w:pPr>
        <w:spacing w:line="360" w:lineRule="auto"/>
        <w:ind w:firstLine="240" w:firstLineChars="100"/>
        <w:rPr>
          <w:rFonts w:ascii="宋体" w:hAnsi="宋体" w:cs="宋体"/>
          <w:sz w:val="24"/>
        </w:rPr>
      </w:pPr>
      <w:r>
        <w:rPr>
          <w:rFonts w:hint="eastAsia" w:ascii="宋体" w:hAnsi="宋体" w:cs="宋体"/>
          <w:sz w:val="24"/>
        </w:rPr>
        <w:t>注：1. 报价应是最终用户验收合格后的总价。</w:t>
      </w:r>
    </w:p>
    <w:p>
      <w:pPr>
        <w:spacing w:line="360" w:lineRule="auto"/>
        <w:ind w:firstLine="720" w:firstLineChars="300"/>
        <w:rPr>
          <w:rFonts w:ascii="宋体" w:hAnsi="宋体" w:cs="宋体"/>
          <w:sz w:val="24"/>
        </w:rPr>
      </w:pPr>
      <w:r>
        <w:rPr>
          <w:rFonts w:hint="eastAsia" w:ascii="宋体" w:hAnsi="宋体" w:cs="宋体"/>
          <w:sz w:val="24"/>
        </w:rPr>
        <w:t>2.“开标一览表”为多页的，每页均需由法定代表人或授权代表签字并盖公章。</w:t>
      </w:r>
    </w:p>
    <w:p>
      <w:pPr>
        <w:spacing w:line="360" w:lineRule="auto"/>
        <w:ind w:firstLine="720" w:firstLineChars="300"/>
        <w:rPr>
          <w:rFonts w:ascii="宋体" w:hAnsi="宋体" w:cs="宋体"/>
          <w:sz w:val="24"/>
        </w:rPr>
      </w:pPr>
      <w:r>
        <w:rPr>
          <w:rFonts w:hint="eastAsia" w:ascii="宋体" w:hAnsi="宋体" w:cs="宋体"/>
          <w:sz w:val="24"/>
        </w:rPr>
        <w:t>3.以上表格如不能完全表达清楚供应商认为必要的费用明细，供应商可自行补充。</w:t>
      </w:r>
    </w:p>
    <w:p>
      <w:pPr>
        <w:pStyle w:val="12"/>
        <w:ind w:firstLine="720" w:firstLineChars="3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投标报价应包含小写及大写金额</w:t>
      </w:r>
    </w:p>
    <w:p>
      <w:pPr>
        <w:spacing w:line="360" w:lineRule="auto"/>
        <w:rPr>
          <w:rFonts w:ascii="宋体" w:hAnsi="宋体" w:cs="宋体"/>
          <w:sz w:val="24"/>
        </w:rPr>
      </w:pPr>
    </w:p>
    <w:p>
      <w:pPr>
        <w:spacing w:line="360" w:lineRule="auto"/>
        <w:ind w:firstLine="480" w:firstLineChars="200"/>
        <w:rPr>
          <w:rFonts w:ascii="宋体" w:hAnsi="宋体" w:cs="宋体"/>
          <w:bCs/>
          <w:sz w:val="24"/>
        </w:rPr>
      </w:pPr>
      <w:r>
        <w:rPr>
          <w:rFonts w:hint="eastAsia" w:ascii="宋体" w:hAnsi="宋体" w:cs="宋体"/>
          <w:sz w:val="24"/>
        </w:rPr>
        <w:t>投标供应商名称</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（盖单位公章）</w:t>
      </w:r>
    </w:p>
    <w:p>
      <w:pPr>
        <w:spacing w:line="360" w:lineRule="auto"/>
        <w:ind w:firstLine="480" w:firstLineChars="200"/>
        <w:rPr>
          <w:rFonts w:ascii="宋体" w:hAnsi="宋体" w:cs="宋体"/>
          <w:bCs/>
          <w:sz w:val="24"/>
          <w:u w:val="single"/>
        </w:rPr>
      </w:pPr>
      <w:r>
        <w:rPr>
          <w:rFonts w:hint="eastAsia" w:ascii="宋体" w:hAnsi="宋体" w:cs="宋体"/>
          <w:bCs/>
          <w:sz w:val="24"/>
        </w:rPr>
        <w:t>法定代表人或授权代表（签字）：</w:t>
      </w:r>
      <w:r>
        <w:rPr>
          <w:rFonts w:hint="eastAsia" w:ascii="宋体" w:hAnsi="宋体" w:cs="宋体"/>
          <w:bCs/>
          <w:sz w:val="24"/>
          <w:u w:val="single"/>
        </w:rPr>
        <w:t xml:space="preserve">            </w:t>
      </w:r>
    </w:p>
    <w:p>
      <w:pPr>
        <w:spacing w:line="360" w:lineRule="auto"/>
        <w:ind w:firstLine="480" w:firstLineChars="200"/>
        <w:rPr>
          <w:rFonts w:ascii="宋体" w:hAnsi="宋体" w:cs="宋体"/>
          <w:bCs/>
          <w:sz w:val="24"/>
        </w:rPr>
        <w:sectPr>
          <w:headerReference r:id="rId7" w:type="default"/>
          <w:pgSz w:w="11907" w:h="16840"/>
          <w:pgMar w:top="1134" w:right="1134" w:bottom="851" w:left="1418" w:header="851" w:footer="992" w:gutter="0"/>
          <w:pgNumType w:fmt="decimal"/>
          <w:cols w:space="720" w:num="1"/>
          <w:docGrid w:linePitch="312" w:charSpace="0"/>
        </w:sect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pStyle w:val="4"/>
        <w:rPr>
          <w:rFonts w:ascii="新宋体" w:hAnsi="新宋体" w:eastAsia="新宋体" w:cs="新宋体"/>
        </w:rPr>
      </w:pPr>
      <w:r>
        <w:rPr>
          <w:rFonts w:hint="eastAsia" w:ascii="新宋体" w:hAnsi="新宋体" w:eastAsia="新宋体" w:cs="新宋体"/>
        </w:rPr>
        <w:t>六、分项报价明细表</w:t>
      </w:r>
    </w:p>
    <w:p>
      <w:pPr>
        <w:rPr>
          <w:rFonts w:ascii="新宋体" w:hAnsi="新宋体" w:eastAsia="新宋体" w:cs="新宋体"/>
        </w:rPr>
      </w:pPr>
    </w:p>
    <w:p>
      <w:pPr>
        <w:rPr>
          <w:rFonts w:ascii="新宋体" w:hAnsi="新宋体" w:eastAsia="新宋体" w:cs="新宋体"/>
          <w:b/>
          <w:bCs/>
          <w:sz w:val="32"/>
          <w:szCs w:val="32"/>
          <w:u w:val="single"/>
        </w:rPr>
      </w:pPr>
      <w:r>
        <w:rPr>
          <w:rFonts w:hint="eastAsia" w:ascii="新宋体" w:hAnsi="新宋体" w:eastAsia="新宋体" w:cs="新宋体"/>
          <w:b/>
          <w:sz w:val="24"/>
        </w:rPr>
        <w:t>项目名称：                                         项目编号：</w:t>
      </w:r>
    </w:p>
    <w:tbl>
      <w:tblPr>
        <w:tblStyle w:val="26"/>
        <w:tblW w:w="875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1"/>
        <w:gridCol w:w="1423"/>
        <w:gridCol w:w="754"/>
        <w:gridCol w:w="754"/>
        <w:gridCol w:w="754"/>
        <w:gridCol w:w="705"/>
        <w:gridCol w:w="1182"/>
        <w:gridCol w:w="1254"/>
        <w:gridCol w:w="12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1" w:hRule="exac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r>
              <w:rPr>
                <w:rFonts w:hint="eastAsia" w:ascii="新宋体" w:hAnsi="新宋体" w:eastAsia="新宋体" w:cs="新宋体"/>
                <w:sz w:val="24"/>
              </w:rPr>
              <w:t>序号</w:t>
            </w: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r>
              <w:rPr>
                <w:rFonts w:hint="eastAsia" w:ascii="新宋体" w:hAnsi="新宋体" w:eastAsia="新宋体" w:cs="新宋体"/>
                <w:sz w:val="24"/>
              </w:rPr>
              <w:t>货物名称</w:t>
            </w: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sz w:val="24"/>
              </w:rPr>
            </w:pPr>
            <w:r>
              <w:rPr>
                <w:rFonts w:hint="eastAsia" w:ascii="新宋体" w:hAnsi="新宋体" w:eastAsia="新宋体" w:cs="新宋体"/>
                <w:sz w:val="24"/>
              </w:rPr>
              <w:t>品牌</w:t>
            </w: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sz w:val="24"/>
              </w:rPr>
            </w:pPr>
            <w:r>
              <w:rPr>
                <w:rFonts w:hint="eastAsia" w:ascii="新宋体" w:hAnsi="新宋体" w:eastAsia="新宋体" w:cs="新宋体"/>
                <w:sz w:val="24"/>
              </w:rPr>
              <w:t>规格型号</w:t>
            </w: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r>
              <w:rPr>
                <w:rFonts w:hint="eastAsia" w:ascii="新宋体" w:hAnsi="新宋体" w:eastAsia="新宋体" w:cs="新宋体"/>
                <w:sz w:val="24"/>
              </w:rPr>
              <w:t>数量</w:t>
            </w: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r>
              <w:rPr>
                <w:rFonts w:hint="eastAsia" w:ascii="新宋体" w:hAnsi="新宋体" w:eastAsia="新宋体" w:cs="新宋体"/>
                <w:sz w:val="24"/>
              </w:rPr>
              <w:t>单位</w:t>
            </w: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r>
              <w:rPr>
                <w:rFonts w:hint="eastAsia" w:ascii="新宋体" w:hAnsi="新宋体" w:eastAsia="新宋体" w:cs="新宋体"/>
                <w:sz w:val="24"/>
              </w:rPr>
              <w:t>单价（元）</w:t>
            </w: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sz w:val="24"/>
              </w:rPr>
            </w:pPr>
            <w:r>
              <w:rPr>
                <w:rFonts w:hint="eastAsia" w:ascii="新宋体" w:hAnsi="新宋体" w:eastAsia="新宋体" w:cs="新宋体"/>
                <w:sz w:val="24"/>
              </w:rPr>
              <w:t>总价（元）</w:t>
            </w: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sz w:val="24"/>
              </w:rPr>
            </w:pPr>
            <w:r>
              <w:rPr>
                <w:rFonts w:hint="eastAsia" w:ascii="新宋体" w:hAnsi="新宋体" w:eastAsia="新宋体" w:cs="新宋体"/>
                <w:sz w:val="24"/>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trPr>
        <w:tc>
          <w:tcPr>
            <w:tcW w:w="671"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423"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705"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182"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c>
          <w:tcPr>
            <w:tcW w:w="1254" w:type="dxa"/>
            <w:tcBorders>
              <w:tl2br w:val="nil"/>
              <w:tr2bl w:val="nil"/>
            </w:tcBorders>
            <w:noWrap/>
            <w:vAlign w:val="center"/>
          </w:tcPr>
          <w:p>
            <w:pPr>
              <w:widowControl/>
              <w:spacing w:line="360" w:lineRule="atLeast"/>
              <w:jc w:val="center"/>
              <w:outlineLvl w:val="1"/>
              <w:rPr>
                <w:rFonts w:ascii="新宋体" w:hAnsi="新宋体" w:eastAsia="新宋体" w:cs="新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trPr>
        <w:tc>
          <w:tcPr>
            <w:tcW w:w="8751" w:type="dxa"/>
            <w:gridSpan w:val="9"/>
            <w:tcBorders>
              <w:tl2br w:val="nil"/>
              <w:tr2bl w:val="nil"/>
            </w:tcBorders>
            <w:noWrap/>
            <w:vAlign w:val="center"/>
          </w:tcPr>
          <w:p>
            <w:pPr>
              <w:widowControl/>
              <w:spacing w:line="360" w:lineRule="atLeast"/>
              <w:outlineLvl w:val="1"/>
              <w:rPr>
                <w:rFonts w:ascii="新宋体" w:hAnsi="新宋体" w:eastAsia="新宋体" w:cs="新宋体"/>
                <w:sz w:val="24"/>
              </w:rPr>
            </w:pPr>
            <w:r>
              <w:rPr>
                <w:rFonts w:hint="eastAsia" w:ascii="新宋体" w:hAnsi="新宋体" w:eastAsia="新宋体" w:cs="新宋体"/>
                <w:sz w:val="24"/>
              </w:rPr>
              <w:t>分项报价合计人民币小写：</w:t>
            </w:r>
            <w:r>
              <w:rPr>
                <w:rFonts w:hint="eastAsia" w:ascii="新宋体" w:hAnsi="新宋体" w:eastAsia="新宋体" w:cs="新宋体"/>
                <w:sz w:val="24"/>
                <w:u w:val="single"/>
              </w:rPr>
              <w:t xml:space="preserve">          </w:t>
            </w:r>
            <w:r>
              <w:rPr>
                <w:rFonts w:hint="eastAsia" w:ascii="新宋体" w:hAnsi="新宋体" w:eastAsia="新宋体" w:cs="新宋体"/>
                <w:sz w:val="24"/>
              </w:rPr>
              <w:t>大写：</w:t>
            </w:r>
            <w:r>
              <w:rPr>
                <w:rFonts w:hint="eastAsia" w:ascii="新宋体" w:hAnsi="新宋体" w:eastAsia="新宋体" w:cs="新宋体"/>
                <w:sz w:val="24"/>
                <w:u w:val="single"/>
              </w:rPr>
              <w:t xml:space="preserve">                </w:t>
            </w:r>
          </w:p>
        </w:tc>
      </w:tr>
    </w:tbl>
    <w:p>
      <w:pPr>
        <w:rPr>
          <w:rFonts w:ascii="新宋体" w:hAnsi="新宋体" w:eastAsia="新宋体" w:cs="新宋体"/>
        </w:rPr>
      </w:pPr>
    </w:p>
    <w:p>
      <w:pPr>
        <w:spacing w:line="360" w:lineRule="auto"/>
        <w:jc w:val="left"/>
        <w:rPr>
          <w:rFonts w:ascii="新宋体" w:hAnsi="新宋体" w:eastAsia="新宋体" w:cs="新宋体"/>
          <w:sz w:val="24"/>
        </w:rPr>
      </w:pPr>
    </w:p>
    <w:p>
      <w:pPr>
        <w:rPr>
          <w:rFonts w:ascii="新宋体" w:hAnsi="新宋体" w:eastAsia="新宋体" w:cs="新宋体"/>
          <w:sz w:val="24"/>
        </w:rPr>
      </w:pPr>
      <w:r>
        <w:rPr>
          <w:rFonts w:hint="eastAsia" w:ascii="新宋体" w:hAnsi="新宋体" w:eastAsia="新宋体" w:cs="新宋体"/>
          <w:sz w:val="24"/>
        </w:rPr>
        <w:t>注：1、投标人必须按“分项报价明细表”的格式详细报出投标总价的各个组成部分的报价。</w:t>
      </w:r>
    </w:p>
    <w:p>
      <w:pPr>
        <w:spacing w:line="360" w:lineRule="auto"/>
        <w:jc w:val="left"/>
        <w:rPr>
          <w:rFonts w:ascii="新宋体" w:hAnsi="新宋体" w:eastAsia="新宋体" w:cs="新宋体"/>
          <w:sz w:val="24"/>
        </w:rPr>
      </w:pPr>
      <w:r>
        <w:rPr>
          <w:rFonts w:hint="eastAsia" w:ascii="新宋体" w:hAnsi="新宋体" w:eastAsia="新宋体" w:cs="新宋体"/>
          <w:sz w:val="24"/>
        </w:rPr>
        <w:t>2、“分项报价明细表”各分项报价合计应当与“开标一览表”投标总报价相等。</w:t>
      </w:r>
    </w:p>
    <w:p>
      <w:pPr>
        <w:spacing w:line="360" w:lineRule="auto"/>
        <w:jc w:val="left"/>
        <w:rPr>
          <w:rFonts w:ascii="新宋体" w:hAnsi="新宋体" w:eastAsia="新宋体" w:cs="新宋体"/>
          <w:sz w:val="24"/>
        </w:rPr>
      </w:pPr>
      <w:r>
        <w:rPr>
          <w:rFonts w:hint="eastAsia" w:ascii="新宋体" w:hAnsi="新宋体" w:eastAsia="新宋体" w:cs="新宋体"/>
          <w:sz w:val="24"/>
        </w:rPr>
        <w:t>3、“分项报价明细表”中，货物类的报价需包含明确的品牌和规格型号。</w:t>
      </w:r>
    </w:p>
    <w:p>
      <w:pPr>
        <w:spacing w:line="360" w:lineRule="auto"/>
        <w:jc w:val="left"/>
        <w:rPr>
          <w:rFonts w:ascii="新宋体" w:hAnsi="新宋体" w:eastAsia="新宋体" w:cs="新宋体"/>
          <w:sz w:val="24"/>
        </w:rPr>
      </w:pPr>
      <w:r>
        <w:rPr>
          <w:rFonts w:hint="eastAsia" w:ascii="新宋体" w:hAnsi="新宋体" w:eastAsia="新宋体" w:cs="新宋体"/>
          <w:sz w:val="24"/>
        </w:rPr>
        <w:t>4、如还需体现其他内容，投标人可自行增加此表行列。</w:t>
      </w:r>
    </w:p>
    <w:p>
      <w:pPr>
        <w:spacing w:line="360" w:lineRule="auto"/>
        <w:rPr>
          <w:rFonts w:ascii="新宋体" w:hAnsi="新宋体" w:eastAsia="新宋体" w:cs="新宋体"/>
          <w:b/>
          <w:bCs/>
        </w:rPr>
      </w:pPr>
    </w:p>
    <w:p>
      <w:pPr>
        <w:spacing w:line="360" w:lineRule="auto"/>
        <w:rPr>
          <w:rFonts w:ascii="新宋体" w:hAnsi="新宋体" w:eastAsia="新宋体" w:cs="新宋体"/>
          <w:sz w:val="24"/>
          <w:u w:val="single"/>
        </w:rPr>
      </w:pPr>
      <w:r>
        <w:rPr>
          <w:rFonts w:hint="eastAsia" w:ascii="新宋体" w:hAnsi="新宋体" w:eastAsia="新宋体" w:cs="新宋体"/>
          <w:sz w:val="24"/>
        </w:rPr>
        <w:t>投标供应商名称：</w:t>
      </w:r>
      <w:r>
        <w:rPr>
          <w:rFonts w:hint="eastAsia" w:ascii="新宋体" w:hAnsi="新宋体" w:eastAsia="新宋体" w:cs="新宋体"/>
          <w:sz w:val="24"/>
          <w:u w:val="single"/>
        </w:rPr>
        <w:t xml:space="preserve">            </w:t>
      </w:r>
      <w:r>
        <w:rPr>
          <w:rFonts w:hint="eastAsia" w:ascii="新宋体" w:hAnsi="新宋体" w:eastAsia="新宋体" w:cs="新宋体"/>
          <w:bCs/>
          <w:sz w:val="24"/>
        </w:rPr>
        <w:t>（盖单位公章）</w:t>
      </w:r>
    </w:p>
    <w:p>
      <w:pPr>
        <w:spacing w:line="360" w:lineRule="auto"/>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rPr>
          <w:rFonts w:ascii="新宋体" w:hAnsi="新宋体" w:eastAsia="新宋体" w:cs="新宋体"/>
        </w:rPr>
      </w:pPr>
      <w:r>
        <w:rPr>
          <w:rFonts w:hint="eastAsia" w:ascii="新宋体" w:hAnsi="新宋体" w:eastAsia="新宋体" w:cs="新宋体"/>
          <w:sz w:val="24"/>
        </w:rPr>
        <w:t>日期：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七、技术、商务、服务应答表</w:t>
      </w:r>
    </w:p>
    <w:p>
      <w:pPr>
        <w:rPr>
          <w:rFonts w:ascii="新宋体" w:hAnsi="新宋体" w:eastAsia="新宋体" w:cs="新宋体"/>
        </w:rPr>
      </w:pPr>
    </w:p>
    <w:p>
      <w:pPr>
        <w:rPr>
          <w:rFonts w:ascii="新宋体" w:hAnsi="新宋体" w:eastAsia="新宋体" w:cs="新宋体"/>
          <w:b/>
          <w:sz w:val="24"/>
          <w:u w:val="single"/>
        </w:rPr>
      </w:pPr>
      <w:r>
        <w:rPr>
          <w:rFonts w:hint="eastAsia" w:ascii="新宋体" w:hAnsi="新宋体" w:eastAsia="新宋体" w:cs="新宋体"/>
          <w:b/>
          <w:sz w:val="24"/>
        </w:rPr>
        <w:t>项目名称：                           项目编号：</w:t>
      </w:r>
    </w:p>
    <w:tbl>
      <w:tblPr>
        <w:tblStyle w:val="26"/>
        <w:tblpPr w:leftFromText="180" w:rightFromText="180" w:vertAnchor="text" w:horzAnchor="page" w:tblpXSpec="center" w:tblpY="289"/>
        <w:tblOverlap w:val="never"/>
        <w:tblW w:w="95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3"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序号</w:t>
            </w:r>
          </w:p>
        </w:tc>
        <w:tc>
          <w:tcPr>
            <w:tcW w:w="3883"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招标要求</w:t>
            </w:r>
          </w:p>
        </w:tc>
        <w:tc>
          <w:tcPr>
            <w:tcW w:w="3884"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投标应答</w:t>
            </w:r>
          </w:p>
        </w:tc>
        <w:tc>
          <w:tcPr>
            <w:tcW w:w="1230"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4" w:type="dxa"/>
            <w:tcBorders>
              <w:tl2br w:val="nil"/>
              <w:tr2bl w:val="nil"/>
            </w:tcBorders>
            <w:noWrap/>
            <w:vAlign w:val="center"/>
          </w:tcPr>
          <w:p>
            <w:pPr>
              <w:spacing w:line="360" w:lineRule="auto"/>
              <w:ind w:left="317" w:hanging="316" w:hangingChars="132"/>
              <w:jc w:val="center"/>
              <w:outlineLvl w:val="5"/>
              <w:rPr>
                <w:rFonts w:ascii="新宋体" w:hAnsi="新宋体" w:eastAsia="新宋体" w:cs="新宋体"/>
                <w:sz w:val="24"/>
              </w:rPr>
            </w:pPr>
          </w:p>
        </w:tc>
        <w:tc>
          <w:tcPr>
            <w:tcW w:w="1230" w:type="dxa"/>
            <w:tcBorders>
              <w:tl2br w:val="nil"/>
              <w:tr2bl w:val="nil"/>
            </w:tcBorders>
            <w:noWrap/>
            <w:vAlign w:val="center"/>
          </w:tcPr>
          <w:p>
            <w:pPr>
              <w:spacing w:line="360" w:lineRule="auto"/>
              <w:ind w:left="317" w:hanging="316" w:hangingChars="132"/>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230"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230"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230"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jc w:val="center"/>
        </w:trPr>
        <w:tc>
          <w:tcPr>
            <w:tcW w:w="552"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388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230" w:type="dxa"/>
            <w:tcBorders>
              <w:tl2br w:val="nil"/>
              <w:tr2bl w:val="nil"/>
            </w:tcBorders>
            <w:noWrap/>
            <w:vAlign w:val="center"/>
          </w:tcPr>
          <w:p>
            <w:pPr>
              <w:spacing w:line="360" w:lineRule="auto"/>
              <w:jc w:val="center"/>
              <w:outlineLvl w:val="5"/>
              <w:rPr>
                <w:rFonts w:ascii="新宋体" w:hAnsi="新宋体" w:eastAsia="新宋体" w:cs="新宋体"/>
                <w:sz w:val="24"/>
              </w:rPr>
            </w:pPr>
          </w:p>
        </w:tc>
      </w:tr>
    </w:tbl>
    <w:p>
      <w:pPr>
        <w:spacing w:line="360" w:lineRule="auto"/>
        <w:rPr>
          <w:rFonts w:ascii="新宋体" w:hAnsi="新宋体" w:eastAsia="新宋体" w:cs="新宋体"/>
          <w:sz w:val="24"/>
        </w:rPr>
      </w:pPr>
    </w:p>
    <w:p>
      <w:pPr>
        <w:spacing w:line="360" w:lineRule="auto"/>
        <w:rPr>
          <w:rFonts w:ascii="新宋体" w:hAnsi="新宋体" w:eastAsia="新宋体" w:cs="新宋体"/>
          <w:sz w:val="24"/>
        </w:rPr>
      </w:pPr>
      <w:r>
        <w:rPr>
          <w:rFonts w:hint="eastAsia" w:ascii="新宋体" w:hAnsi="新宋体" w:eastAsia="新宋体" w:cs="新宋体"/>
          <w:sz w:val="24"/>
        </w:rPr>
        <w:t>注：1.投标供应商把招标文件第六章中：总体商务、服务要求及合同重要条款逐条列出。</w:t>
      </w:r>
    </w:p>
    <w:p>
      <w:pPr>
        <w:spacing w:line="360" w:lineRule="auto"/>
        <w:rPr>
          <w:rFonts w:ascii="新宋体" w:hAnsi="新宋体" w:eastAsia="新宋体" w:cs="新宋体"/>
          <w:sz w:val="24"/>
        </w:rPr>
      </w:pPr>
      <w:r>
        <w:rPr>
          <w:rFonts w:hint="eastAsia" w:ascii="新宋体" w:hAnsi="新宋体" w:eastAsia="新宋体" w:cs="新宋体"/>
          <w:sz w:val="24"/>
        </w:rPr>
        <w:t>2.供应商必须据实填写，不得虚假应答，否则将取消其投标或中标资格，并按有关规定进行处罚。</w:t>
      </w:r>
    </w:p>
    <w:p>
      <w:pPr>
        <w:spacing w:line="360" w:lineRule="auto"/>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rPr>
          <w:rFonts w:ascii="新宋体" w:hAnsi="新宋体" w:eastAsia="新宋体" w:cs="新宋体"/>
          <w:bCs/>
          <w:sz w:val="24"/>
          <w:u w:val="single"/>
        </w:rPr>
      </w:pPr>
      <w:r>
        <w:rPr>
          <w:rFonts w:hint="eastAsia" w:ascii="新宋体" w:hAnsi="新宋体" w:eastAsia="新宋体" w:cs="新宋体"/>
          <w:bCs/>
          <w:sz w:val="24"/>
        </w:rPr>
        <w:t>法定代表人或授权代表（签字）：</w:t>
      </w:r>
      <w:r>
        <w:rPr>
          <w:rFonts w:hint="eastAsia" w:ascii="新宋体" w:hAnsi="新宋体" w:eastAsia="新宋体" w:cs="新宋体"/>
          <w:bCs/>
          <w:sz w:val="24"/>
          <w:u w:val="single"/>
        </w:rPr>
        <w:t xml:space="preserve">          </w:t>
      </w:r>
    </w:p>
    <w:p>
      <w:pPr>
        <w:rPr>
          <w:rFonts w:ascii="新宋体" w:hAnsi="新宋体" w:eastAsia="新宋体" w:cs="新宋体"/>
          <w:bCs/>
          <w:sz w:val="24"/>
        </w:rPr>
      </w:pPr>
      <w:r>
        <w:rPr>
          <w:rFonts w:hint="eastAsia" w:ascii="新宋体" w:hAnsi="新宋体" w:eastAsia="新宋体" w:cs="新宋体"/>
          <w:sz w:val="24"/>
        </w:rPr>
        <w:t>日期：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bCs/>
          <w:sz w:val="24"/>
        </w:rPr>
        <w:br w:type="page"/>
      </w:r>
    </w:p>
    <w:p>
      <w:pPr>
        <w:pStyle w:val="32"/>
        <w:ind w:firstLine="643"/>
        <w:jc w:val="center"/>
        <w:rPr>
          <w:rFonts w:ascii="新宋体" w:hAnsi="新宋体" w:eastAsia="新宋体" w:cs="新宋体"/>
          <w:b/>
          <w:bCs/>
          <w:sz w:val="28"/>
          <w:szCs w:val="28"/>
        </w:rPr>
      </w:pPr>
      <w:r>
        <w:rPr>
          <w:rFonts w:hint="eastAsia" w:ascii="新宋体" w:hAnsi="新宋体" w:eastAsia="新宋体" w:cs="新宋体"/>
          <w:b/>
          <w:bCs/>
          <w:sz w:val="32"/>
          <w:szCs w:val="28"/>
        </w:rPr>
        <w:t xml:space="preserve">7-1  </w:t>
      </w:r>
      <w:r>
        <w:rPr>
          <w:rFonts w:hint="eastAsia" w:ascii="新宋体" w:hAnsi="新宋体" w:eastAsia="新宋体" w:cs="新宋体"/>
          <w:b/>
          <w:bCs/>
          <w:sz w:val="28"/>
          <w:szCs w:val="28"/>
        </w:rPr>
        <w:t>技术偏离表（如适用）</w:t>
      </w:r>
    </w:p>
    <w:p>
      <w:pPr>
        <w:spacing w:line="360" w:lineRule="auto"/>
        <w:rPr>
          <w:rFonts w:ascii="新宋体" w:hAnsi="新宋体" w:eastAsia="新宋体" w:cs="新宋体"/>
          <w:b/>
          <w:sz w:val="24"/>
        </w:rPr>
      </w:pPr>
    </w:p>
    <w:p>
      <w:pPr>
        <w:spacing w:line="360" w:lineRule="auto"/>
        <w:rPr>
          <w:rFonts w:ascii="新宋体" w:hAnsi="新宋体" w:eastAsia="新宋体" w:cs="新宋体"/>
          <w:b/>
          <w:sz w:val="24"/>
          <w:u w:val="single"/>
        </w:rPr>
      </w:pPr>
      <w:r>
        <w:rPr>
          <w:rFonts w:hint="eastAsia" w:ascii="新宋体" w:hAnsi="新宋体" w:eastAsia="新宋体" w:cs="新宋体"/>
          <w:b/>
          <w:sz w:val="24"/>
        </w:rPr>
        <w:t>项目名称：                                    项目编号：</w:t>
      </w:r>
    </w:p>
    <w:tbl>
      <w:tblPr>
        <w:tblStyle w:val="26"/>
        <w:tblW w:w="93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7"/>
        <w:gridCol w:w="1300"/>
        <w:gridCol w:w="1962"/>
        <w:gridCol w:w="928"/>
        <w:gridCol w:w="1215"/>
        <w:gridCol w:w="34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2"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序号</w:t>
            </w:r>
          </w:p>
        </w:tc>
        <w:tc>
          <w:tcPr>
            <w:tcW w:w="1300"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投标项目</w:t>
            </w:r>
          </w:p>
        </w:tc>
        <w:tc>
          <w:tcPr>
            <w:tcW w:w="1962"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招标文件条款号</w:t>
            </w:r>
          </w:p>
        </w:tc>
        <w:tc>
          <w:tcPr>
            <w:tcW w:w="928"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招标规格</w:t>
            </w:r>
          </w:p>
        </w:tc>
        <w:tc>
          <w:tcPr>
            <w:tcW w:w="1215"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投标规格</w:t>
            </w:r>
          </w:p>
        </w:tc>
        <w:tc>
          <w:tcPr>
            <w:tcW w:w="3480" w:type="dxa"/>
            <w:tcBorders>
              <w:tl2br w:val="nil"/>
              <w:tr2bl w:val="nil"/>
            </w:tcBorders>
            <w:noWrap/>
            <w:vAlign w:val="center"/>
          </w:tcPr>
          <w:p>
            <w:pPr>
              <w:spacing w:line="360" w:lineRule="auto"/>
              <w:jc w:val="center"/>
              <w:rPr>
                <w:rFonts w:ascii="新宋体" w:hAnsi="新宋体" w:eastAsia="新宋体" w:cs="新宋体"/>
                <w:b/>
                <w:sz w:val="24"/>
              </w:rPr>
            </w:pPr>
            <w:r>
              <w:rPr>
                <w:rFonts w:hint="eastAsia" w:ascii="新宋体" w:hAnsi="新宋体" w:eastAsia="新宋体" w:cs="新宋体"/>
                <w:b/>
                <w:sz w:val="24"/>
              </w:rPr>
              <w:t>偏离情况</w:t>
            </w:r>
          </w:p>
          <w:p>
            <w:pPr>
              <w:spacing w:line="360" w:lineRule="auto"/>
              <w:jc w:val="center"/>
              <w:rPr>
                <w:rFonts w:ascii="新宋体" w:hAnsi="新宋体" w:eastAsia="新宋体" w:cs="新宋体"/>
                <w:b/>
                <w:sz w:val="24"/>
              </w:rPr>
            </w:pPr>
            <w:r>
              <w:rPr>
                <w:rFonts w:hint="eastAsia" w:ascii="新宋体" w:hAnsi="新宋体" w:eastAsia="新宋体" w:cs="新宋体"/>
                <w:b/>
                <w:sz w:val="24"/>
              </w:rPr>
              <w:t>说明（说明：无偏离、正偏离、负偏离、不能确定及调整理由）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ind w:left="317" w:hanging="316" w:hangingChars="132"/>
              <w:jc w:val="center"/>
              <w:rPr>
                <w:rFonts w:ascii="新宋体" w:hAnsi="新宋体" w:eastAsia="新宋体" w:cs="新宋体"/>
                <w:sz w:val="24"/>
              </w:rPr>
            </w:pPr>
          </w:p>
        </w:tc>
        <w:tc>
          <w:tcPr>
            <w:tcW w:w="3480" w:type="dxa"/>
            <w:tcBorders>
              <w:tl2br w:val="nil"/>
              <w:tr2bl w:val="nil"/>
            </w:tcBorders>
            <w:noWrap/>
            <w:vAlign w:val="center"/>
          </w:tcPr>
          <w:p>
            <w:pPr>
              <w:spacing w:line="360" w:lineRule="auto"/>
              <w:ind w:left="317" w:hanging="316" w:hangingChars="132"/>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ind w:left="317" w:hanging="316" w:hangingChars="132"/>
              <w:jc w:val="center"/>
              <w:rPr>
                <w:rFonts w:ascii="新宋体" w:hAnsi="新宋体" w:eastAsia="新宋体" w:cs="新宋体"/>
                <w:sz w:val="24"/>
              </w:rPr>
            </w:pPr>
          </w:p>
        </w:tc>
        <w:tc>
          <w:tcPr>
            <w:tcW w:w="3480" w:type="dxa"/>
            <w:tcBorders>
              <w:tl2br w:val="nil"/>
              <w:tr2bl w:val="nil"/>
            </w:tcBorders>
            <w:noWrap/>
            <w:vAlign w:val="center"/>
          </w:tcPr>
          <w:p>
            <w:pPr>
              <w:spacing w:line="360" w:lineRule="auto"/>
              <w:ind w:left="317" w:hanging="316" w:hangingChars="132"/>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jc w:val="center"/>
              <w:rPr>
                <w:rFonts w:ascii="新宋体" w:hAnsi="新宋体" w:eastAsia="新宋体" w:cs="新宋体"/>
                <w:sz w:val="24"/>
              </w:rPr>
            </w:pPr>
          </w:p>
        </w:tc>
        <w:tc>
          <w:tcPr>
            <w:tcW w:w="3480" w:type="dxa"/>
            <w:tcBorders>
              <w:tl2br w:val="nil"/>
              <w:tr2bl w:val="nil"/>
            </w:tcBorders>
            <w:noWrap/>
            <w:vAlign w:val="center"/>
          </w:tcPr>
          <w:p>
            <w:pPr>
              <w:spacing w:line="360" w:lineRule="auto"/>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jc w:val="center"/>
              <w:rPr>
                <w:rFonts w:ascii="新宋体" w:hAnsi="新宋体" w:eastAsia="新宋体" w:cs="新宋体"/>
                <w:sz w:val="24"/>
              </w:rPr>
            </w:pPr>
          </w:p>
        </w:tc>
        <w:tc>
          <w:tcPr>
            <w:tcW w:w="3480" w:type="dxa"/>
            <w:tcBorders>
              <w:tl2br w:val="nil"/>
              <w:tr2bl w:val="nil"/>
            </w:tcBorders>
            <w:noWrap/>
            <w:vAlign w:val="center"/>
          </w:tcPr>
          <w:p>
            <w:pPr>
              <w:spacing w:line="360" w:lineRule="auto"/>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jc w:val="center"/>
              <w:rPr>
                <w:rFonts w:ascii="新宋体" w:hAnsi="新宋体" w:eastAsia="新宋体" w:cs="新宋体"/>
                <w:sz w:val="24"/>
              </w:rPr>
            </w:pPr>
          </w:p>
        </w:tc>
        <w:tc>
          <w:tcPr>
            <w:tcW w:w="3480" w:type="dxa"/>
            <w:tcBorders>
              <w:tl2br w:val="nil"/>
              <w:tr2bl w:val="nil"/>
            </w:tcBorders>
            <w:noWrap/>
            <w:vAlign w:val="center"/>
          </w:tcPr>
          <w:p>
            <w:pPr>
              <w:spacing w:line="360" w:lineRule="auto"/>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6</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p>
        </w:tc>
        <w:tc>
          <w:tcPr>
            <w:tcW w:w="1215" w:type="dxa"/>
            <w:tcBorders>
              <w:tl2br w:val="nil"/>
              <w:tr2bl w:val="nil"/>
            </w:tcBorders>
            <w:noWrap/>
            <w:vAlign w:val="center"/>
          </w:tcPr>
          <w:p>
            <w:pPr>
              <w:spacing w:line="360" w:lineRule="auto"/>
              <w:jc w:val="center"/>
              <w:rPr>
                <w:rFonts w:ascii="新宋体" w:hAnsi="新宋体" w:eastAsia="新宋体" w:cs="新宋体"/>
                <w:sz w:val="24"/>
              </w:rPr>
            </w:pPr>
          </w:p>
        </w:tc>
        <w:tc>
          <w:tcPr>
            <w:tcW w:w="3480" w:type="dxa"/>
            <w:tcBorders>
              <w:tl2br w:val="nil"/>
              <w:tr2bl w:val="nil"/>
            </w:tcBorders>
            <w:noWrap/>
            <w:vAlign w:val="center"/>
          </w:tcPr>
          <w:p>
            <w:pPr>
              <w:spacing w:line="360" w:lineRule="auto"/>
              <w:jc w:val="center"/>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7" w:hRule="atLeast"/>
          <w:jc w:val="center"/>
        </w:trPr>
        <w:tc>
          <w:tcPr>
            <w:tcW w:w="487"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w:t>
            </w:r>
          </w:p>
        </w:tc>
        <w:tc>
          <w:tcPr>
            <w:tcW w:w="1300" w:type="dxa"/>
            <w:tcBorders>
              <w:tl2br w:val="nil"/>
              <w:tr2bl w:val="nil"/>
            </w:tcBorders>
            <w:noWrap/>
            <w:vAlign w:val="center"/>
          </w:tcPr>
          <w:p>
            <w:pPr>
              <w:spacing w:line="360" w:lineRule="auto"/>
              <w:jc w:val="center"/>
              <w:rPr>
                <w:rFonts w:ascii="新宋体" w:hAnsi="新宋体" w:eastAsia="新宋体" w:cs="新宋体"/>
                <w:sz w:val="24"/>
              </w:rPr>
            </w:pPr>
          </w:p>
        </w:tc>
        <w:tc>
          <w:tcPr>
            <w:tcW w:w="1962" w:type="dxa"/>
            <w:tcBorders>
              <w:tl2br w:val="nil"/>
              <w:tr2bl w:val="nil"/>
            </w:tcBorders>
            <w:noWrap/>
            <w:vAlign w:val="center"/>
          </w:tcPr>
          <w:p>
            <w:pPr>
              <w:spacing w:line="360" w:lineRule="auto"/>
              <w:jc w:val="center"/>
              <w:rPr>
                <w:rFonts w:ascii="新宋体" w:hAnsi="新宋体" w:eastAsia="新宋体" w:cs="新宋体"/>
                <w:sz w:val="24"/>
              </w:rPr>
            </w:pPr>
          </w:p>
        </w:tc>
        <w:tc>
          <w:tcPr>
            <w:tcW w:w="928"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w:t>
            </w:r>
          </w:p>
        </w:tc>
        <w:tc>
          <w:tcPr>
            <w:tcW w:w="1215"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w:t>
            </w:r>
          </w:p>
        </w:tc>
        <w:tc>
          <w:tcPr>
            <w:tcW w:w="3480" w:type="dxa"/>
            <w:tcBorders>
              <w:tl2br w:val="nil"/>
              <w:tr2bl w:val="nil"/>
            </w:tcBorders>
            <w:noWrap/>
            <w:vAlign w:val="center"/>
          </w:tcPr>
          <w:p>
            <w:pPr>
              <w:spacing w:line="360" w:lineRule="auto"/>
              <w:jc w:val="center"/>
              <w:rPr>
                <w:rFonts w:ascii="新宋体" w:hAnsi="新宋体" w:eastAsia="新宋体" w:cs="新宋体"/>
                <w:sz w:val="24"/>
              </w:rPr>
            </w:pPr>
            <w:r>
              <w:rPr>
                <w:rFonts w:hint="eastAsia" w:ascii="新宋体" w:hAnsi="新宋体" w:eastAsia="新宋体" w:cs="新宋体"/>
                <w:sz w:val="24"/>
              </w:rPr>
              <w:t>......</w:t>
            </w:r>
          </w:p>
        </w:tc>
      </w:tr>
    </w:tbl>
    <w:p>
      <w:pPr>
        <w:spacing w:line="360" w:lineRule="auto"/>
        <w:rPr>
          <w:rFonts w:ascii="新宋体" w:hAnsi="新宋体" w:eastAsia="新宋体" w:cs="新宋体"/>
          <w:sz w:val="24"/>
        </w:rPr>
      </w:pPr>
      <w:r>
        <w:rPr>
          <w:rFonts w:hint="eastAsia" w:ascii="新宋体" w:hAnsi="新宋体" w:eastAsia="新宋体" w:cs="新宋体"/>
          <w:sz w:val="24"/>
        </w:rPr>
        <w:t>注：1.投标供应商把招标文件中第六章服务需求逐条列出。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2.投标供应商必须据实填写，不得虚假应答，否则将取消其投标或中标资格，并按有关规定进行处罚。</w:t>
      </w:r>
    </w:p>
    <w:p>
      <w:pPr>
        <w:pStyle w:val="32"/>
        <w:rPr>
          <w:rFonts w:ascii="新宋体" w:hAnsi="新宋体" w:eastAsia="新宋体" w:cs="新宋体"/>
        </w:rPr>
      </w:pPr>
      <w:r>
        <w:rPr>
          <w:rFonts w:hint="eastAsia" w:ascii="新宋体" w:hAnsi="新宋体" w:eastAsia="新宋体" w:cs="新宋体"/>
        </w:rPr>
        <w:t>3.根据需求本表格式投标供应商可自行调整，本表中所涉及的项不得缺少，若缺少作无效投标处理。</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投标供应商名称：</w:t>
      </w:r>
      <w:r>
        <w:rPr>
          <w:rFonts w:hint="eastAsia" w:ascii="新宋体" w:hAnsi="新宋体" w:eastAsia="新宋体" w:cs="新宋体"/>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pStyle w:val="32"/>
        <w:rPr>
          <w:rFonts w:ascii="新宋体" w:hAnsi="新宋体" w:eastAsia="新宋体" w:cs="新宋体"/>
        </w:rPr>
      </w:pPr>
      <w:r>
        <w:rPr>
          <w:rFonts w:hint="eastAsia" w:ascii="新宋体" w:hAnsi="新宋体" w:eastAsia="新宋体" w:cs="新宋体"/>
        </w:rPr>
        <w:t>日期：</w:t>
      </w:r>
      <w:r>
        <w:rPr>
          <w:rFonts w:hint="eastAsia" w:ascii="新宋体" w:hAnsi="新宋体" w:eastAsia="新宋体" w:cs="新宋体"/>
          <w:u w:val="single"/>
        </w:rPr>
        <w:t xml:space="preserve">    </w:t>
      </w:r>
      <w:r>
        <w:rPr>
          <w:rFonts w:hint="eastAsia" w:ascii="新宋体" w:hAnsi="新宋体" w:eastAsia="新宋体" w:cs="新宋体"/>
        </w:rPr>
        <w:t>年</w:t>
      </w:r>
      <w:r>
        <w:rPr>
          <w:rFonts w:hint="eastAsia" w:ascii="新宋体" w:hAnsi="新宋体" w:eastAsia="新宋体" w:cs="新宋体"/>
          <w:u w:val="single"/>
        </w:rPr>
        <w:t xml:space="preserve">   </w:t>
      </w:r>
      <w:r>
        <w:rPr>
          <w:rFonts w:hint="eastAsia" w:ascii="新宋体" w:hAnsi="新宋体" w:eastAsia="新宋体" w:cs="新宋体"/>
        </w:rPr>
        <w:t>月</w:t>
      </w:r>
      <w:r>
        <w:rPr>
          <w:rFonts w:hint="eastAsia" w:ascii="新宋体" w:hAnsi="新宋体" w:eastAsia="新宋体" w:cs="新宋体"/>
          <w:u w:val="single"/>
        </w:rPr>
        <w:t xml:space="preserve">   </w:t>
      </w:r>
      <w:r>
        <w:rPr>
          <w:rFonts w:hint="eastAsia" w:ascii="新宋体" w:hAnsi="新宋体" w:eastAsia="新宋体" w:cs="新宋体"/>
        </w:rPr>
        <w:t>日</w:t>
      </w:r>
    </w:p>
    <w:p>
      <w:pPr>
        <w:pStyle w:val="32"/>
        <w:rPr>
          <w:rFonts w:ascii="新宋体" w:hAnsi="新宋体" w:eastAsia="新宋体" w:cs="新宋体"/>
        </w:rPr>
      </w:pP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八、投标供应商基本情况表</w:t>
      </w:r>
    </w:p>
    <w:p>
      <w:pPr>
        <w:spacing w:line="360" w:lineRule="auto"/>
        <w:rPr>
          <w:rFonts w:ascii="新宋体" w:hAnsi="新宋体" w:eastAsia="新宋体" w:cs="新宋体"/>
          <w:b/>
          <w:sz w:val="24"/>
          <w:u w:val="single"/>
        </w:rPr>
      </w:pPr>
      <w:r>
        <w:rPr>
          <w:rFonts w:hint="eastAsia" w:ascii="新宋体" w:hAnsi="新宋体" w:eastAsia="新宋体" w:cs="新宋体"/>
          <w:b/>
          <w:sz w:val="24"/>
        </w:rPr>
        <w:t>项目名称：                          项目编号：</w:t>
      </w:r>
    </w:p>
    <w:tbl>
      <w:tblPr>
        <w:tblStyle w:val="26"/>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投标供应商名称</w:t>
            </w:r>
          </w:p>
        </w:tc>
        <w:tc>
          <w:tcPr>
            <w:tcW w:w="7879" w:type="dxa"/>
            <w:gridSpan w:val="7"/>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注册地址</w:t>
            </w:r>
          </w:p>
        </w:tc>
        <w:tc>
          <w:tcPr>
            <w:tcW w:w="3865" w:type="dxa"/>
            <w:gridSpan w:val="4"/>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485"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邮政编码</w:t>
            </w:r>
          </w:p>
        </w:tc>
        <w:tc>
          <w:tcPr>
            <w:tcW w:w="2529"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联系方式</w:t>
            </w:r>
          </w:p>
        </w:tc>
        <w:tc>
          <w:tcPr>
            <w:tcW w:w="108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联系人</w:t>
            </w:r>
          </w:p>
        </w:tc>
        <w:tc>
          <w:tcPr>
            <w:tcW w:w="2770"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493"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电话</w:t>
            </w:r>
          </w:p>
        </w:tc>
        <w:tc>
          <w:tcPr>
            <w:tcW w:w="2529"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08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传真</w:t>
            </w:r>
          </w:p>
        </w:tc>
        <w:tc>
          <w:tcPr>
            <w:tcW w:w="2770"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493"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网址</w:t>
            </w:r>
          </w:p>
        </w:tc>
        <w:tc>
          <w:tcPr>
            <w:tcW w:w="2529"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组织结构</w:t>
            </w:r>
          </w:p>
        </w:tc>
        <w:tc>
          <w:tcPr>
            <w:tcW w:w="7879" w:type="dxa"/>
            <w:gridSpan w:val="7"/>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法定代表人</w:t>
            </w:r>
          </w:p>
        </w:tc>
        <w:tc>
          <w:tcPr>
            <w:tcW w:w="108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姓名</w:t>
            </w:r>
          </w:p>
        </w:tc>
        <w:tc>
          <w:tcPr>
            <w:tcW w:w="1365"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405"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技术职称</w:t>
            </w:r>
          </w:p>
        </w:tc>
        <w:tc>
          <w:tcPr>
            <w:tcW w:w="1493"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31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电话</w:t>
            </w:r>
          </w:p>
        </w:tc>
        <w:tc>
          <w:tcPr>
            <w:tcW w:w="1212" w:type="dxa"/>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技术负责人</w:t>
            </w:r>
          </w:p>
        </w:tc>
        <w:tc>
          <w:tcPr>
            <w:tcW w:w="108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姓名</w:t>
            </w:r>
          </w:p>
        </w:tc>
        <w:tc>
          <w:tcPr>
            <w:tcW w:w="1365"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405"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技术职称</w:t>
            </w:r>
          </w:p>
        </w:tc>
        <w:tc>
          <w:tcPr>
            <w:tcW w:w="1493"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1317"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电话</w:t>
            </w:r>
          </w:p>
        </w:tc>
        <w:tc>
          <w:tcPr>
            <w:tcW w:w="1212" w:type="dxa"/>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成立时间</w:t>
            </w:r>
          </w:p>
        </w:tc>
        <w:tc>
          <w:tcPr>
            <w:tcW w:w="2452" w:type="dxa"/>
            <w:gridSpan w:val="2"/>
            <w:noWrap/>
            <w:vAlign w:val="center"/>
          </w:tcPr>
          <w:p>
            <w:pPr>
              <w:autoSpaceDE w:val="0"/>
              <w:autoSpaceDN w:val="0"/>
              <w:adjustRightInd w:val="0"/>
              <w:spacing w:line="360" w:lineRule="auto"/>
              <w:jc w:val="center"/>
              <w:outlineLvl w:val="5"/>
              <w:rPr>
                <w:rFonts w:ascii="新宋体" w:hAnsi="新宋体" w:eastAsia="新宋体" w:cs="新宋体"/>
                <w:kern w:val="0"/>
                <w:sz w:val="24"/>
              </w:rPr>
            </w:pPr>
          </w:p>
        </w:tc>
        <w:tc>
          <w:tcPr>
            <w:tcW w:w="5427" w:type="dxa"/>
            <w:gridSpan w:val="5"/>
            <w:noWrap/>
            <w:vAlign w:val="center"/>
          </w:tcPr>
          <w:p>
            <w:pPr>
              <w:autoSpaceDE w:val="0"/>
              <w:autoSpaceDN w:val="0"/>
              <w:adjustRightInd w:val="0"/>
              <w:spacing w:line="360" w:lineRule="auto"/>
              <w:ind w:firstLine="1680" w:firstLineChars="700"/>
              <w:outlineLvl w:val="5"/>
              <w:rPr>
                <w:rFonts w:ascii="新宋体" w:hAnsi="新宋体" w:eastAsia="新宋体" w:cs="新宋体"/>
                <w:kern w:val="0"/>
                <w:sz w:val="24"/>
              </w:rPr>
            </w:pPr>
            <w:r>
              <w:rPr>
                <w:rFonts w:hint="eastAsia" w:ascii="新宋体" w:hAnsi="新宋体" w:eastAsia="新宋体" w:cs="新宋体"/>
                <w:kern w:val="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企业资质等级</w:t>
            </w:r>
          </w:p>
        </w:tc>
        <w:tc>
          <w:tcPr>
            <w:tcW w:w="7879" w:type="dxa"/>
            <w:gridSpan w:val="7"/>
            <w:tcBorders>
              <w:bottom w:val="single" w:color="auto" w:sz="4" w:space="0"/>
            </w:tcBorders>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营业执照号</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注册资金</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开户银行</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账号</w:t>
            </w:r>
          </w:p>
        </w:tc>
        <w:tc>
          <w:tcPr>
            <w:tcW w:w="7879" w:type="dxa"/>
            <w:gridSpan w:val="7"/>
            <w:tcBorders>
              <w:top w:val="single" w:color="auto" w:sz="4" w:space="0"/>
            </w:tcBorders>
            <w:noWrap/>
            <w:vAlign w:val="center"/>
          </w:tcPr>
          <w:p>
            <w:pPr>
              <w:autoSpaceDE w:val="0"/>
              <w:autoSpaceDN w:val="0"/>
              <w:adjustRightInd w:val="0"/>
              <w:spacing w:line="360" w:lineRule="auto"/>
              <w:jc w:val="center"/>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经营范围</w:t>
            </w:r>
          </w:p>
        </w:tc>
        <w:tc>
          <w:tcPr>
            <w:tcW w:w="7879" w:type="dxa"/>
            <w:gridSpan w:val="7"/>
            <w:noWrap/>
            <w:vAlign w:val="center"/>
          </w:tcPr>
          <w:p>
            <w:pPr>
              <w:autoSpaceDE w:val="0"/>
              <w:autoSpaceDN w:val="0"/>
              <w:adjustRightInd w:val="0"/>
              <w:spacing w:line="360" w:lineRule="auto"/>
              <w:outlineLvl w:val="5"/>
              <w:rPr>
                <w:rFonts w:ascii="新宋体" w:hAnsi="新宋体" w:eastAsia="新宋体" w:cs="新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92" w:type="dxa"/>
            <w:noWrap/>
            <w:vAlign w:val="center"/>
          </w:tcPr>
          <w:p>
            <w:pPr>
              <w:autoSpaceDE w:val="0"/>
              <w:autoSpaceDN w:val="0"/>
              <w:adjustRightInd w:val="0"/>
              <w:spacing w:line="360" w:lineRule="auto"/>
              <w:jc w:val="center"/>
              <w:outlineLvl w:val="5"/>
              <w:rPr>
                <w:rFonts w:ascii="新宋体" w:hAnsi="新宋体" w:eastAsia="新宋体" w:cs="新宋体"/>
                <w:kern w:val="0"/>
                <w:sz w:val="24"/>
              </w:rPr>
            </w:pPr>
            <w:r>
              <w:rPr>
                <w:rFonts w:hint="eastAsia" w:ascii="新宋体" w:hAnsi="新宋体" w:eastAsia="新宋体" w:cs="新宋体"/>
                <w:kern w:val="0"/>
                <w:sz w:val="24"/>
              </w:rPr>
              <w:t>备注</w:t>
            </w:r>
          </w:p>
        </w:tc>
        <w:tc>
          <w:tcPr>
            <w:tcW w:w="7879" w:type="dxa"/>
            <w:gridSpan w:val="7"/>
            <w:noWrap/>
          </w:tcPr>
          <w:p>
            <w:pPr>
              <w:autoSpaceDE w:val="0"/>
              <w:autoSpaceDN w:val="0"/>
              <w:adjustRightInd w:val="0"/>
              <w:spacing w:line="360" w:lineRule="auto"/>
              <w:jc w:val="left"/>
              <w:outlineLvl w:val="5"/>
              <w:rPr>
                <w:rFonts w:ascii="新宋体" w:hAnsi="新宋体" w:eastAsia="新宋体" w:cs="新宋体"/>
                <w:kern w:val="0"/>
                <w:sz w:val="24"/>
              </w:rPr>
            </w:pPr>
          </w:p>
        </w:tc>
      </w:tr>
    </w:tbl>
    <w:p>
      <w:pPr>
        <w:spacing w:line="360" w:lineRule="auto"/>
        <w:jc w:val="left"/>
        <w:rPr>
          <w:rFonts w:ascii="新宋体" w:hAnsi="新宋体" w:eastAsia="新宋体" w:cs="新宋体"/>
          <w:sz w:val="24"/>
        </w:rPr>
      </w:pPr>
    </w:p>
    <w:p>
      <w:pPr>
        <w:spacing w:line="360" w:lineRule="auto"/>
        <w:jc w:val="left"/>
        <w:rPr>
          <w:rFonts w:ascii="新宋体" w:hAnsi="新宋体" w:eastAsia="新宋体" w:cs="新宋体"/>
          <w:sz w:val="24"/>
        </w:rPr>
      </w:pPr>
      <w:r>
        <w:rPr>
          <w:rFonts w:hint="eastAsia" w:ascii="新宋体" w:hAnsi="新宋体" w:eastAsia="新宋体" w:cs="新宋体"/>
          <w:sz w:val="24"/>
        </w:rPr>
        <w:t>投标供应商名称：</w:t>
      </w:r>
      <w:r>
        <w:rPr>
          <w:rFonts w:hint="eastAsia" w:ascii="新宋体" w:hAnsi="新宋体" w:eastAsia="新宋体" w:cs="新宋体"/>
          <w:sz w:val="24"/>
          <w:u w:val="single"/>
        </w:rPr>
        <w:t xml:space="preserve">            </w:t>
      </w:r>
      <w:r>
        <w:rPr>
          <w:rFonts w:hint="eastAsia" w:ascii="新宋体" w:hAnsi="新宋体" w:eastAsia="新宋体" w:cs="新宋体"/>
          <w:bCs/>
          <w:sz w:val="24"/>
        </w:rPr>
        <w:t>（盖单位公章）</w:t>
      </w:r>
    </w:p>
    <w:p>
      <w:pPr>
        <w:spacing w:line="360" w:lineRule="auto"/>
        <w:jc w:val="left"/>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jc w:val="left"/>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jc w:val="left"/>
        <w:rPr>
          <w:rFonts w:ascii="新宋体" w:hAnsi="新宋体" w:eastAsia="新宋体" w:cs="新宋体"/>
          <w:b/>
          <w:bCs/>
          <w:sz w:val="28"/>
          <w:szCs w:val="28"/>
        </w:rPr>
        <w:sectPr>
          <w:headerReference r:id="rId8" w:type="default"/>
          <w:pgSz w:w="11906" w:h="16838"/>
          <w:pgMar w:top="1418" w:right="1684" w:bottom="1418" w:left="1684" w:header="851" w:footer="992" w:gutter="0"/>
          <w:pgNumType w:fmt="decimal"/>
          <w:cols w:space="720" w:num="1"/>
          <w:docGrid w:type="lines" w:linePitch="312" w:charSpace="0"/>
        </w:sectPr>
      </w:pPr>
    </w:p>
    <w:p>
      <w:pPr>
        <w:jc w:val="center"/>
        <w:rPr>
          <w:rFonts w:ascii="新宋体" w:hAnsi="新宋体" w:eastAsia="新宋体" w:cs="新宋体"/>
          <w:b/>
          <w:bCs/>
          <w:sz w:val="28"/>
          <w:szCs w:val="28"/>
        </w:rPr>
      </w:pPr>
      <w:r>
        <w:rPr>
          <w:rFonts w:hint="eastAsia" w:ascii="新宋体" w:hAnsi="新宋体" w:eastAsia="新宋体" w:cs="新宋体"/>
          <w:b/>
          <w:bCs/>
          <w:sz w:val="28"/>
          <w:szCs w:val="28"/>
        </w:rPr>
        <w:t>附 递交保证金证明材料</w:t>
      </w:r>
    </w:p>
    <w:p>
      <w:pPr>
        <w:rPr>
          <w:rFonts w:ascii="新宋体" w:hAnsi="新宋体" w:eastAsia="新宋体" w:cs="新宋体"/>
          <w:b/>
          <w:bCs/>
          <w:sz w:val="28"/>
          <w:szCs w:val="28"/>
        </w:rPr>
      </w:pPr>
      <w:r>
        <w:rPr>
          <w:rFonts w:hint="eastAsia" w:ascii="新宋体" w:hAnsi="新宋体" w:eastAsia="新宋体" w:cs="新宋体"/>
          <w:b/>
          <w:bCs/>
          <w:sz w:val="28"/>
          <w:szCs w:val="28"/>
        </w:rPr>
        <w:br w:type="page"/>
      </w:r>
    </w:p>
    <w:p>
      <w:pPr>
        <w:jc w:val="center"/>
        <w:outlineLvl w:val="1"/>
        <w:rPr>
          <w:rFonts w:ascii="新宋体" w:hAnsi="新宋体" w:eastAsia="新宋体" w:cs="新宋体"/>
        </w:rPr>
      </w:pPr>
      <w:r>
        <w:rPr>
          <w:rFonts w:hint="eastAsia" w:ascii="新宋体" w:hAnsi="新宋体" w:eastAsia="新宋体" w:cs="新宋体"/>
          <w:b/>
          <w:bCs/>
          <w:sz w:val="32"/>
          <w:szCs w:val="32"/>
        </w:rPr>
        <w:t>九、类似项目业绩一览表</w:t>
      </w:r>
    </w:p>
    <w:p>
      <w:pPr>
        <w:spacing w:line="360" w:lineRule="auto"/>
        <w:ind w:firstLine="241" w:firstLineChars="100"/>
        <w:rPr>
          <w:rFonts w:ascii="新宋体" w:hAnsi="新宋体" w:eastAsia="新宋体" w:cs="新宋体"/>
          <w:b/>
          <w:sz w:val="24"/>
          <w:u w:val="single"/>
        </w:rPr>
      </w:pPr>
      <w:r>
        <w:rPr>
          <w:rFonts w:hint="eastAsia" w:ascii="新宋体" w:hAnsi="新宋体" w:eastAsia="新宋体" w:cs="新宋体"/>
          <w:b/>
          <w:sz w:val="24"/>
        </w:rPr>
        <w:t>项目名称：                                    项目编号：</w:t>
      </w:r>
    </w:p>
    <w:tbl>
      <w:tblPr>
        <w:tblStyle w:val="26"/>
        <w:tblW w:w="946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ind w:firstLine="120" w:firstLineChars="50"/>
              <w:outlineLvl w:val="5"/>
              <w:rPr>
                <w:rFonts w:ascii="新宋体" w:hAnsi="新宋体" w:eastAsia="新宋体" w:cs="新宋体"/>
                <w:b/>
                <w:sz w:val="24"/>
              </w:rPr>
            </w:pPr>
            <w:r>
              <w:rPr>
                <w:rFonts w:hint="eastAsia" w:ascii="新宋体" w:hAnsi="新宋体" w:eastAsia="新宋体" w:cs="新宋体"/>
                <w:b/>
                <w:sz w:val="24"/>
              </w:rPr>
              <w:t>年份</w:t>
            </w:r>
          </w:p>
        </w:tc>
        <w:tc>
          <w:tcPr>
            <w:tcW w:w="2391"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采购单位名称</w:t>
            </w:r>
          </w:p>
        </w:tc>
        <w:tc>
          <w:tcPr>
            <w:tcW w:w="2753"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项目名称</w:t>
            </w:r>
          </w:p>
        </w:tc>
        <w:tc>
          <w:tcPr>
            <w:tcW w:w="1794"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合同金额</w:t>
            </w:r>
          </w:p>
        </w:tc>
        <w:tc>
          <w:tcPr>
            <w:tcW w:w="1705" w:type="dxa"/>
            <w:tcBorders>
              <w:tl2br w:val="nil"/>
              <w:tr2bl w:val="nil"/>
            </w:tcBorders>
            <w:noWrap/>
            <w:vAlign w:val="center"/>
          </w:tcPr>
          <w:p>
            <w:pPr>
              <w:spacing w:line="360" w:lineRule="auto"/>
              <w:outlineLvl w:val="5"/>
              <w:rPr>
                <w:rFonts w:ascii="新宋体" w:hAnsi="新宋体" w:eastAsia="新宋体" w:cs="新宋体"/>
                <w:b/>
                <w:sz w:val="24"/>
              </w:rPr>
            </w:pPr>
            <w:r>
              <w:rPr>
                <w:rFonts w:hint="eastAsia" w:ascii="新宋体" w:hAnsi="新宋体" w:eastAsia="新宋体" w:cs="新宋体"/>
                <w:b/>
                <w:sz w:val="24"/>
              </w:rPr>
              <w:t xml:space="preserve">   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0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510"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15"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15"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15"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4" w:type="dxa"/>
            <w:bottom w:w="0" w:type="dxa"/>
            <w:right w:w="54" w:type="dxa"/>
          </w:tblCellMar>
        </w:tblPrEx>
        <w:trPr>
          <w:cantSplit/>
          <w:trHeight w:val="615" w:hRule="atLeast"/>
          <w:jc w:val="center"/>
        </w:trPr>
        <w:tc>
          <w:tcPr>
            <w:tcW w:w="820"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391"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2753"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94" w:type="dxa"/>
            <w:tcBorders>
              <w:tl2br w:val="nil"/>
              <w:tr2bl w:val="nil"/>
            </w:tcBorders>
            <w:noWrap/>
            <w:vAlign w:val="center"/>
          </w:tcPr>
          <w:p>
            <w:pPr>
              <w:spacing w:line="360" w:lineRule="auto"/>
              <w:jc w:val="center"/>
              <w:outlineLvl w:val="5"/>
              <w:rPr>
                <w:rFonts w:ascii="新宋体" w:hAnsi="新宋体" w:eastAsia="新宋体" w:cs="新宋体"/>
                <w:sz w:val="24"/>
              </w:rPr>
            </w:pPr>
          </w:p>
        </w:tc>
        <w:tc>
          <w:tcPr>
            <w:tcW w:w="1705" w:type="dxa"/>
            <w:tcBorders>
              <w:tl2br w:val="nil"/>
              <w:tr2bl w:val="nil"/>
            </w:tcBorders>
            <w:noWrap/>
            <w:vAlign w:val="center"/>
          </w:tcPr>
          <w:p>
            <w:pPr>
              <w:spacing w:line="360" w:lineRule="auto"/>
              <w:jc w:val="center"/>
              <w:outlineLvl w:val="5"/>
              <w:rPr>
                <w:rFonts w:ascii="新宋体" w:hAnsi="新宋体" w:eastAsia="新宋体" w:cs="新宋体"/>
                <w:sz w:val="24"/>
              </w:rPr>
            </w:pPr>
          </w:p>
        </w:tc>
      </w:tr>
    </w:tbl>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注：以上业绩需提供有关书面证明材料（证明材料是指：中标（成交）通知书和项目合同），否则将不予认定。</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投标供应商名称：</w:t>
      </w:r>
      <w:r>
        <w:rPr>
          <w:rFonts w:hint="eastAsia" w:ascii="新宋体" w:hAnsi="新宋体" w:eastAsia="新宋体" w:cs="新宋体"/>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p>
    <w:p>
      <w:pPr>
        <w:pStyle w:val="4"/>
        <w:rPr>
          <w:rFonts w:ascii="新宋体" w:hAnsi="新宋体" w:eastAsia="新宋体" w:cs="新宋体"/>
        </w:rPr>
      </w:pPr>
      <w:r>
        <w:rPr>
          <w:rFonts w:hint="eastAsia" w:ascii="新宋体" w:hAnsi="新宋体" w:eastAsia="新宋体" w:cs="新宋体"/>
        </w:rPr>
        <w:t>十、投标供应商本项目管理、技术、服务人员情况表</w:t>
      </w:r>
    </w:p>
    <w:p>
      <w:pPr>
        <w:rPr>
          <w:rFonts w:ascii="新宋体" w:hAnsi="新宋体" w:eastAsia="新宋体" w:cs="新宋体"/>
        </w:rPr>
      </w:pPr>
    </w:p>
    <w:p>
      <w:pPr>
        <w:spacing w:line="360" w:lineRule="auto"/>
        <w:rPr>
          <w:rFonts w:ascii="新宋体" w:hAnsi="新宋体" w:eastAsia="新宋体" w:cs="新宋体"/>
          <w:b/>
          <w:sz w:val="24"/>
          <w:u w:val="single"/>
        </w:rPr>
      </w:pPr>
      <w:r>
        <w:rPr>
          <w:rFonts w:hint="eastAsia" w:ascii="新宋体" w:hAnsi="新宋体" w:eastAsia="新宋体" w:cs="新宋体"/>
          <w:b/>
          <w:sz w:val="24"/>
        </w:rPr>
        <w:t>项目名称：                                 项目编号：</w:t>
      </w:r>
    </w:p>
    <w:tbl>
      <w:tblPr>
        <w:tblStyle w:val="26"/>
        <w:tblW w:w="976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类别</w:t>
            </w:r>
          </w:p>
        </w:tc>
        <w:tc>
          <w:tcPr>
            <w:tcW w:w="1045"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职务</w:t>
            </w:r>
          </w:p>
        </w:tc>
        <w:tc>
          <w:tcPr>
            <w:tcW w:w="1045"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姓名</w:t>
            </w:r>
          </w:p>
        </w:tc>
        <w:tc>
          <w:tcPr>
            <w:tcW w:w="1045"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职称</w:t>
            </w:r>
          </w:p>
        </w:tc>
        <w:tc>
          <w:tcPr>
            <w:tcW w:w="1045"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常住地</w:t>
            </w:r>
          </w:p>
        </w:tc>
        <w:tc>
          <w:tcPr>
            <w:tcW w:w="4369" w:type="dxa"/>
            <w:gridSpan w:val="4"/>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资格证明（附复印件）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证书名称</w:t>
            </w:r>
          </w:p>
        </w:tc>
        <w:tc>
          <w:tcPr>
            <w:tcW w:w="955"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级别</w:t>
            </w:r>
          </w:p>
        </w:tc>
        <w:tc>
          <w:tcPr>
            <w:tcW w:w="1092"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证号</w:t>
            </w:r>
          </w:p>
        </w:tc>
        <w:tc>
          <w:tcPr>
            <w:tcW w:w="951" w:type="dxa"/>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专业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4" w:hRule="atLeast"/>
          <w:jc w:val="center"/>
        </w:trPr>
        <w:tc>
          <w:tcPr>
            <w:tcW w:w="1217"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管</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理</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人</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员</w:t>
            </w: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4"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技</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术</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人</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员</w:t>
            </w: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4"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4" w:hRule="atLeast"/>
          <w:jc w:val="center"/>
        </w:trPr>
        <w:tc>
          <w:tcPr>
            <w:tcW w:w="1217" w:type="dxa"/>
            <w:vMerge w:val="restart"/>
            <w:tcBorders>
              <w:tl2br w:val="nil"/>
              <w:tr2bl w:val="nil"/>
            </w:tcBorders>
            <w:noWrap/>
            <w:vAlign w:val="center"/>
          </w:tcPr>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售后</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服务</w:t>
            </w:r>
          </w:p>
          <w:p>
            <w:pPr>
              <w:spacing w:line="360" w:lineRule="auto"/>
              <w:jc w:val="center"/>
              <w:outlineLvl w:val="5"/>
              <w:rPr>
                <w:rFonts w:ascii="新宋体" w:hAnsi="新宋体" w:eastAsia="新宋体" w:cs="新宋体"/>
                <w:b/>
                <w:sz w:val="24"/>
              </w:rPr>
            </w:pPr>
            <w:r>
              <w:rPr>
                <w:rFonts w:hint="eastAsia" w:ascii="新宋体" w:hAnsi="新宋体" w:eastAsia="新宋体" w:cs="新宋体"/>
                <w:b/>
                <w:sz w:val="24"/>
              </w:rPr>
              <w:t>人员</w:t>
            </w: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sz w:val="24"/>
              </w:rPr>
            </w:pPr>
          </w:p>
        </w:tc>
        <w:tc>
          <w:tcPr>
            <w:tcW w:w="955" w:type="dxa"/>
            <w:tcBorders>
              <w:tl2br w:val="nil"/>
              <w:tr2bl w:val="nil"/>
            </w:tcBorders>
            <w:noWrap/>
          </w:tcPr>
          <w:p>
            <w:pPr>
              <w:spacing w:line="360" w:lineRule="auto"/>
              <w:jc w:val="center"/>
              <w:outlineLvl w:val="5"/>
              <w:rPr>
                <w:rFonts w:ascii="新宋体" w:hAnsi="新宋体" w:eastAsia="新宋体" w:cs="新宋体"/>
                <w:b/>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sz w:val="24"/>
              </w:rPr>
            </w:pPr>
          </w:p>
        </w:tc>
        <w:tc>
          <w:tcPr>
            <w:tcW w:w="951" w:type="dxa"/>
            <w:tcBorders>
              <w:tl2br w:val="nil"/>
              <w:tr2bl w:val="nil"/>
            </w:tcBorders>
            <w:noWrap/>
          </w:tcPr>
          <w:p>
            <w:pPr>
              <w:spacing w:line="360" w:lineRule="auto"/>
              <w:jc w:val="center"/>
              <w:outlineLvl w:val="5"/>
              <w:rPr>
                <w:rFonts w:ascii="新宋体" w:hAnsi="新宋体" w:eastAsia="新宋体" w:cs="新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2"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bCs/>
                <w:sz w:val="24"/>
              </w:rPr>
            </w:pPr>
          </w:p>
        </w:tc>
        <w:tc>
          <w:tcPr>
            <w:tcW w:w="95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bCs/>
                <w:sz w:val="24"/>
              </w:rPr>
            </w:pPr>
          </w:p>
        </w:tc>
        <w:tc>
          <w:tcPr>
            <w:tcW w:w="951" w:type="dxa"/>
            <w:tcBorders>
              <w:tl2br w:val="nil"/>
              <w:tr2bl w:val="nil"/>
            </w:tcBorders>
            <w:noWrap/>
          </w:tcPr>
          <w:p>
            <w:pPr>
              <w:spacing w:line="360" w:lineRule="auto"/>
              <w:jc w:val="center"/>
              <w:outlineLvl w:val="5"/>
              <w:rPr>
                <w:rFonts w:ascii="新宋体" w:hAnsi="新宋体" w:eastAsia="新宋体" w:cs="新宋体"/>
                <w:b/>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4" w:hRule="atLeast"/>
          <w:jc w:val="center"/>
        </w:trPr>
        <w:tc>
          <w:tcPr>
            <w:tcW w:w="1217" w:type="dxa"/>
            <w:vMerge w:val="continue"/>
            <w:tcBorders>
              <w:tl2br w:val="nil"/>
              <w:tr2bl w:val="nil"/>
            </w:tcBorders>
            <w:noWrap/>
            <w:vAlign w:val="center"/>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4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371" w:type="dxa"/>
            <w:tcBorders>
              <w:tl2br w:val="nil"/>
              <w:tr2bl w:val="nil"/>
            </w:tcBorders>
            <w:noWrap/>
          </w:tcPr>
          <w:p>
            <w:pPr>
              <w:spacing w:line="360" w:lineRule="auto"/>
              <w:jc w:val="center"/>
              <w:outlineLvl w:val="5"/>
              <w:rPr>
                <w:rFonts w:ascii="新宋体" w:hAnsi="新宋体" w:eastAsia="新宋体" w:cs="新宋体"/>
                <w:b/>
                <w:bCs/>
                <w:sz w:val="24"/>
              </w:rPr>
            </w:pPr>
          </w:p>
        </w:tc>
        <w:tc>
          <w:tcPr>
            <w:tcW w:w="955" w:type="dxa"/>
            <w:tcBorders>
              <w:tl2br w:val="nil"/>
              <w:tr2bl w:val="nil"/>
            </w:tcBorders>
            <w:noWrap/>
          </w:tcPr>
          <w:p>
            <w:pPr>
              <w:spacing w:line="360" w:lineRule="auto"/>
              <w:jc w:val="center"/>
              <w:outlineLvl w:val="5"/>
              <w:rPr>
                <w:rFonts w:ascii="新宋体" w:hAnsi="新宋体" w:eastAsia="新宋体" w:cs="新宋体"/>
                <w:b/>
                <w:bCs/>
                <w:sz w:val="24"/>
              </w:rPr>
            </w:pPr>
          </w:p>
        </w:tc>
        <w:tc>
          <w:tcPr>
            <w:tcW w:w="1092" w:type="dxa"/>
            <w:tcBorders>
              <w:tl2br w:val="nil"/>
              <w:tr2bl w:val="nil"/>
            </w:tcBorders>
            <w:noWrap/>
          </w:tcPr>
          <w:p>
            <w:pPr>
              <w:spacing w:line="360" w:lineRule="auto"/>
              <w:jc w:val="center"/>
              <w:outlineLvl w:val="5"/>
              <w:rPr>
                <w:rFonts w:ascii="新宋体" w:hAnsi="新宋体" w:eastAsia="新宋体" w:cs="新宋体"/>
                <w:b/>
                <w:bCs/>
                <w:sz w:val="24"/>
              </w:rPr>
            </w:pPr>
          </w:p>
        </w:tc>
        <w:tc>
          <w:tcPr>
            <w:tcW w:w="951" w:type="dxa"/>
            <w:tcBorders>
              <w:tl2br w:val="nil"/>
              <w:tr2bl w:val="nil"/>
            </w:tcBorders>
            <w:noWrap/>
          </w:tcPr>
          <w:p>
            <w:pPr>
              <w:spacing w:line="360" w:lineRule="auto"/>
              <w:jc w:val="center"/>
              <w:outlineLvl w:val="5"/>
              <w:rPr>
                <w:rFonts w:ascii="新宋体" w:hAnsi="新宋体" w:eastAsia="新宋体" w:cs="新宋体"/>
                <w:b/>
                <w:bCs/>
                <w:sz w:val="24"/>
              </w:rPr>
            </w:pPr>
          </w:p>
        </w:tc>
      </w:tr>
    </w:tbl>
    <w:p>
      <w:pPr>
        <w:rPr>
          <w:rFonts w:ascii="新宋体" w:hAnsi="新宋体" w:eastAsia="新宋体" w:cs="新宋体"/>
        </w:rPr>
      </w:pPr>
    </w:p>
    <w:p>
      <w:pPr>
        <w:rPr>
          <w:rFonts w:ascii="新宋体" w:hAnsi="新宋体" w:eastAsia="新宋体" w:cs="新宋体"/>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p>
    <w:p>
      <w:pPr>
        <w:pStyle w:val="32"/>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r>
        <w:rPr>
          <w:rFonts w:hint="eastAsia" w:ascii="新宋体" w:hAnsi="新宋体" w:eastAsia="新宋体" w:cs="新宋体"/>
        </w:rPr>
        <w:br w:type="page"/>
      </w:r>
    </w:p>
    <w:p>
      <w:pPr>
        <w:spacing w:line="360" w:lineRule="auto"/>
        <w:ind w:right="480"/>
        <w:rPr>
          <w:rFonts w:ascii="宋体" w:hAnsi="宋体" w:cs="宋体"/>
          <w:b/>
        </w:rPr>
      </w:pPr>
    </w:p>
    <w:p>
      <w:pPr>
        <w:jc w:val="center"/>
        <w:rPr>
          <w:rFonts w:ascii="宋体" w:hAnsi="宋体" w:cs="宋体"/>
        </w:rPr>
      </w:pPr>
      <w:r>
        <w:rPr>
          <w:rFonts w:hint="eastAsia" w:ascii="宋体" w:hAnsi="宋体" w:cs="宋体"/>
          <w:b/>
          <w:bCs/>
          <w:sz w:val="28"/>
          <w:szCs w:val="28"/>
        </w:rPr>
        <w:t>十一、中小型企业声明函</w:t>
      </w:r>
    </w:p>
    <w:p>
      <w:pPr>
        <w:spacing w:line="360" w:lineRule="auto"/>
        <w:rPr>
          <w:rFonts w:ascii="宋体" w:hAnsi="宋体" w:cs="宋体"/>
          <w:sz w:val="24"/>
        </w:rPr>
      </w:pPr>
    </w:p>
    <w:p>
      <w:pPr>
        <w:rPr>
          <w:rFonts w:ascii="宋体" w:hAnsi="宋体" w:cs="宋体" w:eastAsiaTheme="minorEastAsia"/>
        </w:rPr>
      </w:pPr>
      <w:r>
        <w:rPr>
          <w:rFonts w:hint="eastAsia" w:asciiTheme="minorEastAsia" w:hAnsiTheme="minorEastAsia" w:eastAsiaTheme="minorEastAsia" w:cstheme="minorEastAsia"/>
          <w:sz w:val="24"/>
        </w:rPr>
        <w:t>致：永道工程咨询（江苏）有限公司</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ascii="宋体" w:hAnsi="宋体" w:cs="宋体"/>
          <w:sz w:val="24"/>
        </w:rPr>
        <w:t>本公司（联合体）郑重声明，根据《政府采购促进中小企业发展管理办法》（财库〔2020）46号）的规定，本公司（联合体）参加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bookmarkStart w:id="146" w:name="bookmark30"/>
      <w:bookmarkEnd w:id="146"/>
      <w:r>
        <w:rPr>
          <w:rFonts w:hint="eastAsia" w:ascii="宋体" w:hAnsi="宋体" w:cs="宋体"/>
          <w:sz w:val="24"/>
        </w:rPr>
        <w:t>1.</w:t>
      </w:r>
      <w:r>
        <w:rPr>
          <w:rFonts w:ascii="宋体" w:hAnsi="宋体" w:cs="宋体"/>
          <w:sz w:val="24"/>
          <w:u w:val="single"/>
        </w:rPr>
        <w:t>（</w:t>
      </w:r>
      <w:r>
        <w:rPr>
          <w:rFonts w:hint="eastAsia" w:ascii="宋体" w:hAnsi="宋体" w:cs="宋体"/>
          <w:sz w:val="24"/>
          <w:u w:val="single"/>
        </w:rPr>
        <w:t>标的名称</w:t>
      </w:r>
      <w:r>
        <w:rPr>
          <w:rFonts w:ascii="宋体" w:hAnsi="宋体" w:cs="宋体"/>
          <w:sz w:val="24"/>
          <w:u w:val="single"/>
        </w:rPr>
        <w:t>）</w:t>
      </w:r>
      <w:r>
        <w:rPr>
          <w:rFonts w:ascii="宋体" w:hAnsi="宋体" w:cs="宋体"/>
          <w:sz w:val="24"/>
        </w:rPr>
        <w:t>,属于</w:t>
      </w:r>
      <w:r>
        <w:rPr>
          <w:rFonts w:ascii="宋体" w:hAnsi="宋体" w:cs="宋体"/>
          <w:sz w:val="24"/>
          <w:u w:val="single"/>
        </w:rPr>
        <w:t>（采购文件中明确的所属行业</w:t>
      </w:r>
      <w:r>
        <w:rPr>
          <w:rFonts w:hint="eastAsia" w:ascii="宋体" w:hAnsi="宋体" w:cs="宋体"/>
          <w:sz w:val="24"/>
          <w:u w:val="single"/>
        </w:rPr>
        <w:t>）</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,从业人员人，营业收入为万元，资产总额为万元，属于（中型企业、小 型企业、微型企业</w:t>
      </w:r>
      <w:r>
        <w:rPr>
          <w:rFonts w:hint="eastAsia" w:ascii="宋体" w:hAnsi="宋体" w:cs="宋体"/>
          <w:sz w:val="24"/>
        </w:rPr>
        <w:t>）；</w:t>
      </w:r>
    </w:p>
    <w:p>
      <w:pPr>
        <w:spacing w:line="360" w:lineRule="auto"/>
        <w:ind w:firstLine="480" w:firstLineChars="200"/>
        <w:rPr>
          <w:rFonts w:ascii="宋体" w:hAnsi="宋体" w:cs="宋体"/>
          <w:sz w:val="24"/>
        </w:rPr>
      </w:pPr>
      <w:bookmarkStart w:id="147" w:name="bookmark31"/>
      <w:bookmarkEnd w:id="147"/>
      <w:r>
        <w:rPr>
          <w:rFonts w:hint="eastAsia" w:ascii="宋体" w:hAnsi="宋体" w:cs="宋体"/>
          <w:sz w:val="24"/>
        </w:rPr>
        <w:t>2.</w:t>
      </w:r>
      <w:r>
        <w:rPr>
          <w:rFonts w:ascii="宋体" w:hAnsi="宋体" w:cs="宋体"/>
          <w:sz w:val="24"/>
          <w:u w:val="single"/>
        </w:rPr>
        <w:t>（</w:t>
      </w:r>
      <w:r>
        <w:rPr>
          <w:rFonts w:hint="eastAsia" w:ascii="宋体" w:hAnsi="宋体" w:cs="宋体"/>
          <w:sz w:val="24"/>
          <w:u w:val="single"/>
        </w:rPr>
        <w:t>标的名称</w:t>
      </w:r>
      <w:r>
        <w:rPr>
          <w:rFonts w:ascii="宋体" w:hAnsi="宋体" w:cs="宋体"/>
          <w:sz w:val="24"/>
          <w:u w:val="single"/>
        </w:rPr>
        <w:t>）</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w:t>
      </w:r>
      <w:r>
        <w:rPr>
          <w:rFonts w:hint="eastAsia" w:ascii="宋体" w:hAnsi="宋体" w:cs="宋体"/>
          <w:sz w:val="24"/>
        </w:rPr>
        <w:t>造</w:t>
      </w:r>
      <w:r>
        <w:rPr>
          <w:rFonts w:ascii="宋体" w:hAnsi="宋体" w:cs="宋体"/>
          <w:sz w:val="24"/>
        </w:rPr>
        <w:t>商为</w:t>
      </w:r>
      <w:r>
        <w:rPr>
          <w:rFonts w:ascii="宋体" w:hAnsi="宋体" w:cs="宋体"/>
          <w:sz w:val="24"/>
          <w:u w:val="single"/>
        </w:rPr>
        <w:t>（企业名称）</w:t>
      </w:r>
      <w:r>
        <w:rPr>
          <w:rFonts w:ascii="宋体" w:hAnsi="宋体" w:cs="宋体"/>
          <w:sz w:val="24"/>
        </w:rPr>
        <w:t>,从业人员人，营业收入为万元，资产总额为万元，属于（中型企业、小型 企业、微型企业业</w:t>
      </w:r>
      <w:r>
        <w:rPr>
          <w:rFonts w:hint="eastAsia" w:ascii="宋体" w:hAnsi="宋体" w:cs="宋体"/>
          <w:sz w:val="24"/>
        </w:rPr>
        <w:t>）；</w:t>
      </w:r>
      <w:r>
        <w:rPr>
          <w:rFonts w:ascii="宋体" w:hAnsi="宋体" w:cs="宋体"/>
          <w:sz w:val="24"/>
        </w:rPr>
        <w:tab/>
      </w:r>
    </w:p>
    <w:p>
      <w:pPr>
        <w:pStyle w:val="32"/>
      </w:pPr>
      <w:r>
        <w:rPr>
          <w:rFonts w:hint="eastAsia" w:ascii="新宋体" w:hAnsi="新宋体" w:eastAsia="新宋体" w:cs="新宋体"/>
          <w:bCs/>
        </w:rPr>
        <w:t>........</w:t>
      </w: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以上企业，不属于大企业的分支机构，不存在控股股东为大企业的情形，也不存在与大企业的负责人为同一人的情形。</w:t>
      </w: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本企业对上述声明内容的真实性负责。如有虚假，将依法承担相应责任。</w:t>
      </w:r>
    </w:p>
    <w:p>
      <w:pPr>
        <w:spacing w:line="360" w:lineRule="auto"/>
        <w:ind w:firstLine="480" w:firstLineChars="200"/>
        <w:rPr>
          <w:rFonts w:ascii="新宋体" w:hAnsi="新宋体" w:eastAsia="新宋体" w:cs="新宋体"/>
          <w:bCs/>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企业名称（盖章）： </w:t>
      </w: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w:t>
      </w: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日期：</w:t>
      </w:r>
    </w:p>
    <w:p>
      <w:pPr>
        <w:pStyle w:val="32"/>
        <w:ind w:firstLine="0" w:firstLineChars="0"/>
        <w:rPr>
          <w:rFonts w:eastAsia="新宋体"/>
        </w:rPr>
      </w:pPr>
    </w:p>
    <w:p>
      <w:pPr>
        <w:pStyle w:val="32"/>
        <w:ind w:firstLine="0" w:firstLineChars="0"/>
        <w:rPr>
          <w:rFonts w:eastAsia="新宋体"/>
        </w:rPr>
      </w:pPr>
    </w:p>
    <w:p>
      <w:pPr>
        <w:pStyle w:val="32"/>
        <w:ind w:firstLine="0" w:firstLineChars="0"/>
        <w:rPr>
          <w:rFonts w:eastAsia="新宋体"/>
        </w:rPr>
      </w:pPr>
    </w:p>
    <w:p>
      <w:pPr>
        <w:pStyle w:val="32"/>
        <w:ind w:firstLine="0" w:firstLineChars="0"/>
        <w:rPr>
          <w:rFonts w:eastAsia="新宋体"/>
        </w:rPr>
      </w:pPr>
      <w:r>
        <w:rPr>
          <w:rFonts w:hint="eastAsia" w:eastAsia="新宋体"/>
        </w:rPr>
        <w:t>从业人员、营业收入、资产总额填报上一年度数据，无上一年度数据的新成立企业可不填报。</w:t>
      </w:r>
    </w:p>
    <w:p>
      <w:pPr>
        <w:spacing w:line="360" w:lineRule="auto"/>
        <w:ind w:firstLine="480" w:firstLineChars="200"/>
        <w:rPr>
          <w:rFonts w:ascii="宋体" w:hAnsi="宋体" w:cs="宋体"/>
          <w:sz w:val="24"/>
        </w:rPr>
      </w:pPr>
      <w:r>
        <w:rPr>
          <w:rFonts w:hint="eastAsia" w:ascii="宋体" w:hAnsi="宋体" w:cs="宋体"/>
          <w:sz w:val="24"/>
        </w:rPr>
        <w:t>　</w:t>
      </w:r>
    </w:p>
    <w:p>
      <w:pPr>
        <w:rPr>
          <w:rFonts w:ascii="宋体" w:hAnsi="宋体" w:cs="宋体"/>
        </w:rPr>
      </w:pPr>
    </w:p>
    <w:p>
      <w:pPr>
        <w:spacing w:line="360" w:lineRule="auto"/>
        <w:rPr>
          <w:rFonts w:ascii="新宋体" w:hAnsi="新宋体" w:eastAsia="新宋体" w:cs="新宋体"/>
        </w:rPr>
      </w:pP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十二、残疾人福利性单位声明函</w:t>
      </w:r>
    </w:p>
    <w:p>
      <w:pPr>
        <w:rPr>
          <w:rFonts w:ascii="新宋体" w:hAnsi="新宋体" w:eastAsia="新宋体" w:cs="新宋体"/>
        </w:rPr>
      </w:pPr>
      <w:r>
        <w:rPr>
          <w:rFonts w:hint="eastAsia" w:ascii="新宋体" w:hAnsi="新宋体" w:eastAsia="新宋体" w:cs="新宋体"/>
          <w:sz w:val="24"/>
        </w:rPr>
        <w:t>致：永道工程咨询（江苏）有限公司</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 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本公司对上述声明内容事项真实性负责。如经查实上述声明的内容事项存在虚假，我公司愿意接受以提供虚假材料谋取中标追究法律责任。</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注：非残疾人福利性单位不用提供以上声明函。</w:t>
      </w:r>
    </w:p>
    <w:p>
      <w:pPr>
        <w:rPr>
          <w:rFonts w:ascii="新宋体" w:hAnsi="新宋体" w:eastAsia="新宋体" w:cs="新宋体"/>
        </w:rPr>
      </w:pP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十三、关于国家规定的强制采购范围内产品承诺函</w:t>
      </w:r>
    </w:p>
    <w:p>
      <w:pPr>
        <w:rPr>
          <w:rFonts w:ascii="新宋体" w:hAnsi="新宋体" w:eastAsia="新宋体" w:cs="新宋体"/>
          <w:sz w:val="24"/>
        </w:rPr>
      </w:pPr>
      <w:r>
        <w:rPr>
          <w:rFonts w:hint="eastAsia" w:ascii="新宋体" w:hAnsi="新宋体" w:eastAsia="新宋体" w:cs="新宋体"/>
          <w:sz w:val="24"/>
        </w:rPr>
        <w:t>致：永道工程咨询（江苏）有限公司</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单位郑重承诺，根据国家相关强制采购范围内产品的相关文件和规定。如在本项目采购需求中涉及，我公司特此承诺在投标文件中所提供的产品均在国家规定的相关强制采购范围要求内。并承诺在交货前提供相关的证明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本单位对上述承诺内容事项真实性负责。如经查实上述承诺的内容事项存在虚假，我单位愿意接受以提供虚假材料谋取中标追究法律责任。</w:t>
      </w: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十四、本项目参加政府采购活动的投标供应商在前三年内，在经营活动中无不良记录</w:t>
      </w:r>
    </w:p>
    <w:p>
      <w:pPr>
        <w:rPr>
          <w:rFonts w:ascii="新宋体" w:hAnsi="新宋体" w:eastAsia="新宋体" w:cs="新宋体"/>
        </w:rPr>
      </w:pPr>
    </w:p>
    <w:p>
      <w:pPr>
        <w:rPr>
          <w:rFonts w:ascii="新宋体" w:hAnsi="新宋体" w:eastAsia="新宋体" w:cs="新宋体"/>
        </w:rPr>
      </w:pPr>
      <w:r>
        <w:rPr>
          <w:rFonts w:hint="eastAsia" w:ascii="新宋体" w:hAnsi="新宋体" w:eastAsia="新宋体" w:cs="新宋体"/>
          <w:sz w:val="24"/>
        </w:rPr>
        <w:t>致：永道工程咨询（江苏）有限公司</w:t>
      </w:r>
    </w:p>
    <w:p>
      <w:pPr>
        <w:spacing w:line="360" w:lineRule="auto"/>
        <w:ind w:firstLine="480" w:firstLineChars="200"/>
        <w:jc w:val="center"/>
        <w:rPr>
          <w:rFonts w:ascii="新宋体" w:hAnsi="新宋体" w:eastAsia="新宋体" w:cs="新宋体"/>
          <w:sz w:val="24"/>
        </w:rPr>
      </w:pPr>
      <w:r>
        <w:rPr>
          <w:rFonts w:hint="eastAsia" w:ascii="新宋体" w:hAnsi="新宋体" w:eastAsia="新宋体" w:cs="新宋体"/>
          <w:sz w:val="24"/>
        </w:rPr>
        <w:t>提供证明材料（格式自拟）</w:t>
      </w:r>
    </w:p>
    <w:p>
      <w:pPr>
        <w:spacing w:line="360" w:lineRule="auto"/>
        <w:ind w:firstLine="480" w:firstLineChars="200"/>
        <w:jc w:val="center"/>
        <w:rPr>
          <w:rFonts w:ascii="新宋体" w:hAnsi="新宋体" w:eastAsia="新宋体" w:cs="新宋体"/>
          <w:b/>
          <w:sz w:val="24"/>
        </w:rPr>
      </w:pPr>
      <w:r>
        <w:rPr>
          <w:rFonts w:hint="eastAsia" w:ascii="新宋体" w:hAnsi="新宋体" w:eastAsia="新宋体" w:cs="新宋体"/>
          <w:sz w:val="24"/>
        </w:rPr>
        <w:t>（供应商未处于《中国政府采购网》“政府采购严重违法失信行为信息记录”；未处于《信用中国》网站中的“失信被执行人”名单、“重大税收违法案件当事人名单”、“企业经营异常名录”、“政府采购不良行为行为记录”；2017年至今《中国裁判文书网》无行贿犯罪记录的、以及不存在其他不符合《政府采购法》第二十二条规定条件的供应商禁止参加政府采购活动（处罚期限届满的除外）；的查询记录）</w:t>
      </w:r>
    </w:p>
    <w:p>
      <w:pPr>
        <w:spacing w:line="360" w:lineRule="auto"/>
        <w:ind w:firstLine="482" w:firstLineChars="200"/>
        <w:rPr>
          <w:rFonts w:ascii="新宋体" w:hAnsi="新宋体" w:eastAsia="新宋体" w:cs="新宋体"/>
          <w:b/>
          <w:sz w:val="24"/>
        </w:rPr>
      </w:pPr>
    </w:p>
    <w:p>
      <w:pPr>
        <w:spacing w:line="360" w:lineRule="auto"/>
        <w:ind w:firstLine="482" w:firstLineChars="200"/>
        <w:rPr>
          <w:rFonts w:ascii="新宋体" w:hAnsi="新宋体" w:eastAsia="新宋体" w:cs="新宋体"/>
          <w:b/>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bCs/>
          <w:sz w:val="24"/>
          <w:u w:val="single"/>
        </w:rPr>
      </w:pPr>
      <w:r>
        <w:rPr>
          <w:rFonts w:hint="eastAsia" w:ascii="新宋体" w:hAnsi="新宋体" w:eastAsia="新宋体" w:cs="新宋体"/>
          <w:bCs/>
          <w:sz w:val="24"/>
        </w:rPr>
        <w:t>法定代表人或授权代表（签字）：</w:t>
      </w:r>
      <w:r>
        <w:rPr>
          <w:rFonts w:hint="eastAsia" w:ascii="新宋体" w:hAnsi="新宋体" w:eastAsia="新宋体" w:cs="新宋体"/>
          <w:bCs/>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pStyle w:val="4"/>
        <w:numPr>
          <w:ilvl w:val="0"/>
          <w:numId w:val="8"/>
        </w:numPr>
        <w:rPr>
          <w:rFonts w:ascii="新宋体" w:hAnsi="新宋体" w:eastAsia="新宋体" w:cs="新宋体"/>
        </w:rPr>
      </w:pPr>
      <w:r>
        <w:rPr>
          <w:rFonts w:hint="eastAsia" w:ascii="新宋体" w:hAnsi="新宋体" w:eastAsia="新宋体" w:cs="新宋体"/>
        </w:rPr>
        <w:t>具备良好的商业信誉</w:t>
      </w:r>
    </w:p>
    <w:p>
      <w:pPr>
        <w:pStyle w:val="4"/>
        <w:rPr>
          <w:rFonts w:ascii="新宋体" w:hAnsi="新宋体" w:eastAsia="新宋体" w:cs="新宋体"/>
          <w:sz w:val="28"/>
          <w:szCs w:val="28"/>
        </w:rPr>
      </w:pPr>
    </w:p>
    <w:p>
      <w:pPr>
        <w:pStyle w:val="4"/>
        <w:rPr>
          <w:rFonts w:ascii="新宋体" w:hAnsi="新宋体" w:eastAsia="新宋体" w:cs="新宋体"/>
        </w:rPr>
      </w:pPr>
      <w:r>
        <w:rPr>
          <w:rFonts w:hint="eastAsia" w:ascii="新宋体" w:hAnsi="新宋体" w:eastAsia="新宋体" w:cs="新宋体"/>
          <w:sz w:val="28"/>
          <w:szCs w:val="28"/>
        </w:rPr>
        <w:t>投标供应商自行提供声明函</w:t>
      </w:r>
    </w:p>
    <w:p>
      <w:pPr>
        <w:jc w:val="center"/>
        <w:rPr>
          <w:rFonts w:eastAsia="新宋体"/>
          <w:sz w:val="28"/>
          <w:szCs w:val="28"/>
        </w:rPr>
      </w:pPr>
      <w:r>
        <w:rPr>
          <w:rFonts w:hint="eastAsia" w:ascii="新宋体" w:hAnsi="新宋体" w:eastAsia="新宋体" w:cs="新宋体"/>
          <w:sz w:val="28"/>
          <w:szCs w:val="28"/>
        </w:rPr>
        <w:t>【内容自拟】</w:t>
      </w: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p>
    <w:p>
      <w:pPr>
        <w:spacing w:line="360" w:lineRule="auto"/>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adjustRightInd w:val="0"/>
        <w:snapToGrid w:val="0"/>
        <w:spacing w:line="360" w:lineRule="auto"/>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r>
        <w:rPr>
          <w:rFonts w:hint="eastAsia" w:ascii="新宋体" w:hAnsi="新宋体" w:eastAsia="新宋体" w:cs="新宋体"/>
        </w:rPr>
        <w:br w:type="page"/>
      </w:r>
    </w:p>
    <w:p>
      <w:pPr>
        <w:pStyle w:val="4"/>
        <w:rPr>
          <w:rFonts w:ascii="新宋体" w:hAnsi="新宋体" w:eastAsia="新宋体" w:cs="新宋体"/>
        </w:rPr>
      </w:pPr>
      <w:r>
        <w:rPr>
          <w:rFonts w:hint="eastAsia" w:ascii="新宋体" w:hAnsi="新宋体" w:eastAsia="新宋体" w:cs="新宋体"/>
        </w:rPr>
        <w:t>十六、近三年在经营活动中没有重大违法记录的书面声明</w:t>
      </w:r>
    </w:p>
    <w:p>
      <w:pPr>
        <w:spacing w:line="360" w:lineRule="auto"/>
        <w:rPr>
          <w:rFonts w:ascii="新宋体" w:hAnsi="新宋体" w:eastAsia="新宋体" w:cs="新宋体"/>
        </w:rPr>
      </w:pPr>
    </w:p>
    <w:p>
      <w:pPr>
        <w:adjustRightInd w:val="0"/>
        <w:snapToGrid w:val="0"/>
        <w:spacing w:line="360" w:lineRule="auto"/>
        <w:ind w:left="480" w:hanging="480" w:hangingChars="200"/>
        <w:rPr>
          <w:rFonts w:ascii="新宋体" w:hAnsi="新宋体" w:eastAsia="新宋体" w:cs="新宋体"/>
          <w:sz w:val="24"/>
        </w:rPr>
      </w:pPr>
      <w:r>
        <w:rPr>
          <w:rFonts w:hint="eastAsia" w:ascii="新宋体" w:hAnsi="新宋体" w:eastAsia="新宋体" w:cs="新宋体"/>
          <w:sz w:val="24"/>
        </w:rPr>
        <w:t>致：永道工程咨询（江苏）有限公司</w:t>
      </w:r>
    </w:p>
    <w:p>
      <w:pPr>
        <w:snapToGrid w:val="0"/>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本公司（公司名称）参加（项目名称：项目编号：）的投标活动，现声明我公司在参加政府采购活动前三年内，在经营活动中没有重大违法记录。</w:t>
      </w:r>
    </w:p>
    <w:p>
      <w:pPr>
        <w:snapToGrid w:val="0"/>
        <w:spacing w:line="360" w:lineRule="auto"/>
        <w:rPr>
          <w:rFonts w:ascii="新宋体" w:hAnsi="新宋体" w:eastAsia="新宋体" w:cs="新宋体"/>
          <w:sz w:val="24"/>
        </w:rPr>
      </w:pPr>
      <w:r>
        <w:rPr>
          <w:rFonts w:hint="eastAsia" w:ascii="新宋体" w:hAnsi="新宋体" w:eastAsia="新宋体" w:cs="新宋体"/>
          <w:sz w:val="24"/>
        </w:rPr>
        <w:t>本公司对上述声明内容事项真实性负责。如经查实上述声明的内容事项存在虚假，我公司愿意接受以提供虚假材料谋取中标追究法律责任。</w:t>
      </w:r>
    </w:p>
    <w:p>
      <w:pPr>
        <w:spacing w:line="360" w:lineRule="auto"/>
        <w:rPr>
          <w:rFonts w:ascii="新宋体" w:hAnsi="新宋体" w:eastAsia="新宋体" w:cs="新宋体"/>
          <w:sz w:val="24"/>
        </w:rPr>
      </w:pPr>
    </w:p>
    <w:p>
      <w:pPr>
        <w:spacing w:line="360" w:lineRule="auto"/>
        <w:rPr>
          <w:rFonts w:ascii="新宋体" w:hAnsi="新宋体" w:eastAsia="新宋体" w:cs="新宋体"/>
          <w:sz w:val="24"/>
        </w:rPr>
      </w:pP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当地人民政府规定的行政处罚罚款听证标准金额为准。 </w:t>
      </w:r>
    </w:p>
    <w:p>
      <w:pPr>
        <w:spacing w:line="360" w:lineRule="auto"/>
        <w:rPr>
          <w:rFonts w:ascii="新宋体" w:hAnsi="新宋体" w:eastAsia="新宋体" w:cs="新宋体"/>
          <w:sz w:val="24"/>
        </w:rPr>
      </w:pPr>
    </w:p>
    <w:p>
      <w:pPr>
        <w:spacing w:line="360" w:lineRule="auto"/>
        <w:rPr>
          <w:rFonts w:ascii="新宋体" w:hAnsi="新宋体" w:eastAsia="新宋体" w:cs="新宋体"/>
          <w:sz w:val="24"/>
        </w:rPr>
      </w:pPr>
    </w:p>
    <w:p>
      <w:pPr>
        <w:spacing w:line="360" w:lineRule="auto"/>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adjustRightInd w:val="0"/>
        <w:snapToGrid w:val="0"/>
        <w:spacing w:line="360" w:lineRule="auto"/>
        <w:rPr>
          <w:rFonts w:ascii="新宋体" w:hAnsi="新宋体" w:eastAsia="新宋体" w:cs="新宋体"/>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sz w:val="24"/>
          <w:u w:val="single"/>
        </w:rPr>
        <w:t xml:space="preserve">            </w:t>
      </w:r>
    </w:p>
    <w:p>
      <w:pPr>
        <w:spacing w:line="360" w:lineRule="auto"/>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pStyle w:val="4"/>
        <w:rPr>
          <w:rFonts w:ascii="新宋体" w:hAnsi="新宋体" w:eastAsia="新宋体" w:cs="新宋体"/>
        </w:rPr>
      </w:pPr>
      <w:r>
        <w:rPr>
          <w:rFonts w:hint="eastAsia" w:ascii="新宋体" w:hAnsi="新宋体" w:eastAsia="新宋体" w:cs="新宋体"/>
        </w:rPr>
        <w:t>十七、项目实施方案</w:t>
      </w:r>
    </w:p>
    <w:p>
      <w:pPr>
        <w:rPr>
          <w:rFonts w:ascii="新宋体" w:hAnsi="新宋体" w:eastAsia="新宋体" w:cs="新宋体"/>
        </w:rPr>
      </w:pPr>
    </w:p>
    <w:p>
      <w:pPr>
        <w:rPr>
          <w:rFonts w:ascii="新宋体" w:hAnsi="新宋体" w:eastAsia="新宋体" w:cs="新宋体"/>
        </w:rPr>
      </w:pPr>
    </w:p>
    <w:p>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项目名称：                                      项目编号：</w:t>
      </w:r>
    </w:p>
    <w:p>
      <w:pPr>
        <w:spacing w:line="360" w:lineRule="auto"/>
        <w:ind w:firstLine="482" w:firstLineChars="200"/>
        <w:rPr>
          <w:rFonts w:ascii="新宋体" w:hAnsi="新宋体" w:eastAsia="新宋体" w:cs="新宋体"/>
          <w:b/>
          <w:sz w:val="24"/>
        </w:rPr>
      </w:pPr>
    </w:p>
    <w:p>
      <w:pPr>
        <w:spacing w:line="360" w:lineRule="auto"/>
        <w:rPr>
          <w:rFonts w:ascii="新宋体" w:hAnsi="新宋体" w:eastAsia="新宋体" w:cs="新宋体"/>
          <w:b/>
          <w:sz w:val="24"/>
        </w:rPr>
      </w:pPr>
    </w:p>
    <w:p>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（投标供应商应提供的针对本项目整体的实施方案）</w:t>
      </w:r>
    </w:p>
    <w:p>
      <w:pPr>
        <w:spacing w:line="360" w:lineRule="auto"/>
        <w:ind w:firstLine="482" w:firstLineChars="200"/>
        <w:rPr>
          <w:rFonts w:ascii="新宋体" w:hAnsi="新宋体" w:eastAsia="新宋体" w:cs="新宋体"/>
          <w:b/>
          <w:sz w:val="24"/>
        </w:rPr>
      </w:pPr>
    </w:p>
    <w:p>
      <w:pPr>
        <w:spacing w:line="360" w:lineRule="auto"/>
        <w:ind w:firstLine="482" w:firstLineChars="200"/>
        <w:rPr>
          <w:rFonts w:ascii="新宋体" w:hAnsi="新宋体" w:eastAsia="新宋体" w:cs="新宋体"/>
          <w:b/>
          <w:sz w:val="24"/>
        </w:rPr>
      </w:pPr>
    </w:p>
    <w:p>
      <w:pPr>
        <w:pStyle w:val="12"/>
        <w:rPr>
          <w:rFonts w:ascii="新宋体" w:hAnsi="新宋体" w:eastAsia="新宋体" w:cs="新宋体"/>
          <w:b/>
          <w:sz w:val="24"/>
        </w:rPr>
      </w:pPr>
    </w:p>
    <w:p>
      <w:pPr>
        <w:rPr>
          <w:rFonts w:ascii="新宋体" w:hAnsi="新宋体" w:eastAsia="新宋体" w:cs="新宋体"/>
          <w:b/>
          <w:sz w:val="24"/>
        </w:rPr>
      </w:pPr>
    </w:p>
    <w:p>
      <w:pPr>
        <w:pStyle w:val="12"/>
        <w:rPr>
          <w:rFonts w:ascii="新宋体" w:hAnsi="新宋体" w:eastAsia="新宋体" w:cs="新宋体"/>
          <w:b/>
          <w:sz w:val="24"/>
        </w:rPr>
      </w:pPr>
    </w:p>
    <w:p>
      <w:pPr>
        <w:rPr>
          <w:rFonts w:ascii="新宋体" w:hAnsi="新宋体" w:eastAsia="新宋体" w:cs="新宋体"/>
          <w:b/>
          <w:sz w:val="24"/>
        </w:rPr>
      </w:pPr>
    </w:p>
    <w:p>
      <w:pPr>
        <w:pStyle w:val="12"/>
      </w:pPr>
    </w:p>
    <w:p>
      <w:pPr>
        <w:spacing w:line="360" w:lineRule="auto"/>
        <w:ind w:firstLine="482" w:firstLineChars="200"/>
        <w:rPr>
          <w:rFonts w:ascii="新宋体" w:hAnsi="新宋体" w:eastAsia="新宋体" w:cs="新宋体"/>
          <w:b/>
          <w:sz w:val="24"/>
        </w:rPr>
      </w:pPr>
    </w:p>
    <w:p>
      <w:pPr>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spacing w:line="360" w:lineRule="auto"/>
        <w:ind w:firstLine="480" w:firstLineChars="200"/>
        <w:rPr>
          <w:rFonts w:ascii="新宋体" w:hAnsi="新宋体" w:eastAsia="新宋体" w:cs="新宋体"/>
          <w:bCs/>
          <w:sz w:val="24"/>
          <w:u w:val="single"/>
        </w:rPr>
      </w:pPr>
      <w:r>
        <w:rPr>
          <w:rFonts w:hint="eastAsia" w:ascii="新宋体" w:hAnsi="新宋体" w:eastAsia="新宋体" w:cs="新宋体"/>
          <w:bCs/>
          <w:sz w:val="24"/>
        </w:rPr>
        <w:t>法定代表人或授权代表（签字或盖章）：</w:t>
      </w:r>
      <w:r>
        <w:rPr>
          <w:rFonts w:hint="eastAsia" w:ascii="新宋体" w:hAnsi="新宋体" w:eastAsia="新宋体" w:cs="新宋体"/>
          <w:bCs/>
          <w:sz w:val="24"/>
          <w:u w:val="single"/>
        </w:rPr>
        <w:t xml:space="preserve">         </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pStyle w:val="4"/>
        <w:rPr>
          <w:rFonts w:ascii="新宋体" w:hAnsi="新宋体" w:eastAsia="新宋体" w:cs="新宋体"/>
        </w:rPr>
        <w:sectPr>
          <w:headerReference r:id="rId9" w:type="default"/>
          <w:pgSz w:w="11906" w:h="16838"/>
          <w:pgMar w:top="1440" w:right="1080" w:bottom="1440" w:left="1080" w:header="851" w:footer="992" w:gutter="0"/>
          <w:pgNumType w:fmt="decimal"/>
          <w:cols w:space="720" w:num="1"/>
          <w:docGrid w:type="lines" w:linePitch="312" w:charSpace="0"/>
        </w:sectPr>
      </w:pPr>
    </w:p>
    <w:p>
      <w:pPr>
        <w:pStyle w:val="4"/>
        <w:rPr>
          <w:rFonts w:ascii="新宋体" w:hAnsi="新宋体" w:eastAsia="新宋体" w:cs="新宋体"/>
        </w:rPr>
      </w:pPr>
      <w:r>
        <w:rPr>
          <w:rFonts w:hint="eastAsia" w:ascii="新宋体" w:hAnsi="新宋体" w:eastAsia="新宋体" w:cs="新宋体"/>
        </w:rPr>
        <w:t>十八、其他材料（格式自拟）</w:t>
      </w:r>
    </w:p>
    <w:p>
      <w:pPr>
        <w:snapToGrid w:val="0"/>
        <w:spacing w:line="360" w:lineRule="auto"/>
        <w:ind w:firstLine="480" w:firstLineChars="200"/>
        <w:textAlignment w:val="bottom"/>
        <w:rPr>
          <w:rFonts w:ascii="新宋体" w:hAnsi="新宋体" w:eastAsia="新宋体" w:cs="新宋体"/>
          <w:sz w:val="24"/>
        </w:rPr>
      </w:pPr>
    </w:p>
    <w:p>
      <w:pPr>
        <w:snapToGrid w:val="0"/>
        <w:spacing w:line="360" w:lineRule="auto"/>
        <w:rPr>
          <w:rFonts w:ascii="新宋体" w:hAnsi="新宋体" w:eastAsia="新宋体" w:cs="新宋体"/>
          <w:b/>
          <w:sz w:val="24"/>
        </w:rPr>
      </w:pPr>
    </w:p>
    <w:p>
      <w:pPr>
        <w:snapToGrid w:val="0"/>
        <w:spacing w:line="360" w:lineRule="auto"/>
        <w:rPr>
          <w:rFonts w:ascii="新宋体" w:hAnsi="新宋体" w:eastAsia="新宋体" w:cs="新宋体"/>
          <w:b/>
          <w:sz w:val="24"/>
        </w:rPr>
      </w:pPr>
      <w:r>
        <w:rPr>
          <w:rFonts w:hint="eastAsia" w:ascii="新宋体" w:hAnsi="新宋体" w:eastAsia="新宋体" w:cs="新宋体"/>
          <w:b/>
          <w:sz w:val="24"/>
        </w:rPr>
        <w:t>项目名称：                          项目编号：</w:t>
      </w:r>
    </w:p>
    <w:p>
      <w:pPr>
        <w:spacing w:after="60" w:line="360" w:lineRule="auto"/>
        <w:ind w:firstLine="477" w:firstLineChars="198"/>
        <w:jc w:val="center"/>
        <w:rPr>
          <w:rFonts w:ascii="新宋体" w:hAnsi="新宋体" w:eastAsia="新宋体" w:cs="新宋体"/>
          <w:b/>
          <w:sz w:val="24"/>
        </w:rPr>
      </w:pPr>
    </w:p>
    <w:p>
      <w:pPr>
        <w:spacing w:after="60" w:line="360" w:lineRule="auto"/>
        <w:rPr>
          <w:rFonts w:ascii="新宋体" w:hAnsi="新宋体" w:eastAsia="新宋体" w:cs="新宋体"/>
          <w:b/>
          <w:sz w:val="24"/>
        </w:rPr>
      </w:pPr>
    </w:p>
    <w:p>
      <w:pPr>
        <w:spacing w:after="60" w:line="360" w:lineRule="auto"/>
        <w:ind w:firstLine="477" w:firstLineChars="198"/>
        <w:jc w:val="center"/>
        <w:rPr>
          <w:rFonts w:ascii="新宋体" w:hAnsi="新宋体" w:eastAsia="新宋体" w:cs="新宋体"/>
          <w:b/>
          <w:sz w:val="24"/>
        </w:rPr>
      </w:pPr>
    </w:p>
    <w:p>
      <w:pPr>
        <w:spacing w:after="60" w:line="360" w:lineRule="auto"/>
        <w:ind w:firstLine="477" w:firstLineChars="198"/>
        <w:rPr>
          <w:rFonts w:ascii="新宋体" w:hAnsi="新宋体" w:eastAsia="新宋体" w:cs="新宋体"/>
          <w:b/>
          <w:sz w:val="24"/>
        </w:rPr>
      </w:pPr>
    </w:p>
    <w:p>
      <w:pPr>
        <w:spacing w:line="360" w:lineRule="auto"/>
        <w:ind w:right="480" w:firstLine="944" w:firstLineChars="392"/>
        <w:rPr>
          <w:rFonts w:ascii="新宋体" w:hAnsi="新宋体" w:eastAsia="新宋体" w:cs="新宋体"/>
          <w:b/>
          <w:sz w:val="24"/>
        </w:rPr>
      </w:pPr>
      <w:r>
        <w:rPr>
          <w:rFonts w:hint="eastAsia" w:ascii="新宋体" w:hAnsi="新宋体" w:eastAsia="新宋体" w:cs="新宋体"/>
          <w:b/>
          <w:sz w:val="24"/>
        </w:rPr>
        <w:t>1、投标供应商认为需提供本项目的其他证明资料（格式自拟，如适用）</w:t>
      </w:r>
    </w:p>
    <w:p>
      <w:pPr>
        <w:spacing w:line="360" w:lineRule="auto"/>
        <w:ind w:right="480" w:firstLine="944" w:firstLineChars="392"/>
        <w:rPr>
          <w:rFonts w:ascii="新宋体" w:hAnsi="新宋体" w:eastAsia="新宋体" w:cs="新宋体"/>
          <w:b/>
          <w:sz w:val="24"/>
        </w:rPr>
      </w:pPr>
      <w:r>
        <w:rPr>
          <w:rFonts w:hint="eastAsia" w:ascii="新宋体" w:hAnsi="新宋体" w:eastAsia="新宋体" w:cs="新宋体"/>
          <w:b/>
          <w:sz w:val="24"/>
        </w:rPr>
        <w:t>2、投标文件中有关的项目的相关证书及说明函（格式自拟，如适用）</w:t>
      </w:r>
    </w:p>
    <w:p>
      <w:pPr>
        <w:spacing w:line="360" w:lineRule="auto"/>
        <w:rPr>
          <w:rFonts w:ascii="新宋体" w:hAnsi="新宋体" w:eastAsia="新宋体" w:cs="新宋体"/>
          <w:b/>
          <w:bCs/>
          <w:sz w:val="24"/>
        </w:rPr>
      </w:pPr>
    </w:p>
    <w:p>
      <w:pPr>
        <w:spacing w:line="360" w:lineRule="auto"/>
        <w:ind w:firstLine="480"/>
        <w:rPr>
          <w:rFonts w:ascii="新宋体" w:hAnsi="新宋体" w:eastAsia="新宋体" w:cs="新宋体"/>
          <w:sz w:val="24"/>
        </w:rPr>
      </w:pPr>
      <w:r>
        <w:rPr>
          <w:rFonts w:hint="eastAsia" w:ascii="新宋体" w:hAnsi="新宋体" w:eastAsia="新宋体" w:cs="新宋体"/>
          <w:sz w:val="24"/>
        </w:rPr>
        <w:t>注：1.请各供应商务按照项目的服务和实施方案，自行提供说明函和相关资料。如</w:t>
      </w:r>
    </w:p>
    <w:p>
      <w:pPr>
        <w:spacing w:line="360" w:lineRule="auto"/>
        <w:rPr>
          <w:rFonts w:ascii="新宋体" w:hAnsi="新宋体" w:eastAsia="新宋体" w:cs="新宋体"/>
          <w:sz w:val="24"/>
        </w:rPr>
      </w:pPr>
      <w:r>
        <w:rPr>
          <w:rFonts w:hint="eastAsia" w:ascii="新宋体" w:hAnsi="新宋体" w:eastAsia="新宋体" w:cs="新宋体"/>
          <w:sz w:val="24"/>
        </w:rPr>
        <w:t>无上述内容可不提供。</w:t>
      </w:r>
    </w:p>
    <w:p>
      <w:pPr>
        <w:spacing w:line="360" w:lineRule="auto"/>
        <w:rPr>
          <w:rFonts w:ascii="新宋体" w:hAnsi="新宋体" w:eastAsia="新宋体" w:cs="新宋体"/>
          <w:kern w:val="44"/>
          <w:sz w:val="32"/>
          <w:szCs w:val="72"/>
        </w:rPr>
      </w:pPr>
      <w:r>
        <w:rPr>
          <w:rFonts w:hint="eastAsia" w:ascii="新宋体" w:hAnsi="新宋体" w:eastAsia="新宋体" w:cs="新宋体"/>
          <w:sz w:val="24"/>
        </w:rPr>
        <w:t xml:space="preserve">    2.招标文件中要求提供的其它文件、承诺或资料格式未作要求的供应商可自行拟定。</w:t>
      </w:r>
    </w:p>
    <w:p>
      <w:pPr>
        <w:spacing w:line="360" w:lineRule="auto"/>
        <w:rPr>
          <w:rFonts w:ascii="新宋体" w:hAnsi="新宋体" w:eastAsia="新宋体" w:cs="新宋体"/>
          <w:b/>
          <w:kern w:val="44"/>
          <w:sz w:val="32"/>
          <w:szCs w:val="72"/>
        </w:rPr>
      </w:pPr>
    </w:p>
    <w:p>
      <w:pPr>
        <w:spacing w:line="360" w:lineRule="auto"/>
        <w:ind w:right="480" w:firstLine="940" w:firstLineChars="392"/>
        <w:rPr>
          <w:rFonts w:ascii="新宋体" w:hAnsi="新宋体" w:eastAsia="新宋体" w:cs="新宋体"/>
          <w:bCs/>
          <w:sz w:val="24"/>
        </w:rPr>
      </w:pPr>
    </w:p>
    <w:p>
      <w:pPr>
        <w:spacing w:line="360" w:lineRule="auto"/>
        <w:ind w:right="480" w:firstLine="940" w:firstLineChars="392"/>
        <w:rPr>
          <w:rFonts w:ascii="新宋体" w:hAnsi="新宋体" w:eastAsia="新宋体" w:cs="新宋体"/>
          <w:bCs/>
          <w:sz w:val="24"/>
        </w:rPr>
      </w:pPr>
      <w:r>
        <w:rPr>
          <w:rFonts w:hint="eastAsia" w:ascii="新宋体" w:hAnsi="新宋体" w:eastAsia="新宋体" w:cs="新宋体"/>
          <w:bCs/>
          <w:sz w:val="24"/>
        </w:rPr>
        <w:t>（请各供应商务必对照项目的要求，按要求提供相关资料）</w:t>
      </w:r>
    </w:p>
    <w:p>
      <w:pPr>
        <w:spacing w:after="60" w:line="360" w:lineRule="auto"/>
        <w:rPr>
          <w:rFonts w:ascii="新宋体" w:hAnsi="新宋体" w:eastAsia="新宋体" w:cs="新宋体"/>
          <w:snapToGrid w:val="0"/>
          <w:sz w:val="24"/>
        </w:rPr>
      </w:pPr>
    </w:p>
    <w:p>
      <w:pPr>
        <w:snapToGrid w:val="0"/>
        <w:spacing w:line="360" w:lineRule="auto"/>
        <w:ind w:firstLine="480" w:firstLineChars="200"/>
        <w:rPr>
          <w:rFonts w:ascii="新宋体" w:hAnsi="新宋体" w:eastAsia="新宋体" w:cs="新宋体"/>
          <w:snapToGrid w:val="0"/>
          <w:sz w:val="24"/>
        </w:rPr>
      </w:pPr>
    </w:p>
    <w:p>
      <w:pPr>
        <w:spacing w:line="360" w:lineRule="auto"/>
        <w:ind w:firstLine="480"/>
        <w:jc w:val="left"/>
        <w:rPr>
          <w:rFonts w:ascii="新宋体" w:hAnsi="新宋体" w:eastAsia="新宋体" w:cs="新宋体"/>
          <w:sz w:val="24"/>
        </w:rPr>
      </w:pPr>
    </w:p>
    <w:p>
      <w:pPr>
        <w:spacing w:line="360" w:lineRule="auto"/>
        <w:ind w:firstLine="480"/>
        <w:jc w:val="left"/>
        <w:rPr>
          <w:rFonts w:ascii="新宋体" w:hAnsi="新宋体" w:eastAsia="新宋体" w:cs="新宋体"/>
          <w:sz w:val="24"/>
        </w:rPr>
      </w:pPr>
    </w:p>
    <w:p>
      <w:pPr>
        <w:adjustRightInd w:val="0"/>
        <w:spacing w:line="360" w:lineRule="auto"/>
        <w:jc w:val="left"/>
        <w:rPr>
          <w:rFonts w:ascii="新宋体" w:hAnsi="新宋体" w:eastAsia="新宋体" w:cs="新宋体"/>
          <w:bCs/>
          <w:sz w:val="24"/>
        </w:rPr>
      </w:pPr>
      <w:r>
        <w:rPr>
          <w:rFonts w:hint="eastAsia" w:ascii="新宋体" w:hAnsi="新宋体" w:eastAsia="新宋体" w:cs="新宋体"/>
          <w:bCs/>
          <w:sz w:val="24"/>
        </w:rPr>
        <w:t>投标供应商名称：</w:t>
      </w:r>
      <w:r>
        <w:rPr>
          <w:rFonts w:hint="eastAsia" w:ascii="新宋体" w:hAnsi="新宋体" w:eastAsia="新宋体" w:cs="新宋体"/>
          <w:bCs/>
          <w:sz w:val="24"/>
          <w:u w:val="single"/>
        </w:rPr>
        <w:t xml:space="preserve">             </w:t>
      </w:r>
      <w:r>
        <w:rPr>
          <w:rFonts w:hint="eastAsia" w:ascii="新宋体" w:hAnsi="新宋体" w:eastAsia="新宋体" w:cs="新宋体"/>
          <w:bCs/>
          <w:sz w:val="24"/>
        </w:rPr>
        <w:t>（盖单位公章）</w:t>
      </w:r>
    </w:p>
    <w:p>
      <w:pPr>
        <w:adjustRightInd w:val="0"/>
        <w:spacing w:line="360" w:lineRule="auto"/>
        <w:jc w:val="left"/>
        <w:rPr>
          <w:rFonts w:ascii="新宋体" w:hAnsi="新宋体" w:eastAsia="新宋体" w:cs="新宋体"/>
          <w:bCs/>
          <w:sz w:val="24"/>
          <w:u w:val="single"/>
        </w:rPr>
      </w:pPr>
      <w:r>
        <w:rPr>
          <w:rFonts w:hint="eastAsia" w:ascii="新宋体" w:hAnsi="新宋体" w:eastAsia="新宋体" w:cs="新宋体"/>
          <w:sz w:val="24"/>
        </w:rPr>
        <w:t>法定代表人或授权代表（签字）</w:t>
      </w:r>
      <w:r>
        <w:rPr>
          <w:rFonts w:hint="eastAsia" w:ascii="新宋体" w:hAnsi="新宋体" w:eastAsia="新宋体" w:cs="新宋体"/>
          <w:bCs/>
          <w:sz w:val="24"/>
        </w:rPr>
        <w:t>：</w:t>
      </w:r>
      <w:r>
        <w:rPr>
          <w:rFonts w:hint="eastAsia" w:ascii="新宋体" w:hAnsi="新宋体" w:eastAsia="新宋体" w:cs="新宋体"/>
          <w:bCs/>
          <w:sz w:val="24"/>
          <w:u w:val="single"/>
        </w:rPr>
        <w:t xml:space="preserve">           </w:t>
      </w:r>
    </w:p>
    <w:p>
      <w:pPr>
        <w:spacing w:line="360" w:lineRule="auto"/>
        <w:rPr>
          <w:rFonts w:ascii="新宋体" w:hAnsi="新宋体" w:eastAsia="新宋体" w:cs="新宋体"/>
          <w:kern w:val="0"/>
          <w:sz w:val="24"/>
        </w:rPr>
      </w:pPr>
      <w:r>
        <w:rPr>
          <w:rFonts w:hint="eastAsia" w:ascii="新宋体" w:hAnsi="新宋体" w:eastAsia="新宋体" w:cs="新宋体"/>
          <w:kern w:val="0"/>
          <w:sz w:val="24"/>
        </w:rPr>
        <w:t>日期：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年</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月</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日</w:t>
      </w:r>
    </w:p>
    <w:p>
      <w:pPr>
        <w:pStyle w:val="3"/>
        <w:rPr>
          <w:rFonts w:ascii="新宋体" w:hAnsi="新宋体" w:eastAsia="新宋体" w:cs="新宋体"/>
        </w:rPr>
      </w:pPr>
      <w:r>
        <w:rPr>
          <w:rFonts w:hint="eastAsia" w:ascii="新宋体" w:hAnsi="新宋体" w:eastAsia="新宋体" w:cs="新宋体"/>
        </w:rPr>
        <w:br w:type="page"/>
      </w:r>
      <w:bookmarkEnd w:id="145"/>
      <w:bookmarkStart w:id="148" w:name="_Toc1392"/>
      <w:bookmarkStart w:id="149" w:name="_Toc24909"/>
      <w:bookmarkStart w:id="150" w:name="_Toc10194"/>
      <w:r>
        <w:rPr>
          <w:rFonts w:hint="eastAsia" w:ascii="新宋体" w:hAnsi="新宋体" w:eastAsia="新宋体" w:cs="新宋体"/>
        </w:rPr>
        <w:t>第四章  投标供应商和投标产品的资格、资质性及其他类似效力要求</w:t>
      </w:r>
      <w:bookmarkEnd w:id="148"/>
      <w:bookmarkEnd w:id="149"/>
      <w:bookmarkEnd w:id="150"/>
    </w:p>
    <w:p>
      <w:pPr>
        <w:pStyle w:val="4"/>
        <w:jc w:val="both"/>
        <w:rPr>
          <w:rFonts w:ascii="新宋体" w:hAnsi="新宋体" w:eastAsia="新宋体" w:cs="新宋体"/>
        </w:rPr>
      </w:pPr>
      <w:r>
        <w:rPr>
          <w:rFonts w:hint="eastAsia" w:ascii="新宋体" w:hAnsi="新宋体" w:eastAsia="新宋体" w:cs="新宋体"/>
        </w:rPr>
        <w:t>一、投标供应商资格、资质性及其他类似效力要求</w:t>
      </w:r>
    </w:p>
    <w:p>
      <w:pPr>
        <w:spacing w:line="360" w:lineRule="auto"/>
        <w:rPr>
          <w:rFonts w:ascii="新宋体" w:hAnsi="新宋体" w:eastAsia="新宋体" w:cs="新宋体"/>
          <w:sz w:val="24"/>
        </w:rPr>
      </w:pPr>
      <w:r>
        <w:rPr>
          <w:rFonts w:hint="eastAsia" w:ascii="新宋体" w:hAnsi="新宋体" w:eastAsia="新宋体" w:cs="新宋体"/>
          <w:sz w:val="24"/>
        </w:rPr>
        <w:t>1.投标供应商应具备《中华人民共和国政府采购法》第二十二条规定的下列条件：</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1.1具有独立承担民事责任的能力；</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1.2具有良好的商业信誉和健全的财务会计制度；</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1.3具有履行合同所必需的设备和专业技术能力；</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1.4有依法缴纳税收和社会保障资金的良好记录；</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1.5参加政府采购活动前三年内，在经营活动中没有重大违法记录（重大违法记录是指供应商因违法经营受到刑事处罚或者责令停产停业、吊销许可证或者执照、较大数额罚款等行政处罚）；</w:t>
      </w:r>
    </w:p>
    <w:p>
      <w:pPr>
        <w:pStyle w:val="40"/>
        <w:spacing w:line="360" w:lineRule="auto"/>
        <w:ind w:firstLine="240" w:firstLineChars="100"/>
        <w:rPr>
          <w:rFonts w:ascii="新宋体" w:hAnsi="新宋体" w:eastAsia="新宋体" w:cs="新宋体"/>
          <w:kern w:val="2"/>
          <w:sz w:val="24"/>
          <w:szCs w:val="24"/>
        </w:rPr>
      </w:pPr>
      <w:r>
        <w:rPr>
          <w:rFonts w:hint="eastAsia" w:ascii="新宋体" w:hAnsi="新宋体" w:eastAsia="新宋体" w:cs="新宋体"/>
          <w:kern w:val="2"/>
          <w:sz w:val="24"/>
          <w:szCs w:val="24"/>
        </w:rPr>
        <w:t>1.6 法律、行政法规规定的其他条件。</w:t>
      </w:r>
    </w:p>
    <w:p>
      <w:pPr>
        <w:spacing w:line="360" w:lineRule="auto"/>
        <w:rPr>
          <w:rFonts w:ascii="新宋体" w:hAnsi="新宋体" w:eastAsia="新宋体" w:cs="新宋体"/>
          <w:sz w:val="24"/>
        </w:rPr>
      </w:pPr>
      <w:r>
        <w:rPr>
          <w:rFonts w:hint="eastAsia" w:ascii="新宋体" w:hAnsi="新宋体" w:eastAsia="新宋体" w:cs="新宋体"/>
          <w:sz w:val="24"/>
        </w:rPr>
        <w:t>2.投标供应商的特定资格条件：无。</w:t>
      </w:r>
    </w:p>
    <w:p>
      <w:pPr>
        <w:spacing w:line="360" w:lineRule="auto"/>
        <w:rPr>
          <w:rFonts w:ascii="新宋体" w:hAnsi="新宋体" w:eastAsia="新宋体" w:cs="新宋体"/>
          <w:sz w:val="24"/>
        </w:rPr>
      </w:pPr>
      <w:r>
        <w:rPr>
          <w:rFonts w:hint="eastAsia" w:ascii="新宋体" w:hAnsi="新宋体" w:eastAsia="新宋体" w:cs="新宋体"/>
          <w:sz w:val="24"/>
        </w:rPr>
        <w:t>3.其他类似效力要求：</w:t>
      </w:r>
    </w:p>
    <w:p>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 xml:space="preserve">3.1按本招标文件要求缴纳投标保证金； </w:t>
      </w:r>
    </w:p>
    <w:p>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3.2 投标供应商法定代表人授权参加本次投标活动的合法代表（非独立法人机构提供具有独立承担民事责任的能力的负责人授权参加本次投标活动的合法代表）。</w:t>
      </w:r>
    </w:p>
    <w:p>
      <w:pPr>
        <w:adjustRightInd w:val="0"/>
        <w:snapToGrid w:val="0"/>
        <w:spacing w:line="360" w:lineRule="auto"/>
        <w:ind w:left="723" w:hanging="723" w:hangingChars="300"/>
        <w:outlineLvl w:val="1"/>
        <w:rPr>
          <w:rFonts w:ascii="新宋体" w:hAnsi="新宋体" w:eastAsia="新宋体" w:cs="新宋体"/>
          <w:b/>
          <w:sz w:val="24"/>
        </w:rPr>
      </w:pPr>
      <w:r>
        <w:rPr>
          <w:rFonts w:hint="eastAsia" w:ascii="新宋体" w:hAnsi="新宋体" w:eastAsia="新宋体" w:cs="新宋体"/>
          <w:b/>
          <w:bCs/>
          <w:sz w:val="24"/>
        </w:rPr>
        <w:t>二、</w:t>
      </w:r>
      <w:r>
        <w:rPr>
          <w:rFonts w:hint="eastAsia" w:ascii="新宋体" w:hAnsi="新宋体" w:eastAsia="新宋体" w:cs="新宋体"/>
          <w:b/>
          <w:sz w:val="24"/>
        </w:rPr>
        <w:t>投标产品的资格、资质性及其他类似效力要求</w:t>
      </w:r>
    </w:p>
    <w:p>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无。</w:t>
      </w:r>
    </w:p>
    <w:p>
      <w:pPr>
        <w:spacing w:line="360" w:lineRule="auto"/>
        <w:rPr>
          <w:rFonts w:ascii="新宋体" w:hAnsi="新宋体" w:eastAsia="新宋体" w:cs="新宋体"/>
          <w:b/>
          <w:bCs/>
          <w:sz w:val="24"/>
        </w:rPr>
      </w:pPr>
      <w:r>
        <w:rPr>
          <w:rFonts w:hint="eastAsia" w:ascii="新宋体" w:hAnsi="新宋体" w:eastAsia="新宋体" w:cs="新宋体"/>
          <w:sz w:val="24"/>
        </w:rPr>
        <w:t>注：</w:t>
      </w:r>
      <w:r>
        <w:rPr>
          <w:rFonts w:hint="eastAsia" w:ascii="新宋体" w:hAnsi="新宋体" w:eastAsia="新宋体" w:cs="新宋体"/>
          <w:b/>
          <w:bCs/>
          <w:sz w:val="24"/>
        </w:rPr>
        <w:t>1、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西藏自治区人民政府规定的行政处罚罚款听证标准金额为准。</w:t>
      </w:r>
    </w:p>
    <w:p>
      <w:pPr>
        <w:spacing w:line="360" w:lineRule="auto"/>
        <w:jc w:val="center"/>
        <w:rPr>
          <w:rFonts w:ascii="新宋体" w:hAnsi="新宋体" w:eastAsia="新宋体" w:cs="新宋体"/>
          <w:b/>
          <w:bCs/>
          <w:sz w:val="28"/>
          <w:szCs w:val="36"/>
        </w:rPr>
      </w:pPr>
      <w:r>
        <w:rPr>
          <w:rFonts w:hint="eastAsia" w:ascii="新宋体" w:hAnsi="新宋体" w:eastAsia="新宋体" w:cs="新宋体"/>
          <w:b/>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新宋体" w:hAnsi="新宋体" w:eastAsia="新宋体" w:cs="新宋体"/>
        </w:rPr>
        <w:br w:type="page"/>
      </w:r>
      <w:bookmarkStart w:id="151" w:name="_Toc12281"/>
      <w:bookmarkStart w:id="152" w:name="_Toc21378"/>
      <w:r>
        <w:rPr>
          <w:rFonts w:hint="eastAsia" w:ascii="新宋体" w:hAnsi="新宋体" w:eastAsia="新宋体" w:cs="新宋体"/>
          <w:b/>
          <w:bCs/>
          <w:sz w:val="28"/>
          <w:szCs w:val="36"/>
        </w:rPr>
        <w:t>第五章投标供应商应当提供的资格、资质性及其他类似效力要求的相关证明材料</w:t>
      </w:r>
      <w:bookmarkEnd w:id="151"/>
      <w:bookmarkEnd w:id="152"/>
    </w:p>
    <w:p>
      <w:pPr>
        <w:rPr>
          <w:rFonts w:ascii="新宋体" w:hAnsi="新宋体" w:eastAsia="新宋体" w:cs="新宋体"/>
        </w:rPr>
      </w:pPr>
    </w:p>
    <w:p>
      <w:pPr>
        <w:pStyle w:val="19"/>
        <w:spacing w:line="360" w:lineRule="auto"/>
        <w:outlineLvl w:val="1"/>
        <w:rPr>
          <w:rFonts w:ascii="新宋体" w:hAnsi="新宋体" w:eastAsia="新宋体" w:cs="新宋体"/>
          <w:b/>
          <w:sz w:val="32"/>
          <w:szCs w:val="32"/>
        </w:rPr>
      </w:pPr>
      <w:r>
        <w:rPr>
          <w:rFonts w:hint="eastAsia" w:ascii="新宋体" w:hAnsi="新宋体" w:eastAsia="新宋体" w:cs="新宋体"/>
          <w:b/>
          <w:sz w:val="32"/>
          <w:szCs w:val="32"/>
        </w:rPr>
        <w:t>一、投标供应商应当提供的资格、资质性文件及其他类似效力的要求的相关证明材料</w:t>
      </w:r>
    </w:p>
    <w:p>
      <w:pPr>
        <w:spacing w:line="360" w:lineRule="auto"/>
        <w:ind w:firstLine="241" w:firstLineChars="100"/>
        <w:rPr>
          <w:rFonts w:ascii="新宋体" w:hAnsi="新宋体" w:eastAsia="新宋体" w:cs="新宋体"/>
          <w:b/>
          <w:sz w:val="24"/>
        </w:rPr>
      </w:pPr>
      <w:bookmarkStart w:id="153" w:name="_Toc320624216"/>
      <w:bookmarkEnd w:id="153"/>
      <w:bookmarkStart w:id="154" w:name="_Toc320624213"/>
      <w:bookmarkEnd w:id="154"/>
      <w:bookmarkStart w:id="155" w:name="_Toc320624220"/>
      <w:bookmarkEnd w:id="155"/>
      <w:bookmarkStart w:id="156" w:name="_Toc320624215"/>
      <w:bookmarkEnd w:id="156"/>
      <w:bookmarkStart w:id="157" w:name="_Toc320624224"/>
      <w:bookmarkEnd w:id="157"/>
      <w:bookmarkStart w:id="158" w:name="_Toc320624212"/>
      <w:bookmarkEnd w:id="158"/>
      <w:bookmarkStart w:id="159" w:name="_Toc320624222"/>
      <w:bookmarkEnd w:id="159"/>
      <w:bookmarkStart w:id="160" w:name="_Toc320624217"/>
      <w:bookmarkEnd w:id="160"/>
      <w:bookmarkStart w:id="161" w:name="_Toc320624223"/>
      <w:bookmarkEnd w:id="161"/>
      <w:bookmarkStart w:id="162" w:name="_Toc320624221"/>
      <w:bookmarkEnd w:id="162"/>
      <w:bookmarkStart w:id="163" w:name="_Toc320624219"/>
      <w:bookmarkEnd w:id="163"/>
      <w:bookmarkStart w:id="164" w:name="_Toc320624218"/>
      <w:bookmarkEnd w:id="164"/>
      <w:bookmarkStart w:id="165" w:name="_Toc320624214"/>
      <w:bookmarkEnd w:id="165"/>
      <w:r>
        <w:rPr>
          <w:rFonts w:hint="eastAsia" w:ascii="新宋体" w:hAnsi="新宋体" w:eastAsia="新宋体" w:cs="新宋体"/>
          <w:b/>
          <w:sz w:val="24"/>
        </w:rPr>
        <w:t>1.具有独立承担民事责任的能力提供以下证明材料：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1.1独立法人机构提供下述证明材料：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营业执照正本或副本复印件（注：①在有效期内；②具有独立法人资格；）、组织机构代码证副本复印件（注：①在有效期内）或</w:t>
      </w:r>
      <w:r>
        <w:rPr>
          <w:rFonts w:hint="eastAsia" w:ascii="新宋体" w:hAnsi="新宋体" w:eastAsia="新宋体" w:cs="新宋体"/>
          <w:sz w:val="24"/>
          <w:shd w:val="clear" w:color="auto" w:fill="FFFFFF"/>
        </w:rPr>
        <w:t>工商部门新颁发的营业执照复印件（有效期内）</w:t>
      </w:r>
      <w:r>
        <w:rPr>
          <w:rFonts w:hint="eastAsia" w:ascii="新宋体" w:hAnsi="新宋体" w:eastAsia="新宋体" w:cs="新宋体"/>
          <w:sz w:val="24"/>
        </w:rPr>
        <w:t>。</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1.2其他组织或自然人提供具有承担民事责任的能力的证明材料复印件；</w:t>
      </w:r>
    </w:p>
    <w:p>
      <w:pPr>
        <w:spacing w:line="360" w:lineRule="auto"/>
        <w:ind w:firstLine="241" w:firstLineChars="100"/>
        <w:rPr>
          <w:rFonts w:ascii="新宋体" w:hAnsi="新宋体" w:eastAsia="新宋体" w:cs="新宋体"/>
          <w:b/>
          <w:sz w:val="24"/>
        </w:rPr>
      </w:pPr>
      <w:r>
        <w:rPr>
          <w:rFonts w:hint="eastAsia" w:ascii="新宋体" w:hAnsi="新宋体" w:eastAsia="新宋体" w:cs="新宋体"/>
          <w:b/>
          <w:sz w:val="24"/>
        </w:rPr>
        <w:t>2.具有良好的商业信誉和健全的财务会计制度提供以下证明材料：</w:t>
      </w:r>
    </w:p>
    <w:p>
      <w:pPr>
        <w:tabs>
          <w:tab w:val="left" w:pos="1134"/>
        </w:tabs>
        <w:ind w:firstLine="480" w:firstLineChars="200"/>
        <w:outlineLvl w:val="5"/>
        <w:rPr>
          <w:rFonts w:ascii="新宋体" w:hAnsi="新宋体" w:eastAsia="新宋体" w:cs="新宋体"/>
          <w:b/>
          <w:sz w:val="24"/>
        </w:rPr>
      </w:pPr>
      <w:r>
        <w:rPr>
          <w:rFonts w:hint="eastAsia" w:ascii="新宋体" w:hAnsi="新宋体" w:eastAsia="新宋体" w:cs="新宋体"/>
          <w:kern w:val="0"/>
          <w:sz w:val="24"/>
        </w:rPr>
        <w:t>（1）</w:t>
      </w:r>
      <w:r>
        <w:rPr>
          <w:rFonts w:hint="eastAsia" w:ascii="新宋体" w:hAnsi="新宋体" w:eastAsia="新宋体" w:cs="新宋体"/>
          <w:b/>
          <w:sz w:val="24"/>
        </w:rPr>
        <w:t>具有良好的商业信誉：</w:t>
      </w:r>
      <w:r>
        <w:rPr>
          <w:rFonts w:hint="eastAsia" w:ascii="新宋体" w:hAnsi="新宋体" w:eastAsia="新宋体" w:cs="新宋体"/>
          <w:kern w:val="0"/>
          <w:sz w:val="24"/>
        </w:rPr>
        <w:t>投标供应商自行提供声明函</w:t>
      </w:r>
    </w:p>
    <w:p>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（2）健全的财务会计制度：</w:t>
      </w:r>
    </w:p>
    <w:p>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202</w:t>
      </w:r>
      <w:r>
        <w:rPr>
          <w:rFonts w:ascii="新宋体" w:hAnsi="新宋体" w:eastAsia="新宋体" w:cs="新宋体"/>
          <w:kern w:val="0"/>
          <w:sz w:val="24"/>
        </w:rPr>
        <w:t>1</w:t>
      </w:r>
      <w:r>
        <w:rPr>
          <w:rFonts w:hint="eastAsia" w:ascii="新宋体" w:hAnsi="新宋体" w:eastAsia="新宋体" w:cs="新宋体"/>
          <w:kern w:val="0"/>
          <w:sz w:val="24"/>
        </w:rPr>
        <w:t>年年度财务状况报告复印件（供应商可提供以下证明材料）：</w:t>
      </w:r>
    </w:p>
    <w:p>
      <w:pPr>
        <w:spacing w:line="360" w:lineRule="auto"/>
        <w:ind w:firstLine="240" w:firstLineChars="100"/>
        <w:rPr>
          <w:rFonts w:ascii="新宋体" w:hAnsi="新宋体" w:eastAsia="新宋体" w:cs="新宋体"/>
          <w:kern w:val="0"/>
          <w:sz w:val="24"/>
        </w:rPr>
      </w:pPr>
      <w:r>
        <w:rPr>
          <w:rFonts w:hint="eastAsia" w:ascii="新宋体" w:hAnsi="新宋体" w:eastAsia="新宋体" w:cs="新宋体"/>
          <w:kern w:val="0"/>
          <w:sz w:val="24"/>
        </w:rPr>
        <w:t>①第三方机构出具的审计报告（复印件）；</w:t>
      </w:r>
    </w:p>
    <w:p>
      <w:pPr>
        <w:spacing w:line="360" w:lineRule="auto"/>
        <w:ind w:firstLine="240" w:firstLineChars="100"/>
        <w:rPr>
          <w:rFonts w:ascii="新宋体" w:hAnsi="新宋体" w:eastAsia="新宋体" w:cs="新宋体"/>
          <w:kern w:val="0"/>
          <w:sz w:val="24"/>
        </w:rPr>
      </w:pPr>
      <w:r>
        <w:rPr>
          <w:rFonts w:hint="eastAsia" w:ascii="新宋体" w:hAnsi="新宋体" w:eastAsia="新宋体" w:cs="新宋体"/>
          <w:kern w:val="0"/>
          <w:sz w:val="24"/>
        </w:rPr>
        <w:t>②新成立公司（</w:t>
      </w:r>
      <w:r>
        <w:rPr>
          <w:rFonts w:hint="eastAsia" w:ascii="宋体" w:hAnsi="宋体" w:cs="宋体"/>
          <w:sz w:val="24"/>
        </w:rPr>
        <w:t>2022年新成立的公司，以营业执照注册时间为准</w:t>
      </w:r>
      <w:r>
        <w:rPr>
          <w:rFonts w:hint="eastAsia" w:ascii="新宋体" w:hAnsi="新宋体" w:eastAsia="新宋体" w:cs="新宋体"/>
          <w:kern w:val="0"/>
          <w:sz w:val="24"/>
        </w:rPr>
        <w:t>）可提供在工商备案的公司章程复印件【格式可自拟】或最新的银行资信证明；</w:t>
      </w:r>
    </w:p>
    <w:p>
      <w:pPr>
        <w:spacing w:line="360" w:lineRule="auto"/>
        <w:ind w:firstLine="240" w:firstLineChars="100"/>
        <w:rPr>
          <w:rFonts w:ascii="新宋体" w:hAnsi="新宋体" w:eastAsia="新宋体" w:cs="新宋体"/>
          <w:kern w:val="0"/>
          <w:sz w:val="24"/>
        </w:rPr>
      </w:pPr>
      <w:r>
        <w:rPr>
          <w:rFonts w:ascii="新宋体" w:hAnsi="新宋体" w:eastAsia="新宋体" w:cs="新宋体"/>
          <w:kern w:val="0"/>
          <w:sz w:val="24"/>
        </w:rPr>
        <w:t>③</w:t>
      </w:r>
      <w:r>
        <w:rPr>
          <w:rFonts w:hint="eastAsia" w:ascii="新宋体" w:hAnsi="新宋体" w:eastAsia="新宋体" w:cs="新宋体"/>
          <w:kern w:val="0"/>
          <w:sz w:val="24"/>
        </w:rPr>
        <w:t>2021年成立的公司提供公司内部出具的财务报告（应包括资产负债表、损益表、现金流量表、报表附注）。</w:t>
      </w:r>
    </w:p>
    <w:p>
      <w:pPr>
        <w:spacing w:line="360" w:lineRule="auto"/>
        <w:ind w:firstLine="241" w:firstLineChars="100"/>
        <w:rPr>
          <w:rFonts w:ascii="新宋体" w:hAnsi="新宋体" w:eastAsia="新宋体" w:cs="新宋体"/>
          <w:b/>
          <w:sz w:val="24"/>
          <w:lang w:val="zh-CN"/>
        </w:rPr>
      </w:pPr>
      <w:r>
        <w:rPr>
          <w:rFonts w:hint="eastAsia" w:ascii="新宋体" w:hAnsi="新宋体" w:eastAsia="新宋体" w:cs="新宋体"/>
          <w:b/>
          <w:sz w:val="24"/>
        </w:rPr>
        <w:t>3.具有履行合同所必需的的设备和专业技术能力</w:t>
      </w:r>
      <w:r>
        <w:rPr>
          <w:rFonts w:hint="eastAsia" w:ascii="新宋体" w:hAnsi="新宋体" w:eastAsia="新宋体" w:cs="新宋体"/>
          <w:b/>
          <w:sz w:val="24"/>
          <w:lang w:val="zh-CN"/>
        </w:rPr>
        <w:t>：</w:t>
      </w:r>
    </w:p>
    <w:p>
      <w:pPr>
        <w:tabs>
          <w:tab w:val="left" w:pos="1134"/>
        </w:tabs>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rPr>
        <w:t>3.1投标</w:t>
      </w:r>
      <w:r>
        <w:rPr>
          <w:rFonts w:hint="eastAsia" w:ascii="新宋体" w:hAnsi="新宋体" w:eastAsia="新宋体" w:cs="新宋体"/>
          <w:sz w:val="24"/>
          <w:lang w:val="zh-CN"/>
        </w:rPr>
        <w:t>供应商提供相关证明材料（</w:t>
      </w:r>
      <w:r>
        <w:rPr>
          <w:rFonts w:hint="eastAsia" w:ascii="新宋体" w:hAnsi="新宋体" w:eastAsia="新宋体" w:cs="新宋体"/>
          <w:sz w:val="24"/>
        </w:rPr>
        <w:t>声明函</w:t>
      </w:r>
      <w:r>
        <w:rPr>
          <w:rFonts w:hint="eastAsia" w:ascii="新宋体" w:hAnsi="新宋体" w:eastAsia="新宋体" w:cs="新宋体"/>
          <w:sz w:val="24"/>
          <w:lang w:val="zh-CN"/>
        </w:rPr>
        <w:t>）。</w:t>
      </w:r>
    </w:p>
    <w:p>
      <w:pPr>
        <w:tabs>
          <w:tab w:val="left" w:pos="1134"/>
        </w:tabs>
        <w:spacing w:line="360" w:lineRule="auto"/>
        <w:ind w:firstLine="241" w:firstLineChars="100"/>
        <w:rPr>
          <w:rFonts w:ascii="新宋体" w:hAnsi="新宋体" w:eastAsia="新宋体" w:cs="新宋体"/>
          <w:b/>
          <w:sz w:val="24"/>
        </w:rPr>
      </w:pPr>
      <w:r>
        <w:rPr>
          <w:rFonts w:hint="eastAsia" w:ascii="新宋体" w:hAnsi="新宋体" w:eastAsia="新宋体" w:cs="新宋体"/>
          <w:b/>
          <w:sz w:val="24"/>
        </w:rPr>
        <w:t>4.有依法缴纳税收和社会保障资金的良好记录：</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4.1缴纳税收证明材料（投标供应商可提供以下证明材料）：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 ①税务登记证副本复印件（注：在有效期内）或工商部门新颁发的营业执照复印件（有效期内）。</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 ②投标供应商提供202</w:t>
      </w:r>
      <w:r>
        <w:rPr>
          <w:rFonts w:ascii="新宋体" w:hAnsi="新宋体" w:eastAsia="新宋体" w:cs="新宋体"/>
          <w:sz w:val="24"/>
        </w:rPr>
        <w:t>2</w:t>
      </w:r>
      <w:r>
        <w:rPr>
          <w:rFonts w:hint="eastAsia" w:ascii="新宋体" w:hAnsi="新宋体" w:eastAsia="新宋体" w:cs="新宋体"/>
          <w:sz w:val="24"/>
        </w:rPr>
        <w:t>年1月1日以后任意1个月的交税凭证（税务机关出具的完税证明）（注：原件或复印件或扫描件需加盖单位公章）。</w:t>
      </w:r>
    </w:p>
    <w:p>
      <w:pPr>
        <w:spacing w:line="360" w:lineRule="auto"/>
        <w:ind w:firstLine="720" w:firstLineChars="300"/>
        <w:rPr>
          <w:rFonts w:ascii="新宋体" w:hAnsi="新宋体" w:eastAsia="新宋体" w:cs="新宋体"/>
          <w:sz w:val="24"/>
        </w:rPr>
      </w:pPr>
      <w:r>
        <w:rPr>
          <w:rFonts w:hint="eastAsia" w:ascii="新宋体" w:hAnsi="新宋体" w:eastAsia="新宋体" w:cs="新宋体"/>
          <w:sz w:val="24"/>
        </w:rPr>
        <w:t>③备注：小规模纳税人、免税企业、机构、等社会力量需提供相关证明文件</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（2）缴纳社会保障资金（投标供应商可提供以下证明材料）：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 ①投标供应商提供202</w:t>
      </w:r>
      <w:r>
        <w:rPr>
          <w:rFonts w:ascii="新宋体" w:hAnsi="新宋体" w:eastAsia="新宋体" w:cs="新宋体"/>
          <w:sz w:val="24"/>
        </w:rPr>
        <w:t>2</w:t>
      </w:r>
      <w:r>
        <w:rPr>
          <w:rFonts w:hint="eastAsia" w:ascii="新宋体" w:hAnsi="新宋体" w:eastAsia="新宋体" w:cs="新宋体"/>
          <w:sz w:val="24"/>
        </w:rPr>
        <w:t>年1月1日以后任意1个月的社会缴纳社会保险的凭据（专用收据或社会保险缴纳清单）（注：原件或复印件或扫描件并加盖本单位公章）</w:t>
      </w:r>
    </w:p>
    <w:p>
      <w:pPr>
        <w:spacing w:line="360" w:lineRule="auto"/>
        <w:ind w:firstLine="482" w:firstLineChars="200"/>
        <w:rPr>
          <w:rFonts w:ascii="新宋体" w:hAnsi="新宋体" w:eastAsia="新宋体" w:cs="新宋体"/>
          <w:b/>
          <w:spacing w:val="-20"/>
          <w:sz w:val="24"/>
        </w:rPr>
      </w:pPr>
      <w:r>
        <w:rPr>
          <w:rFonts w:hint="eastAsia" w:ascii="新宋体" w:hAnsi="新宋体" w:eastAsia="新宋体" w:cs="新宋体"/>
          <w:b/>
          <w:sz w:val="24"/>
        </w:rPr>
        <w:t>5.参加政府采购活动前三年内，在经营活动中没有重大违法记录提供以</w:t>
      </w:r>
      <w:r>
        <w:rPr>
          <w:rFonts w:hint="eastAsia" w:ascii="新宋体" w:hAnsi="新宋体" w:eastAsia="新宋体" w:cs="新宋体"/>
          <w:b/>
          <w:spacing w:val="-20"/>
          <w:sz w:val="24"/>
        </w:rPr>
        <w:t>下证明材料：</w:t>
      </w:r>
    </w:p>
    <w:p>
      <w:pPr>
        <w:spacing w:line="360" w:lineRule="auto"/>
        <w:ind w:firstLine="720" w:firstLineChars="300"/>
        <w:rPr>
          <w:rFonts w:ascii="新宋体" w:hAnsi="新宋体" w:eastAsia="新宋体" w:cs="新宋体"/>
          <w:sz w:val="24"/>
        </w:rPr>
      </w:pPr>
      <w:r>
        <w:rPr>
          <w:rFonts w:hint="eastAsia" w:ascii="新宋体" w:hAnsi="新宋体" w:eastAsia="新宋体" w:cs="新宋体"/>
          <w:sz w:val="24"/>
        </w:rPr>
        <w:t>5.1供应商参加政府采购活动前三年内，在经营活动中没有重大违法记录（提供声明函）。</w:t>
      </w:r>
    </w:p>
    <w:p>
      <w:pPr>
        <w:spacing w:line="360" w:lineRule="auto"/>
        <w:ind w:firstLine="480"/>
        <w:rPr>
          <w:rFonts w:ascii="新宋体" w:hAnsi="新宋体" w:eastAsia="新宋体" w:cs="新宋体"/>
          <w:lang w:val="zh-CN"/>
        </w:rPr>
      </w:pPr>
      <w:r>
        <w:rPr>
          <w:rFonts w:hint="eastAsia" w:ascii="新宋体" w:hAnsi="新宋体" w:eastAsia="新宋体" w:cs="新宋体"/>
          <w:b/>
          <w:bCs/>
          <w:sz w:val="24"/>
          <w:szCs w:val="22"/>
          <w:lang w:val="zh-CN"/>
        </w:rPr>
        <w:t>6.</w:t>
      </w:r>
      <w:r>
        <w:rPr>
          <w:rFonts w:hint="eastAsia" w:ascii="新宋体" w:hAnsi="新宋体" w:eastAsia="新宋体" w:cs="新宋体"/>
          <w:b/>
          <w:bCs/>
          <w:sz w:val="24"/>
          <w:szCs w:val="22"/>
        </w:rPr>
        <w:t>信用证明提供以下证明材料：</w:t>
      </w:r>
    </w:p>
    <w:p>
      <w:pPr>
        <w:spacing w:line="360" w:lineRule="auto"/>
        <w:ind w:firstLine="720" w:firstLineChars="300"/>
        <w:rPr>
          <w:rFonts w:ascii="新宋体" w:hAnsi="新宋体" w:eastAsia="新宋体" w:cs="新宋体"/>
          <w:sz w:val="24"/>
        </w:rPr>
      </w:pPr>
      <w:r>
        <w:rPr>
          <w:rFonts w:hint="eastAsia" w:ascii="新宋体" w:hAnsi="新宋体" w:eastAsia="新宋体" w:cs="新宋体"/>
          <w:sz w:val="24"/>
          <w:szCs w:val="22"/>
        </w:rPr>
        <w:t>6.1投标</w:t>
      </w:r>
      <w:r>
        <w:rPr>
          <w:rFonts w:hint="eastAsia" w:ascii="新宋体" w:hAnsi="新宋体" w:eastAsia="新宋体" w:cs="新宋体"/>
          <w:sz w:val="24"/>
        </w:rPr>
        <w:t>供应商应未处于《信用中国网站》“失信被执行人、重大税收违法案件当事人名单、企业经营异常名录、政府采购不良行为记录名单”内；投标供应商应于2017年至今在《中国裁判文书网》无行贿犯罪记录；投标供应商应应未处于《中国政府采购网》“无政府采购严重违法失信行为信息记录”名单内；以及</w:t>
      </w:r>
      <w:r>
        <w:rPr>
          <w:rFonts w:hint="eastAsia" w:ascii="新宋体" w:hAnsi="新宋体" w:eastAsia="新宋体" w:cs="新宋体"/>
          <w:sz w:val="24"/>
          <w:szCs w:val="22"/>
        </w:rPr>
        <w:t>其他不符合《中华人民共和国政府采购法》第二十二条规定条件的供应商禁止参加政府采购活动（处罚期限届满的除外）</w:t>
      </w:r>
      <w:r>
        <w:rPr>
          <w:rFonts w:hint="eastAsia" w:ascii="新宋体" w:hAnsi="新宋体" w:eastAsia="新宋体" w:cs="新宋体"/>
          <w:sz w:val="24"/>
        </w:rPr>
        <w:t>。</w:t>
      </w:r>
    </w:p>
    <w:p>
      <w:pPr>
        <w:pStyle w:val="19"/>
        <w:spacing w:line="360" w:lineRule="auto"/>
        <w:outlineLvl w:val="1"/>
        <w:rPr>
          <w:rFonts w:ascii="新宋体" w:hAnsi="新宋体" w:eastAsia="新宋体" w:cs="新宋体"/>
          <w:b/>
          <w:sz w:val="32"/>
          <w:szCs w:val="32"/>
        </w:rPr>
      </w:pPr>
      <w:r>
        <w:rPr>
          <w:rFonts w:hint="eastAsia" w:ascii="新宋体" w:hAnsi="新宋体" w:eastAsia="新宋体" w:cs="新宋体"/>
          <w:b/>
          <w:sz w:val="32"/>
          <w:szCs w:val="32"/>
        </w:rPr>
        <w:t>二、其他类似效力要求相关证明材料：</w:t>
      </w:r>
    </w:p>
    <w:p>
      <w:pPr>
        <w:tabs>
          <w:tab w:val="left" w:pos="426"/>
        </w:tabs>
        <w:spacing w:line="360" w:lineRule="auto"/>
        <w:rPr>
          <w:rFonts w:ascii="新宋体" w:hAnsi="新宋体" w:eastAsia="新宋体" w:cs="新宋体"/>
          <w:bCs/>
          <w:sz w:val="24"/>
        </w:rPr>
      </w:pPr>
      <w:r>
        <w:rPr>
          <w:rFonts w:hint="eastAsia" w:ascii="新宋体" w:hAnsi="新宋体" w:eastAsia="新宋体" w:cs="新宋体"/>
          <w:bCs/>
          <w:sz w:val="24"/>
        </w:rPr>
        <w:t>1.法定代表人身份证复印件或护照复印件［注：①法定代表人身份证复印件（在有效期内、两面均应复印）或护照复印件（法定代表人为外籍人士的，按此提供）；</w:t>
      </w:r>
    </w:p>
    <w:p>
      <w:pPr>
        <w:tabs>
          <w:tab w:val="left" w:pos="1134"/>
        </w:tabs>
        <w:spacing w:line="360" w:lineRule="auto"/>
        <w:rPr>
          <w:rFonts w:ascii="新宋体" w:hAnsi="新宋体" w:eastAsia="新宋体" w:cs="新宋体"/>
          <w:bCs/>
          <w:sz w:val="24"/>
        </w:rPr>
      </w:pPr>
      <w:r>
        <w:rPr>
          <w:rFonts w:hint="eastAsia" w:ascii="新宋体" w:hAnsi="新宋体" w:eastAsia="新宋体" w:cs="新宋体"/>
          <w:bCs/>
          <w:sz w:val="24"/>
        </w:rPr>
        <w:t>2.代理人身份证复印件（身份证两面均应复印）（注：①在有效期内；②由投标供应商法定代表人签署所有投标文件并参加投标的，则可不提供）；</w:t>
      </w:r>
    </w:p>
    <w:p>
      <w:pPr>
        <w:spacing w:line="360" w:lineRule="auto"/>
        <w:rPr>
          <w:rFonts w:ascii="新宋体" w:hAnsi="新宋体" w:eastAsia="新宋体" w:cs="新宋体"/>
          <w:bCs/>
          <w:sz w:val="24"/>
        </w:rPr>
      </w:pPr>
      <w:r>
        <w:rPr>
          <w:rFonts w:hint="eastAsia" w:ascii="新宋体" w:hAnsi="新宋体" w:eastAsia="新宋体" w:cs="新宋体"/>
          <w:bCs/>
          <w:sz w:val="24"/>
        </w:rPr>
        <w:t>3.法人授权书原件（注：①非法定代表人签署所有投标文件并参加投标的适用；②非独立法人机构提供相应的有授权资格的负责人授权书原件。）</w:t>
      </w:r>
    </w:p>
    <w:p>
      <w:pPr>
        <w:spacing w:line="360" w:lineRule="auto"/>
        <w:rPr>
          <w:rFonts w:ascii="新宋体" w:hAnsi="新宋体" w:eastAsia="新宋体" w:cs="新宋体"/>
          <w:bCs/>
          <w:sz w:val="24"/>
        </w:rPr>
        <w:sectPr>
          <w:pgSz w:w="11906" w:h="16838"/>
          <w:pgMar w:top="1440" w:right="1080" w:bottom="1440" w:left="1080" w:header="851" w:footer="992" w:gutter="0"/>
          <w:pgNumType w:fmt="decimal"/>
          <w:cols w:space="720" w:num="1"/>
          <w:docGrid w:type="lines" w:linePitch="312" w:charSpace="0"/>
        </w:sectPr>
      </w:pPr>
      <w:r>
        <w:rPr>
          <w:rFonts w:hint="eastAsia" w:ascii="新宋体" w:hAnsi="新宋体" w:eastAsia="新宋体" w:cs="新宋体"/>
          <w:bCs/>
          <w:sz w:val="24"/>
        </w:rPr>
        <w:t>4.保证金缴纳凭证复印件。</w:t>
      </w:r>
    </w:p>
    <w:p>
      <w:pPr>
        <w:pStyle w:val="3"/>
        <w:rPr>
          <w:rFonts w:ascii="新宋体" w:hAnsi="新宋体" w:eastAsia="新宋体" w:cs="新宋体"/>
        </w:rPr>
      </w:pPr>
      <w:bookmarkStart w:id="166" w:name="_Toc7890"/>
      <w:bookmarkStart w:id="167" w:name="_Toc20583"/>
      <w:bookmarkStart w:id="168" w:name="_Toc217446093"/>
      <w:bookmarkStart w:id="169" w:name="_Toc24467128"/>
      <w:bookmarkStart w:id="170" w:name="_Toc9204"/>
      <w:r>
        <w:rPr>
          <w:rFonts w:hint="eastAsia" w:ascii="新宋体" w:hAnsi="新宋体" w:eastAsia="新宋体" w:cs="新宋体"/>
        </w:rPr>
        <w:t>第六章 招标项目采购清单技术、服务及其他要求</w:t>
      </w:r>
      <w:bookmarkEnd w:id="166"/>
      <w:bookmarkEnd w:id="167"/>
      <w:bookmarkEnd w:id="168"/>
      <w:bookmarkEnd w:id="169"/>
      <w:bookmarkEnd w:id="170"/>
      <w:bookmarkStart w:id="171" w:name="_Toc18680541"/>
      <w:bookmarkStart w:id="172" w:name="_Toc18676162"/>
      <w:bookmarkStart w:id="173" w:name="_Toc457309282"/>
      <w:bookmarkStart w:id="174" w:name="_Toc74579660"/>
      <w:bookmarkStart w:id="175" w:name="_Toc217446094"/>
    </w:p>
    <w:bookmarkEnd w:id="171"/>
    <w:bookmarkEnd w:id="172"/>
    <w:bookmarkEnd w:id="173"/>
    <w:bookmarkEnd w:id="174"/>
    <w:p>
      <w:pPr>
        <w:spacing w:line="360" w:lineRule="auto"/>
        <w:rPr>
          <w:rFonts w:ascii="新宋体" w:hAnsi="新宋体" w:eastAsia="新宋体" w:cs="新宋体"/>
          <w:sz w:val="24"/>
        </w:rPr>
      </w:pPr>
      <w:r>
        <w:rPr>
          <w:rFonts w:hint="eastAsia" w:ascii="新宋体" w:hAnsi="新宋体" w:eastAsia="新宋体" w:cs="新宋体"/>
          <w:sz w:val="24"/>
        </w:rPr>
        <w:t>一、清单参数</w:t>
      </w:r>
    </w:p>
    <w:bookmarkEnd w:id="175"/>
    <w:p>
      <w:pPr>
        <w:pStyle w:val="14"/>
        <w:ind w:left="0" w:leftChars="0"/>
        <w:rPr>
          <w:rFonts w:ascii="新宋体" w:hAnsi="新宋体" w:eastAsia="新宋体" w:cs="新宋体"/>
          <w:b/>
          <w:bCs/>
          <w:kern w:val="44"/>
          <w:sz w:val="36"/>
          <w:szCs w:val="44"/>
        </w:rPr>
      </w:pPr>
      <w:bookmarkStart w:id="176" w:name="_Toc572"/>
      <w:bookmarkStart w:id="177" w:name="_Toc217446096"/>
      <w:bookmarkStart w:id="178" w:name="_Toc10567"/>
      <w:r>
        <w:rPr>
          <w:rFonts w:hint="eastAsia" w:ascii="新宋体" w:hAnsi="新宋体" w:eastAsia="新宋体" w:cs="新宋体"/>
          <w:b/>
          <w:bCs/>
          <w:kern w:val="44"/>
          <w:sz w:val="36"/>
          <w:szCs w:val="44"/>
        </w:rPr>
        <w:t>第一标段：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84"/>
        <w:gridCol w:w="6366"/>
        <w:gridCol w:w="443"/>
        <w:gridCol w:w="44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8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3127"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17"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218"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580"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仿真实训管理平台</w:t>
            </w:r>
          </w:p>
        </w:tc>
        <w:tc>
          <w:tcPr>
            <w:tcW w:w="3127" w:type="pct"/>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一、功能</w:t>
            </w:r>
          </w:p>
          <w:p>
            <w:pPr>
              <w:rPr>
                <w:rFonts w:ascii="宋体" w:hAnsi="宋体" w:eastAsia="宋体" w:cs="宋体"/>
                <w:color w:val="000000"/>
                <w:kern w:val="0"/>
                <w:sz w:val="22"/>
              </w:rPr>
            </w:pPr>
            <w:r>
              <w:rPr>
                <w:rFonts w:hint="eastAsia" w:ascii="宋体" w:hAnsi="宋体" w:eastAsia="宋体" w:cs="宋体"/>
                <w:color w:val="000000"/>
                <w:kern w:val="0"/>
                <w:sz w:val="22"/>
              </w:rPr>
              <w:t>仿真实训管理平台具备教学管理、学生分配、任务管理、实操监控、教师演示、练习测评、实训更新、成绩导出、数据管理等功能。</w:t>
            </w:r>
          </w:p>
          <w:p>
            <w:pPr>
              <w:rPr>
                <w:rFonts w:ascii="宋体" w:hAnsi="宋体" w:eastAsia="宋体" w:cs="宋体"/>
                <w:color w:val="000000"/>
                <w:kern w:val="0"/>
                <w:sz w:val="22"/>
              </w:rPr>
            </w:pPr>
            <w:r>
              <w:rPr>
                <w:rFonts w:hint="eastAsia" w:ascii="宋体" w:hAnsi="宋体" w:eastAsia="宋体" w:cs="宋体"/>
                <w:color w:val="000000"/>
                <w:kern w:val="0"/>
                <w:sz w:val="22"/>
              </w:rPr>
              <w:t>二、要求</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教师可以通过系统完成课程发布、课堂教学、教学管理、学生课堂评价、课下学习任务发布等。</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每个教师都可以提前设定自己的班级信息，并修改代表颜色，提前导入学生账号（Excel表格文件）便于开课时快速调用。</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管理端实现设备与学生信息的自动绑定，学生账号自动分配至实训设备，无需学生输入账号，免除学生登录过程。学生带上设备后可通过头像和姓名提示来核对是否正确。（PC、VR、平板都采用这种管理模式）</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平台采用C/S架构，即Client-Server结构。考虑到学校网络环境不稳定，校内实训模式下可不依赖互联网进行，保证实训过程的流畅稳定。</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教师可通过平台管理任务中的故障点，并根据需要选择随机分配故障或统一设定，实现学生实训内容的多模式管理。</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平台以学生姓名为索引展现任务整体进度，教师可通过进度条快速了解全部学生的学情，学生遇到问题可在客户端发起求助，教师通过监控界面可获取求助信息，也可给学生发送文字信息，用以提示学生进度。</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教师可将自己操作的画面选择性推送给学生（某几个或全体），起到操作演示的作用。学生观看教师操作后不影响之前自己的操作进度。</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学生可使用仿真设备完成课后练习，教师也可为学生生成专属评测任务，学生通过仿真形式完成专业课考核。</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平台具备热更升级，各版本客户端序的扩容更新无需重新安装程序。</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平台可按照教师需求将学生成绩导出成Excel文件，便于学校成绩管理与录入自有教学管理系统。</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实训数据实时存储在院校本地数据库（学校可将数据生成离线数据包进行备份，用于未来数据恢复、回看、查询等功能需求），学生个人的信息独立保存。</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教师可以设定自己独立的管理界面，可快速浏览专属空间与开课情况及课程预约情况，教师可支配个人服务器空间，按需管理。</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教师可查看已经形成的实训数据和发布的课程状态，可随时回看了解学情，便于教师快速管理。</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平台具备教程引导，使教师可快速对平台的操作方法进行了解，并随时查阅，帮助老师使用平台。</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教师可根据本课计划调取相应模块，选取后即可生成教学任务，并且可将已经存好的模板复制给其他班级，加速课程预存。</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平台具备通讯测试、广播测试、回传测试等功能，即教师在授课前测试设备的联通情况（因VR设备是通过wifi接入网络的，可能会存在断网的情况），以及通讯的稳定性。</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教师进入课堂后依次完成“调试”、“点名”环节后可进入“实训”阶段。进入实训阶段后教师可对全班的VR头盔进行控制并可实现某台头盔的单独管理，可看到自己索取或学生主动上交的操作界面场景。</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教师可通过课程日历预约课程或查询历史课程，包括详细的课时及课程内容。</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平台能够适配平板、PC、VR等设备，平板适配：以Android 6.0系统平板为运行平台，1920*1080屏幕分辨率，适配“高通、联发科”两种硬件框架的主流平板；PC适配：以Windows10系统为运行平台，提供程序运行环境资源包，支持英特尔+英伟达构架16：9显示比例的主流配置；VR适配：以主流 VR设备为主，实现一体机+PC的多种VR形式操作。</w:t>
            </w:r>
          </w:p>
          <w:p>
            <w:pPr>
              <w:pStyle w:val="56"/>
              <w:numPr>
                <w:ilvl w:val="0"/>
                <w:numId w:val="10"/>
              </w:numPr>
              <w:ind w:firstLineChars="0"/>
              <w:rPr>
                <w:rFonts w:ascii="宋体" w:hAnsi="宋体" w:eastAsia="宋体" w:cs="宋体"/>
                <w:color w:val="000000"/>
                <w:kern w:val="0"/>
                <w:sz w:val="22"/>
              </w:rPr>
            </w:pPr>
            <w:r>
              <w:rPr>
                <w:rFonts w:hint="eastAsia" w:ascii="宋体" w:hAnsi="宋体" w:eastAsia="宋体" w:cs="宋体"/>
                <w:color w:val="000000"/>
                <w:kern w:val="0"/>
                <w:sz w:val="22"/>
              </w:rPr>
              <w:t>基于统一框架实现课程场景同步，满足实训过程中教师演示、多人协作操作的功能需求。</w:t>
            </w:r>
          </w:p>
          <w:p>
            <w:pPr>
              <w:widowControl/>
              <w:rPr>
                <w:rFonts w:ascii="宋体" w:hAnsi="宋体" w:eastAsia="宋体" w:cs="宋体"/>
                <w:color w:val="000000"/>
                <w:kern w:val="0"/>
                <w:sz w:val="22"/>
              </w:rPr>
            </w:pPr>
            <w:r>
              <w:rPr>
                <w:rFonts w:hint="eastAsia" w:ascii="宋体" w:hAnsi="宋体" w:eastAsia="宋体" w:cs="宋体"/>
                <w:color w:val="000000"/>
                <w:kern w:val="0"/>
                <w:sz w:val="22"/>
              </w:rPr>
              <w:t>*四、其他要求</w:t>
            </w:r>
          </w:p>
          <w:p>
            <w:pPr>
              <w:widowControl/>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为确保本项目可以顺利开展，供应商在投标时需具备并提供至少</w:t>
            </w:r>
            <w:r>
              <w:rPr>
                <w:rFonts w:ascii="宋体" w:hAnsi="宋体" w:eastAsia="宋体" w:cs="宋体"/>
                <w:color w:val="000000"/>
                <w:kern w:val="0"/>
                <w:sz w:val="22"/>
              </w:rPr>
              <w:t>8</w:t>
            </w:r>
            <w:r>
              <w:rPr>
                <w:rFonts w:hint="eastAsia" w:ascii="宋体" w:hAnsi="宋体" w:eastAsia="宋体" w:cs="宋体"/>
                <w:color w:val="000000"/>
                <w:kern w:val="0"/>
                <w:sz w:val="22"/>
              </w:rPr>
              <w:t>个跟本项目相关的软件著作权证书，以证明企业的开发能力。</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vAlign w:val="center"/>
          </w:tcPr>
          <w:p>
            <w:pPr>
              <w:widowControl/>
              <w:jc w:val="center"/>
              <w:rPr>
                <w:rFonts w:ascii="宋体" w:hAnsi="宋体" w:cs="宋体"/>
                <w:kern w:val="0"/>
                <w:sz w:val="22"/>
              </w:rPr>
            </w:pPr>
            <w:r>
              <w:rPr>
                <w:rFonts w:hint="eastAsia" w:ascii="宋体" w:hAnsi="宋体" w:cs="宋体"/>
                <w:kern w:val="0"/>
                <w:sz w:val="22"/>
              </w:rPr>
              <w:t>套</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裸眼3D-LED软件</w:t>
            </w:r>
          </w:p>
        </w:tc>
        <w:tc>
          <w:tcPr>
            <w:tcW w:w="3127" w:type="pc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系统可以通过裸眼3D形式对地域文化、校园风采以及实训基地进行展示，并且可以实时显示实训基地的实训内容、实训过程、实训结果等大数据信息。系统包括直角LED屏幕、大屏伺服器、显示屏专用电源、接收卡、文化科普仿真软件、动态大数据软件等。</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二、要求</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文化科普仿真软件的显示内容包括但不限于藏区地域文化、特色产业、校园风采、专业部介绍、党建文化等。动态大数据软能够收集基地信息、实训中心信息、实训信息、班级信息、实训任务信息等，并以动态可视化的形式进行展示。</w:t>
            </w:r>
          </w:p>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2.展现形式多样化，包括但不限于裸眼3D视频、高清视频、动画、图片集、动态大数据等。</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3.裸眼3D视频总时长不少于180秒，影视级CG动画制作，原始8K片源。并根据裸眼屏幕系统特性进行视频切分。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w:t>
            </w:r>
            <w:r>
              <w:rPr>
                <w:rFonts w:ascii="宋体" w:hAnsi="宋体" w:eastAsia="宋体" w:cs="宋体"/>
                <w:color w:val="000000"/>
                <w:kern w:val="0"/>
                <w:sz w:val="22"/>
              </w:rPr>
              <w:t>.</w:t>
            </w:r>
            <w:r>
              <w:rPr>
                <w:rFonts w:hint="eastAsia" w:ascii="宋体" w:hAnsi="宋体" w:eastAsia="宋体" w:cs="宋体"/>
                <w:color w:val="000000"/>
                <w:kern w:val="0"/>
                <w:sz w:val="22"/>
              </w:rPr>
              <w:t>支持显示各种计算机信息、图形、图像；支持各种视频输入方式，具有叠加文字信息，全景、特写、慢镜头、动画、静态图片、特技等效果的实时编辑和播放。</w:t>
            </w:r>
          </w:p>
          <w:p>
            <w:pPr>
              <w:widowControl/>
              <w:jc w:val="left"/>
              <w:rPr>
                <w:rFonts w:ascii="宋体" w:hAnsi="宋体" w:eastAsia="宋体" w:cs="宋体"/>
                <w:color w:val="000000"/>
                <w:kern w:val="0"/>
                <w:sz w:val="22"/>
              </w:rPr>
            </w:pPr>
            <w:r>
              <w:rPr>
                <w:rFonts w:ascii="宋体" w:hAnsi="宋体" w:eastAsia="宋体" w:cs="宋体"/>
                <w:color w:val="000000"/>
                <w:kern w:val="0"/>
                <w:sz w:val="22"/>
              </w:rPr>
              <w:t>5.</w:t>
            </w:r>
            <w:r>
              <w:rPr>
                <w:rFonts w:hint="eastAsia" w:ascii="宋体" w:hAnsi="宋体" w:eastAsia="宋体" w:cs="宋体"/>
                <w:color w:val="000000"/>
                <w:kern w:val="0"/>
                <w:sz w:val="22"/>
              </w:rPr>
              <w:t>VGA/视频同步，集散控制；计算机联网控制，屏幕与控制机显示器点点对应。</w:t>
            </w:r>
          </w:p>
          <w:p>
            <w:pPr>
              <w:widowControl/>
              <w:jc w:val="left"/>
              <w:rPr>
                <w:rFonts w:ascii="宋体" w:hAnsi="宋体" w:eastAsia="宋体" w:cs="宋体"/>
                <w:color w:val="000000"/>
                <w:kern w:val="0"/>
                <w:sz w:val="22"/>
              </w:rPr>
            </w:pPr>
            <w:r>
              <w:rPr>
                <w:rFonts w:ascii="宋体" w:hAnsi="宋体" w:eastAsia="宋体" w:cs="宋体"/>
                <w:color w:val="000000"/>
                <w:kern w:val="0"/>
                <w:sz w:val="22"/>
              </w:rPr>
              <w:t>6.</w:t>
            </w:r>
            <w:r>
              <w:rPr>
                <w:rFonts w:hint="eastAsia" w:ascii="宋体" w:hAnsi="宋体" w:eastAsia="宋体" w:cs="宋体"/>
                <w:color w:val="000000"/>
                <w:kern w:val="0"/>
                <w:sz w:val="22"/>
              </w:rPr>
              <w:t>具有多点测温系统，均衡散热，防止局部温度过高造成色彩漂移，并提高显示屏寿命。</w:t>
            </w:r>
          </w:p>
          <w:p>
            <w:pPr>
              <w:widowControl/>
              <w:jc w:val="left"/>
              <w:rPr>
                <w:rFonts w:ascii="宋体" w:hAnsi="宋体" w:eastAsia="宋体" w:cs="宋体"/>
                <w:color w:val="000000"/>
                <w:kern w:val="0"/>
                <w:sz w:val="22"/>
              </w:rPr>
            </w:pPr>
            <w:r>
              <w:rPr>
                <w:rFonts w:ascii="宋体" w:hAnsi="宋体" w:eastAsia="宋体" w:cs="宋体"/>
                <w:color w:val="000000"/>
                <w:kern w:val="0"/>
                <w:sz w:val="22"/>
              </w:rPr>
              <w:t>7.</w:t>
            </w:r>
            <w:r>
              <w:rPr>
                <w:rFonts w:hint="eastAsia" w:ascii="宋体" w:hAnsi="宋体" w:eastAsia="宋体" w:cs="宋体"/>
                <w:color w:val="000000"/>
                <w:kern w:val="0"/>
                <w:sz w:val="22"/>
              </w:rPr>
              <w:t>支持鬼影消除、第一扫偏暗消除、低灰偏色补偿、低灰均匀性、低灰横条纹消除、慢速开启、十字架消除、去除坏点、毛毛虫消除、余辉消除、亮度缓慢变亮功能。</w:t>
            </w:r>
          </w:p>
          <w:p>
            <w:pPr>
              <w:widowControl/>
              <w:jc w:val="left"/>
              <w:rPr>
                <w:rFonts w:ascii="宋体" w:hAnsi="宋体" w:eastAsia="宋体" w:cs="宋体"/>
                <w:color w:val="000000"/>
                <w:kern w:val="0"/>
                <w:sz w:val="22"/>
              </w:rPr>
            </w:pPr>
            <w:r>
              <w:rPr>
                <w:rFonts w:ascii="宋体" w:hAnsi="宋体" w:eastAsia="宋体" w:cs="宋体"/>
                <w:color w:val="000000"/>
                <w:kern w:val="0"/>
                <w:sz w:val="22"/>
              </w:rPr>
              <w:t>8.</w:t>
            </w:r>
            <w:r>
              <w:rPr>
                <w:rFonts w:hint="eastAsia" w:ascii="宋体" w:hAnsi="宋体" w:eastAsia="宋体" w:cs="宋体"/>
                <w:color w:val="000000"/>
                <w:kern w:val="0"/>
                <w:sz w:val="22"/>
              </w:rPr>
              <w:t>支持屏体拼缝亮线、暗线校正：先进的除亮、暗线功能，从软、硬两方面彻底改善困扰LED安装精度造成的亮、暗线问题。</w:t>
            </w:r>
          </w:p>
          <w:p>
            <w:pPr>
              <w:widowControl/>
              <w:jc w:val="left"/>
              <w:rPr>
                <w:rFonts w:ascii="宋体" w:hAnsi="宋体" w:eastAsia="宋体" w:cs="宋体"/>
                <w:color w:val="000000"/>
                <w:kern w:val="0"/>
                <w:sz w:val="22"/>
              </w:rPr>
            </w:pPr>
            <w:r>
              <w:rPr>
                <w:rFonts w:ascii="宋体" w:hAnsi="宋体" w:eastAsia="宋体" w:cs="宋体"/>
                <w:color w:val="000000"/>
                <w:kern w:val="0"/>
                <w:sz w:val="22"/>
              </w:rPr>
              <w:t>9.</w:t>
            </w:r>
            <w:r>
              <w:rPr>
                <w:rFonts w:hint="eastAsia" w:ascii="宋体" w:hAnsi="宋体" w:eastAsia="宋体" w:cs="宋体"/>
                <w:color w:val="000000"/>
                <w:kern w:val="0"/>
                <w:sz w:val="22"/>
              </w:rPr>
              <w:t>防护性能：具有防静电、防电磁干扰、防潮、防腐蚀、防虫、抗震动、抗雷击等功能，具有电源过压、过流、断电保护、分布上电措施。</w:t>
            </w:r>
          </w:p>
          <w:p>
            <w:pPr>
              <w:widowControl/>
              <w:jc w:val="left"/>
              <w:rPr>
                <w:rFonts w:ascii="宋体" w:hAnsi="宋体" w:eastAsia="宋体" w:cs="宋体"/>
                <w:color w:val="000000"/>
                <w:kern w:val="0"/>
                <w:sz w:val="22"/>
              </w:rPr>
            </w:pPr>
            <w:r>
              <w:rPr>
                <w:rFonts w:ascii="宋体" w:hAnsi="宋体" w:eastAsia="宋体" w:cs="宋体"/>
                <w:color w:val="000000"/>
                <w:kern w:val="0"/>
                <w:sz w:val="22"/>
              </w:rPr>
              <w:t>10.</w:t>
            </w:r>
            <w:r>
              <w:rPr>
                <w:rFonts w:hint="eastAsia" w:ascii="宋体" w:hAnsi="宋体" w:eastAsia="宋体" w:cs="宋体"/>
                <w:color w:val="000000"/>
                <w:kern w:val="0"/>
                <w:sz w:val="22"/>
              </w:rPr>
              <w:t>自动gamma矫正技术设置：自动GAMMA校正技术，通过构造非线性校正曲线和色坐标变换系数矩阵实现了显示效果的不断改善，各项重要指标如色彩还原性、色温调节范围、亮度均匀性、色度均匀性、刷新率、换帧频率等。</w:t>
            </w:r>
          </w:p>
          <w:p>
            <w:pPr>
              <w:widowControl/>
              <w:jc w:val="left"/>
              <w:rPr>
                <w:rFonts w:ascii="宋体" w:hAnsi="宋体" w:eastAsia="宋体" w:cs="宋体"/>
                <w:color w:val="000000"/>
                <w:kern w:val="0"/>
                <w:sz w:val="22"/>
              </w:rPr>
            </w:pPr>
            <w:r>
              <w:rPr>
                <w:rFonts w:ascii="宋体" w:hAnsi="宋体" w:eastAsia="宋体" w:cs="宋体"/>
                <w:color w:val="000000"/>
                <w:kern w:val="0"/>
                <w:sz w:val="22"/>
              </w:rPr>
              <w:t>11.</w:t>
            </w:r>
            <w:r>
              <w:rPr>
                <w:rFonts w:hint="eastAsia" w:ascii="宋体" w:hAnsi="宋体" w:eastAsia="宋体" w:cs="宋体"/>
                <w:color w:val="000000"/>
                <w:kern w:val="0"/>
                <w:sz w:val="22"/>
              </w:rPr>
              <w:t>驱动芯片功能：具有列下消隐功能、倍频刷新率提升2/4/8倍、低灰偏色改善。</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12.</w:t>
            </w:r>
            <w:r>
              <w:rPr>
                <w:rFonts w:hint="eastAsia" w:ascii="宋体" w:hAnsi="宋体" w:eastAsia="宋体" w:cs="宋体"/>
                <w:color w:val="000000"/>
                <w:kern w:val="0"/>
                <w:sz w:val="22"/>
              </w:rPr>
              <w:t>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p>
          <w:p>
            <w:pPr>
              <w:widowControl/>
              <w:jc w:val="left"/>
              <w:rPr>
                <w:rFonts w:ascii="宋体" w:hAnsi="宋体" w:eastAsia="宋体" w:cs="宋体"/>
                <w:color w:val="000000"/>
                <w:kern w:val="0"/>
                <w:sz w:val="22"/>
              </w:rPr>
            </w:pPr>
            <w:r>
              <w:rPr>
                <w:rFonts w:ascii="宋体" w:hAnsi="宋体" w:eastAsia="宋体" w:cs="宋体"/>
                <w:color w:val="000000"/>
                <w:kern w:val="0"/>
                <w:sz w:val="22"/>
              </w:rPr>
              <w:t>13.</w:t>
            </w:r>
            <w:r>
              <w:rPr>
                <w:rFonts w:hint="eastAsia" w:ascii="宋体" w:hAnsi="宋体" w:eastAsia="宋体" w:cs="宋体"/>
                <w:color w:val="000000"/>
                <w:kern w:val="0"/>
                <w:sz w:val="22"/>
              </w:rPr>
              <w:t>文化科普仿真软件为全中文界面，方便维护、备份等系统管理。</w:t>
            </w:r>
          </w:p>
          <w:p>
            <w:pPr>
              <w:widowControl/>
              <w:jc w:val="left"/>
              <w:rPr>
                <w:rFonts w:ascii="宋体" w:hAnsi="宋体" w:eastAsia="宋体" w:cs="宋体"/>
                <w:color w:val="000000"/>
                <w:kern w:val="0"/>
                <w:sz w:val="22"/>
                <w:szCs w:val="24"/>
                <w:lang w:val="en-US" w:eastAsia="zh-CN" w:bidi="ar-SA"/>
              </w:rPr>
            </w:pP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vAlign w:val="center"/>
          </w:tcPr>
          <w:p>
            <w:pPr>
              <w:widowControl/>
              <w:rPr>
                <w:rFonts w:ascii="宋体" w:hAnsi="宋体" w:cs="宋体"/>
                <w:kern w:val="0"/>
                <w:sz w:val="22"/>
              </w:rPr>
            </w:pPr>
            <w:r>
              <w:rPr>
                <w:rFonts w:hint="eastAsia" w:ascii="宋体" w:hAnsi="宋体" w:cs="宋体"/>
                <w:kern w:val="0"/>
                <w:sz w:val="22"/>
              </w:rPr>
              <w:t>套</w:t>
            </w:r>
          </w:p>
        </w:tc>
        <w:tc>
          <w:tcPr>
            <w:tcW w:w="580"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直角L</w:t>
            </w:r>
            <w:r>
              <w:rPr>
                <w:rFonts w:ascii="宋体" w:hAnsi="宋体" w:eastAsia="宋体" w:cs="宋体"/>
                <w:color w:val="000000"/>
                <w:kern w:val="0"/>
                <w:sz w:val="22"/>
              </w:rPr>
              <w:t>ED</w:t>
            </w:r>
            <w:r>
              <w:rPr>
                <w:rFonts w:hint="eastAsia" w:ascii="宋体" w:hAnsi="宋体" w:eastAsia="宋体" w:cs="宋体"/>
                <w:color w:val="000000"/>
                <w:kern w:val="0"/>
                <w:sz w:val="22"/>
              </w:rPr>
              <w:t>显示套装</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1.直角LED屏幕</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（长2.5米，宽4.8米）*</w:t>
            </w:r>
            <w:r>
              <w:rPr>
                <w:rFonts w:ascii="宋体" w:hAnsi="宋体" w:eastAsia="宋体" w:cs="宋体"/>
                <w:color w:val="000000"/>
                <w:kern w:val="0"/>
                <w:sz w:val="22"/>
              </w:rPr>
              <w:t>2</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像素点间距：≤1.86mm；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像素构成：1R1G1B；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像素密度：≥288762Dots/㎡；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亮度：0-1500cd/㎡可调，具有蓝光抑制功能；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亮度均匀性：≥99%；</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刷新率：≥3840Hz；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整屏平整度：≤0.1mm；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色温：1000-10000K可调；</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色度均匀性：±0.002Cx,Cy之内；</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反光率：≤2％；</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水平/垂直视角：≥170°；</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像素失控率：≤0.00001，出厂时为0；</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能源效率：≥3.0cd/㎡；</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信噪比：≥47dB；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睡眠模式功率密度：≤100W/㎡；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对比度：≥8000:1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画面延时：≤2ms；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屈服强度：170mpa；</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抗拉强度：230mpa；</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横向/纵向拉伸承载力：≥2.5吨；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峰值功耗：≤500W/㎡，平均功耗：≤180W/㎡；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灰度等级：≥16bit。</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2.大屏伺服器2台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I5-8400 CPU/</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8G DDR4内存/</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GTX 1050 2G/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120G SSD以上</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支持远程开关机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w:t>
            </w:r>
            <w:r>
              <w:rPr>
                <w:rFonts w:ascii="宋体" w:hAnsi="宋体" w:eastAsia="宋体" w:cs="宋体"/>
                <w:color w:val="000000"/>
                <w:kern w:val="0"/>
                <w:sz w:val="22"/>
              </w:rPr>
              <w:t>.</w:t>
            </w:r>
            <w:r>
              <w:rPr>
                <w:rFonts w:hint="eastAsia" w:ascii="宋体" w:hAnsi="宋体" w:eastAsia="宋体" w:cs="宋体"/>
                <w:color w:val="000000"/>
                <w:kern w:val="0"/>
                <w:sz w:val="22"/>
              </w:rPr>
              <w:t>显示屏专用电源</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（1）输入电压/输入频率 176~264VAC/47~63HZ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（2）过载/短路保护</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（3）绝缘强度 I/P-O/P：3KVAC,I/P-FG：1.5KVAC, O/P-FG:0.5KVAC,1min</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4</w:t>
            </w:r>
            <w:r>
              <w:rPr>
                <w:rFonts w:hint="eastAsia" w:ascii="宋体" w:hAnsi="宋体" w:eastAsia="宋体" w:cs="宋体"/>
                <w:color w:val="000000"/>
                <w:kern w:val="0"/>
                <w:sz w:val="22"/>
              </w:rPr>
              <w:t>）安全标准 GB4943，UL60950-1，EN60950-1</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w:t>
            </w:r>
            <w:r>
              <w:rPr>
                <w:rFonts w:ascii="宋体" w:hAnsi="宋体" w:eastAsia="宋体" w:cs="宋体"/>
                <w:color w:val="000000"/>
                <w:kern w:val="0"/>
                <w:sz w:val="22"/>
              </w:rPr>
              <w:t>.</w:t>
            </w:r>
            <w:r>
              <w:rPr>
                <w:rFonts w:hint="eastAsia" w:ascii="宋体" w:hAnsi="宋体" w:eastAsia="宋体" w:cs="宋体"/>
                <w:color w:val="000000"/>
                <w:kern w:val="0"/>
                <w:sz w:val="22"/>
              </w:rPr>
              <w:t>接收卡</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（1）单卡最大带载 512×256 像素，支持 24组 RGB 并行数据。采用 6 个HUB320（26pin）接口，具有高稳定性和高可靠性，适用于多种环境的搭建。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（2）支持自主知识产权的逐点亮色度校正，配合原厂对应调试软件和原厂校正软件，对每个灯点的亮度和色度进行校正。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（3）快速亮暗线调节，可在对应调试软件上进行快速亮暗线调节，用来消除灯板与灯板、箱体与箱体之间的缝隙。</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（4）配合支持 3D 功能的独立主控，在调试软件或独立主控的操作面板上开启 3D 功能，并设置 3D 参数，使画面显示 3D 效果。</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（5）RGB 独立 Gamma 调节，配合支持 RGB 独立 Gamma 调节的独立主控和对应版本的调试软件通过对“红 Gamma” 、“绿 Gamma” 、 “蓝 Gamma”分别进行调节，有效控制显示屏低灰不均匀、白平衡漂移等问题，使画面更加真实。</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（6）</w:t>
            </w:r>
            <w:r>
              <w:rPr>
                <w:rFonts w:ascii="宋体" w:hAnsi="宋体" w:eastAsia="宋体" w:cs="宋体"/>
                <w:color w:val="000000"/>
                <w:kern w:val="0"/>
                <w:sz w:val="22"/>
              </w:rPr>
              <w:t xml:space="preserve">Mapping </w:t>
            </w:r>
            <w:r>
              <w:rPr>
                <w:rFonts w:hint="eastAsia" w:ascii="宋体" w:hAnsi="宋体" w:eastAsia="宋体" w:cs="宋体"/>
                <w:color w:val="000000"/>
                <w:kern w:val="0"/>
                <w:sz w:val="22"/>
              </w:rPr>
              <w:t>功能在</w:t>
            </w:r>
            <w:r>
              <w:rPr>
                <w:rFonts w:ascii="宋体" w:hAnsi="宋体" w:eastAsia="宋体" w:cs="宋体"/>
                <w:color w:val="000000"/>
                <w:kern w:val="0"/>
                <w:sz w:val="22"/>
              </w:rPr>
              <w:t xml:space="preserve"> </w:t>
            </w:r>
            <w:r>
              <w:rPr>
                <w:rFonts w:hint="eastAsia" w:ascii="宋体" w:hAnsi="宋体" w:eastAsia="宋体" w:cs="宋体"/>
                <w:color w:val="000000"/>
                <w:kern w:val="0"/>
                <w:sz w:val="22"/>
              </w:rPr>
              <w:t>原厂调试软件上启用</w:t>
            </w:r>
            <w:r>
              <w:rPr>
                <w:rFonts w:ascii="宋体" w:hAnsi="宋体" w:eastAsia="宋体" w:cs="宋体"/>
                <w:color w:val="000000"/>
                <w:kern w:val="0"/>
                <w:sz w:val="22"/>
              </w:rPr>
              <w:t xml:space="preserve"> Mapping </w:t>
            </w:r>
            <w:r>
              <w:rPr>
                <w:rFonts w:hint="eastAsia" w:ascii="宋体" w:hAnsi="宋体" w:eastAsia="宋体" w:cs="宋体"/>
                <w:color w:val="000000"/>
                <w:kern w:val="0"/>
                <w:sz w:val="22"/>
              </w:rPr>
              <w:t>功能后，目标箱体上会显示接收卡编号和网口信息，可以清晰获取接收卡的位置和走线方式。</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vAlign w:val="center"/>
          </w:tcPr>
          <w:p>
            <w:pPr>
              <w:widowControl/>
              <w:rPr>
                <w:rFonts w:ascii="宋体" w:hAnsi="宋体" w:cs="宋体"/>
                <w:kern w:val="0"/>
                <w:sz w:val="22"/>
              </w:rPr>
            </w:pPr>
            <w:r>
              <w:rPr>
                <w:rFonts w:hint="eastAsia" w:ascii="宋体" w:hAnsi="宋体" w:cs="宋体"/>
                <w:kern w:val="0"/>
                <w:sz w:val="22"/>
              </w:rPr>
              <w:t>套</w:t>
            </w:r>
          </w:p>
        </w:tc>
        <w:tc>
          <w:tcPr>
            <w:tcW w:w="580"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信息显示融合控制台</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一、功能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信息显示融合系统主要用于直角LED大屏的信息分发与管理，包括一体式触摸控制台和信息显示控制软件。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w:t>
            </w:r>
            <w:r>
              <w:rPr>
                <w:rFonts w:hint="eastAsia" w:ascii="宋体" w:hAnsi="宋体" w:eastAsia="宋体" w:cs="宋体"/>
                <w:color w:val="000000"/>
                <w:kern w:val="0"/>
                <w:sz w:val="22"/>
              </w:rPr>
              <w:t>信息显示控制软件安装在一体式触摸控制台中，并实现触摸查询与信息发布。</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2.</w:t>
            </w:r>
            <w:r>
              <w:rPr>
                <w:rFonts w:hint="eastAsia" w:ascii="宋体" w:hAnsi="宋体" w:eastAsia="宋体" w:cs="宋体"/>
                <w:color w:val="000000"/>
                <w:kern w:val="0"/>
                <w:sz w:val="22"/>
              </w:rPr>
              <w:t>信息显示控制软件可以对动态大数据看板进行设置与修改，选择展示内容与展示形式。</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3</w:t>
            </w:r>
            <w:r>
              <w:rPr>
                <w:rFonts w:hint="eastAsia" w:ascii="宋体" w:hAnsi="宋体" w:eastAsia="宋体" w:cs="宋体"/>
                <w:color w:val="000000"/>
                <w:kern w:val="0"/>
                <w:sz w:val="22"/>
              </w:rPr>
              <w:t>.信息显示控制软件可实现在无人查询的情况下自动播放多媒体节目，在有人触摸查询条件下进入查询系统中的交互应用。</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三、参数</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分辨率1920*1080</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透光率大于95%</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亮度350cd/㎡</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对比度4000：1</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感应力度1g</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响应时间5ms</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屏幕尺寸49寸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I5-8400 CPU/</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8G DDR4内存/</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GTX 1050 2G/</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120G SSD/</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noWrap/>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霍格沃兹交互系统</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一、功能</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系统采用互动投影技术，通过手指触碰墙面上的影像，墙面出现对应的专业展示动画，或者点亮相关资料和图片，营造具有魔法互动效果的数字化专业展示长廊。</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二、要求</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1.交互内容涉及农业、畜牧、汽修、工程机械、食品、物业6个专业。</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2.交互墙展示内容包括但不限于专业发展史，专业现状，专业特点等。</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3.根据不同专业设计不同的展示风格，包括但不限于图文互动、模型动画、3D建模、故事讲解、流程处理、时间轴等风格。</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4.声音旁白需专业影视级配音。</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5</w:t>
            </w:r>
            <w:r>
              <w:rPr>
                <w:rFonts w:hint="eastAsia" w:ascii="宋体" w:hAnsi="宋体" w:eastAsia="宋体" w:cs="宋体"/>
                <w:color w:val="000000"/>
                <w:kern w:val="0"/>
                <w:sz w:val="22"/>
              </w:rPr>
              <w:t>.总交互点不少于4</w:t>
            </w:r>
            <w:r>
              <w:rPr>
                <w:rFonts w:ascii="宋体" w:hAnsi="宋体" w:eastAsia="宋体" w:cs="宋体"/>
                <w:color w:val="000000"/>
                <w:kern w:val="0"/>
                <w:sz w:val="22"/>
              </w:rPr>
              <w:t>0</w:t>
            </w:r>
            <w:r>
              <w:rPr>
                <w:rFonts w:hint="eastAsia" w:ascii="宋体" w:hAnsi="宋体" w:eastAsia="宋体" w:cs="宋体"/>
                <w:color w:val="000000"/>
                <w:kern w:val="0"/>
                <w:sz w:val="22"/>
              </w:rPr>
              <w:t>个，单个专业交互点不少于</w:t>
            </w:r>
            <w:r>
              <w:rPr>
                <w:rFonts w:ascii="宋体" w:hAnsi="宋体" w:eastAsia="宋体" w:cs="宋体"/>
                <w:color w:val="000000"/>
                <w:kern w:val="0"/>
                <w:sz w:val="22"/>
              </w:rPr>
              <w:t>6</w:t>
            </w:r>
            <w:r>
              <w:rPr>
                <w:rFonts w:hint="eastAsia" w:ascii="宋体" w:hAnsi="宋体" w:eastAsia="宋体" w:cs="宋体"/>
                <w:color w:val="000000"/>
                <w:kern w:val="0"/>
                <w:sz w:val="22"/>
              </w:rPr>
              <w:t>个。</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6.交互图片、视频、动画的分辨率不小于1900*1280，交互声音清晰，无杂音。</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7.交互内容包含三维内容。</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8.支持win7/8/10，32或64位,纯GPU融合,支持无显示器和有显示器2种模式，最多支持16通道,16通道可任意排布。</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9.支持几何矫正,遮罩处理。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10.自带播放器,支持中英双语,播放器可以在任意窗口运行,并且中控可控。</w:t>
            </w:r>
          </w:p>
          <w:p>
            <w:pPr>
              <w:widowControl/>
              <w:jc w:val="left"/>
              <w:rPr>
                <w:rFonts w:ascii="宋体" w:hAnsi="宋体" w:eastAsia="宋体" w:cs="宋体"/>
                <w:color w:val="000000"/>
                <w:kern w:val="0"/>
                <w:sz w:val="22"/>
              </w:rPr>
            </w:pPr>
            <w:r>
              <w:rPr>
                <w:rFonts w:ascii="宋体" w:hAnsi="宋体" w:eastAsia="宋体" w:cs="宋体"/>
                <w:color w:val="000000"/>
                <w:kern w:val="0"/>
                <w:sz w:val="22"/>
              </w:rPr>
              <w:t>11.</w:t>
            </w:r>
            <w:r>
              <w:rPr>
                <w:rFonts w:hint="eastAsia" w:ascii="宋体" w:hAnsi="宋体" w:eastAsia="宋体" w:cs="宋体"/>
                <w:color w:val="000000"/>
                <w:kern w:val="0"/>
                <w:sz w:val="22"/>
              </w:rPr>
              <w:t>使用自主设计中控单元，工作电压5V。</w:t>
            </w:r>
          </w:p>
          <w:p>
            <w:pPr>
              <w:widowControl/>
              <w:jc w:val="left"/>
              <w:rPr>
                <w:rFonts w:ascii="宋体" w:hAnsi="宋体" w:eastAsia="宋体" w:cs="宋体"/>
                <w:color w:val="000000"/>
                <w:kern w:val="0"/>
                <w:sz w:val="22"/>
              </w:rPr>
            </w:pPr>
            <w:r>
              <w:rPr>
                <w:rFonts w:ascii="宋体" w:hAnsi="宋体" w:eastAsia="宋体" w:cs="宋体"/>
                <w:color w:val="000000"/>
                <w:kern w:val="0"/>
                <w:sz w:val="22"/>
              </w:rPr>
              <w:t>12.</w:t>
            </w:r>
            <w:r>
              <w:rPr>
                <w:rFonts w:hint="eastAsia" w:ascii="宋体" w:hAnsi="宋体" w:eastAsia="宋体" w:cs="宋体"/>
                <w:color w:val="000000"/>
                <w:kern w:val="0"/>
                <w:sz w:val="22"/>
              </w:rPr>
              <w:t>采用ATmega328P完成数据处理，32KB独立存储运行bootloader程序，使用STK500协议进行程序上传。</w:t>
            </w:r>
          </w:p>
          <w:p>
            <w:pPr>
              <w:widowControl/>
              <w:jc w:val="left"/>
              <w:rPr>
                <w:rFonts w:ascii="宋体" w:hAnsi="宋体" w:eastAsia="宋体" w:cs="宋体"/>
                <w:color w:val="000000"/>
                <w:kern w:val="0"/>
                <w:sz w:val="22"/>
              </w:rPr>
            </w:pPr>
            <w:r>
              <w:rPr>
                <w:rFonts w:ascii="宋体" w:hAnsi="宋体" w:eastAsia="宋体" w:cs="宋体"/>
                <w:color w:val="000000"/>
                <w:kern w:val="0"/>
                <w:sz w:val="22"/>
              </w:rPr>
              <w:t>13.</w:t>
            </w:r>
            <w:r>
              <w:rPr>
                <w:rFonts w:hint="eastAsia" w:ascii="宋体" w:hAnsi="宋体" w:eastAsia="宋体" w:cs="宋体"/>
                <w:color w:val="000000"/>
                <w:kern w:val="0"/>
                <w:sz w:val="22"/>
              </w:rPr>
              <w:t>配套组件具备14个数字输入/输出引脚具备6组PWM通道，最大支持12组内嵌式触点实现触发逻辑。</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14.</w:t>
            </w:r>
            <w:r>
              <w:rPr>
                <w:rFonts w:hint="eastAsia" w:ascii="宋体" w:hAnsi="宋体" w:eastAsia="宋体" w:cs="宋体"/>
                <w:color w:val="000000"/>
                <w:kern w:val="0"/>
                <w:sz w:val="22"/>
              </w:rPr>
              <w:t>触发逻辑可根据实际需求完成独立定义或组合命令指挥计算机交互程序实现丰富的人机交互数字展示与效果呈现。</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三、参数</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1.投影仪：</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显示系统：3LCD</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光源：激光二极管</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光通量：6500lm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对比度：3000000：1</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自动调光模式：支持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噪音：37db/28db</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功耗：AC220V，418W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散热：1426BTU/H</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投影比：1.23：1至1.97：1</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变焦比：1.6X</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像素：6912000</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2</w:t>
            </w:r>
            <w:r>
              <w:rPr>
                <w:rFonts w:hint="eastAsia" w:ascii="宋体" w:hAnsi="宋体" w:eastAsia="宋体" w:cs="宋体"/>
                <w:color w:val="000000"/>
                <w:kern w:val="0"/>
                <w:sz w:val="22"/>
              </w:rPr>
              <w:t>.融合服务器（带无线键鼠）</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【处理器】：I5-6200U </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【内 存】：不少于8G </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【硬 盘】：固态128G</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【独立显卡】:MX150-2G  </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【系统】：windows 10 旗舰版</w:t>
            </w:r>
          </w:p>
          <w:p>
            <w:pPr>
              <w:widowControl/>
              <w:jc w:val="left"/>
              <w:rPr>
                <w:rFonts w:hint="eastAsia" w:ascii="宋体" w:hAnsi="宋体" w:eastAsia="宋体" w:cs="宋体"/>
                <w:color w:val="000000"/>
                <w:kern w:val="0"/>
                <w:sz w:val="22"/>
                <w:lang w:eastAsia="zh-CN"/>
              </w:rPr>
            </w:pPr>
            <w:r>
              <w:rPr>
                <w:rFonts w:ascii="宋体" w:hAnsi="宋体" w:eastAsia="宋体" w:cs="宋体"/>
                <w:color w:val="000000"/>
                <w:kern w:val="0"/>
                <w:sz w:val="22"/>
              </w:rPr>
              <w:t>3</w:t>
            </w:r>
            <w:r>
              <w:rPr>
                <w:rFonts w:hint="eastAsia" w:ascii="宋体" w:hAnsi="宋体" w:eastAsia="宋体" w:cs="宋体"/>
                <w:color w:val="000000"/>
                <w:kern w:val="0"/>
                <w:sz w:val="22"/>
              </w:rPr>
              <w:t>.壁挂式音响（6对）</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输出功率：20W-60W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频响范围：120Hz-20KHz</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阻抗：6Ω</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灵敏度：88dB</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数字调频、数字降噪</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电源：220V</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灵敏度：90db+3db</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频率响应：120HZ-180KHZ</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无线控制</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数字化教室管理系统</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一、功能</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数字化教室管理系统需具备信息展示、通知（如失物认领通知）、教室课表、督导巡查、课堂考勤、教室预约、设备报修等，前端界面能定制开发，与学校风格相统一。</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二、参数</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尺寸：21.5寸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分辨率1080*1920</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点距：0.264mm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CPU：四核心 1.5Ghz</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运行内存：≥1G</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整机额定功率≤20W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工作电压220V60Hz</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支持壁挂，可刷卡</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主控服务器</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一、功能</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1.支持中控服务器自动发现和自动注册；</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2.支持中控服务器相互通讯；</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3.支持多模式广播，自动选择最优方式；</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4.支持教学资源云端存储；</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5.支持RAID0,RAID1,RAID5,RAID10不同磁盘阵列；</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6.支持关系型数据库MySQL；</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7.支持NoSQL数据库Redis；</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8.支持学生学习行为大数据挖掘与分析；</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9.支持资源的订阅和智能推送；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10.支持集群部署；</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二、技术规格</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处理器：2.5GHz/6核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CPU缓存：≥15MB缓存</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扩展槽：24个内存插槽</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8个硬盘槽位</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嵌入式网络控制器：Broadcom5720千兆网卡（四端口）</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图形卡：支持2个显卡或GPU</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themeColor="text1"/>
                <w:kern w:val="0"/>
                <w:sz w:val="22"/>
                <w:szCs w:val="24"/>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U</w:t>
            </w:r>
            <w:r>
              <w:rPr>
                <w:rFonts w:ascii="宋体" w:hAnsi="宋体" w:eastAsia="宋体" w:cs="宋体"/>
                <w:color w:val="000000" w:themeColor="text1"/>
                <w:kern w:val="0"/>
                <w:sz w:val="22"/>
                <w14:textFill>
                  <w14:solidFill>
                    <w14:schemeClr w14:val="tx1"/>
                  </w14:solidFill>
                </w14:textFill>
              </w:rPr>
              <w:t>PS</w:t>
            </w:r>
          </w:p>
        </w:tc>
        <w:tc>
          <w:tcPr>
            <w:tcW w:w="3127" w:type="pct"/>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机架式UPS电源</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3KVA 2400W标机</w:t>
            </w:r>
          </w:p>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带电池包可用1小时</w:t>
            </w:r>
          </w:p>
          <w:p>
            <w:pPr>
              <w:widowControl/>
              <w:jc w:val="left"/>
              <w:rPr>
                <w:rFonts w:ascii="宋体" w:hAnsi="宋体" w:eastAsia="宋体" w:cs="宋体"/>
                <w:color w:val="000000" w:themeColor="text1"/>
                <w:kern w:val="0"/>
                <w:sz w:val="22"/>
                <w:szCs w:val="24"/>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锂电池包</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580"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机柜</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容量：42U</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材料及工艺：SPCC优质冷扎钢板</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厚度:方孔条2.0mm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托盘2.0mm,安装梁1.5m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表面脱脂、酸洗、磷化、静电喷塑</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落地柜，内置电力供应系统，</w:t>
            </w:r>
            <w:r>
              <w:rPr>
                <w:rFonts w:hint="eastAsia" w:ascii="宋体" w:hAnsi="宋体" w:eastAsia="宋体" w:cs="宋体"/>
                <w:color w:val="000000" w:themeColor="text1"/>
                <w:kern w:val="0"/>
                <w:sz w:val="22"/>
                <w14:textFill>
                  <w14:solidFill>
                    <w14:schemeClr w14:val="tx1"/>
                  </w14:solidFill>
                </w14:textFill>
              </w:rPr>
              <w:t>含K</w:t>
            </w:r>
            <w:r>
              <w:rPr>
                <w:rFonts w:ascii="宋体" w:hAnsi="宋体" w:eastAsia="宋体" w:cs="宋体"/>
                <w:color w:val="000000" w:themeColor="text1"/>
                <w:kern w:val="0"/>
                <w:sz w:val="22"/>
                <w14:textFill>
                  <w14:solidFill>
                    <w14:schemeClr w14:val="tx1"/>
                  </w14:solidFill>
                </w14:textFill>
              </w:rPr>
              <w:t>VM</w:t>
            </w:r>
            <w:r>
              <w:rPr>
                <w:rFonts w:hint="eastAsia" w:ascii="宋体" w:hAnsi="宋体" w:eastAsia="宋体" w:cs="宋体"/>
                <w:color w:val="000000" w:themeColor="text1"/>
                <w:kern w:val="0"/>
                <w:sz w:val="22"/>
                <w14:textFill>
                  <w14:solidFill>
                    <w14:schemeClr w14:val="tx1"/>
                  </w14:solidFill>
                </w14:textFill>
              </w:rPr>
              <w:t>切换器</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VR充电消毒柜（48位）</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尺寸：880*380*940mm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充电＋紫外线消毒</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带轮可支持48台设备移动+存储</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柜体材质：ABS+喷塑钢版</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USB端口5V2.1A直流充电</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智能分配充电电流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每路具备过流、过载、短路和漏电保护</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每路具备单独LED指示灯</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具备抗静电和防划痕</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双风扇降温，智能控温</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符合国家CCC认证</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VR充电消毒柜（10位）</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尺寸：690*455*358mm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充电＋紫外线消毒</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带轮可支持10台设备移动+存储</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柜体材质：ABS+喷塑钢版</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USB端口5V2.1A直流充电</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智能分配充电电流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每路具备过流、过载、短路和漏电保护</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每路具备单独LED指示灯</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具备抗静电和防划痕</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双风扇降温，智能控温</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符合国家CCC认证</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分控服务器</w:t>
            </w:r>
          </w:p>
        </w:tc>
        <w:tc>
          <w:tcPr>
            <w:tcW w:w="3127" w:type="pct"/>
            <w:shd w:val="clear" w:color="auto" w:fill="auto"/>
            <w:vAlign w:val="center"/>
          </w:tcPr>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CPU：不低于i5-8500T</w:t>
            </w:r>
          </w:p>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主频2.1Ghz</w:t>
            </w:r>
          </w:p>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内存：不低于32G</w:t>
            </w:r>
          </w:p>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硬盘：不低于1TB</w:t>
            </w:r>
          </w:p>
          <w:p>
            <w:pPr>
              <w:widowControl/>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VGA*1，HDMI*1</w:t>
            </w:r>
          </w:p>
          <w:p>
            <w:pPr>
              <w:widowControl/>
              <w:jc w:val="left"/>
              <w:rPr>
                <w:rFonts w:ascii="宋体" w:hAnsi="宋体" w:eastAsia="宋体" w:cs="宋体"/>
                <w:color w:val="000000" w:themeColor="text1"/>
                <w:kern w:val="0"/>
                <w:sz w:val="22"/>
                <w:szCs w:val="24"/>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DVI*1；千兆网口*2</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3</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交换机</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三层48口全千兆</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自带管理系统</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整机POE输出功率：396W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整机功耗：465W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输入电源：220VAC , 50Hz</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工作温度：0℃～40℃</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存储温度：-40℃～70℃</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工作湿度：10%～90% RH不凝结</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存储湿度：5%～90% RH不凝结</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PoE标准：IEEE 802.3at(PoE+)、IEEE 802.3af</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themeColor="text1"/>
                <w:kern w:val="0"/>
                <w:sz w:val="22"/>
                <w:szCs w:val="24"/>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存储系统</w:t>
            </w:r>
          </w:p>
        </w:tc>
        <w:tc>
          <w:tcPr>
            <w:tcW w:w="3127" w:type="pc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1.单设备应配置≥64位多核处理器，≥4GB内存，内存支持扩展到≥32GB，需配置冗余金牌电源，支持双系统（其中电源仅以照片证明即可）；</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2.单设备应标配≥2个千兆网口，可增扩≥2个万兆口或≥2个光纤接口或增配≥4个HDMI接口或≥2个SAS3.0接口;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3.应支持FCSAN、IPSAN、NAS存储功能；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4.可接入2T/3T/4T/6T/8TSATA磁盘，支持磁盘交错启动和漫游，并支持在线热插拔；</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5.可接入硬盘≥24块，支持SATA和SAS混插，并支持≥12级扩展柜级联扩展；</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6.应能提供RAID0、1、3、5、6、10、50，60、JBOD模式，支持全局、局部等多种热备选择，支持坏盘自动重构；</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7.设备可对视音频、图片、智能数据（智能行为分析录像）流进行混合直存，无须存储服务器和图片服务器的参与，平台服务器宕机时，存储业务正常</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580"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themeColor="text1"/>
                <w:kern w:val="0"/>
                <w:sz w:val="22"/>
                <w:szCs w:val="24"/>
                <w:lang w:val="en-US" w:eastAsia="zh-CN" w:bidi="ar-SA"/>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存储硬盘</w:t>
            </w:r>
          </w:p>
        </w:tc>
        <w:tc>
          <w:tcPr>
            <w:tcW w:w="3127" w:type="pct"/>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6T企业级硬盘</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转速不小于5</w:t>
            </w:r>
            <w:r>
              <w:rPr>
                <w:rFonts w:ascii="宋体" w:hAnsi="宋体" w:eastAsia="宋体" w:cs="宋体"/>
                <w:color w:val="000000"/>
                <w:kern w:val="0"/>
                <w:sz w:val="22"/>
              </w:rPr>
              <w:t>400</w:t>
            </w:r>
            <w:r>
              <w:rPr>
                <w:rFonts w:hint="eastAsia" w:ascii="宋体" w:hAnsi="宋体" w:eastAsia="宋体" w:cs="宋体"/>
                <w:color w:val="000000"/>
                <w:kern w:val="0"/>
                <w:sz w:val="22"/>
              </w:rPr>
              <w:t>转</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高速缓存6</w:t>
            </w:r>
            <w:r>
              <w:rPr>
                <w:rFonts w:ascii="宋体" w:hAnsi="宋体" w:eastAsia="宋体" w:cs="宋体"/>
                <w:color w:val="000000"/>
                <w:kern w:val="0"/>
                <w:sz w:val="22"/>
              </w:rPr>
              <w:t>4M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工作状态0</w:t>
            </w:r>
            <w:r>
              <w:rPr>
                <w:rFonts w:ascii="宋体" w:hAnsi="宋体" w:eastAsia="宋体" w:cs="宋体"/>
                <w:color w:val="000000"/>
                <w:kern w:val="0"/>
                <w:sz w:val="22"/>
              </w:rPr>
              <w:t>-70</w:t>
            </w:r>
            <w:r>
              <w:rPr>
                <w:rFonts w:hint="eastAsia" w:ascii="宋体" w:hAnsi="宋体" w:eastAsia="宋体" w:cs="宋体"/>
                <w:color w:val="000000"/>
                <w:kern w:val="0"/>
                <w:sz w:val="22"/>
              </w:rPr>
              <w:t>°</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产品接口S</w:t>
            </w:r>
            <w:r>
              <w:rPr>
                <w:rFonts w:ascii="宋体" w:hAnsi="宋体" w:eastAsia="宋体" w:cs="宋体"/>
                <w:color w:val="000000"/>
                <w:kern w:val="0"/>
                <w:sz w:val="22"/>
              </w:rPr>
              <w:t>ATA6</w:t>
            </w:r>
            <w:r>
              <w:rPr>
                <w:rFonts w:hint="eastAsia" w:ascii="宋体" w:hAnsi="宋体" w:eastAsia="宋体" w:cs="宋体"/>
                <w:color w:val="000000"/>
                <w:kern w:val="0"/>
                <w:sz w:val="22"/>
              </w:rPr>
              <w:t>gb/s</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0</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块</w:t>
            </w:r>
          </w:p>
        </w:tc>
        <w:tc>
          <w:tcPr>
            <w:tcW w:w="580"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PC电脑</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分辨率：1920*1080dpi</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屏幕尺寸：27英寸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输入设备有线鼠标、有线键盘</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CPU：≥ 第10代 i7-10700F 八核 三级缓存16G；</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内存：≥ 32GB DDR4；</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硬盘：≥1TB 机械 SSD+1TB 7200RPM；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显卡：≥11GB独立显卡；</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显示器：≥27英寸；</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电源：≥1000w；</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3</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资料柜</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800*400*1800mm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冷轧钢材</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透明玻璃</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静电喷涂</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防水防潮</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易清洁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耐划痕</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可调节板层</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高承载滑轨</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钢制锁芯，铝合金把手</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两把钥匙</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校训灯牌</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50*50cm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不锈钢包边</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通电发光（带变压器）</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亚克力材质</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智能门锁</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面板尺寸：290*37*20mm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锁体规格：270*52.5*16mm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开锁方式：指纹+密码+卡片</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支持一键上锁</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指纹解锁误识率小于0.0001%</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拒真率小于0.01%</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支持低电量自动报警</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指纹容量80个</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灯箱（大）</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3.5*2米</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18.5mm厚</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丝网印刷工艺</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铝合金型材</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高光6500K亮度值</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灯箱（小）</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1*2米</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18.5mm厚</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丝网印刷工艺</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铝合金型材</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高光6500K亮度值</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壁挂式音响</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输出功率：20W-60W</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频响范围：120Hz-20KHz</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阻抗：6Ω</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灵敏度：88dB</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数字调频、数字降噪</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电源：220V</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灵敏度：90db+3db</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频率响应：120HZ-180KHZ</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无线控制</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办公桌</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E1级别环保板材</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金属钢架</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2.5CM加厚桌面</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300KG承重</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铝合金线盒</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PVC封边</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600*1200*1100mm</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铝合金加固防锈框架</w:t>
            </w:r>
          </w:p>
        </w:tc>
        <w:tc>
          <w:tcPr>
            <w:tcW w:w="217"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pStyle w:val="56"/>
              <w:widowControl/>
              <w:numPr>
                <w:ilvl w:val="0"/>
                <w:numId w:val="9"/>
              </w:numPr>
              <w:ind w:firstLineChars="0"/>
              <w:jc w:val="center"/>
              <w:rPr>
                <w:rFonts w:ascii="宋体" w:hAnsi="宋体" w:cs="宋体"/>
                <w:kern w:val="0"/>
                <w:sz w:val="22"/>
              </w:rPr>
            </w:pPr>
          </w:p>
        </w:tc>
        <w:tc>
          <w:tcPr>
            <w:tcW w:w="581" w:type="pct"/>
            <w:shd w:val="clear" w:color="auto" w:fill="auto"/>
            <w:vAlign w:val="center"/>
          </w:tcPr>
          <w:p>
            <w:pPr>
              <w:widowControl/>
              <w:jc w:val="center"/>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椅子</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后背织网可通风</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纳米网丝，高密度编制</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符合人体工学设计</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后背加厚加固，不易断裂</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加厚回弹海绵坐垫</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总高94CM,坐高44CM</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扶手离地63CM</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座宽48CM</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7</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580"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4" w:type="pct"/>
            <w:vAlign w:val="center"/>
          </w:tcPr>
          <w:p>
            <w:pPr>
              <w:widowControl/>
              <w:jc w:val="center"/>
              <w:rPr>
                <w:rFonts w:ascii="宋体" w:hAnsi="宋体" w:cs="宋体"/>
                <w:kern w:val="0"/>
                <w:sz w:val="22"/>
              </w:rPr>
            </w:pPr>
            <w:r>
              <w:rPr>
                <w:rFonts w:ascii="宋体" w:hAnsi="宋体" w:cs="宋体"/>
                <w:kern w:val="0"/>
                <w:sz w:val="22"/>
              </w:rPr>
              <w:t>24</w:t>
            </w:r>
          </w:p>
        </w:tc>
        <w:tc>
          <w:tcPr>
            <w:tcW w:w="581" w:type="pct"/>
            <w:shd w:val="clear" w:color="auto" w:fill="auto"/>
            <w:vAlign w:val="center"/>
          </w:tcPr>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储物柜</w:t>
            </w:r>
          </w:p>
        </w:tc>
        <w:tc>
          <w:tcPr>
            <w:tcW w:w="3127" w:type="pct"/>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单柜：310*320*420</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环保木材</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开放式设计</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可组合拼接</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倒角设计</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表面可擦拭</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加厚柜体</w:t>
            </w:r>
          </w:p>
          <w:p>
            <w:pPr>
              <w:widowControl/>
              <w:jc w:val="left"/>
              <w:rPr>
                <w:rFonts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rPr>
              <w:t>PVC封边</w:t>
            </w:r>
          </w:p>
        </w:tc>
        <w:tc>
          <w:tcPr>
            <w:tcW w:w="217"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6</w:t>
            </w:r>
          </w:p>
        </w:tc>
        <w:tc>
          <w:tcPr>
            <w:tcW w:w="218"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580" w:type="pct"/>
            <w:vAlign w:val="center"/>
          </w:tcPr>
          <w:p>
            <w:pPr>
              <w:widowControl/>
              <w:jc w:val="center"/>
              <w:rPr>
                <w:rFonts w:ascii="宋体" w:hAnsi="宋体"/>
                <w:sz w:val="22"/>
              </w:rPr>
            </w:pPr>
          </w:p>
        </w:tc>
      </w:tr>
    </w:tbl>
    <w:p>
      <w:pPr>
        <w:pStyle w:val="14"/>
        <w:ind w:left="0" w:leftChars="0"/>
        <w:rPr>
          <w:rFonts w:ascii="新宋体" w:hAnsi="新宋体" w:eastAsia="新宋体" w:cs="新宋体"/>
          <w:b/>
          <w:bCs/>
          <w:kern w:val="44"/>
          <w:sz w:val="36"/>
          <w:szCs w:val="44"/>
        </w:rPr>
      </w:pPr>
    </w:p>
    <w:p>
      <w:pPr>
        <w:pStyle w:val="12"/>
        <w:rPr>
          <w:rFonts w:ascii="新宋体" w:hAnsi="新宋体" w:eastAsia="新宋体" w:cs="新宋体"/>
          <w:b/>
          <w:bCs/>
          <w:kern w:val="44"/>
          <w:sz w:val="36"/>
          <w:szCs w:val="44"/>
        </w:rPr>
      </w:pPr>
    </w:p>
    <w:p>
      <w:pPr>
        <w:rPr>
          <w:rFonts w:ascii="新宋体" w:hAnsi="新宋体" w:eastAsia="新宋体" w:cs="新宋体"/>
          <w:b/>
          <w:bCs/>
          <w:kern w:val="44"/>
          <w:sz w:val="36"/>
          <w:szCs w:val="44"/>
        </w:rPr>
      </w:pPr>
    </w:p>
    <w:p>
      <w:pPr>
        <w:pStyle w:val="12"/>
        <w:rPr>
          <w:rFonts w:hint="eastAsia" w:ascii="新宋体" w:hAnsi="新宋体" w:eastAsia="新宋体" w:cs="新宋体"/>
          <w:b/>
          <w:bCs/>
          <w:kern w:val="44"/>
          <w:sz w:val="36"/>
          <w:szCs w:val="44"/>
        </w:rPr>
      </w:pPr>
    </w:p>
    <w:p>
      <w:pPr>
        <w:pStyle w:val="12"/>
        <w:rPr>
          <w:rFonts w:hint="eastAsia" w:ascii="新宋体" w:hAnsi="新宋体" w:eastAsia="新宋体" w:cs="新宋体"/>
          <w:b/>
          <w:bCs/>
          <w:kern w:val="44"/>
          <w:sz w:val="36"/>
          <w:szCs w:val="44"/>
        </w:rPr>
      </w:pPr>
    </w:p>
    <w:p>
      <w:pPr>
        <w:pStyle w:val="12"/>
        <w:rPr>
          <w:rFonts w:hint="eastAsia" w:ascii="新宋体" w:hAnsi="新宋体" w:eastAsia="新宋体" w:cs="新宋体"/>
          <w:b/>
          <w:bCs/>
          <w:kern w:val="44"/>
          <w:sz w:val="36"/>
          <w:szCs w:val="44"/>
        </w:rPr>
      </w:pPr>
    </w:p>
    <w:p>
      <w:pPr>
        <w:pStyle w:val="12"/>
        <w:rPr>
          <w:rFonts w:hint="eastAsia" w:ascii="新宋体" w:hAnsi="新宋体" w:eastAsia="新宋体" w:cs="新宋体"/>
          <w:b/>
          <w:bCs/>
          <w:kern w:val="44"/>
          <w:sz w:val="36"/>
          <w:szCs w:val="44"/>
        </w:rPr>
      </w:pPr>
    </w:p>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第二标段：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7"/>
        <w:gridCol w:w="5683"/>
        <w:gridCol w:w="529"/>
        <w:gridCol w:w="397"/>
        <w:gridCol w:w="92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59"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4"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单价（元）</w:t>
            </w:r>
          </w:p>
        </w:tc>
        <w:tc>
          <w:tcPr>
            <w:tcW w:w="533"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数字沙盘展示系统</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数字沙盘展示系统包括数字沙盘、LED大屏、大屏伺服器、和数字沙盘交互软件，可以通过LED沙盘显示屏展现出农业仿真场景，结合背景LED屏幕进行融合展示，便于学生理解农业种植与管理相关内容并模拟农业流程管理及关键技术。</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ascii="宋体" w:hAnsi="宋体" w:eastAsia="宋体" w:cs="宋体"/>
                <w:color w:val="auto"/>
                <w:kern w:val="0"/>
                <w:sz w:val="22"/>
              </w:rPr>
              <w:t>.</w:t>
            </w:r>
            <w:r>
              <w:rPr>
                <w:rFonts w:hint="eastAsia" w:ascii="宋体" w:hAnsi="宋体" w:eastAsia="宋体" w:cs="宋体"/>
                <w:color w:val="auto"/>
                <w:kern w:val="0"/>
                <w:sz w:val="22"/>
              </w:rPr>
              <w:t>教师可通过集控系统激活沙盘光影显示，展现不同的特效及区域动画效果，提升观看临场感，实现学科教学目的。</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2</w:t>
            </w:r>
            <w:r>
              <w:rPr>
                <w:rFonts w:hint="eastAsia" w:ascii="宋体" w:hAnsi="宋体" w:eastAsia="宋体" w:cs="宋体"/>
                <w:color w:val="auto"/>
                <w:kern w:val="0"/>
                <w:sz w:val="22"/>
              </w:rPr>
              <w:t>.软件以虚拟农场为教学场景，教学内容包括但不限于植物生产与环境概述、植物生长发育、植物生产与土壤培肥、植物生产与科学用水、植物生产与光能利用、植物生产与温度调控、植物生产的与农业气候、小麦生长发育全周期、青稞的生长发育全周期、西红柿生长发育全周期、豌豆的生长发育全周期、土豆的生长发育全周期等。</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3</w:t>
            </w:r>
            <w:r>
              <w:rPr>
                <w:rFonts w:hint="eastAsia" w:ascii="宋体" w:hAnsi="宋体" w:eastAsia="宋体" w:cs="宋体"/>
                <w:color w:val="auto"/>
                <w:kern w:val="0"/>
                <w:sz w:val="22"/>
              </w:rPr>
              <w:t>.软件包括青稞的生长发育全周期演示。</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.软件具备智慧农业管理功能，包括但不限于以下内容：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（1）环境监控：可通过智能气象站（光照度、二氧化碳浓度、空气湿度、土壤湿度）和高清云摄像头实现对种植环境的各项数据和视屏信息进行实时监控，一旦数据异常，将会实时报警。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（2）智能灌溉：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可以通过灌溉控制器和流量计，智能控制施肥灌溉情况，可以选择滴灌和喷灌等多种灌溉形式，达到智能调节大棚内与灌溉相关的环境因子的效果，使农作物在最优的环境中生长。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（3）智能控制：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可以在软件上预先设定自动化控制的条件或规则，便能够根据传感器或云摄像头获取的信息进行分析处理后，实现农业大棚通风扇、雾化喷头、加热、补光、卷帘等设备的智能控制。</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.数字沙盘可以与显示大屏联动显示，分别显示不同的场景与监控数据。</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6</w:t>
            </w:r>
            <w:r>
              <w:rPr>
                <w:rFonts w:hint="eastAsia" w:ascii="宋体" w:hAnsi="宋体" w:eastAsia="宋体" w:cs="宋体"/>
                <w:color w:val="auto"/>
                <w:kern w:val="0"/>
                <w:sz w:val="22"/>
              </w:rPr>
              <w:t>.软件的控制方式可以通过PC电脑或数字沙盘的触屏来实现。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1.显示大屏</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像素点间距：≤1.86mm；</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像素构成：1R1G1B；</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像素密度：≥288762Dots/㎡；</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亮度：0-1500cd/㎡可调，具有蓝光抑制功能；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亮度均匀性：≥99%；</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刷新率：≥3840Hz；</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整屏平整度：≤0.1mm；</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色温：1000-10000K可调；</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色度均匀性：±0.002Cx,Cy之内；</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反光率：≤2％；</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水平/垂直视角：≥170°；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像素失控率：≤0.00001，出厂时为0；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能源效率：≥3.0cd/㎡；</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信噪比：≥47dB；</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睡眠模式功率密度：≤100W/㎡；</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对比度：≥8000:1 ；</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画面延时：≤2ms；</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屈服强度：170mpa；</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抗拉强度：230mpa；</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横向/纵向拉伸承载力：≥2.5吨；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峰值功耗：≤500W/㎡，平均功耗：≤180W/㎡；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灰度等级：≥16bit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2.大屏伺服器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Cpu：六核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GB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硬盘：256GBSSD+600GB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主板：能支持通电自启动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显卡：GTX-1060 3G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机箱：4U</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3.数字沙盘</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长宽高不小于2.8*2.1*1米</w:t>
            </w:r>
          </w:p>
          <w:p>
            <w:pPr>
              <w:widowControl/>
              <w:rPr>
                <w:rFonts w:ascii="宋体" w:hAnsi="宋体" w:eastAsia="宋体" w:cs="宋体"/>
                <w:color w:val="auto"/>
                <w:kern w:val="0"/>
                <w:sz w:val="22"/>
              </w:rPr>
            </w:pPr>
            <w:r>
              <w:rPr>
                <w:rFonts w:hint="eastAsia" w:ascii="宋体" w:hAnsi="宋体" w:eastAsia="宋体" w:cs="宋体"/>
                <w:color w:val="auto"/>
                <w:kern w:val="0"/>
                <w:sz w:val="22"/>
              </w:rPr>
              <w:t>*四、其他要求</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为确保本项目可以顺利开展，供应商在投标时需具备并提供至少</w:t>
            </w:r>
            <w:r>
              <w:rPr>
                <w:rFonts w:ascii="宋体" w:hAnsi="宋体" w:eastAsia="宋体" w:cs="宋体"/>
                <w:color w:val="auto"/>
                <w:kern w:val="0"/>
                <w:sz w:val="22"/>
              </w:rPr>
              <w:t>2</w:t>
            </w:r>
            <w:r>
              <w:rPr>
                <w:rFonts w:hint="eastAsia" w:ascii="宋体" w:hAnsi="宋体" w:eastAsia="宋体" w:cs="宋体"/>
                <w:color w:val="auto"/>
                <w:kern w:val="0"/>
                <w:sz w:val="22"/>
              </w:rPr>
              <w:t>个跟本专业相关的软件著作权证书，以证明企业的开发能力。</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现代农艺仿真系统</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现代农艺虚拟仿真系统以《植物生产与环境》课程为基础，以虚拟农场为教学场景，进行知识与技能的演示和模拟操作。系统可以与数字沙盘进行结合。联动进行数据信息汇总、任务发布、任务操作演示等。</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二、场景模块</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（一）模型分类</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1.环境模型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种植农场，农场内农作物包括但不限于小麦、青稞、西红柿、豌豆、土豆等农作物，以农作物种类划分种植区域，宏观场景可以体现出不同农作物区域的特点。农场包括普通农作物种植园和大棚农作物种植园，大棚农作物种植园内能够体现智慧农业，包括但不限于温度监控、湿度监控、光照监控、智慧控制温度、湿度和光照等因素、智慧灌溉等。在不同的季节下，农场应该体现出不同的季节因素。至少有两种气候状态（晴天和雨天）。</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2.农作物模型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小麦、青稞、西红柿、豌豆、土豆等农作物的全生长周期模型。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3.设备模型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包括但不限于播种机、收割机、灌溉设备、智慧农业控制终端等符合整个农作物的生长周期（整地、播种、施肥、营养生长、中耕除草、病虫害防治、生殖生长）与环境场景所需要的设备模型。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（二）模型标准</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1.用合理的优化方法，能满足不同硬件设备（PC电脑、PC-VR、数字沙盘）3D引擎的渲染性能要求，在不同设备上均能流畅运行。</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2.实时渲染帧率保持在每秒 45～60 帧，VR设备实时渲染帧率不低于每秒 75 帧。</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3.所有场景最终采用混合光照模式，静态模型采用静态光照，动态模型采用实时光照系统。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4.模型在视觉效果上能很好的区分不同的材质属性，如金属件、塑料件、漆面、玻璃、皮革、土壤、木料等。</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三、任务模块</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（一）任务范围</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现代农艺虚拟仿真实训系统能够满足《植物生产与环境》课程的实训需求，任务包括但不限于植物生产与环境概述（植物生长与生产、植物生长的两大要素）；植物生长发育（植物细胞、植物组织、植物器官、植物的生殖器官、植物的生长要素）；植物生产与土壤培肥（土壤基本组成、土壤基本性质、植物营养与科学施肥）；植物生产与科学用水（植物生产的水分条件、植物生产的水分调控）；植物生产与光能利用（植物的新陈代谢、植物生产的光照条件、植物生产的光环境调控）；植物生产与温度调控（植物生产的温度条件、植物生产的温度调控）；植物生产的与农业气候（植物生产的气候条件）；小麦生长发育全周期（气候与农业小气候）；青稞的生长发育全周期（整地、播种、施肥、营养生长、中耕除草、病虫害防治、生殖生长）；西红柿生长发育全周期（整地、播种、施肥、营养生长、中耕除草、病虫害防治、生殖生长）；豌豆的生长发育全周期（整地、播种、施肥、营养生长、中耕除草、病虫害防治、生殖生长）；土豆的生长发育全周期（整地、播种、施肥、营养生长、中耕除草、病虫害防治、生殖生长）。</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（二）任务要求</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1.任务的交互方式包括鼠标、键盘和操控手柄。 </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2.任务的实训内容采用模块化设计，可自由组合。</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3.内容要求来自真实工作岗位、符合课程教学标准、包含有技能大赛内容和相关证书考试内容。</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4.场景与交互点模拟真实工作场景，应能够根据学生不同的实训操作或者不同的探究行为产生反馈，保证实训结果的真实性与可靠性。</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5. 具备可交互式理论知识体现形式，理论知识要可交互、可操作且与实际工作过程相融合。</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6.每个任务的交互性实训操作步骤不少于10 步，任务可评价点不少于5个。</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7.具备游戏化内容设计，包括单人任务、PK任务和组队任务等多种形式。</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w:t>
            </w:r>
            <w:r>
              <w:rPr>
                <w:rFonts w:ascii="宋体" w:hAnsi="宋体" w:eastAsia="宋体" w:cs="宋体"/>
                <w:color w:val="auto"/>
                <w:kern w:val="0"/>
                <w:sz w:val="22"/>
              </w:rPr>
              <w:t>C-VR</w:t>
            </w:r>
            <w:r>
              <w:rPr>
                <w:rFonts w:hint="eastAsia" w:ascii="宋体" w:hAnsi="宋体" w:eastAsia="宋体" w:cs="宋体"/>
                <w:color w:val="auto"/>
                <w:kern w:val="0"/>
                <w:sz w:val="22"/>
              </w:rPr>
              <w:t>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1.PC-VR套件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屏幕：双AMOLED 屏幕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对角直径3.6</w:t>
            </w:r>
            <w:r>
              <w:rPr>
                <w:rFonts w:ascii="宋体" w:hAnsi="宋体" w:eastAsia="宋体" w:cs="宋体"/>
                <w:color w:val="auto"/>
                <w:kern w:val="0"/>
                <w:sz w:val="22"/>
              </w:rPr>
              <w:t>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分辨率：单眼分辨率为1440 x 1600，组合分辨率为2880 x 1600像素</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刷新率：90 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视场角：110度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2.图形工作站</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GPU：GTX 970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i</w:t>
            </w:r>
            <w:r>
              <w:rPr>
                <w:rFonts w:hint="eastAsia" w:ascii="宋体" w:hAnsi="宋体" w:eastAsia="宋体" w:cs="宋体"/>
                <w:color w:val="auto"/>
                <w:kern w:val="0"/>
                <w:sz w:val="22"/>
                <w:lang w:val="en-US" w:eastAsia="zh-CN"/>
              </w:rPr>
              <w:t>5</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RAM：</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 xml:space="preserve">G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视频输出：DisplayPort 1.2</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端口：1x USB 3.0端口 </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操作系统： 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w:t>
            </w:r>
            <w:r>
              <w:rPr>
                <w:rFonts w:ascii="宋体" w:hAnsi="宋体" w:eastAsia="宋体" w:cs="宋体"/>
                <w:color w:val="auto"/>
                <w:kern w:val="0"/>
                <w:sz w:val="22"/>
              </w:rPr>
              <w:t>C</w:t>
            </w:r>
            <w:r>
              <w:rPr>
                <w:rFonts w:hint="eastAsia" w:ascii="宋体" w:hAnsi="宋体" w:eastAsia="宋体" w:cs="宋体"/>
                <w:color w:val="auto"/>
                <w:kern w:val="0"/>
                <w:sz w:val="22"/>
              </w:rPr>
              <w:t>电脑</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分辨率：1920*1080dpi</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屏幕尺寸：27英寸</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输入设备有线鼠标、有线键盘</w:t>
            </w:r>
          </w:p>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CPU：CPU型号i</w:t>
            </w:r>
            <w:r>
              <w:rPr>
                <w:rFonts w:hint="eastAsia" w:ascii="宋体" w:hAnsi="宋体" w:eastAsia="宋体" w:cs="宋体"/>
                <w:color w:val="auto"/>
                <w:kern w:val="0"/>
                <w:sz w:val="22"/>
                <w:lang w:val="en-US" w:eastAsia="zh-CN"/>
              </w:rPr>
              <w:t>5</w:t>
            </w:r>
          </w:p>
          <w:p>
            <w:pPr>
              <w:widowControl/>
              <w:jc w:val="left"/>
              <w:rPr>
                <w:rFonts w:ascii="宋体" w:hAnsi="宋体" w:eastAsia="宋体" w:cs="宋体"/>
                <w:color w:val="auto"/>
                <w:kern w:val="0"/>
                <w:sz w:val="22"/>
              </w:rPr>
            </w:pPr>
            <w:r>
              <w:rPr>
                <w:rFonts w:ascii="宋体" w:hAnsi="宋体" w:eastAsia="宋体" w:cs="宋体"/>
                <w:color w:val="auto"/>
                <w:kern w:val="0"/>
                <w:sz w:val="22"/>
              </w:rPr>
              <w:t>16GBDDR4;GTX1660</w:t>
            </w:r>
          </w:p>
          <w:p>
            <w:pPr>
              <w:widowControl/>
              <w:jc w:val="left"/>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256GSSD;1TB7200RPMHDD</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现代农艺数字资源系统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农业专业的数字资源查询与管理，由现代农业数字资源软件和触摸查询一体机组成，包括但不限于《植物生长与环境》课程的知识点、技能点和现代农业虚拟仿真软件操作知识等。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1.软件的资源内容包括但不限于植物的生长周期、植物营养与肥料、大气与水分、土壤环境等部分，主要植物应包括但不限于青稞、土豆、豌豆、番茄等。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现代农业虚拟仿真系统的教学引导资源，包括硬件设备的使用方法、实训名称、实训目的、实训环境、实训内容、实训要求、实训方法、实训步骤、实训操作流程、实训注意事项等，以便使用者通过引导可自主操作实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3.软件管理的资源文件类型包括数字教材、教学课件、教学视频、图片、音频、等各类数字资源。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50</w:t>
            </w:r>
            <w:r>
              <w:rPr>
                <w:rFonts w:hint="eastAsia" w:ascii="宋体" w:hAnsi="宋体" w:eastAsia="宋体" w:cs="宋体"/>
                <w:color w:val="auto"/>
                <w:kern w:val="0"/>
                <w:sz w:val="22"/>
              </w:rPr>
              <w:t>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产品尺寸（mm）：长1915mm；宽749mm；高38mm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产品净重（kg）：约150KG</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 xml:space="preserve">接口：VGA接口、支持USB扩展/充电、支持HDMI接口 </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≥22英寸显示屏，可进行翻转设计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I7</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ascii="宋体" w:hAnsi="宋体" w:eastAsia="宋体" w:cs="宋体"/>
                <w:color w:val="auto"/>
                <w:kern w:val="0"/>
                <w:sz w:val="22"/>
              </w:rPr>
              <w:t>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w:t>
            </w: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个</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6人六角桌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1.环保板材E1级环保三聚氰胺面板，板材厚度25MM，结实稳固PVC封边条，全自动封边机热熔胶封边。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2.便捷置物架可以，收纳方便，方便放置书本物品。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3.烤漆脚架，采用环保脚架烤漆工艺，防止生锈防腐蚀，耐磨耐用，颜色均匀不易掉漆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4.静音万向轮：上下脚刹功能，360旋转，较少噪音同时避免刮伤地板，轻松方便。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5.折叠开关：方便收纳节省空间，随意组合，空间合理利用。                     </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6.支持教学模式、会议模式、汇报模式、分组讨论模型等多种模式随机组合。</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49</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1"/>
              </w:numPr>
              <w:ind w:firstLineChars="0"/>
              <w:rPr>
                <w:rFonts w:ascii="宋体" w:hAnsi="宋体" w:cs="宋体"/>
                <w:kern w:val="0"/>
                <w:sz w:val="22"/>
              </w:rPr>
            </w:pP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bl>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第三标段：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7"/>
        <w:gridCol w:w="5683"/>
        <w:gridCol w:w="529"/>
        <w:gridCol w:w="397"/>
        <w:gridCol w:w="92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59"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4"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w:t>
            </w:r>
          </w:p>
        </w:tc>
        <w:tc>
          <w:tcPr>
            <w:tcW w:w="533"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动捕虚拟仿真系统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动作捕捉仿真系统由PC-VR设备、动作捕捉器、定位装置、交互仿真PC图形工作站、牛胃模型、动捕仿真软件等组成，可以进行牛瘤胃切割任务的虚拟仿真实训。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（一）总体要求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 运动跟踪捕捉功能：实验过程中，可在虚拟环境中任意移动、观察,进行沉浸式培训体验；软件系统能够对操作者以及实验环境中物体的运动状态实时定位跟踪；操作者可以通过弯腰看到物体底面的结构、侧身走动看到侧面的结构。通过任意走动，从不同的视角进行查看。仿佛沉浸于真实环境进行观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 操作方式：穿戴式，通过穿戴虚拟仿真硬件设备，实现软件系统的操作功能。在操作过程中，可自由切换到任意步骤或重复操作任何步骤。</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 软件系统必须通过三维虚拟仿真+动作捕捉空间定位+融合投影结合来实现全方位进行牛的瘤胃切割手术仿真课程。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 所有数字场景及数字模型全部采用三维建模技术。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 可通过手柄输入设备，与虚拟环境进行人机交互操作。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 系统支持红外光学定位系统（HTC Lighthouse）的同时也支持不少于2家被动式光学动捕系统（Optitrack、CMTracker、Realis、NOKOV），并可在不同的定位系统之间切换及大空间定位的可扩展性，并具备相关技术项目案例。</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7</w:t>
            </w:r>
            <w:r>
              <w:rPr>
                <w:rFonts w:hint="eastAsia" w:ascii="宋体" w:hAnsi="宋体" w:eastAsia="宋体" w:cs="宋体"/>
                <w:color w:val="auto"/>
                <w:kern w:val="0"/>
                <w:sz w:val="22"/>
              </w:rPr>
              <w:t>. 通过建立与实际物体一致的VR虚拟物体，并实现虚拟物体和实际物体的对应关系，建立虚实融合的训练环境。</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8</w:t>
            </w:r>
            <w:r>
              <w:rPr>
                <w:rFonts w:hint="eastAsia" w:ascii="宋体" w:hAnsi="宋体" w:eastAsia="宋体" w:cs="宋体"/>
                <w:color w:val="auto"/>
                <w:kern w:val="0"/>
                <w:sz w:val="22"/>
              </w:rPr>
              <w:t>. 通过运动捕捉空间定位系统获取操作者的位置及动作信息。</w:t>
            </w:r>
          </w:p>
          <w:p>
            <w:pPr>
              <w:widowControl/>
              <w:jc w:val="left"/>
              <w:rPr>
                <w:rFonts w:ascii="宋体" w:hAnsi="宋体" w:eastAsia="宋体" w:cs="宋体"/>
                <w:color w:val="auto"/>
                <w:kern w:val="0"/>
                <w:sz w:val="22"/>
              </w:rPr>
            </w:pPr>
            <w:r>
              <w:rPr>
                <w:rFonts w:ascii="宋体" w:hAnsi="宋体" w:eastAsia="宋体" w:cs="宋体"/>
                <w:color w:val="auto"/>
                <w:kern w:val="0"/>
                <w:sz w:val="22"/>
              </w:rPr>
              <w:t>9</w:t>
            </w:r>
            <w:r>
              <w:rPr>
                <w:rFonts w:hint="eastAsia" w:ascii="宋体" w:hAnsi="宋体" w:eastAsia="宋体" w:cs="宋体"/>
                <w:color w:val="auto"/>
                <w:kern w:val="0"/>
                <w:sz w:val="22"/>
              </w:rPr>
              <w:t>. 利用融合3D投影技术，实现操作结果在3D打印牛实物模型上的3D立体呈现，呈现效果包含皮肤效果、解剖结构效果、以及内部器官的动画效果。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（二）模型要求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 制作虚拟手术实验场景3D数字模型。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 制作手术器械、道具相关模型。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 制作牛的外观虚拟仿真3D数字模型。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 制作牛的解剖结构3D数字模型，至少包含肌肉、骨骼、内脏器官。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5.模型美术标准：mesh模型+漫反射贴图+法线贴图+金属度贴图+粗糙度（光滑度）贴图+自发光贴图+细节叠加。</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 所有模型的网格和材质制作满足实时3D运算的要求，搭建完的3D场景实时运算达到满帧效率符合VR/AR及实时3D渲染引擎（Unity3D、UnrealEngine、CryEngine、VRPlatform）要求。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1.PC-VR套件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屏幕：双屏幕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对角直径3.6</w:t>
            </w:r>
            <w:r>
              <w:rPr>
                <w:rFonts w:ascii="宋体" w:hAnsi="宋体" w:eastAsia="宋体" w:cs="宋体"/>
                <w:color w:val="auto"/>
                <w:kern w:val="0"/>
                <w:sz w:val="22"/>
              </w:rPr>
              <w:t>吋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分辨率：单眼分辨率≥1440 x 1600组合分辨率为≥2880 x 1600像素</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刷新率：≥90 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视场角：≥110度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2.图形工作站</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GPU：≥GTX 970 </w:t>
            </w:r>
          </w:p>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CPU: ≥i</w:t>
            </w:r>
            <w:r>
              <w:rPr>
                <w:rFonts w:hint="eastAsia" w:ascii="宋体" w:hAnsi="宋体" w:eastAsia="宋体" w:cs="宋体"/>
                <w:color w:val="auto"/>
                <w:kern w:val="0"/>
                <w:sz w:val="22"/>
                <w:lang w:val="en-US" w:eastAsia="zh-CN"/>
              </w:rPr>
              <w:t>5</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RAM：</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 xml:space="preserve">G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视频输出：DisplayPort 1.2</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端口：1x USB 3.0端口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操作系统：≥ Windows10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3.动作捕捉器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重量：75g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尺寸：70.9*79*44mm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电池续航：7.5小时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视场角：240°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4.交互仿真PC图形工作站</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功能：动作定位及运动轨迹跟踪，3D图形处理。</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机箱：全塔机箱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电源：800W电源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CPU：≥i7-10700K</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内存：≥16G DDR4 3200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显卡：≥8G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SSD：≥500GB  M.2接口</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硬盘：≥2T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显示器：≥27英寸  IPS技术屏</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键鼠：有线键鼠套装</w:t>
            </w:r>
          </w:p>
          <w:p>
            <w:pPr>
              <w:widowControl/>
              <w:rPr>
                <w:rFonts w:ascii="宋体" w:hAnsi="宋体" w:eastAsia="宋体" w:cs="宋体"/>
                <w:color w:val="auto"/>
                <w:kern w:val="0"/>
                <w:sz w:val="22"/>
              </w:rPr>
            </w:pPr>
            <w:r>
              <w:rPr>
                <w:rFonts w:hint="eastAsia" w:ascii="宋体" w:hAnsi="宋体" w:eastAsia="宋体" w:cs="宋体"/>
                <w:color w:val="auto"/>
                <w:kern w:val="0"/>
                <w:sz w:val="22"/>
              </w:rPr>
              <w:t>*四、其他要求</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为确保本项目可以顺利开展，供应商在投标时需具备并提供至少</w:t>
            </w:r>
            <w:r>
              <w:rPr>
                <w:rFonts w:ascii="宋体" w:hAnsi="宋体" w:eastAsia="宋体" w:cs="宋体"/>
                <w:color w:val="auto"/>
                <w:kern w:val="0"/>
                <w:sz w:val="22"/>
              </w:rPr>
              <w:t>1</w:t>
            </w:r>
            <w:r>
              <w:rPr>
                <w:rFonts w:hint="eastAsia" w:ascii="宋体" w:hAnsi="宋体" w:eastAsia="宋体" w:cs="宋体"/>
                <w:color w:val="auto"/>
                <w:kern w:val="0"/>
                <w:sz w:val="22"/>
              </w:rPr>
              <w:t>个跟本专业相关的软件著作权证书，以证明企业的开发能力。</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245" w:type="pct"/>
            <w:vMerge w:val="restart"/>
            <w:vAlign w:val="center"/>
          </w:tcPr>
          <w:p>
            <w:pPr>
              <w:pStyle w:val="56"/>
              <w:widowControl/>
              <w:numPr>
                <w:ilvl w:val="0"/>
                <w:numId w:val="12"/>
              </w:numPr>
              <w:ind w:firstLineChars="0"/>
              <w:jc w:val="center"/>
              <w:rPr>
                <w:rFonts w:ascii="宋体" w:hAnsi="宋体" w:cs="宋体"/>
                <w:kern w:val="0"/>
                <w:sz w:val="22"/>
              </w:rPr>
            </w:pPr>
          </w:p>
        </w:tc>
        <w:tc>
          <w:tcPr>
            <w:tcW w:w="519" w:type="pct"/>
            <w:vMerge w:val="restar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智慧畜牧仿真系统</w:t>
            </w:r>
          </w:p>
          <w:p>
            <w:pPr>
              <w:widowControl/>
              <w:jc w:val="center"/>
              <w:rPr>
                <w:rFonts w:ascii="宋体" w:hAnsi="宋体" w:cs="宋体"/>
                <w:kern w:val="0"/>
                <w:sz w:val="22"/>
              </w:rPr>
            </w:pPr>
          </w:p>
        </w:tc>
        <w:tc>
          <w:tcPr>
            <w:tcW w:w="2791" w:type="pct"/>
            <w:vMerge w:val="restart"/>
            <w:shd w:val="clear" w:color="auto" w:fill="auto"/>
            <w:vAlign w:val="center"/>
          </w:tcPr>
          <w:p>
            <w:pPr>
              <w:rPr>
                <w:rFonts w:ascii="宋体" w:hAnsi="宋体" w:eastAsia="宋体"/>
                <w:color w:val="auto"/>
                <w:sz w:val="22"/>
              </w:rPr>
            </w:pPr>
            <w:r>
              <w:rPr>
                <w:rFonts w:hint="eastAsia" w:ascii="宋体" w:hAnsi="宋体" w:eastAsia="宋体"/>
                <w:color w:val="auto"/>
                <w:sz w:val="22"/>
              </w:rPr>
              <w:t>一、功能</w:t>
            </w:r>
          </w:p>
          <w:p>
            <w:pPr>
              <w:rPr>
                <w:rFonts w:ascii="宋体" w:hAnsi="宋体" w:eastAsia="宋体"/>
                <w:color w:val="auto"/>
                <w:sz w:val="22"/>
              </w:rPr>
            </w:pPr>
            <w:r>
              <w:rPr>
                <w:rFonts w:hint="eastAsia" w:ascii="宋体" w:hAnsi="宋体" w:eastAsia="宋体"/>
                <w:color w:val="auto"/>
                <w:sz w:val="22"/>
              </w:rPr>
              <w:t>智慧畜牧虚拟仿真系统</w:t>
            </w:r>
            <w:r>
              <w:rPr>
                <w:rFonts w:ascii="宋体" w:hAnsi="宋体" w:eastAsia="宋体"/>
                <w:color w:val="auto"/>
                <w:sz w:val="22"/>
              </w:rPr>
              <w:t>以</w:t>
            </w:r>
            <w:r>
              <w:rPr>
                <w:rFonts w:hint="eastAsia" w:ascii="宋体" w:hAnsi="宋体" w:eastAsia="宋体"/>
                <w:color w:val="auto"/>
                <w:sz w:val="22"/>
              </w:rPr>
              <w:t>牛、猪、鸡等</w:t>
            </w:r>
            <w:r>
              <w:rPr>
                <w:rFonts w:ascii="宋体" w:hAnsi="宋体" w:eastAsia="宋体"/>
                <w:color w:val="auto"/>
                <w:sz w:val="22"/>
              </w:rPr>
              <w:t>畜禽为主要模型，以其养殖场所及</w:t>
            </w:r>
            <w:r>
              <w:rPr>
                <w:rFonts w:hint="eastAsia" w:ascii="宋体" w:hAnsi="宋体" w:eastAsia="宋体"/>
                <w:color w:val="auto"/>
                <w:sz w:val="22"/>
              </w:rPr>
              <w:t>解剖</w:t>
            </w:r>
            <w:r>
              <w:rPr>
                <w:rFonts w:ascii="宋体" w:hAnsi="宋体" w:eastAsia="宋体"/>
                <w:color w:val="auto"/>
                <w:sz w:val="22"/>
              </w:rPr>
              <w:t>实验室为主要场景，</w:t>
            </w:r>
            <w:r>
              <w:rPr>
                <w:rFonts w:hint="eastAsia" w:ascii="宋体" w:hAnsi="宋体" w:eastAsia="宋体"/>
                <w:color w:val="auto"/>
                <w:sz w:val="22"/>
              </w:rPr>
              <w:t>通过演示和模拟操作两种形式，</w:t>
            </w:r>
            <w:r>
              <w:rPr>
                <w:rFonts w:ascii="宋体" w:hAnsi="宋体" w:eastAsia="宋体"/>
                <w:color w:val="auto"/>
                <w:sz w:val="22"/>
              </w:rPr>
              <w:t>围绕《禽畜解剖生理》课程的相关知识与技能进行虚拟仿真实训。</w:t>
            </w:r>
          </w:p>
          <w:p>
            <w:pPr>
              <w:rPr>
                <w:rFonts w:ascii="宋体" w:hAnsi="宋体" w:eastAsia="宋体"/>
                <w:color w:val="auto"/>
                <w:sz w:val="22"/>
              </w:rPr>
            </w:pPr>
            <w:r>
              <w:rPr>
                <w:rFonts w:hint="eastAsia" w:ascii="宋体" w:hAnsi="宋体" w:eastAsia="宋体"/>
                <w:color w:val="auto"/>
                <w:sz w:val="22"/>
              </w:rPr>
              <w:t>二、场景模块</w:t>
            </w:r>
          </w:p>
          <w:p>
            <w:pPr>
              <w:rPr>
                <w:rFonts w:ascii="宋体" w:hAnsi="宋体" w:eastAsia="宋体"/>
                <w:color w:val="auto"/>
                <w:sz w:val="22"/>
              </w:rPr>
            </w:pPr>
            <w:r>
              <w:rPr>
                <w:rFonts w:hint="eastAsia" w:ascii="宋体" w:hAnsi="宋体" w:eastAsia="宋体"/>
                <w:color w:val="auto"/>
                <w:sz w:val="22"/>
              </w:rPr>
              <w:t>（一）模型分类</w:t>
            </w:r>
          </w:p>
          <w:p>
            <w:pPr>
              <w:rPr>
                <w:rFonts w:ascii="宋体" w:hAnsi="宋体" w:eastAsia="宋体"/>
                <w:color w:val="auto"/>
                <w:sz w:val="22"/>
              </w:rPr>
            </w:pPr>
            <w:r>
              <w:rPr>
                <w:rFonts w:hint="eastAsia" w:ascii="宋体" w:hAnsi="宋体" w:eastAsia="宋体"/>
                <w:color w:val="auto"/>
                <w:sz w:val="22"/>
              </w:rPr>
              <w:t>1</w:t>
            </w:r>
            <w:r>
              <w:rPr>
                <w:rFonts w:ascii="宋体" w:hAnsi="宋体" w:eastAsia="宋体"/>
                <w:color w:val="auto"/>
                <w:sz w:val="22"/>
              </w:rPr>
              <w:t>.</w:t>
            </w:r>
            <w:r>
              <w:rPr>
                <w:rFonts w:hint="eastAsia" w:ascii="宋体" w:hAnsi="宋体" w:eastAsia="宋体"/>
                <w:color w:val="auto"/>
                <w:sz w:val="22"/>
              </w:rPr>
              <w:t>环境模型</w:t>
            </w:r>
          </w:p>
          <w:p>
            <w:pPr>
              <w:rPr>
                <w:rFonts w:ascii="宋体" w:hAnsi="宋体" w:eastAsia="宋体"/>
                <w:color w:val="auto"/>
                <w:sz w:val="22"/>
              </w:rPr>
            </w:pPr>
            <w:r>
              <w:rPr>
                <w:rFonts w:hint="eastAsia" w:ascii="宋体" w:hAnsi="宋体" w:eastAsia="宋体"/>
                <w:color w:val="auto"/>
                <w:sz w:val="22"/>
              </w:rPr>
              <w:t>环境模型包括牛、猪、鸡的养殖环境场景，包括蓝天、草地、林木、基础养殖棚舍、等；解剖实验室场景，包括解剖台，手术刀、剥皮刀、剪毛剪、手术钳、镊子、止血钳等解剖器械，麻醉包，大型动物器械包，乳胶手套、口罩、肥皂等防护用品，置物台、大型动物固定栏等。</w:t>
            </w:r>
          </w:p>
          <w:p>
            <w:pPr>
              <w:rPr>
                <w:rFonts w:ascii="宋体" w:hAnsi="宋体" w:eastAsia="宋体"/>
                <w:color w:val="auto"/>
                <w:sz w:val="22"/>
              </w:rPr>
            </w:pPr>
            <w:r>
              <w:rPr>
                <w:rFonts w:hint="eastAsia" w:ascii="宋体" w:hAnsi="宋体" w:eastAsia="宋体"/>
                <w:color w:val="auto"/>
                <w:sz w:val="22"/>
              </w:rPr>
              <w:t>2</w:t>
            </w:r>
            <w:r>
              <w:rPr>
                <w:rFonts w:ascii="宋体" w:hAnsi="宋体" w:eastAsia="宋体"/>
                <w:color w:val="auto"/>
                <w:sz w:val="22"/>
              </w:rPr>
              <w:t>.</w:t>
            </w:r>
            <w:r>
              <w:rPr>
                <w:rFonts w:hint="eastAsia" w:ascii="宋体" w:hAnsi="宋体" w:eastAsia="宋体"/>
                <w:color w:val="auto"/>
                <w:sz w:val="22"/>
              </w:rPr>
              <w:t>动物模型</w:t>
            </w:r>
          </w:p>
          <w:p>
            <w:pPr>
              <w:rPr>
                <w:rFonts w:ascii="宋体" w:hAnsi="宋体" w:eastAsia="宋体"/>
                <w:color w:val="auto"/>
                <w:sz w:val="22"/>
              </w:rPr>
            </w:pPr>
            <w:r>
              <w:rPr>
                <w:rFonts w:hint="eastAsia" w:ascii="宋体" w:hAnsi="宋体" w:eastAsia="宋体"/>
                <w:color w:val="auto"/>
                <w:sz w:val="22"/>
              </w:rPr>
              <w:t>动物模型包括但不限于牛、猪、鸡的外观模型、基本构模型（运动系统、被皮系统、内脏、消化系统、呼吸系统、泌尿系统、生殖系统、循环系统、淋巴系统、神经系统、内分泌系统）。</w:t>
            </w:r>
          </w:p>
          <w:p>
            <w:pPr>
              <w:rPr>
                <w:rFonts w:ascii="宋体" w:hAnsi="宋体" w:eastAsia="宋体"/>
                <w:color w:val="auto"/>
                <w:sz w:val="22"/>
              </w:rPr>
            </w:pPr>
            <w:r>
              <w:rPr>
                <w:rFonts w:hint="eastAsia" w:ascii="宋体" w:hAnsi="宋体" w:eastAsia="宋体"/>
                <w:color w:val="auto"/>
                <w:sz w:val="22"/>
              </w:rPr>
              <w:t>（二）模型标准</w:t>
            </w:r>
          </w:p>
          <w:p>
            <w:pPr>
              <w:rPr>
                <w:rFonts w:ascii="宋体" w:hAnsi="宋体" w:eastAsia="宋体"/>
                <w:color w:val="auto"/>
                <w:sz w:val="22"/>
              </w:rPr>
            </w:pPr>
            <w:r>
              <w:rPr>
                <w:rFonts w:ascii="宋体" w:hAnsi="宋体" w:eastAsia="宋体"/>
                <w:color w:val="auto"/>
                <w:sz w:val="22"/>
              </w:rPr>
              <w:t>1.用合理的优化方法，能满足不同硬件设备（PC电脑、VR桌面一体机</w:t>
            </w:r>
            <w:r>
              <w:rPr>
                <w:rFonts w:hint="eastAsia" w:ascii="宋体" w:hAnsi="宋体" w:eastAsia="宋体"/>
                <w:color w:val="auto"/>
                <w:sz w:val="22"/>
              </w:rPr>
              <w:t>、P</w:t>
            </w:r>
            <w:r>
              <w:rPr>
                <w:rFonts w:ascii="宋体" w:hAnsi="宋体" w:eastAsia="宋体"/>
                <w:color w:val="auto"/>
                <w:sz w:val="22"/>
              </w:rPr>
              <w:t>C</w:t>
            </w:r>
            <w:r>
              <w:rPr>
                <w:rFonts w:hint="eastAsia" w:ascii="宋体" w:hAnsi="宋体" w:eastAsia="宋体"/>
                <w:color w:val="auto"/>
                <w:sz w:val="22"/>
              </w:rPr>
              <w:t>-</w:t>
            </w:r>
            <w:r>
              <w:rPr>
                <w:rFonts w:ascii="宋体" w:hAnsi="宋体" w:eastAsia="宋体"/>
                <w:color w:val="auto"/>
                <w:sz w:val="22"/>
              </w:rPr>
              <w:t>VR）3D引擎的渲染性能要求，在不同设备上均能流畅运行。</w:t>
            </w:r>
          </w:p>
          <w:p>
            <w:pPr>
              <w:rPr>
                <w:rFonts w:ascii="宋体" w:hAnsi="宋体" w:eastAsia="宋体"/>
                <w:color w:val="auto"/>
                <w:sz w:val="22"/>
              </w:rPr>
            </w:pPr>
            <w:r>
              <w:rPr>
                <w:rFonts w:ascii="宋体" w:hAnsi="宋体" w:eastAsia="宋体"/>
                <w:color w:val="auto"/>
                <w:sz w:val="22"/>
              </w:rPr>
              <w:t>2.实时渲染帧率保持在每秒 45～60 帧，VR设备实时渲染帧率不低于每秒 75 帧。</w:t>
            </w:r>
          </w:p>
          <w:p>
            <w:pPr>
              <w:rPr>
                <w:rFonts w:ascii="宋体" w:hAnsi="宋体" w:eastAsia="宋体"/>
                <w:color w:val="auto"/>
                <w:sz w:val="22"/>
              </w:rPr>
            </w:pPr>
            <w:r>
              <w:rPr>
                <w:rFonts w:ascii="宋体" w:hAnsi="宋体" w:eastAsia="宋体"/>
                <w:color w:val="auto"/>
                <w:sz w:val="22"/>
              </w:rPr>
              <w:t>3.所有场景最终采用混合光照模式，静态模型采用静态光照，动态模型采用实时光照系统。</w:t>
            </w:r>
          </w:p>
          <w:p>
            <w:pPr>
              <w:rPr>
                <w:rFonts w:ascii="宋体" w:hAnsi="宋体" w:eastAsia="宋体"/>
                <w:color w:val="auto"/>
                <w:sz w:val="22"/>
              </w:rPr>
            </w:pPr>
            <w:r>
              <w:rPr>
                <w:rFonts w:ascii="宋体" w:hAnsi="宋体" w:eastAsia="宋体"/>
                <w:color w:val="auto"/>
                <w:sz w:val="22"/>
              </w:rPr>
              <w:t>4.模型在视觉效果上能很好的区分不同的材质属性，如金属件、塑料件、漆面、玻璃、土壤、木料</w:t>
            </w:r>
            <w:r>
              <w:rPr>
                <w:rFonts w:hint="eastAsia" w:ascii="宋体" w:hAnsi="宋体" w:eastAsia="宋体"/>
                <w:color w:val="auto"/>
                <w:sz w:val="22"/>
              </w:rPr>
              <w:t>、</w:t>
            </w:r>
            <w:r>
              <w:rPr>
                <w:rFonts w:ascii="宋体" w:hAnsi="宋体" w:eastAsia="宋体"/>
                <w:color w:val="auto"/>
                <w:sz w:val="22"/>
              </w:rPr>
              <w:t>皮毛、</w:t>
            </w:r>
            <w:r>
              <w:rPr>
                <w:rFonts w:hint="eastAsia" w:ascii="宋体" w:hAnsi="宋体" w:eastAsia="宋体"/>
                <w:color w:val="auto"/>
                <w:sz w:val="22"/>
              </w:rPr>
              <w:t>肌肉、血管、骨骼</w:t>
            </w:r>
            <w:r>
              <w:rPr>
                <w:rFonts w:ascii="宋体" w:hAnsi="宋体" w:eastAsia="宋体"/>
                <w:color w:val="auto"/>
                <w:sz w:val="22"/>
              </w:rPr>
              <w:t>等。</w:t>
            </w:r>
          </w:p>
          <w:p>
            <w:pPr>
              <w:rPr>
                <w:rFonts w:ascii="宋体" w:hAnsi="宋体" w:eastAsia="宋体"/>
                <w:color w:val="auto"/>
                <w:sz w:val="22"/>
              </w:rPr>
            </w:pPr>
            <w:r>
              <w:rPr>
                <w:rFonts w:hint="eastAsia" w:ascii="宋体" w:hAnsi="宋体" w:eastAsia="宋体"/>
                <w:color w:val="auto"/>
                <w:sz w:val="22"/>
              </w:rPr>
              <w:t>三、任务模块</w:t>
            </w:r>
          </w:p>
          <w:p>
            <w:pPr>
              <w:rPr>
                <w:rFonts w:ascii="宋体" w:hAnsi="宋体" w:eastAsia="宋体"/>
                <w:color w:val="auto"/>
                <w:sz w:val="22"/>
              </w:rPr>
            </w:pPr>
            <w:r>
              <w:rPr>
                <w:rFonts w:hint="eastAsia" w:ascii="宋体" w:hAnsi="宋体" w:eastAsia="宋体"/>
                <w:color w:val="auto"/>
                <w:sz w:val="22"/>
              </w:rPr>
              <w:t>（一）任务范围</w:t>
            </w:r>
          </w:p>
          <w:p>
            <w:pPr>
              <w:rPr>
                <w:rFonts w:ascii="宋体" w:hAnsi="宋体" w:eastAsia="宋体"/>
                <w:color w:val="auto"/>
                <w:sz w:val="22"/>
              </w:rPr>
            </w:pPr>
            <w:r>
              <w:rPr>
                <w:rFonts w:hint="eastAsia" w:ascii="宋体" w:hAnsi="宋体" w:eastAsia="宋体"/>
                <w:color w:val="auto"/>
                <w:sz w:val="22"/>
              </w:rPr>
              <w:t>任务主要以牛、猪、鸡为主要模型，通过演示与模拟操作两种方式完成《禽畜解剖生理》课程的知识与技能实训，包括但不限于瘤胃切开手术、畜禽体基本构造（动物细胞、基本组织、器官系统与有机体、解剖学常用方位术语）、运动系统（骨、骨连接、肌肉）、被皮系统（皮肤、皮肤的衍生物）、内脏、消化系统（概述、消化器官、消化生理）、呼吸系统（呼吸系统组成、呼吸生理）、泌尿系统（泌尿系统组成、泌尿生理）、生殖系统（雄性生殖器官、雌性生殖器官、生殖生理、乳腺与泌乳）、循环系统（心脏、血管、心脏的生理功能、血管生理、血液）、淋巴系统（淋巴、淋巴管、淋巴器官、淋巴组织、免疫细胞）、神经系统（概述、中枢神经系统、周围神经系统）、内分泌系统（概述、脑垂体、甲状腺、肾上腺）。</w:t>
            </w:r>
          </w:p>
          <w:p>
            <w:pPr>
              <w:rPr>
                <w:rFonts w:ascii="宋体" w:hAnsi="宋体" w:eastAsia="宋体"/>
                <w:color w:val="auto"/>
                <w:sz w:val="22"/>
              </w:rPr>
            </w:pPr>
            <w:r>
              <w:rPr>
                <w:rFonts w:hint="eastAsia" w:ascii="宋体" w:hAnsi="宋体" w:eastAsia="宋体"/>
                <w:color w:val="auto"/>
                <w:sz w:val="22"/>
              </w:rPr>
              <w:t>（二）任务标准</w:t>
            </w:r>
          </w:p>
          <w:p>
            <w:pPr>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任务</w:t>
            </w:r>
            <w:r>
              <w:rPr>
                <w:rFonts w:ascii="宋体" w:hAnsi="宋体" w:eastAsia="宋体"/>
                <w:color w:val="auto"/>
                <w:sz w:val="22"/>
              </w:rPr>
              <w:t>的交互方式包括鼠标、键盘和</w:t>
            </w:r>
            <w:r>
              <w:rPr>
                <w:rFonts w:hint="eastAsia" w:ascii="宋体" w:hAnsi="宋体" w:eastAsia="宋体"/>
                <w:color w:val="auto"/>
                <w:sz w:val="22"/>
              </w:rPr>
              <w:t>操控笔</w:t>
            </w:r>
            <w:r>
              <w:rPr>
                <w:rFonts w:ascii="宋体" w:hAnsi="宋体" w:eastAsia="宋体"/>
                <w:color w:val="auto"/>
                <w:sz w:val="22"/>
              </w:rPr>
              <w:t xml:space="preserve">。 </w:t>
            </w:r>
          </w:p>
          <w:p>
            <w:pPr>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任务</w:t>
            </w:r>
            <w:r>
              <w:rPr>
                <w:rFonts w:ascii="宋体" w:hAnsi="宋体" w:eastAsia="宋体"/>
                <w:color w:val="auto"/>
                <w:sz w:val="22"/>
              </w:rPr>
              <w:t>的实训内容采用模块化设计，可自由组合。</w:t>
            </w:r>
          </w:p>
          <w:p>
            <w:pPr>
              <w:rPr>
                <w:rFonts w:ascii="宋体" w:hAnsi="宋体" w:eastAsia="宋体"/>
                <w:color w:val="auto"/>
                <w:sz w:val="22"/>
              </w:rPr>
            </w:pPr>
            <w:r>
              <w:rPr>
                <w:rFonts w:ascii="宋体" w:hAnsi="宋体" w:eastAsia="宋体"/>
                <w:color w:val="auto"/>
                <w:sz w:val="22"/>
              </w:rPr>
              <w:t>3.内容要求来自真实工作岗位、符合课程教学标准、包含有技能大赛内容和相关证书考试内容。</w:t>
            </w:r>
          </w:p>
          <w:p>
            <w:pPr>
              <w:rPr>
                <w:rFonts w:ascii="宋体" w:hAnsi="宋体" w:eastAsia="宋体"/>
                <w:color w:val="auto"/>
                <w:sz w:val="22"/>
              </w:rPr>
            </w:pPr>
            <w:r>
              <w:rPr>
                <w:rFonts w:ascii="宋体" w:hAnsi="宋体" w:eastAsia="宋体"/>
                <w:color w:val="auto"/>
                <w:sz w:val="22"/>
              </w:rPr>
              <w:t>4.场景与交互点模拟真实工作场景，应能够根据学生不同的实训操作或者不同的探究行为产生反馈，保证实训结果的真实性与可靠性。</w:t>
            </w:r>
          </w:p>
          <w:p>
            <w:pPr>
              <w:rPr>
                <w:rFonts w:ascii="宋体" w:hAnsi="宋体" w:eastAsia="宋体"/>
                <w:color w:val="auto"/>
                <w:sz w:val="22"/>
              </w:rPr>
            </w:pPr>
            <w:r>
              <w:rPr>
                <w:rFonts w:ascii="宋体" w:hAnsi="宋体" w:eastAsia="宋体"/>
                <w:color w:val="auto"/>
                <w:sz w:val="22"/>
              </w:rPr>
              <w:t>5. 具备可交互式理论知识体现形式，理论知识要可交互、可操作且与实际工作过程相融合。</w:t>
            </w:r>
          </w:p>
          <w:p>
            <w:pPr>
              <w:rPr>
                <w:rFonts w:ascii="宋体" w:hAnsi="宋体" w:eastAsia="宋体"/>
                <w:color w:val="auto"/>
                <w:sz w:val="22"/>
              </w:rPr>
            </w:pPr>
            <w:r>
              <w:rPr>
                <w:rFonts w:ascii="宋体" w:hAnsi="宋体" w:eastAsia="宋体"/>
                <w:color w:val="auto"/>
                <w:sz w:val="22"/>
              </w:rPr>
              <w:t>6.每个任务的交互性实训操作步骤不少于10 步，任务可评价点不少于5个。</w:t>
            </w:r>
          </w:p>
          <w:p>
            <w:pPr>
              <w:rPr>
                <w:rFonts w:ascii="宋体" w:hAnsi="宋体" w:eastAsia="宋体" w:cs="Times New Roman"/>
                <w:color w:val="auto"/>
                <w:kern w:val="2"/>
                <w:sz w:val="22"/>
                <w:szCs w:val="24"/>
                <w:lang w:val="en-US" w:eastAsia="zh-CN" w:bidi="ar-SA"/>
              </w:rPr>
            </w:pPr>
            <w:r>
              <w:rPr>
                <w:rFonts w:ascii="宋体" w:hAnsi="宋体" w:eastAsia="宋体"/>
                <w:color w:val="auto"/>
                <w:sz w:val="22"/>
              </w:rPr>
              <w:t>7.具备游戏化内容设计，包括单人任务、PK任务和组队任务等多种形式。</w:t>
            </w:r>
          </w:p>
          <w:p>
            <w:pPr>
              <w:rPr>
                <w:rFonts w:ascii="宋体" w:hAnsi="宋体"/>
                <w:sz w:val="22"/>
              </w:rPr>
            </w:pPr>
          </w:p>
        </w:tc>
        <w:tc>
          <w:tcPr>
            <w:tcW w:w="259" w:type="pct"/>
            <w:vMerge w:val="restar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vMerge w:val="restar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Merge w:val="restar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245" w:type="pct"/>
            <w:vMerge w:val="continue"/>
            <w:vAlign w:val="center"/>
          </w:tcPr>
          <w:p>
            <w:pPr>
              <w:pStyle w:val="56"/>
              <w:widowControl/>
              <w:numPr>
                <w:ilvl w:val="0"/>
                <w:numId w:val="12"/>
              </w:numPr>
              <w:ind w:firstLineChars="0"/>
              <w:jc w:val="center"/>
              <w:rPr>
                <w:rFonts w:ascii="宋体" w:hAnsi="宋体" w:cs="宋体"/>
                <w:kern w:val="0"/>
                <w:sz w:val="22"/>
              </w:rPr>
            </w:pPr>
          </w:p>
        </w:tc>
        <w:tc>
          <w:tcPr>
            <w:tcW w:w="519" w:type="pct"/>
            <w:vMerge w:val="continue"/>
            <w:shd w:val="clear" w:color="auto" w:fill="auto"/>
            <w:vAlign w:val="center"/>
          </w:tcPr>
          <w:p>
            <w:pPr>
              <w:widowControl/>
              <w:jc w:val="center"/>
              <w:rPr>
                <w:rFonts w:ascii="宋体" w:hAnsi="宋体" w:cs="宋体"/>
                <w:kern w:val="0"/>
                <w:sz w:val="22"/>
              </w:rPr>
            </w:pPr>
          </w:p>
        </w:tc>
        <w:tc>
          <w:tcPr>
            <w:tcW w:w="2791" w:type="pct"/>
            <w:vMerge w:val="continue"/>
            <w:shd w:val="clear" w:color="auto" w:fill="auto"/>
            <w:vAlign w:val="center"/>
          </w:tcPr>
          <w:p>
            <w:pPr>
              <w:rPr>
                <w:rFonts w:ascii="宋体" w:hAnsi="宋体"/>
                <w:sz w:val="22"/>
              </w:rPr>
            </w:pPr>
          </w:p>
        </w:tc>
        <w:tc>
          <w:tcPr>
            <w:tcW w:w="259" w:type="pct"/>
            <w:vMerge w:val="continue"/>
            <w:shd w:val="clear" w:color="auto" w:fill="auto"/>
            <w:noWrap/>
            <w:vAlign w:val="center"/>
          </w:tcPr>
          <w:p>
            <w:pPr>
              <w:widowControl/>
              <w:jc w:val="center"/>
              <w:rPr>
                <w:rFonts w:ascii="宋体" w:hAnsi="宋体" w:cs="宋体"/>
                <w:kern w:val="0"/>
                <w:sz w:val="22"/>
              </w:rPr>
            </w:pPr>
          </w:p>
        </w:tc>
        <w:tc>
          <w:tcPr>
            <w:tcW w:w="194" w:type="pct"/>
            <w:vMerge w:val="continue"/>
            <w:shd w:val="clear" w:color="auto" w:fill="auto"/>
            <w:noWrap/>
            <w:vAlign w:val="center"/>
          </w:tcPr>
          <w:p>
            <w:pPr>
              <w:widowControl/>
              <w:jc w:val="center"/>
              <w:rPr>
                <w:rFonts w:ascii="宋体" w:hAnsi="宋体" w:cs="宋体"/>
                <w:kern w:val="0"/>
                <w:sz w:val="22"/>
              </w:rPr>
            </w:pPr>
          </w:p>
        </w:tc>
        <w:tc>
          <w:tcPr>
            <w:tcW w:w="454" w:type="pct"/>
            <w:vMerge w:val="continue"/>
            <w:vAlign w:val="center"/>
          </w:tcPr>
          <w:p>
            <w:pPr>
              <w:widowControl/>
              <w:jc w:val="center"/>
              <w:rPr>
                <w:rFonts w:ascii="宋体" w:hAnsi="宋体"/>
                <w:sz w:val="22"/>
              </w:rPr>
            </w:pPr>
          </w:p>
        </w:tc>
        <w:tc>
          <w:tcPr>
            <w:tcW w:w="533" w:type="pct"/>
            <w:vAlign w:val="center"/>
          </w:tcPr>
          <w:p>
            <w:pPr>
              <w:widowControl/>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olor w:val="auto"/>
                <w:sz w:val="22"/>
              </w:rPr>
              <w:t>VR桌面一体机</w:t>
            </w:r>
          </w:p>
        </w:tc>
        <w:tc>
          <w:tcPr>
            <w:tcW w:w="2791" w:type="pct"/>
            <w:shd w:val="clear" w:color="auto" w:fill="auto"/>
            <w:vAlign w:val="center"/>
          </w:tcPr>
          <w:p>
            <w:pPr>
              <w:rPr>
                <w:rFonts w:ascii="宋体" w:hAnsi="宋体" w:eastAsia="宋体"/>
                <w:color w:val="auto"/>
                <w:sz w:val="22"/>
              </w:rPr>
            </w:pPr>
            <w:r>
              <w:rPr>
                <w:rFonts w:hint="eastAsia" w:ascii="宋体" w:hAnsi="宋体" w:eastAsia="宋体"/>
                <w:color w:val="auto"/>
                <w:sz w:val="22"/>
              </w:rPr>
              <w:t>每台</w:t>
            </w:r>
            <w:r>
              <w:rPr>
                <w:rFonts w:ascii="宋体" w:hAnsi="宋体" w:eastAsia="宋体"/>
                <w:color w:val="auto"/>
                <w:sz w:val="22"/>
              </w:rPr>
              <w:t>VR桌面一体机</w:t>
            </w:r>
            <w:r>
              <w:rPr>
                <w:rFonts w:hint="eastAsia" w:ascii="宋体" w:hAnsi="宋体" w:eastAsia="宋体"/>
                <w:color w:val="auto"/>
                <w:sz w:val="22"/>
              </w:rPr>
              <w:t>包含一体机终端1套，3D追踪眼镜1副，3D非追踪眼镜</w:t>
            </w:r>
            <w:r>
              <w:rPr>
                <w:rFonts w:ascii="宋体" w:hAnsi="宋体" w:eastAsia="宋体"/>
                <w:color w:val="auto"/>
                <w:sz w:val="22"/>
              </w:rPr>
              <w:t>2</w:t>
            </w:r>
            <w:r>
              <w:rPr>
                <w:rFonts w:hint="eastAsia" w:ascii="宋体" w:hAnsi="宋体" w:eastAsia="宋体"/>
                <w:color w:val="auto"/>
                <w:sz w:val="22"/>
              </w:rPr>
              <w:t>副，红外追踪触控笔1支，电源线1根，键盘1个，鼠标1个。</w:t>
            </w:r>
          </w:p>
          <w:p>
            <w:pPr>
              <w:rPr>
                <w:rFonts w:ascii="宋体" w:hAnsi="宋体" w:eastAsia="宋体"/>
                <w:color w:val="auto"/>
                <w:sz w:val="22"/>
              </w:rPr>
            </w:pPr>
            <w:r>
              <w:rPr>
                <w:rFonts w:hint="eastAsia" w:ascii="宋体" w:hAnsi="宋体" w:eastAsia="宋体"/>
                <w:color w:val="auto"/>
                <w:sz w:val="22"/>
              </w:rPr>
              <w:t>底座可左右旋转，转换不同方向，方便观看者观察3D影像及场景，4个红外传感器并排放置，保证视野范围</w:t>
            </w:r>
          </w:p>
          <w:p>
            <w:pPr>
              <w:rPr>
                <w:rFonts w:ascii="宋体" w:hAnsi="宋体" w:eastAsia="宋体"/>
                <w:color w:val="auto"/>
                <w:sz w:val="22"/>
              </w:rPr>
            </w:pPr>
            <w:r>
              <w:rPr>
                <w:rFonts w:hint="eastAsia" w:ascii="宋体" w:hAnsi="宋体" w:eastAsia="宋体"/>
                <w:color w:val="auto"/>
                <w:sz w:val="22"/>
              </w:rPr>
              <w:t>3D姿态调节≤2s，系统可准确判断眼睛所在位置，根据眼镜视角的不同转换不同视角下的显示内容。</w:t>
            </w:r>
          </w:p>
          <w:p>
            <w:pPr>
              <w:rPr>
                <w:rFonts w:ascii="宋体" w:hAnsi="宋体" w:eastAsia="宋体"/>
                <w:color w:val="auto"/>
                <w:sz w:val="22"/>
              </w:rPr>
            </w:pPr>
            <w:r>
              <w:rPr>
                <w:rFonts w:ascii="宋体" w:hAnsi="宋体" w:eastAsia="宋体"/>
                <w:color w:val="auto"/>
                <w:sz w:val="22"/>
              </w:rPr>
              <w:t>27寸分辨率1920*1080</w:t>
            </w:r>
            <w:r>
              <w:rPr>
                <w:rFonts w:hint="eastAsia" w:ascii="宋体" w:hAnsi="宋体" w:eastAsia="宋体"/>
                <w:color w:val="auto"/>
                <w:sz w:val="22"/>
              </w:rPr>
              <w:t>，主动式立体3D显示跟踪系统，3D显示屏内置红外光学跟踪系统，一体化设计，无外部连接线路</w:t>
            </w:r>
          </w:p>
          <w:p>
            <w:pPr>
              <w:rPr>
                <w:rFonts w:ascii="宋体" w:hAnsi="宋体" w:eastAsia="宋体"/>
                <w:color w:val="auto"/>
                <w:sz w:val="22"/>
              </w:rPr>
            </w:pPr>
            <w:r>
              <w:rPr>
                <w:rFonts w:ascii="宋体" w:hAnsi="宋体" w:eastAsia="宋体"/>
                <w:color w:val="auto"/>
                <w:sz w:val="22"/>
              </w:rPr>
              <w:t>120HZ刷新率</w:t>
            </w:r>
          </w:p>
          <w:p>
            <w:pPr>
              <w:rPr>
                <w:rFonts w:ascii="宋体" w:hAnsi="宋体" w:eastAsia="宋体"/>
                <w:color w:val="auto"/>
                <w:sz w:val="22"/>
              </w:rPr>
            </w:pPr>
            <w:r>
              <w:rPr>
                <w:rFonts w:hint="eastAsia" w:ascii="宋体" w:hAnsi="宋体" w:eastAsia="宋体"/>
                <w:color w:val="auto"/>
                <w:sz w:val="22"/>
              </w:rPr>
              <w:t>头部</w:t>
            </w:r>
            <w:r>
              <w:rPr>
                <w:rFonts w:ascii="宋体" w:hAnsi="宋体" w:eastAsia="宋体"/>
                <w:color w:val="auto"/>
                <w:sz w:val="22"/>
              </w:rPr>
              <w:t>6自由度跟踪</w:t>
            </w:r>
          </w:p>
          <w:p>
            <w:pPr>
              <w:rPr>
                <w:rFonts w:ascii="宋体" w:hAnsi="宋体" w:eastAsia="宋体"/>
                <w:color w:val="auto"/>
                <w:sz w:val="22"/>
              </w:rPr>
            </w:pPr>
            <w:r>
              <w:rPr>
                <w:rFonts w:hint="eastAsia" w:ascii="宋体" w:hAnsi="宋体" w:eastAsia="宋体"/>
                <w:color w:val="auto"/>
                <w:sz w:val="22"/>
              </w:rPr>
              <w:t>定位精度：</w:t>
            </w:r>
            <w:r>
              <w:rPr>
                <w:rFonts w:ascii="宋体" w:hAnsi="宋体" w:eastAsia="宋体"/>
                <w:color w:val="auto"/>
                <w:sz w:val="22"/>
              </w:rPr>
              <w:t>1mm.0.5°</w:t>
            </w:r>
          </w:p>
          <w:p>
            <w:pPr>
              <w:rPr>
                <w:rFonts w:ascii="宋体" w:hAnsi="宋体" w:eastAsia="宋体"/>
                <w:color w:val="auto"/>
                <w:sz w:val="22"/>
              </w:rPr>
            </w:pPr>
            <w:r>
              <w:rPr>
                <w:rFonts w:ascii="宋体" w:hAnsi="宋体" w:eastAsia="宋体"/>
                <w:color w:val="auto"/>
                <w:sz w:val="22"/>
              </w:rPr>
              <w:t>CPU:i</w:t>
            </w:r>
            <w:r>
              <w:rPr>
                <w:rFonts w:hint="eastAsia" w:ascii="宋体" w:hAnsi="宋体" w:eastAsia="宋体"/>
                <w:color w:val="auto"/>
                <w:sz w:val="22"/>
                <w:lang w:val="en-US" w:eastAsia="zh-CN"/>
              </w:rPr>
              <w:t>5</w:t>
            </w:r>
            <w:r>
              <w:rPr>
                <w:rFonts w:ascii="宋体" w:hAnsi="宋体" w:eastAsia="宋体"/>
                <w:color w:val="auto"/>
                <w:sz w:val="22"/>
              </w:rPr>
              <w:t>处理器</w:t>
            </w:r>
          </w:p>
          <w:p>
            <w:pPr>
              <w:rPr>
                <w:rFonts w:ascii="宋体" w:hAnsi="宋体" w:eastAsia="宋体"/>
                <w:color w:val="auto"/>
                <w:sz w:val="22"/>
              </w:rPr>
            </w:pPr>
            <w:r>
              <w:rPr>
                <w:rFonts w:hint="eastAsia" w:ascii="宋体" w:hAnsi="宋体" w:eastAsia="宋体"/>
                <w:color w:val="auto"/>
                <w:sz w:val="22"/>
              </w:rPr>
              <w:t>硬盘：</w:t>
            </w:r>
            <w:r>
              <w:rPr>
                <w:rFonts w:ascii="宋体" w:hAnsi="宋体" w:eastAsia="宋体"/>
                <w:color w:val="auto"/>
                <w:sz w:val="22"/>
              </w:rPr>
              <w:t>512GBssd</w:t>
            </w:r>
          </w:p>
          <w:p>
            <w:pPr>
              <w:rPr>
                <w:rFonts w:ascii="宋体" w:hAnsi="宋体" w:eastAsia="宋体" w:cs="Times New Roman"/>
                <w:color w:val="auto"/>
                <w:kern w:val="2"/>
                <w:sz w:val="22"/>
                <w:szCs w:val="24"/>
                <w:lang w:val="en-US" w:eastAsia="zh-CN" w:bidi="ar-SA"/>
              </w:rPr>
            </w:pPr>
            <w:r>
              <w:rPr>
                <w:rFonts w:hint="eastAsia" w:ascii="宋体" w:hAnsi="宋体" w:eastAsia="宋体"/>
                <w:color w:val="auto"/>
                <w:sz w:val="22"/>
              </w:rPr>
              <w:t>显卡</w:t>
            </w:r>
            <w:r>
              <w:rPr>
                <w:rFonts w:ascii="宋体" w:hAnsi="宋体" w:eastAsia="宋体"/>
                <w:color w:val="auto"/>
                <w:sz w:val="22"/>
              </w:rPr>
              <w:t>:GTX1050T</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6</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智慧畜牧数字资源系统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畜牧专业的数字资源查询与管理，由智慧畜牧数字资源软件和触摸查询一体机组成，包括但不限于《动物解刨生理》课程的知识点、技能点和畜牧专业虚拟仿真软件操作知识等。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1.软件管理的资源内容包括但不限于牦牛、猪的消化系统、呼吸系统、泌尿系统、生殖系统、淋巴系统、神经系统。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智慧畜牧虚拟仿真系统的教学引导资源，包括硬件设备的使用方法、实训名称、实训目的、实训环境、实训内容、实训要求、实训方法、实训步骤、实训操作流程、实训注意事项等，以便使用者通过引导可自主操作实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3.软件管理的资源文件类型包括数字教材、教学课件、教学视频、图片、音频、等各类数字资源。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55寸显示器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产品尺寸（mm）：长1915mm；宽749mm；高38mm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产品净重（kg）：约150KG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接口</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VGA接口、支持USB扩展/充电、支持HDMI接口</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畜牧增强现实交互系统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畜牧增强现实系统包括畜牧增强现实交互控制软件和平板电脑，系统可以将牛、猪的外部形态及内部器官构造以AR的形式展现出来，并且可以进行扫描显示与触摸交互。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ascii="宋体" w:hAnsi="宋体" w:eastAsia="宋体" w:cs="宋体"/>
                <w:color w:val="auto"/>
                <w:kern w:val="0"/>
                <w:sz w:val="22"/>
              </w:rPr>
              <w:t>.</w:t>
            </w:r>
            <w:r>
              <w:rPr>
                <w:rFonts w:hint="eastAsia" w:ascii="宋体" w:hAnsi="宋体" w:eastAsia="宋体" w:cs="宋体"/>
                <w:color w:val="auto"/>
                <w:kern w:val="0"/>
                <w:sz w:val="22"/>
              </w:rPr>
              <w:t>在三维环境下可以对器官进行放大、缩小、旋转、移动等操作，重点教学部分配备语音教学，具有结构透视、展开/组合、教学视频、技术资料、答题功能教学。结构透视功能下可将动物表皮透明化，清楚地观察消化系统、呼吸系统等器官之间的关系；各器官具有教学信息显示，如对瘤胃的定义、结构介绍，配备语音教学功能；具备配套的技术参考资料；具备客观习题，用户完成答题后，系统会自动判断答题对错，题目具有自动排序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2.具备游戏化内容设计，包括单人任务、PK任务和组队任务等多种形式。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3.实时渲染帧率保持在每秒 45～60帧。</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4.以牛、猪的生活场景为主要仿真场景。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5.主要模型包括但不限于消化系统、呼吸系统、排泄系统、生殖系统、内分泌系统等。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6.场景与模型在质感上要有所体现，在视觉系统上分辨出模型的材质属性。</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7.AR软件以牛、猪的基本理论知识为主要体现点，体现形式为交互式、进阶式，且交互方式基于牛、猪正常生理过程。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平板电脑</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12.6英寸OLED屏幕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2560*1600分辨率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4*256GB内存</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带手写笔</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畜牧互动投影系统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系统包括畜牧互动投影软件、激光工程投影仪、3D打印动物模型、多投影拼接融合处理器、3D投影画面渲染输出PC图形工作站。利用融合3D投影技术，将动物的皮肤效果、解剖结构效果、以及内部器官的动画效果在3D打印动物模型上呈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1.投影分辨率不低于1920*1080。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2.投影亮度满足教室场景下光线环境要求。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3.动物模型包括牦牛、猪3D打印模型。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3D打印实体模型最大能和实际物体1:1比例大小。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4.支持STL、OBJ等模型格式。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5.提供三角面数量不少于3000000面的高精度3D打印数字模型。</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6.3D打印实体最终要求为白色亚光材质。</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7.</w:t>
            </w:r>
            <w:r>
              <w:rPr>
                <w:rFonts w:hint="eastAsia" w:ascii="宋体" w:hAnsi="宋体" w:eastAsia="宋体" w:cs="宋体"/>
                <w:color w:val="auto"/>
                <w:kern w:val="0"/>
                <w:sz w:val="22"/>
              </w:rPr>
              <w:t>畜牧互动投影软件包括但不限于牛、猪的消化系统、呼吸系统、排泄系统、生殖系统、内分泌系统等。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1.激光工程投影仪2台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≥7000流明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2500000:1对比度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光源类型：激光二极管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寿命：30000小时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色彩再现：全彩（10.7亿种颜色）</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分辨率：≥1080P</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投影镜头：手动聚焦，1.35倍数字变焦F=1.60 f=3.7MM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驱动模式：多晶硅TFT有源矩阵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安装方式：吊装</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HDMI以太网传输信号转换器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2.多投影拼接融合处理器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实现多台投影画面的无缝拼接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支持投影仪画面矫正功能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支持热插拔信号线、电源线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支持串联扩展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支持7*24小时运行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3.3D投影画面渲染输出PC图形工作站</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 功能：3D投影画面渲染输出处理。</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2. 机箱：全塔机箱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 电源：800W电源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 主板：≥Z490-PLUS</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 CPU：≥i7-10700K</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 内存：≥</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G DDR4 3200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7. 显卡：≥</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 SSD：≥500GB  M.2接口</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9. 硬盘：≥2T</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10. 键鼠：有线键鼠套装</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教学一体机</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100英寸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分辨率：3840*2160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支持多点触控</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触摸类型：红外触摸</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默认支持2</w:t>
            </w:r>
            <w:r>
              <w:rPr>
                <w:rFonts w:ascii="宋体" w:hAnsi="宋体" w:eastAsia="宋体" w:cs="宋体"/>
                <w:color w:val="auto"/>
                <w:kern w:val="0"/>
                <w:sz w:val="22"/>
              </w:rPr>
              <w:t>0</w:t>
            </w:r>
            <w:r>
              <w:rPr>
                <w:rFonts w:hint="eastAsia" w:ascii="宋体" w:hAnsi="宋体" w:eastAsia="宋体" w:cs="宋体"/>
                <w:color w:val="auto"/>
                <w:kern w:val="0"/>
                <w:sz w:val="22"/>
              </w:rPr>
              <w:t>点触摸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亮度3</w:t>
            </w:r>
            <w:r>
              <w:rPr>
                <w:rFonts w:ascii="宋体" w:hAnsi="宋体" w:eastAsia="宋体" w:cs="宋体"/>
                <w:color w:val="auto"/>
                <w:kern w:val="0"/>
                <w:sz w:val="22"/>
              </w:rPr>
              <w:t>50</w:t>
            </w:r>
            <w:r>
              <w:rPr>
                <w:rFonts w:hint="eastAsia" w:ascii="宋体" w:hAnsi="宋体" w:eastAsia="宋体" w:cs="宋体"/>
                <w:color w:val="auto"/>
                <w:kern w:val="0"/>
                <w:sz w:val="22"/>
              </w:rPr>
              <w:t>cd</w:t>
            </w:r>
            <w:r>
              <w:rPr>
                <w:rFonts w:ascii="宋体" w:hAnsi="宋体" w:eastAsia="宋体" w:cs="宋体"/>
                <w:color w:val="auto"/>
                <w:kern w:val="0"/>
                <w:sz w:val="22"/>
              </w:rPr>
              <w:t>/</w:t>
            </w:r>
            <w:r>
              <w:rPr>
                <w:rFonts w:hint="eastAsia"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HDMI，VGA接口</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可视角度：178°</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刷新率1</w:t>
            </w:r>
            <w:r>
              <w:rPr>
                <w:rFonts w:ascii="宋体" w:hAnsi="宋体" w:eastAsia="宋体" w:cs="宋体"/>
                <w:color w:val="auto"/>
                <w:kern w:val="0"/>
                <w:sz w:val="22"/>
              </w:rPr>
              <w:t>60HZ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响应时间4m</w:t>
            </w:r>
            <w:r>
              <w:rPr>
                <w:rFonts w:ascii="宋体" w:hAnsi="宋体" w:eastAsia="宋体" w:cs="宋体"/>
                <w:color w:val="auto"/>
                <w:kern w:val="0"/>
                <w:sz w:val="22"/>
              </w:rPr>
              <w:t>s</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处理器；DDR4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256</w:t>
            </w:r>
            <w:r>
              <w:rPr>
                <w:rFonts w:hint="eastAsia" w:ascii="宋体" w:hAnsi="宋体" w:eastAsia="宋体" w:cs="宋体"/>
                <w:color w:val="auto"/>
                <w:kern w:val="0"/>
                <w:sz w:val="22"/>
              </w:rPr>
              <w:t>G固态硬盘</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android、windows双系统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支持4分屏、支持电脑手机投屏</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支持批注、书写、截图、扫码分享</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功耗4</w:t>
            </w:r>
            <w:r>
              <w:rPr>
                <w:rFonts w:ascii="宋体" w:hAnsi="宋体" w:eastAsia="宋体" w:cs="宋体"/>
                <w:color w:val="auto"/>
                <w:kern w:val="0"/>
                <w:sz w:val="22"/>
              </w:rPr>
              <w:t>00W</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铝合金外框，表面喷砂并阳极氧化处理</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铁壳后盖，主动散热</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4mm物理钢化防暴玻璃，坚固耐用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高速10点触控书写</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使用国际通用标准的OPS插槽，一体化插拔式设计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前置扩展端口:1路PC一USB、1路TV一USB、1路HMI、1路Touch、一个(开机、光机、待机）三合一按键</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喇叭出音前置</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童锁功能，通过设置可屏蔽按键功能</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≥22英寸显示屏，可进行翻转设计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I7</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4G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PC电脑</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分辨率：1920*1080dpi</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屏幕尺寸：≥27英寸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输入设备有线鼠标、有线键盘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i7-10700F 八核 三级缓存16G；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 32GB DDR4；</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硬盘：≥1TB 机械 SSD+1TB 7200RPM；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显卡：≥11GB独立显卡；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显示器：≥27；</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电源：≥1000w；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资料柜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800*400*1800mm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冷轧钢材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透明玻璃</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静电喷涂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防水防潮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易清洁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耐划痕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可调节板层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高承载滑轨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钢制锁芯，铝合金把手</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两把钥匙</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w:t>
            </w: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个</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6人六角桌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1.环保板材E1级环保三聚氰胺面板，板材厚度25MM，结实稳固PVC封边条，全自动封边机热熔胶封边。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2.便捷置物架可以，收纳方便，方便放置书本物品。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3.烤漆脚架，采用环保脚架烤漆工艺，防止生锈防腐蚀，耐磨耐用，颜色均匀不易掉漆。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4.静音万向轮：上下脚刹功能，360旋转，较少噪音同时避免刮伤地板，轻松方便。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5.折叠开关：方便收纳节省空间，随意组合，空间合理利用。                     </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6.支持教学模式、会议模式、汇报模式、分组讨论模型等多种模式随机组合。</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办公桌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E1级别环保板材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金属钢架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2.5CM加厚桌面</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300KG承重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铝合金线盒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PVC封边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600*1200*1100mm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铝合金加固防锈框架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50</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pStyle w:val="56"/>
              <w:widowControl/>
              <w:numPr>
                <w:ilvl w:val="0"/>
                <w:numId w:val="12"/>
              </w:numPr>
              <w:ind w:firstLineChars="0"/>
              <w:jc w:val="center"/>
              <w:rPr>
                <w:rFonts w:ascii="宋体" w:hAnsi="宋体" w:cs="宋体"/>
                <w:kern w:val="0"/>
                <w:sz w:val="22"/>
              </w:rPr>
            </w:pP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bl>
    <w:p>
      <w:pPr>
        <w:pStyle w:val="12"/>
        <w:rPr>
          <w:rFonts w:hint="eastAsia" w:ascii="新宋体" w:hAnsi="新宋体" w:eastAsia="新宋体" w:cs="新宋体"/>
          <w:b/>
          <w:bCs/>
          <w:kern w:val="44"/>
          <w:sz w:val="36"/>
          <w:szCs w:val="44"/>
        </w:rPr>
      </w:pPr>
    </w:p>
    <w:p>
      <w:pPr>
        <w:pStyle w:val="12"/>
        <w:rPr>
          <w:rFonts w:hint="eastAsia" w:ascii="新宋体" w:hAnsi="新宋体" w:eastAsia="新宋体" w:cs="新宋体"/>
          <w:b/>
          <w:bCs/>
          <w:kern w:val="44"/>
          <w:sz w:val="36"/>
          <w:szCs w:val="44"/>
        </w:rPr>
      </w:pPr>
    </w:p>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第四标段：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7"/>
        <w:gridCol w:w="5683"/>
        <w:gridCol w:w="529"/>
        <w:gridCol w:w="397"/>
        <w:gridCol w:w="92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59"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4"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单价（元）</w:t>
            </w:r>
          </w:p>
        </w:tc>
        <w:tc>
          <w:tcPr>
            <w:tcW w:w="533"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汽车维修数字资源系统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汽车相关专业的数字资源查询与管理，由汽车维修数字资源软件和触摸查询一体机组成，包括燃油汽车、新能源汽车和智能网联汽车的专业知识、技能点和汽车维修虚拟仿真软件操作知识等。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1.软件包括的资源包括国产家用</w:t>
            </w:r>
            <w:r>
              <w:rPr>
                <w:rFonts w:hint="eastAsia"/>
                <w:color w:val="auto"/>
              </w:rPr>
              <w:t>汽油轿车、柴油轿车、混合动力轿车、新能源轿车的动力、底盘、车身、电气设备等各大系统内容各一套</w:t>
            </w:r>
            <w:r>
              <w:rPr>
                <w:rFonts w:hint="eastAsia"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汽车维修虚拟仿真系统的教学引导资源，包括硬件设备的使用方法、实训名称、实训目的、实训环境、实训内容、实训要求、实训方法、实训步骤、实训操作流程、实训注意事项等，以便使用者通过引导可自主操作实验。</w:t>
            </w:r>
          </w:p>
          <w:p>
            <w:pPr>
              <w:widowControl/>
              <w:jc w:val="left"/>
              <w:rPr>
                <w:color w:val="auto"/>
              </w:rPr>
            </w:pPr>
            <w:r>
              <w:rPr>
                <w:rFonts w:hint="eastAsia" w:ascii="宋体" w:hAnsi="宋体" w:eastAsia="宋体" w:cs="宋体"/>
                <w:color w:val="auto"/>
                <w:kern w:val="0"/>
                <w:sz w:val="22"/>
              </w:rPr>
              <w:t>3.</w:t>
            </w:r>
            <w:r>
              <w:rPr>
                <w:rFonts w:hint="eastAsia"/>
                <w:color w:val="auto"/>
              </w:rPr>
              <w:t>软件管理的资源文件类型包括电子版教材、教学课件、教学视频、图片以及各类车型维修保养资料等各类数字资源。</w:t>
            </w:r>
          </w:p>
          <w:p>
            <w:pPr>
              <w:widowControl/>
              <w:jc w:val="left"/>
              <w:rPr>
                <w:color w:val="auto"/>
              </w:rPr>
            </w:pPr>
            <w:r>
              <w:rPr>
                <w:rFonts w:hint="eastAsia"/>
                <w:color w:val="auto"/>
              </w:rPr>
              <w:t>电子版教材配套全部实训任务，每个任务对应教材的页数不少于1</w:t>
            </w:r>
            <w:r>
              <w:rPr>
                <w:color w:val="auto"/>
              </w:rPr>
              <w:t>2</w:t>
            </w:r>
            <w:r>
              <w:rPr>
                <w:rFonts w:hint="eastAsia"/>
                <w:color w:val="auto"/>
              </w:rPr>
              <w:t>页，</w:t>
            </w:r>
            <w:r>
              <w:rPr>
                <w:rFonts w:hint="eastAsia" w:ascii="宋体" w:hAnsi="宋体" w:eastAsia="宋体" w:cs="宋体"/>
                <w:color w:val="auto"/>
                <w:kern w:val="0"/>
                <w:sz w:val="22"/>
              </w:rPr>
              <w:t>软件版本不低于Microsoft Office2013</w:t>
            </w:r>
            <w:r>
              <w:rPr>
                <w:rFonts w:hint="eastAsia"/>
                <w:color w:val="auto"/>
              </w:rPr>
              <w:t>。</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教学视频要求每个虚拟仿真实训任务配套</w:t>
            </w:r>
            <w:r>
              <w:rPr>
                <w:rFonts w:ascii="宋体" w:hAnsi="宋体" w:eastAsia="宋体" w:cs="宋体"/>
                <w:color w:val="auto"/>
                <w:kern w:val="0"/>
                <w:sz w:val="22"/>
              </w:rPr>
              <w:t>1</w:t>
            </w:r>
            <w:r>
              <w:rPr>
                <w:rFonts w:hint="eastAsia" w:ascii="宋体" w:hAnsi="宋体" w:eastAsia="宋体" w:cs="宋体"/>
                <w:color w:val="auto"/>
                <w:kern w:val="0"/>
                <w:sz w:val="22"/>
              </w:rPr>
              <w:t>个，覆盖实训任务全部重要知识点，时长5</w:t>
            </w:r>
            <w:r>
              <w:rPr>
                <w:rFonts w:ascii="宋体" w:hAnsi="宋体" w:eastAsia="宋体" w:cs="宋体"/>
                <w:color w:val="auto"/>
                <w:kern w:val="0"/>
                <w:sz w:val="22"/>
              </w:rPr>
              <w:t>-15</w:t>
            </w:r>
            <w:r>
              <w:rPr>
                <w:rFonts w:hint="eastAsia" w:ascii="宋体" w:hAnsi="宋体" w:eastAsia="宋体" w:cs="宋体"/>
                <w:color w:val="auto"/>
                <w:kern w:val="0"/>
                <w:sz w:val="22"/>
              </w:rPr>
              <w:t>分钟，清晰度要求为1280×720或1920×1080。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图片清晰度要求：分辨率，彩图≥300 dpi，黑白图≥500 dpi，线图≥1000 dpi。色彩模式为RGB。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教学课件要求每个虚拟仿真实训任务配套</w:t>
            </w:r>
            <w:r>
              <w:rPr>
                <w:rFonts w:ascii="宋体" w:hAnsi="宋体" w:eastAsia="宋体" w:cs="宋体"/>
                <w:color w:val="auto"/>
                <w:kern w:val="0"/>
                <w:sz w:val="22"/>
              </w:rPr>
              <w:t>1</w:t>
            </w:r>
            <w:r>
              <w:rPr>
                <w:rFonts w:hint="eastAsia" w:ascii="宋体" w:hAnsi="宋体" w:eastAsia="宋体" w:cs="宋体"/>
                <w:color w:val="auto"/>
                <w:kern w:val="0"/>
                <w:sz w:val="22"/>
              </w:rPr>
              <w:t>个，软件版本不低于Microsoft Office2013，统一版式，每个课件8</w:t>
            </w:r>
            <w:r>
              <w:rPr>
                <w:rFonts w:ascii="宋体" w:hAnsi="宋体" w:eastAsia="宋体" w:cs="宋体"/>
                <w:color w:val="auto"/>
                <w:kern w:val="0"/>
                <w:sz w:val="22"/>
              </w:rPr>
              <w:t>-30</w:t>
            </w:r>
            <w:r>
              <w:rPr>
                <w:rFonts w:hint="eastAsia" w:ascii="宋体" w:hAnsi="宋体" w:eastAsia="宋体" w:cs="宋体"/>
                <w:color w:val="auto"/>
                <w:kern w:val="0"/>
                <w:sz w:val="22"/>
              </w:rPr>
              <w:t>页。</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55寸显示器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产品尺寸（mm）：长1915mm±5</w:t>
            </w:r>
            <w:r>
              <w:rPr>
                <w:rFonts w:ascii="宋体" w:hAnsi="宋体" w:eastAsia="宋体" w:cs="宋体"/>
                <w:color w:val="auto"/>
                <w:kern w:val="0"/>
                <w:sz w:val="22"/>
              </w:rPr>
              <w:t>%</w:t>
            </w:r>
            <w:r>
              <w:rPr>
                <w:rFonts w:hint="eastAsia" w:ascii="宋体" w:hAnsi="宋体" w:eastAsia="宋体" w:cs="宋体"/>
                <w:color w:val="auto"/>
                <w:kern w:val="0"/>
                <w:sz w:val="22"/>
              </w:rPr>
              <w:t>；宽749mm±5</w:t>
            </w:r>
            <w:r>
              <w:rPr>
                <w:rFonts w:ascii="宋体" w:hAnsi="宋体" w:eastAsia="宋体" w:cs="宋体"/>
                <w:color w:val="auto"/>
                <w:kern w:val="0"/>
                <w:sz w:val="22"/>
              </w:rPr>
              <w:t>%</w:t>
            </w:r>
            <w:r>
              <w:rPr>
                <w:rFonts w:hint="eastAsia" w:ascii="宋体" w:hAnsi="宋体" w:eastAsia="宋体" w:cs="宋体"/>
                <w:color w:val="auto"/>
                <w:kern w:val="0"/>
                <w:sz w:val="22"/>
              </w:rPr>
              <w:t>；高38mm±5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产品净重（kg）：150KG±5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接口</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VGA接口、支持USB扩展/充电、支持HDMI接口</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汽车增强现实交互系统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汽车增强现实交互系统包括汽车增强现实交互控制软件、汽车互动滑轨屏、汽车模型等，能够通过互动滑轨屏实时扫描汽车模型，并将汽车的外部形态及零部件构造和系统原理以AR的形式展现出来，并且可以进行触摸交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在三维环境下可以对汽车零部件放大、缩小、旋转、移动等操作，重点教学部分配备语音教学，具有结构透视、展开/组合、教学视频、技术资料、答题功能等教学。结构透视功能下可将汽车外观透明化，清楚地观察</w:t>
            </w:r>
            <w:r>
              <w:rPr>
                <w:rFonts w:hint="eastAsia" w:eastAsia="宋体"/>
                <w:color w:val="auto"/>
                <w:lang w:eastAsia="zh-CN"/>
              </w:rPr>
              <w:t>动力系统、传动系统、制动</w:t>
            </w:r>
            <w:r>
              <w:rPr>
                <w:rFonts w:hint="eastAsia"/>
                <w:color w:val="auto"/>
              </w:rPr>
              <w:t>系统</w:t>
            </w:r>
            <w:r>
              <w:rPr>
                <w:rFonts w:hint="eastAsia" w:ascii="宋体" w:hAnsi="宋体" w:eastAsia="宋体" w:cs="宋体"/>
                <w:color w:val="auto"/>
                <w:kern w:val="0"/>
                <w:sz w:val="22"/>
              </w:rPr>
              <w:t>零部件之间的关系；各部件有教学信息显示，如对发动机的定义、结构介绍，配备语音教学功能。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2.具备游戏化内容设计，包括单人任务、PK任务和组队任务等多种形式。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3.实时渲染帧率保持在每秒 45～60帧。</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4.主要三维模型包括但不限于车身、底盘、动力系统、传动系统、制动系统、行驶系统，主要车型为越野车和新能源汽车。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5.场景与模型在质感上要有所体现，在视觉系统上分辨出模型的材质属性。</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6.AR软件以汽车的基本理论知识为主要体现点，体现形式为交互式、进阶式，且交互方式基于汽车的正常工作过程。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1.汽车模型(2个)</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1/2原车大小、无内饰、不可开门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越野车和新能源车两个模型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2.互动滑轨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 </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支持多点触控</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1920*1080分辨率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规格：6000mm*1500mm±5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滑动式（55英寸可视区）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媒体交互系统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支持自动演示及自由交互模式</w:t>
            </w:r>
          </w:p>
          <w:p>
            <w:pPr>
              <w:widowControl/>
              <w:rPr>
                <w:rFonts w:ascii="宋体" w:hAnsi="宋体" w:eastAsia="宋体" w:cs="宋体"/>
                <w:color w:val="auto"/>
                <w:kern w:val="0"/>
                <w:sz w:val="22"/>
              </w:rPr>
            </w:pPr>
            <w:r>
              <w:rPr>
                <w:rFonts w:hint="eastAsia" w:ascii="宋体" w:hAnsi="宋体" w:eastAsia="宋体" w:cs="宋体"/>
                <w:color w:val="auto"/>
                <w:kern w:val="0"/>
                <w:sz w:val="22"/>
              </w:rPr>
              <w:t>*四、其他要求</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为确保本项目可以顺利开展，供应商在投标时需具备并提供至少</w:t>
            </w:r>
            <w:r>
              <w:rPr>
                <w:rFonts w:ascii="宋体" w:hAnsi="宋体" w:eastAsia="宋体" w:cs="宋体"/>
                <w:color w:val="auto"/>
                <w:kern w:val="0"/>
                <w:sz w:val="22"/>
              </w:rPr>
              <w:t>30</w:t>
            </w:r>
            <w:r>
              <w:rPr>
                <w:rFonts w:hint="eastAsia" w:ascii="宋体" w:hAnsi="宋体" w:eastAsia="宋体" w:cs="宋体"/>
                <w:color w:val="auto"/>
                <w:kern w:val="0"/>
                <w:sz w:val="22"/>
              </w:rPr>
              <w:t>个跟本专业相关的软件著作权证书，以证明企业的开发能力。</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汽车维修仿真系统</w:t>
            </w:r>
          </w:p>
        </w:tc>
        <w:tc>
          <w:tcPr>
            <w:tcW w:w="2791" w:type="pct"/>
            <w:shd w:val="clear" w:color="auto" w:fill="auto"/>
            <w:vAlign w:val="center"/>
          </w:tcPr>
          <w:p>
            <w:pPr>
              <w:rPr>
                <w:rFonts w:ascii="宋体" w:hAnsi="宋体" w:eastAsia="宋体"/>
                <w:color w:val="auto"/>
                <w:sz w:val="22"/>
              </w:rPr>
            </w:pPr>
            <w:r>
              <w:rPr>
                <w:rFonts w:hint="eastAsia" w:ascii="宋体" w:hAnsi="宋体" w:eastAsia="宋体"/>
                <w:color w:val="auto"/>
                <w:sz w:val="22"/>
              </w:rPr>
              <w:t>一、功能</w:t>
            </w:r>
          </w:p>
          <w:p>
            <w:pPr>
              <w:rPr>
                <w:rFonts w:ascii="宋体" w:hAnsi="宋体" w:eastAsia="宋体"/>
                <w:color w:val="auto"/>
                <w:sz w:val="22"/>
              </w:rPr>
            </w:pPr>
            <w:r>
              <w:rPr>
                <w:rFonts w:ascii="宋体" w:hAnsi="宋体" w:eastAsia="宋体"/>
                <w:color w:val="auto"/>
                <w:sz w:val="22"/>
              </w:rPr>
              <w:t>汽车维修虚拟仿真系统以</w:t>
            </w:r>
            <w:r>
              <w:rPr>
                <w:rFonts w:hint="eastAsia" w:ascii="宋体" w:hAnsi="宋体" w:eastAsia="宋体"/>
                <w:color w:val="auto"/>
                <w:sz w:val="22"/>
              </w:rPr>
              <w:t>演示的形式</w:t>
            </w:r>
            <w:r>
              <w:rPr>
                <w:rFonts w:ascii="宋体" w:hAnsi="宋体" w:eastAsia="宋体"/>
                <w:color w:val="auto"/>
                <w:sz w:val="22"/>
              </w:rPr>
              <w:t>直观展现汽车的基本结构和工作原理，</w:t>
            </w:r>
            <w:r>
              <w:rPr>
                <w:rFonts w:hint="eastAsia" w:ascii="宋体" w:hAnsi="宋体" w:eastAsia="宋体"/>
                <w:color w:val="auto"/>
                <w:sz w:val="22"/>
              </w:rPr>
              <w:t>以故障仿真训练形式</w:t>
            </w:r>
            <w:r>
              <w:rPr>
                <w:rFonts w:ascii="宋体" w:hAnsi="宋体" w:eastAsia="宋体"/>
                <w:color w:val="auto"/>
                <w:sz w:val="22"/>
              </w:rPr>
              <w:t>对汽车进行虚拟检测以及拆卸安装，从中学习实车故障诊断维修技能</w:t>
            </w:r>
            <w:r>
              <w:rPr>
                <w:rFonts w:hint="eastAsia" w:ascii="宋体" w:hAnsi="宋体" w:eastAsia="宋体"/>
                <w:color w:val="auto"/>
                <w:sz w:val="22"/>
              </w:rPr>
              <w:t>。</w:t>
            </w:r>
            <w:r>
              <w:rPr>
                <w:rFonts w:ascii="宋体" w:hAnsi="宋体" w:eastAsia="宋体"/>
                <w:color w:val="auto"/>
                <w:sz w:val="22"/>
              </w:rPr>
              <w:t>通过安全防护</w:t>
            </w:r>
            <w:r>
              <w:rPr>
                <w:rFonts w:hint="eastAsia" w:ascii="宋体" w:hAnsi="宋体" w:eastAsia="宋体"/>
                <w:color w:val="auto"/>
                <w:sz w:val="22"/>
              </w:rPr>
              <w:t>、</w:t>
            </w:r>
            <w:r>
              <w:rPr>
                <w:rFonts w:ascii="宋体" w:hAnsi="宋体" w:eastAsia="宋体"/>
                <w:color w:val="auto"/>
                <w:sz w:val="22"/>
              </w:rPr>
              <w:t>验证故障</w:t>
            </w:r>
            <w:r>
              <w:rPr>
                <w:rFonts w:hint="eastAsia" w:ascii="宋体" w:hAnsi="宋体" w:eastAsia="宋体"/>
                <w:color w:val="auto"/>
                <w:sz w:val="22"/>
              </w:rPr>
              <w:t>、</w:t>
            </w:r>
            <w:r>
              <w:rPr>
                <w:rFonts w:ascii="宋体" w:hAnsi="宋体" w:eastAsia="宋体"/>
                <w:color w:val="auto"/>
                <w:sz w:val="22"/>
              </w:rPr>
              <w:t>故障检查</w:t>
            </w:r>
            <w:r>
              <w:rPr>
                <w:rFonts w:hint="eastAsia" w:ascii="宋体" w:hAnsi="宋体" w:eastAsia="宋体"/>
                <w:color w:val="auto"/>
                <w:sz w:val="22"/>
              </w:rPr>
              <w:t>、</w:t>
            </w:r>
            <w:r>
              <w:rPr>
                <w:rFonts w:ascii="宋体" w:hAnsi="宋体" w:eastAsia="宋体"/>
                <w:color w:val="auto"/>
                <w:sz w:val="22"/>
              </w:rPr>
              <w:t>拆装部件</w:t>
            </w:r>
            <w:r>
              <w:rPr>
                <w:rFonts w:hint="eastAsia" w:ascii="宋体" w:hAnsi="宋体" w:eastAsia="宋体"/>
                <w:color w:val="auto"/>
                <w:sz w:val="22"/>
              </w:rPr>
              <w:t>、</w:t>
            </w:r>
            <w:r>
              <w:rPr>
                <w:rFonts w:ascii="宋体" w:hAnsi="宋体" w:eastAsia="宋体"/>
                <w:color w:val="auto"/>
                <w:sz w:val="22"/>
              </w:rPr>
              <w:t>部件检查</w:t>
            </w:r>
            <w:r>
              <w:rPr>
                <w:rFonts w:hint="eastAsia" w:ascii="宋体" w:hAnsi="宋体" w:eastAsia="宋体"/>
                <w:color w:val="auto"/>
                <w:sz w:val="22"/>
              </w:rPr>
              <w:t>、</w:t>
            </w:r>
            <w:r>
              <w:rPr>
                <w:rFonts w:ascii="宋体" w:hAnsi="宋体" w:eastAsia="宋体"/>
                <w:color w:val="auto"/>
                <w:sz w:val="22"/>
              </w:rPr>
              <w:t>质量检验</w:t>
            </w:r>
            <w:r>
              <w:rPr>
                <w:rFonts w:hint="eastAsia" w:ascii="宋体" w:hAnsi="宋体" w:eastAsia="宋体"/>
                <w:color w:val="auto"/>
                <w:sz w:val="22"/>
              </w:rPr>
              <w:t>步骤</w:t>
            </w:r>
            <w:r>
              <w:rPr>
                <w:rFonts w:ascii="宋体" w:hAnsi="宋体" w:eastAsia="宋体"/>
                <w:color w:val="auto"/>
                <w:sz w:val="22"/>
              </w:rPr>
              <w:t>，理解故障产生机理，掌握操作设备、工具、仪器等使用方法</w:t>
            </w:r>
            <w:r>
              <w:rPr>
                <w:rFonts w:hint="eastAsia" w:ascii="宋体" w:hAnsi="宋体" w:eastAsia="宋体"/>
                <w:color w:val="auto"/>
                <w:sz w:val="22"/>
              </w:rPr>
              <w:t>，完成相应的知识和技能实训。</w:t>
            </w:r>
          </w:p>
          <w:p>
            <w:pPr>
              <w:rPr>
                <w:rFonts w:ascii="宋体" w:hAnsi="宋体" w:eastAsia="宋体"/>
                <w:color w:val="auto"/>
                <w:sz w:val="22"/>
              </w:rPr>
            </w:pPr>
            <w:r>
              <w:rPr>
                <w:rFonts w:hint="eastAsia" w:ascii="宋体" w:hAnsi="宋体" w:eastAsia="宋体"/>
                <w:color w:val="auto"/>
                <w:sz w:val="22"/>
              </w:rPr>
              <w:t>二、场景模块</w:t>
            </w:r>
          </w:p>
          <w:p>
            <w:pPr>
              <w:rPr>
                <w:rFonts w:ascii="宋体" w:hAnsi="宋体" w:eastAsia="宋体"/>
                <w:color w:val="auto"/>
                <w:sz w:val="22"/>
              </w:rPr>
            </w:pPr>
            <w:r>
              <w:rPr>
                <w:rFonts w:hint="eastAsia" w:ascii="宋体" w:hAnsi="宋体" w:eastAsia="宋体"/>
                <w:color w:val="auto"/>
                <w:sz w:val="22"/>
              </w:rPr>
              <w:t>（一）模型分类</w:t>
            </w:r>
          </w:p>
          <w:p>
            <w:pPr>
              <w:rPr>
                <w:rFonts w:ascii="宋体" w:hAnsi="宋体" w:eastAsia="宋体"/>
                <w:color w:val="auto"/>
                <w:sz w:val="22"/>
              </w:rPr>
            </w:pPr>
            <w:r>
              <w:rPr>
                <w:rFonts w:hint="eastAsia" w:ascii="宋体" w:hAnsi="宋体" w:eastAsia="宋体"/>
                <w:color w:val="auto"/>
                <w:sz w:val="22"/>
              </w:rPr>
              <w:t>1</w:t>
            </w:r>
            <w:r>
              <w:rPr>
                <w:rFonts w:ascii="宋体" w:hAnsi="宋体" w:eastAsia="宋体"/>
                <w:color w:val="auto"/>
                <w:sz w:val="22"/>
              </w:rPr>
              <w:t>.</w:t>
            </w:r>
            <w:r>
              <w:rPr>
                <w:rFonts w:hint="eastAsia" w:ascii="宋体" w:hAnsi="宋体" w:eastAsia="宋体"/>
                <w:color w:val="auto"/>
                <w:sz w:val="22"/>
              </w:rPr>
              <w:t>环境模型</w:t>
            </w:r>
          </w:p>
          <w:p>
            <w:pPr>
              <w:rPr>
                <w:rFonts w:ascii="宋体" w:hAnsi="宋体" w:eastAsia="宋体"/>
                <w:color w:val="auto"/>
                <w:sz w:val="22"/>
              </w:rPr>
            </w:pPr>
            <w:r>
              <w:rPr>
                <w:rFonts w:hint="eastAsia" w:ascii="宋体" w:hAnsi="宋体" w:eastAsia="宋体"/>
                <w:color w:val="auto"/>
                <w:sz w:val="22"/>
              </w:rPr>
              <w:t>环境模型包括4</w:t>
            </w:r>
            <w:r>
              <w:rPr>
                <w:rFonts w:ascii="宋体" w:hAnsi="宋体" w:eastAsia="宋体"/>
                <w:color w:val="auto"/>
                <w:sz w:val="22"/>
              </w:rPr>
              <w:t>S</w:t>
            </w:r>
            <w:r>
              <w:rPr>
                <w:rFonts w:hint="eastAsia" w:ascii="宋体" w:hAnsi="宋体" w:eastAsia="宋体"/>
                <w:color w:val="auto"/>
                <w:sz w:val="22"/>
              </w:rPr>
              <w:t>店建筑外观模型和维修车间模型，维修车间模型具备独立工具设备房</w:t>
            </w:r>
            <w:r>
              <w:rPr>
                <w:rFonts w:ascii="宋体" w:hAnsi="宋体" w:eastAsia="宋体"/>
                <w:color w:val="auto"/>
                <w:sz w:val="22"/>
              </w:rPr>
              <w:t>1间（设置3-4排工具柜整齐排列，清楚展示柜号和位置码，位置码与仓储管理中货位码相同，工具和设备整齐在规定位置摆放）、绝缘工具（120件套）、绝缘扭力扳手、仪器（万用表、故障检测仪）、设备（工具车、零件车、灭火器、绝缘地胶、隔离带、高压警示牌、绝缘手套、护目镜、绝缘鞋、车辆防护三件套）、维修车间工位1个。</w:t>
            </w:r>
          </w:p>
          <w:p>
            <w:pPr>
              <w:rPr>
                <w:rFonts w:ascii="宋体" w:hAnsi="宋体" w:eastAsia="宋体"/>
                <w:color w:val="auto"/>
                <w:sz w:val="22"/>
              </w:rPr>
            </w:pPr>
            <w:r>
              <w:rPr>
                <w:rFonts w:hint="eastAsia" w:ascii="宋体" w:hAnsi="宋体" w:eastAsia="宋体"/>
                <w:color w:val="auto"/>
                <w:sz w:val="22"/>
              </w:rPr>
              <w:t>2</w:t>
            </w:r>
            <w:r>
              <w:rPr>
                <w:rFonts w:ascii="宋体" w:hAnsi="宋体" w:eastAsia="宋体"/>
                <w:color w:val="auto"/>
                <w:sz w:val="22"/>
              </w:rPr>
              <w:t>.</w:t>
            </w:r>
            <w:r>
              <w:rPr>
                <w:rFonts w:hint="eastAsia" w:ascii="宋体" w:hAnsi="宋体" w:eastAsia="宋体"/>
                <w:color w:val="auto"/>
                <w:sz w:val="22"/>
              </w:rPr>
              <w:t>车辆模型</w:t>
            </w:r>
          </w:p>
          <w:p>
            <w:pPr>
              <w:widowControl/>
              <w:jc w:val="left"/>
              <w:rPr>
                <w:rFonts w:ascii="宋体" w:hAnsi="宋体" w:eastAsia="宋体"/>
                <w:color w:val="auto"/>
                <w:sz w:val="22"/>
              </w:rPr>
            </w:pPr>
            <w:r>
              <w:rPr>
                <w:rFonts w:hint="eastAsia" w:ascii="宋体" w:hAnsi="宋体" w:eastAsia="宋体"/>
                <w:color w:val="auto"/>
                <w:sz w:val="22"/>
              </w:rPr>
              <w:t>①车型外观有新能源（轿车）、（越野）</w:t>
            </w:r>
            <w:r>
              <w:rPr>
                <w:rFonts w:ascii="宋体" w:hAnsi="宋体" w:eastAsia="宋体"/>
                <w:color w:val="auto"/>
                <w:sz w:val="22"/>
              </w:rPr>
              <w:t>2</w:t>
            </w:r>
            <w:r>
              <w:rPr>
                <w:rFonts w:hint="eastAsia" w:ascii="宋体" w:hAnsi="宋体" w:eastAsia="宋体"/>
                <w:color w:val="auto"/>
                <w:sz w:val="22"/>
              </w:rPr>
              <w:t>套，各不同颜色、支持交互的外观部件（四个车门、前机舱盖、后备箱盖、四门车窗玻璃）、带有显示功能的仪表、中控屏幕、可交互的内饰设备（包括但不限于车内按键、换挡杆，交互后车辆其他部件协同动作）；</w:t>
            </w:r>
          </w:p>
          <w:p>
            <w:pPr>
              <w:widowControl/>
              <w:jc w:val="left"/>
              <w:rPr>
                <w:rFonts w:ascii="宋体" w:hAnsi="宋体" w:eastAsia="宋体"/>
                <w:color w:val="auto"/>
                <w:sz w:val="22"/>
              </w:rPr>
            </w:pPr>
            <w:r>
              <w:rPr>
                <w:rFonts w:hint="eastAsia" w:ascii="宋体" w:hAnsi="宋体" w:eastAsia="宋体"/>
                <w:color w:val="auto"/>
                <w:sz w:val="22"/>
              </w:rPr>
              <w:t>②高压部分：驱动电机、电机控制器、整车控制器部件外观、连接线束、电气部件插接器及针脚、高压维修开关等、直流充电桩等；</w:t>
            </w:r>
          </w:p>
          <w:p>
            <w:pPr>
              <w:widowControl/>
              <w:jc w:val="left"/>
              <w:rPr>
                <w:rFonts w:ascii="宋体" w:hAnsi="宋体" w:eastAsia="宋体"/>
                <w:color w:val="auto"/>
                <w:sz w:val="22"/>
              </w:rPr>
            </w:pPr>
            <w:r>
              <w:rPr>
                <w:rFonts w:hint="eastAsia" w:ascii="宋体" w:hAnsi="宋体" w:eastAsia="宋体"/>
                <w:color w:val="auto"/>
                <w:sz w:val="22"/>
              </w:rPr>
              <w:t>③发动机部件：发动机部件外观、发动机内部部件、传感器外观，传感器连接线束、电气插接器及针脚，控制单元及插接器针脚；</w:t>
            </w:r>
          </w:p>
          <w:p>
            <w:pPr>
              <w:rPr>
                <w:rFonts w:ascii="宋体" w:hAnsi="宋体" w:eastAsia="宋体"/>
                <w:color w:val="auto"/>
                <w:sz w:val="22"/>
              </w:rPr>
            </w:pPr>
            <w:r>
              <w:rPr>
                <w:rFonts w:hint="eastAsia" w:ascii="宋体" w:hAnsi="宋体" w:eastAsia="宋体"/>
                <w:color w:val="auto"/>
                <w:sz w:val="22"/>
              </w:rPr>
              <w:t>④其他系统：中控机、连接线束、电气插接件及针脚、车轮/车胎、方向盘、网关、BCM模块、VCU模块等部件外观、连接线束、座椅等，未特殊说明部分均为外观模型。</w:t>
            </w:r>
          </w:p>
          <w:p>
            <w:pPr>
              <w:rPr>
                <w:rFonts w:ascii="宋体" w:hAnsi="宋体" w:eastAsia="宋体"/>
                <w:color w:val="auto"/>
                <w:sz w:val="22"/>
              </w:rPr>
            </w:pPr>
            <w:r>
              <w:rPr>
                <w:rFonts w:hint="eastAsia" w:ascii="宋体" w:hAnsi="宋体" w:eastAsia="宋体"/>
                <w:color w:val="auto"/>
                <w:sz w:val="22"/>
              </w:rPr>
              <w:t>（二）模型标准</w:t>
            </w:r>
          </w:p>
          <w:p>
            <w:pPr>
              <w:rPr>
                <w:rFonts w:ascii="宋体" w:hAnsi="宋体" w:eastAsia="宋体"/>
                <w:color w:val="auto"/>
                <w:sz w:val="22"/>
              </w:rPr>
            </w:pPr>
            <w:r>
              <w:rPr>
                <w:rFonts w:ascii="宋体" w:hAnsi="宋体" w:eastAsia="宋体"/>
                <w:color w:val="auto"/>
                <w:sz w:val="22"/>
              </w:rPr>
              <w:t>1.用合理的优化方法，能满足不同硬件设备（PC电脑、VR一体机）3D引擎的渲染性能要求，在不同设备上均能流畅运行。</w:t>
            </w:r>
          </w:p>
          <w:p>
            <w:pPr>
              <w:rPr>
                <w:rFonts w:ascii="宋体" w:hAnsi="宋体" w:eastAsia="宋体"/>
                <w:color w:val="auto"/>
                <w:sz w:val="22"/>
              </w:rPr>
            </w:pPr>
            <w:r>
              <w:rPr>
                <w:rFonts w:ascii="宋体" w:hAnsi="宋体" w:eastAsia="宋体"/>
                <w:color w:val="auto"/>
                <w:sz w:val="22"/>
              </w:rPr>
              <w:t>2.实时渲染帧率保持在每秒 45～60 帧，VR设备实时渲染帧率不低于每秒 75 帧。</w:t>
            </w:r>
          </w:p>
          <w:p>
            <w:pPr>
              <w:rPr>
                <w:rFonts w:ascii="宋体" w:hAnsi="宋体" w:eastAsia="宋体"/>
                <w:color w:val="auto"/>
                <w:sz w:val="22"/>
              </w:rPr>
            </w:pPr>
            <w:r>
              <w:rPr>
                <w:rFonts w:ascii="宋体" w:hAnsi="宋体" w:eastAsia="宋体"/>
                <w:color w:val="auto"/>
                <w:sz w:val="22"/>
              </w:rPr>
              <w:t>3.所有场景最终采用混合光照模式，静态模型采用静态光照，动态模型采用实时光照系统。</w:t>
            </w:r>
          </w:p>
          <w:p>
            <w:pPr>
              <w:rPr>
                <w:rFonts w:ascii="宋体" w:hAnsi="宋体" w:eastAsia="宋体"/>
                <w:color w:val="auto"/>
                <w:sz w:val="22"/>
              </w:rPr>
            </w:pPr>
            <w:r>
              <w:rPr>
                <w:rFonts w:ascii="宋体" w:hAnsi="宋体" w:eastAsia="宋体"/>
                <w:color w:val="auto"/>
                <w:sz w:val="22"/>
              </w:rPr>
              <w:t>4.模型在视觉效果上能很好的区分不同的材质属性，如金属件、塑料件、漆面、玻璃、皮革等。</w:t>
            </w:r>
          </w:p>
          <w:p>
            <w:pPr>
              <w:rPr>
                <w:rFonts w:ascii="宋体" w:hAnsi="宋体" w:eastAsia="宋体"/>
                <w:color w:val="auto"/>
                <w:sz w:val="22"/>
              </w:rPr>
            </w:pPr>
            <w:r>
              <w:rPr>
                <w:rFonts w:hint="eastAsia" w:ascii="宋体" w:hAnsi="宋体" w:eastAsia="宋体"/>
                <w:color w:val="auto"/>
                <w:sz w:val="22"/>
              </w:rPr>
              <w:t>三、任务模块</w:t>
            </w:r>
          </w:p>
          <w:p>
            <w:pPr>
              <w:rPr>
                <w:rFonts w:ascii="宋体" w:hAnsi="宋体" w:eastAsia="宋体"/>
                <w:color w:val="auto"/>
                <w:sz w:val="22"/>
              </w:rPr>
            </w:pPr>
            <w:r>
              <w:rPr>
                <w:rFonts w:hint="eastAsia" w:ascii="宋体" w:hAnsi="宋体" w:eastAsia="宋体"/>
                <w:color w:val="auto"/>
                <w:sz w:val="22"/>
              </w:rPr>
              <w:t>（一）任务范围</w:t>
            </w:r>
          </w:p>
          <w:p>
            <w:pPr>
              <w:rPr>
                <w:rFonts w:ascii="宋体" w:hAnsi="宋体" w:eastAsia="宋体"/>
                <w:color w:val="auto"/>
                <w:sz w:val="22"/>
              </w:rPr>
            </w:pPr>
            <w:r>
              <w:rPr>
                <w:rFonts w:hint="eastAsia" w:ascii="宋体" w:hAnsi="宋体" w:eastAsia="宋体"/>
                <w:color w:val="auto"/>
                <w:sz w:val="22"/>
              </w:rPr>
              <w:t>任务以越野车和传统燃油汽车为主要实操对象，实训任务包括但不限于发动机机械部件拆装（曲柄连杆机构、配气机构等）、发动机电控系统检测（点火系统、燃油供给系统等）、行驶系统拆装与检测（车桥、车轮、悬架等）、驱动电机拆装与更换、直流充电系统测试、智能座椅控制测试（多向调节、座椅记忆、座椅加热、座椅通风等）、传感器拆装与更换（激光雷达、毫米波雷达等）。</w:t>
            </w:r>
          </w:p>
          <w:p>
            <w:pPr>
              <w:rPr>
                <w:rFonts w:ascii="宋体" w:hAnsi="宋体" w:eastAsia="宋体"/>
                <w:color w:val="auto"/>
                <w:sz w:val="22"/>
              </w:rPr>
            </w:pPr>
            <w:r>
              <w:rPr>
                <w:rFonts w:hint="eastAsia" w:ascii="宋体" w:hAnsi="宋体" w:eastAsia="宋体"/>
                <w:color w:val="auto"/>
                <w:sz w:val="22"/>
              </w:rPr>
              <w:t>（二）任务标准</w:t>
            </w:r>
          </w:p>
          <w:p>
            <w:pPr>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任务</w:t>
            </w:r>
            <w:r>
              <w:rPr>
                <w:rFonts w:ascii="宋体" w:hAnsi="宋体" w:eastAsia="宋体"/>
                <w:color w:val="auto"/>
                <w:sz w:val="22"/>
              </w:rPr>
              <w:t xml:space="preserve">的交互方式包括鼠标、键盘和操控手柄。 </w:t>
            </w:r>
          </w:p>
          <w:p>
            <w:pPr>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任务</w:t>
            </w:r>
            <w:r>
              <w:rPr>
                <w:rFonts w:ascii="宋体" w:hAnsi="宋体" w:eastAsia="宋体"/>
                <w:color w:val="auto"/>
                <w:sz w:val="22"/>
              </w:rPr>
              <w:t>的实训内容采用模块化设计，可自由组合。</w:t>
            </w:r>
          </w:p>
          <w:p>
            <w:pPr>
              <w:rPr>
                <w:rFonts w:ascii="宋体" w:hAnsi="宋体" w:eastAsia="宋体"/>
                <w:color w:val="auto"/>
                <w:sz w:val="22"/>
              </w:rPr>
            </w:pPr>
            <w:r>
              <w:rPr>
                <w:rFonts w:ascii="宋体" w:hAnsi="宋体" w:eastAsia="宋体"/>
                <w:color w:val="auto"/>
                <w:sz w:val="22"/>
              </w:rPr>
              <w:t>3.内容要求来自真实工作岗位、符合课程教学标准、包含有技能大赛内容和相关证书考试内容。</w:t>
            </w:r>
          </w:p>
          <w:p>
            <w:pPr>
              <w:rPr>
                <w:rFonts w:ascii="宋体" w:hAnsi="宋体" w:eastAsia="宋体"/>
                <w:color w:val="auto"/>
                <w:sz w:val="22"/>
              </w:rPr>
            </w:pPr>
            <w:r>
              <w:rPr>
                <w:rFonts w:ascii="宋体" w:hAnsi="宋体" w:eastAsia="宋体"/>
                <w:color w:val="auto"/>
                <w:sz w:val="22"/>
              </w:rPr>
              <w:t>4.场景与交互点模拟真实工作场景，应能够根据学生不同的实训操作或者不同的探究行为产生反馈，保证实训结果的真实性与可靠性。</w:t>
            </w:r>
          </w:p>
          <w:p>
            <w:pPr>
              <w:rPr>
                <w:rFonts w:ascii="宋体" w:hAnsi="宋体" w:eastAsia="宋体"/>
                <w:color w:val="auto"/>
                <w:sz w:val="22"/>
              </w:rPr>
            </w:pPr>
            <w:r>
              <w:rPr>
                <w:rFonts w:ascii="宋体" w:hAnsi="宋体" w:eastAsia="宋体"/>
                <w:color w:val="auto"/>
                <w:sz w:val="22"/>
              </w:rPr>
              <w:t>5.具备可交互式理论知识体现形式，理论知识要可交互、可操作且与实际工作过程相融合。</w:t>
            </w:r>
          </w:p>
          <w:p>
            <w:pPr>
              <w:rPr>
                <w:rFonts w:ascii="宋体" w:hAnsi="宋体" w:eastAsia="宋体"/>
                <w:color w:val="auto"/>
                <w:sz w:val="22"/>
              </w:rPr>
            </w:pPr>
            <w:r>
              <w:rPr>
                <w:rFonts w:ascii="宋体" w:hAnsi="宋体" w:eastAsia="宋体"/>
                <w:color w:val="auto"/>
                <w:sz w:val="22"/>
              </w:rPr>
              <w:t>6.每个任务的交互性实训操作步骤不少于10 步，任务可评价点不少于5个。</w:t>
            </w:r>
          </w:p>
          <w:p>
            <w:pPr>
              <w:rPr>
                <w:rFonts w:ascii="宋体" w:hAnsi="宋体" w:eastAsia="宋体"/>
                <w:color w:val="auto"/>
                <w:sz w:val="22"/>
              </w:rPr>
            </w:pPr>
            <w:r>
              <w:rPr>
                <w:rFonts w:ascii="宋体" w:hAnsi="宋体" w:eastAsia="宋体"/>
                <w:color w:val="auto"/>
                <w:sz w:val="22"/>
              </w:rPr>
              <w:t>7.具备游戏化内容设计，包括单人任务、PK任务和组队任务等多种形式。</w:t>
            </w:r>
          </w:p>
          <w:p>
            <w:pPr>
              <w:rPr>
                <w:rFonts w:ascii="宋体" w:hAnsi="宋体" w:eastAsia="宋体" w:cs="Times New Roman"/>
                <w:color w:val="auto"/>
                <w:kern w:val="2"/>
                <w:sz w:val="22"/>
                <w:szCs w:val="24"/>
                <w:lang w:val="en-US" w:eastAsia="zh-CN" w:bidi="ar-SA"/>
              </w:rPr>
            </w:pP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olor w:val="auto"/>
                <w:sz w:val="22"/>
              </w:rPr>
              <w:t>VR一体机</w:t>
            </w:r>
          </w:p>
        </w:tc>
        <w:tc>
          <w:tcPr>
            <w:tcW w:w="2791" w:type="pct"/>
            <w:shd w:val="clear" w:color="auto" w:fill="auto"/>
            <w:vAlign w:val="center"/>
          </w:tcPr>
          <w:p>
            <w:pPr>
              <w:rPr>
                <w:rFonts w:ascii="宋体" w:hAnsi="宋体" w:eastAsia="宋体"/>
                <w:color w:val="auto"/>
                <w:sz w:val="22"/>
              </w:rPr>
            </w:pPr>
            <w:r>
              <w:rPr>
                <w:rFonts w:ascii="宋体" w:hAnsi="宋体" w:eastAsia="宋体"/>
                <w:color w:val="auto"/>
                <w:sz w:val="22"/>
              </w:rPr>
              <w:t>5K分辨率</w:t>
            </w:r>
          </w:p>
          <w:p>
            <w:pPr>
              <w:rPr>
                <w:rFonts w:ascii="宋体" w:hAnsi="宋体" w:eastAsia="宋体"/>
                <w:color w:val="auto"/>
                <w:sz w:val="22"/>
              </w:rPr>
            </w:pPr>
            <w:r>
              <w:rPr>
                <w:rFonts w:ascii="宋体" w:hAnsi="宋体" w:eastAsia="宋体"/>
                <w:color w:val="auto"/>
                <w:sz w:val="22"/>
              </w:rPr>
              <w:t>120°视场角</w:t>
            </w:r>
          </w:p>
          <w:p>
            <w:pPr>
              <w:rPr>
                <w:rFonts w:ascii="宋体" w:hAnsi="宋体" w:eastAsia="宋体"/>
                <w:color w:val="auto"/>
                <w:sz w:val="22"/>
              </w:rPr>
            </w:pPr>
            <w:r>
              <w:rPr>
                <w:rFonts w:ascii="宋体" w:hAnsi="宋体" w:eastAsia="宋体"/>
                <w:color w:val="auto"/>
                <w:sz w:val="22"/>
              </w:rPr>
              <w:t>90HZ刷新率</w:t>
            </w:r>
          </w:p>
          <w:p>
            <w:pPr>
              <w:rPr>
                <w:rFonts w:ascii="宋体" w:hAnsi="宋体" w:eastAsia="宋体"/>
                <w:color w:val="auto"/>
                <w:sz w:val="22"/>
              </w:rPr>
            </w:pPr>
            <w:r>
              <w:rPr>
                <w:rFonts w:hint="eastAsia" w:ascii="宋体" w:hAnsi="宋体" w:eastAsia="宋体"/>
                <w:color w:val="auto"/>
                <w:sz w:val="22"/>
                <w:lang w:val="en-US" w:eastAsia="zh-CN"/>
              </w:rPr>
              <w:t>8</w:t>
            </w:r>
            <w:r>
              <w:rPr>
                <w:rFonts w:ascii="宋体" w:hAnsi="宋体" w:eastAsia="宋体"/>
                <w:color w:val="auto"/>
                <w:sz w:val="22"/>
              </w:rPr>
              <w:t>GB运行内存</w:t>
            </w:r>
          </w:p>
          <w:p>
            <w:pPr>
              <w:rPr>
                <w:rFonts w:ascii="宋体" w:hAnsi="宋体" w:eastAsia="宋体"/>
                <w:color w:val="auto"/>
                <w:sz w:val="22"/>
              </w:rPr>
            </w:pPr>
            <w:r>
              <w:rPr>
                <w:rFonts w:hint="eastAsia" w:ascii="宋体" w:hAnsi="宋体" w:eastAsia="宋体"/>
                <w:color w:val="auto"/>
                <w:sz w:val="22"/>
              </w:rPr>
              <w:t>支持串流</w:t>
            </w:r>
          </w:p>
          <w:p>
            <w:pPr>
              <w:rPr>
                <w:rFonts w:ascii="宋体" w:hAnsi="宋体" w:eastAsia="宋体" w:cs="Times New Roman"/>
                <w:color w:val="auto"/>
                <w:kern w:val="2"/>
                <w:sz w:val="22"/>
                <w:szCs w:val="24"/>
                <w:lang w:val="en-US" w:eastAsia="zh-CN" w:bidi="ar-SA"/>
              </w:rPr>
            </w:pPr>
            <w:r>
              <w:rPr>
                <w:rFonts w:hint="eastAsia" w:ascii="宋体" w:hAnsi="宋体" w:eastAsia="宋体"/>
                <w:color w:val="auto"/>
                <w:sz w:val="22"/>
              </w:rPr>
              <w:t>支持</w:t>
            </w:r>
            <w:r>
              <w:rPr>
                <w:rFonts w:ascii="宋体" w:hAnsi="宋体" w:eastAsia="宋体"/>
                <w:color w:val="auto"/>
                <w:sz w:val="22"/>
              </w:rPr>
              <w:t>TFT卡</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教学一体机</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100英寸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分辨率：3840*2160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支持多点触控</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触摸类型：红外触摸</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默认支持2</w:t>
            </w:r>
            <w:r>
              <w:rPr>
                <w:rFonts w:ascii="宋体" w:hAnsi="宋体" w:eastAsia="宋体" w:cs="宋体"/>
                <w:color w:val="auto"/>
                <w:kern w:val="0"/>
                <w:sz w:val="22"/>
              </w:rPr>
              <w:t>0</w:t>
            </w:r>
            <w:r>
              <w:rPr>
                <w:rFonts w:hint="eastAsia" w:ascii="宋体" w:hAnsi="宋体" w:eastAsia="宋体" w:cs="宋体"/>
                <w:color w:val="auto"/>
                <w:kern w:val="0"/>
                <w:sz w:val="22"/>
              </w:rPr>
              <w:t>点触摸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亮度3</w:t>
            </w:r>
            <w:r>
              <w:rPr>
                <w:rFonts w:ascii="宋体" w:hAnsi="宋体" w:eastAsia="宋体" w:cs="宋体"/>
                <w:color w:val="auto"/>
                <w:kern w:val="0"/>
                <w:sz w:val="22"/>
              </w:rPr>
              <w:t>50</w:t>
            </w:r>
            <w:r>
              <w:rPr>
                <w:rFonts w:hint="eastAsia" w:ascii="宋体" w:hAnsi="宋体" w:eastAsia="宋体" w:cs="宋体"/>
                <w:color w:val="auto"/>
                <w:kern w:val="0"/>
                <w:sz w:val="22"/>
              </w:rPr>
              <w:t>cd</w:t>
            </w:r>
            <w:r>
              <w:rPr>
                <w:rFonts w:ascii="宋体" w:hAnsi="宋体" w:eastAsia="宋体" w:cs="宋体"/>
                <w:color w:val="auto"/>
                <w:kern w:val="0"/>
                <w:sz w:val="22"/>
              </w:rPr>
              <w:t>/</w:t>
            </w:r>
            <w:r>
              <w:rPr>
                <w:rFonts w:hint="eastAsia"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HDMI，VGA接口</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可视角度：178°</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刷新率1</w:t>
            </w:r>
            <w:r>
              <w:rPr>
                <w:rFonts w:ascii="宋体" w:hAnsi="宋体" w:eastAsia="宋体" w:cs="宋体"/>
                <w:color w:val="auto"/>
                <w:kern w:val="0"/>
                <w:sz w:val="22"/>
              </w:rPr>
              <w:t>60HZ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响应时间4m</w:t>
            </w:r>
            <w:r>
              <w:rPr>
                <w:rFonts w:ascii="宋体" w:hAnsi="宋体" w:eastAsia="宋体" w:cs="宋体"/>
                <w:color w:val="auto"/>
                <w:kern w:val="0"/>
                <w:sz w:val="22"/>
              </w:rPr>
              <w:t>s</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处理器；DDR4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256</w:t>
            </w:r>
            <w:r>
              <w:rPr>
                <w:rFonts w:hint="eastAsia" w:ascii="宋体" w:hAnsi="宋体" w:eastAsia="宋体" w:cs="宋体"/>
                <w:color w:val="auto"/>
                <w:kern w:val="0"/>
                <w:sz w:val="22"/>
              </w:rPr>
              <w:t>G固态硬盘</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android、windows双系统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支持4分屏、支持电脑手机投屏</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支持批注、书写、截图、扫码分享</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功耗4</w:t>
            </w:r>
            <w:r>
              <w:rPr>
                <w:rFonts w:ascii="宋体" w:hAnsi="宋体" w:eastAsia="宋体" w:cs="宋体"/>
                <w:color w:val="auto"/>
                <w:kern w:val="0"/>
                <w:sz w:val="22"/>
              </w:rPr>
              <w:t>00W</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铝合金外框，表面喷砂并阳极氧化处理</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铁壳后盖，主动散热</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4mm物理钢化防暴玻璃，坚固耐用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高速10点触控书写</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使用国际通用标准的OPS插槽，一体化插拔式设计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前置扩展端口:1路PC一USB、1路TV一USB、1路HMI、1路Touch、一个(开机、光机、待机）三合一按键</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喇叭出音前置</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童锁功能，通过设置可屏蔽按键功能</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≥22英寸显示屏，可进行翻转设计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ascii="宋体" w:hAnsi="宋体" w:eastAsia="宋体" w:cs="宋体"/>
                <w:color w:val="auto"/>
                <w:kern w:val="0"/>
                <w:sz w:val="22"/>
              </w:rPr>
              <w:t>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PC电脑</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分辨率：≥1920*1080dpi</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屏幕尺寸：≥27英寸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输入设备有线鼠标、有线键盘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CPU：≥i7</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 32GB DDR4；</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硬盘：≥1TB 机械 SSD+1TB 7200RPM；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显卡：≥11GB独立显卡；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显示器：≥27；</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电源：≥1000w；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8</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9</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0</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资料柜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800*400*1800mm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冷轧钢材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透明玻璃</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静电喷涂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防水防潮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易清洁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耐划痕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可调节板层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高承载滑轨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钢制锁芯，铝合金把手</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两把钥匙</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千兆端口：9个</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办公桌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E1级别环保板材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金属钢架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2.5CM加厚桌面</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300KG承重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铝合金线盒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PVC封边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600*1200*1100mm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铝合金加固防锈框架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移动座椅</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带滑轮可移动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加厚加固滑轮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带折叠桌板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桌板带笔槽和伸缩杯架</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高880*460*480mm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ascii="宋体" w:hAnsi="宋体" w:cs="宋体"/>
                <w:kern w:val="0"/>
                <w:sz w:val="22"/>
              </w:rPr>
              <w:t>18</w:t>
            </w: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bl>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第五标段：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7"/>
        <w:gridCol w:w="5683"/>
        <w:gridCol w:w="529"/>
        <w:gridCol w:w="397"/>
        <w:gridCol w:w="92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59"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4"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单价（元）</w:t>
            </w:r>
          </w:p>
        </w:tc>
        <w:tc>
          <w:tcPr>
            <w:tcW w:w="533"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工程机械仿真系统</w:t>
            </w:r>
          </w:p>
        </w:tc>
        <w:tc>
          <w:tcPr>
            <w:tcW w:w="2791" w:type="pct"/>
            <w:shd w:val="clear" w:color="auto" w:fill="auto"/>
            <w:vAlign w:val="center"/>
          </w:tcPr>
          <w:p>
            <w:pPr>
              <w:rPr>
                <w:rFonts w:ascii="宋体" w:hAnsi="宋体" w:eastAsia="宋体"/>
                <w:color w:val="auto"/>
                <w:sz w:val="22"/>
              </w:rPr>
            </w:pPr>
            <w:r>
              <w:rPr>
                <w:rFonts w:hint="eastAsia" w:ascii="宋体" w:hAnsi="宋体" w:eastAsia="宋体"/>
                <w:color w:val="auto"/>
                <w:sz w:val="22"/>
              </w:rPr>
              <w:t>一、功能</w:t>
            </w:r>
          </w:p>
          <w:p>
            <w:pPr>
              <w:rPr>
                <w:rFonts w:ascii="宋体" w:hAnsi="宋体" w:eastAsia="宋体"/>
                <w:color w:val="auto"/>
                <w:sz w:val="22"/>
              </w:rPr>
            </w:pPr>
            <w:r>
              <w:rPr>
                <w:rFonts w:hint="eastAsia" w:ascii="宋体" w:hAnsi="宋体" w:eastAsia="宋体" w:cs="宋体"/>
                <w:color w:val="auto"/>
                <w:kern w:val="0"/>
                <w:sz w:val="22"/>
              </w:rPr>
              <w:t>工程机械仿真系统以挖掘机和装载机为主要仿真模型，以第一视角进行挖掘机与装载机的模拟驾驶和拆装实训。</w:t>
            </w:r>
          </w:p>
          <w:p>
            <w:pPr>
              <w:rPr>
                <w:rFonts w:ascii="宋体" w:hAnsi="宋体" w:eastAsia="宋体"/>
                <w:color w:val="auto"/>
                <w:sz w:val="22"/>
              </w:rPr>
            </w:pPr>
            <w:r>
              <w:rPr>
                <w:rFonts w:hint="eastAsia" w:ascii="宋体" w:hAnsi="宋体" w:eastAsia="宋体"/>
                <w:color w:val="auto"/>
                <w:sz w:val="22"/>
              </w:rPr>
              <w:t>二、场景模块</w:t>
            </w:r>
          </w:p>
          <w:p>
            <w:pPr>
              <w:rPr>
                <w:rFonts w:ascii="宋体" w:hAnsi="宋体" w:eastAsia="宋体"/>
                <w:color w:val="auto"/>
                <w:sz w:val="22"/>
              </w:rPr>
            </w:pPr>
            <w:r>
              <w:rPr>
                <w:rFonts w:hint="eastAsia" w:ascii="宋体" w:hAnsi="宋体" w:eastAsia="宋体"/>
                <w:color w:val="auto"/>
                <w:sz w:val="22"/>
              </w:rPr>
              <w:t>（一）模型分类</w:t>
            </w:r>
          </w:p>
          <w:p>
            <w:pPr>
              <w:rPr>
                <w:rFonts w:ascii="宋体" w:hAnsi="宋体" w:eastAsia="宋体"/>
                <w:color w:val="auto"/>
                <w:sz w:val="22"/>
              </w:rPr>
            </w:pPr>
            <w:r>
              <w:rPr>
                <w:rFonts w:hint="eastAsia" w:ascii="宋体" w:hAnsi="宋体" w:eastAsia="宋体"/>
                <w:color w:val="auto"/>
                <w:sz w:val="22"/>
              </w:rPr>
              <w:t>1</w:t>
            </w:r>
            <w:r>
              <w:rPr>
                <w:rFonts w:ascii="宋体" w:hAnsi="宋体" w:eastAsia="宋体"/>
                <w:color w:val="auto"/>
                <w:sz w:val="22"/>
              </w:rPr>
              <w:t>.</w:t>
            </w:r>
            <w:r>
              <w:rPr>
                <w:rFonts w:hint="eastAsia" w:ascii="宋体" w:hAnsi="宋体" w:eastAsia="宋体"/>
                <w:color w:val="auto"/>
                <w:sz w:val="22"/>
              </w:rPr>
              <w:t>环境模型</w:t>
            </w:r>
          </w:p>
          <w:p>
            <w:pPr>
              <w:rPr>
                <w:rFonts w:ascii="宋体" w:hAnsi="宋体" w:eastAsia="宋体"/>
                <w:color w:val="auto"/>
                <w:sz w:val="22"/>
              </w:rPr>
            </w:pPr>
            <w:r>
              <w:rPr>
                <w:rFonts w:hint="eastAsia" w:ascii="宋体" w:hAnsi="宋体" w:eastAsia="宋体"/>
                <w:color w:val="auto"/>
                <w:sz w:val="22"/>
              </w:rPr>
              <w:t>工地环境包括蓝天、白云、树木、楼宇、土地、残损建筑物、坡面、大石头、不规则土坑、土堆、沟壑、安全标志、障碍物等。</w:t>
            </w:r>
          </w:p>
          <w:p>
            <w:pPr>
              <w:rPr>
                <w:rFonts w:ascii="宋体" w:hAnsi="宋体" w:eastAsia="宋体"/>
                <w:color w:val="auto"/>
                <w:sz w:val="22"/>
              </w:rPr>
            </w:pPr>
            <w:r>
              <w:rPr>
                <w:rFonts w:hint="eastAsia" w:ascii="宋体" w:hAnsi="宋体" w:eastAsia="宋体"/>
                <w:color w:val="auto"/>
                <w:sz w:val="22"/>
              </w:rPr>
              <w:t>2</w:t>
            </w:r>
            <w:r>
              <w:rPr>
                <w:rFonts w:ascii="宋体" w:hAnsi="宋体" w:eastAsia="宋体"/>
                <w:color w:val="auto"/>
                <w:sz w:val="22"/>
              </w:rPr>
              <w:t>.</w:t>
            </w:r>
            <w:r>
              <w:rPr>
                <w:rFonts w:hint="eastAsia" w:ascii="宋体" w:hAnsi="宋体" w:eastAsia="宋体"/>
                <w:color w:val="auto"/>
                <w:sz w:val="22"/>
              </w:rPr>
              <w:t>设备模型</w:t>
            </w:r>
          </w:p>
          <w:p>
            <w:pPr>
              <w:snapToGrid w:val="0"/>
              <w:rPr>
                <w:rFonts w:ascii="宋体" w:hAnsi="宋体" w:eastAsia="宋体"/>
                <w:color w:val="auto"/>
                <w:sz w:val="22"/>
              </w:rPr>
            </w:pPr>
            <w:r>
              <w:rPr>
                <w:rFonts w:hint="eastAsia" w:ascii="宋体" w:hAnsi="宋体" w:eastAsia="宋体"/>
                <w:color w:val="auto"/>
                <w:sz w:val="22"/>
              </w:rPr>
              <w:t>①挖掘机外观模型、常见的挖掘机结构包括动力装置、工作装置（铲斗、铲斗油缸、斗杆、斗杆油缸、动臂、动臂油缸等）、回转机构（回转轴承、中心接头、回转马达、燃油箱、空气滤清器、工作油邮箱、散热器等）、操纵机构、传动机构、行走机构和辅助设施等。</w:t>
            </w:r>
          </w:p>
          <w:p>
            <w:pPr>
              <w:snapToGrid w:val="0"/>
              <w:rPr>
                <w:rFonts w:ascii="宋体" w:hAnsi="宋体" w:eastAsia="宋体"/>
                <w:color w:val="auto"/>
                <w:sz w:val="22"/>
              </w:rPr>
            </w:pPr>
            <w:r>
              <w:rPr>
                <w:rFonts w:hint="eastAsia" w:ascii="宋体" w:hAnsi="宋体" w:eastAsia="宋体"/>
                <w:color w:val="auto"/>
                <w:sz w:val="22"/>
              </w:rPr>
              <w:t>②装载机外观模型、工作装置、工作液压系统、转向系统、制动系统、传动系统、动力系统、车身结构、电气系统等，包括但不限于：铲斗</w:t>
            </w:r>
            <w:r>
              <w:rPr>
                <w:rFonts w:ascii="宋体" w:hAnsi="宋体" w:eastAsia="宋体"/>
                <w:color w:val="auto"/>
                <w:sz w:val="22"/>
              </w:rPr>
              <w:t>、动臂、连杆、摇臂</w:t>
            </w:r>
            <w:r>
              <w:rPr>
                <w:rFonts w:hint="eastAsia" w:ascii="宋体" w:hAnsi="宋体" w:eastAsia="宋体"/>
                <w:color w:val="auto"/>
                <w:sz w:val="22"/>
              </w:rPr>
              <w:t>、</w:t>
            </w:r>
            <w:r>
              <w:rPr>
                <w:rFonts w:ascii="宋体" w:hAnsi="宋体" w:eastAsia="宋体"/>
                <w:color w:val="auto"/>
                <w:sz w:val="22"/>
              </w:rPr>
              <w:t>转斗油缸、动臂油缸</w:t>
            </w:r>
            <w:r>
              <w:rPr>
                <w:rFonts w:hint="eastAsia" w:ascii="宋体" w:hAnsi="宋体" w:eastAsia="宋体"/>
                <w:color w:val="auto"/>
                <w:sz w:val="22"/>
              </w:rPr>
              <w:t>、发动机、变矩器、变速箱、前后驱动桥、液压油箱、工作泵、多路阀、举升油缸和翻斗油缸、操纵机构、转向等。</w:t>
            </w:r>
          </w:p>
          <w:p>
            <w:pPr>
              <w:rPr>
                <w:rFonts w:ascii="宋体" w:hAnsi="宋体" w:eastAsia="宋体"/>
                <w:color w:val="auto"/>
                <w:sz w:val="22"/>
              </w:rPr>
            </w:pPr>
            <w:r>
              <w:rPr>
                <w:rFonts w:hint="eastAsia" w:ascii="宋体" w:hAnsi="宋体" w:eastAsia="宋体"/>
                <w:color w:val="auto"/>
                <w:sz w:val="22"/>
              </w:rPr>
              <w:t>③自卸车外观模型、汽车底盘、液压举升机构、货箱等部分。</w:t>
            </w:r>
          </w:p>
          <w:p>
            <w:pPr>
              <w:rPr>
                <w:rFonts w:ascii="宋体" w:hAnsi="宋体" w:eastAsia="宋体"/>
                <w:color w:val="auto"/>
                <w:sz w:val="22"/>
              </w:rPr>
            </w:pPr>
            <w:r>
              <w:rPr>
                <w:rFonts w:hint="eastAsia" w:ascii="宋体" w:hAnsi="宋体" w:eastAsia="宋体"/>
                <w:color w:val="auto"/>
                <w:sz w:val="22"/>
              </w:rPr>
              <w:t>④挖掘机装载机拆装工具套装</w:t>
            </w:r>
          </w:p>
          <w:p>
            <w:pPr>
              <w:rPr>
                <w:rFonts w:ascii="宋体" w:hAnsi="宋体" w:eastAsia="宋体"/>
                <w:color w:val="auto"/>
                <w:sz w:val="22"/>
              </w:rPr>
            </w:pPr>
            <w:r>
              <w:rPr>
                <w:rFonts w:hint="eastAsia" w:ascii="宋体" w:hAnsi="宋体" w:eastAsia="宋体"/>
                <w:color w:val="auto"/>
                <w:sz w:val="22"/>
              </w:rPr>
              <w:t>（二）模型标准</w:t>
            </w:r>
          </w:p>
          <w:p>
            <w:pPr>
              <w:rPr>
                <w:rFonts w:hint="eastAsia" w:ascii="宋体" w:hAnsi="宋体" w:eastAsia="宋体" w:cs="宋体"/>
                <w:color w:val="auto"/>
                <w:kern w:val="0"/>
                <w:sz w:val="22"/>
                <w:lang w:eastAsia="zh-CN"/>
              </w:rPr>
            </w:pPr>
            <w:r>
              <w:rPr>
                <w:rFonts w:ascii="宋体" w:hAnsi="宋体" w:eastAsia="宋体" w:cs="宋体"/>
                <w:color w:val="auto"/>
                <w:kern w:val="0"/>
                <w:sz w:val="22"/>
              </w:rPr>
              <w:t>1</w:t>
            </w:r>
            <w:r>
              <w:rPr>
                <w:rFonts w:hint="eastAsia" w:ascii="宋体" w:hAnsi="宋体" w:eastAsia="宋体" w:cs="宋体"/>
                <w:color w:val="auto"/>
                <w:kern w:val="0"/>
                <w:sz w:val="22"/>
              </w:rPr>
              <w:t>.用合理的优化方法，能满足不同硬件设备（PC电脑、VR一体机、工程机械模拟器）3D引擎的渲染性能要求，在不同设备上均能流畅运行。</w:t>
            </w:r>
          </w:p>
          <w:p>
            <w:pPr>
              <w:rPr>
                <w:rFonts w:hint="eastAsia" w:ascii="宋体" w:hAnsi="宋体" w:eastAsia="宋体" w:cs="宋体"/>
                <w:color w:val="auto"/>
                <w:kern w:val="0"/>
                <w:sz w:val="22"/>
                <w:lang w:eastAsia="zh-CN"/>
              </w:rPr>
            </w:pPr>
            <w:r>
              <w:rPr>
                <w:rFonts w:ascii="宋体" w:hAnsi="宋体" w:eastAsia="宋体" w:cs="宋体"/>
                <w:color w:val="auto"/>
                <w:kern w:val="0"/>
                <w:sz w:val="22"/>
              </w:rPr>
              <w:t>2</w:t>
            </w:r>
            <w:r>
              <w:rPr>
                <w:rFonts w:hint="eastAsia" w:ascii="宋体" w:hAnsi="宋体" w:eastAsia="宋体" w:cs="宋体"/>
                <w:color w:val="auto"/>
                <w:kern w:val="0"/>
                <w:sz w:val="22"/>
              </w:rPr>
              <w:t>.实时渲染帧率保持在每秒 45～60 帧，VR设备实时渲染帧率不低于每秒 75 帧。</w:t>
            </w:r>
          </w:p>
          <w:p>
            <w:pPr>
              <w:rPr>
                <w:rFonts w:hint="eastAsia" w:ascii="宋体" w:hAnsi="宋体" w:eastAsia="宋体" w:cs="宋体"/>
                <w:color w:val="auto"/>
                <w:kern w:val="0"/>
                <w:sz w:val="22"/>
                <w:lang w:eastAsia="zh-CN"/>
              </w:rPr>
            </w:pPr>
            <w:r>
              <w:rPr>
                <w:rFonts w:ascii="宋体" w:hAnsi="宋体" w:eastAsia="宋体" w:cs="宋体"/>
                <w:color w:val="auto"/>
                <w:kern w:val="0"/>
                <w:sz w:val="22"/>
              </w:rPr>
              <w:t>3</w:t>
            </w:r>
            <w:r>
              <w:rPr>
                <w:rFonts w:hint="eastAsia" w:ascii="宋体" w:hAnsi="宋体" w:eastAsia="宋体" w:cs="宋体"/>
                <w:color w:val="auto"/>
                <w:kern w:val="0"/>
                <w:sz w:val="22"/>
              </w:rPr>
              <w:t>.所有场景最终采用混合光照模式，静态模型采用静态光照，动态模型采用实时光照系统。</w:t>
            </w:r>
          </w:p>
          <w:p>
            <w:pPr>
              <w:rPr>
                <w:rFonts w:ascii="宋体" w:hAnsi="宋体" w:eastAsia="宋体"/>
                <w:color w:val="auto"/>
                <w:sz w:val="22"/>
              </w:rPr>
            </w:pPr>
            <w:r>
              <w:rPr>
                <w:rFonts w:ascii="宋体" w:hAnsi="宋体" w:eastAsia="宋体" w:cs="宋体"/>
                <w:color w:val="auto"/>
                <w:kern w:val="0"/>
                <w:sz w:val="22"/>
              </w:rPr>
              <w:t>4</w:t>
            </w:r>
            <w:r>
              <w:rPr>
                <w:rFonts w:hint="eastAsia" w:ascii="宋体" w:hAnsi="宋体" w:eastAsia="宋体" w:cs="宋体"/>
                <w:color w:val="auto"/>
                <w:kern w:val="0"/>
                <w:sz w:val="22"/>
              </w:rPr>
              <w:t>.模型在视觉效果上能很好的区分不同的材质属性，如金属件、塑料件、漆面、玻璃、皮革、木料、土壤等。</w:t>
            </w:r>
          </w:p>
          <w:p>
            <w:pPr>
              <w:rPr>
                <w:rFonts w:ascii="宋体" w:hAnsi="宋体" w:eastAsia="宋体"/>
                <w:color w:val="auto"/>
                <w:sz w:val="22"/>
              </w:rPr>
            </w:pPr>
            <w:r>
              <w:rPr>
                <w:rFonts w:hint="eastAsia" w:ascii="宋体" w:hAnsi="宋体" w:eastAsia="宋体"/>
                <w:color w:val="auto"/>
                <w:sz w:val="22"/>
              </w:rPr>
              <w:t>三、任务模块</w:t>
            </w:r>
          </w:p>
          <w:p>
            <w:pPr>
              <w:rPr>
                <w:rFonts w:ascii="宋体" w:hAnsi="宋体" w:eastAsia="宋体"/>
                <w:color w:val="auto"/>
                <w:sz w:val="22"/>
              </w:rPr>
            </w:pPr>
            <w:r>
              <w:rPr>
                <w:rFonts w:hint="eastAsia" w:ascii="宋体" w:hAnsi="宋体" w:eastAsia="宋体"/>
                <w:color w:val="auto"/>
                <w:sz w:val="22"/>
              </w:rPr>
              <w:t>（一）任务范围</w:t>
            </w:r>
          </w:p>
          <w:p>
            <w:pPr>
              <w:rPr>
                <w:rFonts w:ascii="宋体" w:hAnsi="宋体" w:eastAsia="宋体"/>
                <w:color w:val="auto"/>
                <w:sz w:val="22"/>
              </w:rPr>
            </w:pPr>
            <w:r>
              <w:rPr>
                <w:rFonts w:hint="eastAsia" w:ascii="宋体" w:hAnsi="宋体" w:eastAsia="宋体"/>
                <w:color w:val="auto"/>
                <w:sz w:val="22"/>
              </w:rPr>
              <w:t>任务包括挖掘机和装载机的所有可拆卸部件的拆装；装载机和挖掘机的模拟驾驶，装载机任务包括</w:t>
            </w:r>
            <w:r>
              <w:rPr>
                <w:rFonts w:ascii="宋体" w:hAnsi="宋体" w:eastAsia="宋体"/>
                <w:color w:val="auto"/>
                <w:sz w:val="22"/>
              </w:rPr>
              <w:t>V形装卸法</w:t>
            </w:r>
            <w:r>
              <w:rPr>
                <w:rFonts w:hint="eastAsia" w:ascii="宋体" w:hAnsi="宋体" w:eastAsia="宋体"/>
                <w:color w:val="auto"/>
                <w:sz w:val="22"/>
              </w:rPr>
              <w:t>、</w:t>
            </w:r>
            <w:r>
              <w:rPr>
                <w:rFonts w:ascii="宋体" w:hAnsi="宋体" w:eastAsia="宋体"/>
                <w:color w:val="auto"/>
                <w:sz w:val="22"/>
              </w:rPr>
              <w:t>I形装卸法训练</w:t>
            </w:r>
            <w:r>
              <w:rPr>
                <w:rFonts w:hint="eastAsia" w:ascii="宋体" w:hAnsi="宋体" w:eastAsia="宋体"/>
                <w:color w:val="auto"/>
                <w:sz w:val="22"/>
              </w:rPr>
              <w:t>、</w:t>
            </w:r>
            <w:r>
              <w:rPr>
                <w:rFonts w:ascii="宋体" w:hAnsi="宋体" w:eastAsia="宋体"/>
                <w:color w:val="auto"/>
                <w:sz w:val="22"/>
              </w:rPr>
              <w:t>L形装卸法训练</w:t>
            </w:r>
            <w:r>
              <w:rPr>
                <w:rFonts w:hint="eastAsia" w:ascii="宋体" w:hAnsi="宋体" w:eastAsia="宋体"/>
                <w:color w:val="auto"/>
                <w:sz w:val="22"/>
              </w:rPr>
              <w:t>、</w:t>
            </w:r>
            <w:r>
              <w:rPr>
                <w:rFonts w:ascii="宋体" w:hAnsi="宋体" w:eastAsia="宋体"/>
                <w:color w:val="auto"/>
                <w:sz w:val="22"/>
              </w:rPr>
              <w:t>T形装卸法训练</w:t>
            </w:r>
            <w:r>
              <w:rPr>
                <w:rFonts w:hint="eastAsia" w:ascii="宋体" w:hAnsi="宋体" w:eastAsia="宋体"/>
                <w:color w:val="auto"/>
                <w:sz w:val="22"/>
              </w:rPr>
              <w:t>、装卸物料、精确装载、倒车入库、填平、刮平、堆积、推土、牵引等。挖掘机包括：挖土甩方、挖日字沟、上下坡、找平、破碎锤、挖土装车、上下板车、躲避障碍物、跨沟、坑沟填埋等。</w:t>
            </w:r>
          </w:p>
          <w:p>
            <w:pPr>
              <w:rPr>
                <w:rFonts w:ascii="宋体" w:hAnsi="宋体" w:eastAsia="宋体"/>
                <w:color w:val="auto"/>
                <w:sz w:val="22"/>
              </w:rPr>
            </w:pPr>
            <w:r>
              <w:rPr>
                <w:rFonts w:hint="eastAsia" w:ascii="宋体" w:hAnsi="宋体" w:eastAsia="宋体"/>
                <w:color w:val="auto"/>
                <w:sz w:val="22"/>
              </w:rPr>
              <w:t>（二）任务标准</w:t>
            </w:r>
          </w:p>
          <w:p>
            <w:pPr>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任务</w:t>
            </w:r>
            <w:r>
              <w:rPr>
                <w:rFonts w:ascii="宋体" w:hAnsi="宋体" w:eastAsia="宋体"/>
                <w:color w:val="auto"/>
                <w:sz w:val="22"/>
              </w:rPr>
              <w:t xml:space="preserve">的交互方式包括鼠标、键盘和操控手柄。 </w:t>
            </w:r>
          </w:p>
          <w:p>
            <w:pPr>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任务</w:t>
            </w:r>
            <w:r>
              <w:rPr>
                <w:rFonts w:ascii="宋体" w:hAnsi="宋体" w:eastAsia="宋体"/>
                <w:color w:val="auto"/>
                <w:sz w:val="22"/>
              </w:rPr>
              <w:t>的实训内容采用模块化设计，可自由组合。</w:t>
            </w:r>
          </w:p>
          <w:p>
            <w:pPr>
              <w:rPr>
                <w:rFonts w:ascii="宋体" w:hAnsi="宋体" w:eastAsia="宋体"/>
                <w:color w:val="auto"/>
                <w:sz w:val="22"/>
              </w:rPr>
            </w:pPr>
            <w:r>
              <w:rPr>
                <w:rFonts w:ascii="宋体" w:hAnsi="宋体" w:eastAsia="宋体"/>
                <w:color w:val="auto"/>
                <w:sz w:val="22"/>
              </w:rPr>
              <w:t>3.内容要求来自真实工作岗位、符合课程教学标准、包含有技能大赛内容和相关证书考试内容。</w:t>
            </w:r>
          </w:p>
          <w:p>
            <w:pPr>
              <w:rPr>
                <w:rFonts w:ascii="宋体" w:hAnsi="宋体" w:eastAsia="宋体"/>
                <w:color w:val="auto"/>
                <w:sz w:val="22"/>
              </w:rPr>
            </w:pPr>
            <w:r>
              <w:rPr>
                <w:rFonts w:ascii="宋体" w:hAnsi="宋体" w:eastAsia="宋体"/>
                <w:color w:val="auto"/>
                <w:sz w:val="22"/>
              </w:rPr>
              <w:t>4.场景与交互点模拟真实工作场景，应能够根据学生不同的实训操作或者不同的探究行为产生反馈，保证实训结果的真实性与可靠性。</w:t>
            </w:r>
          </w:p>
          <w:p>
            <w:pPr>
              <w:rPr>
                <w:rFonts w:ascii="宋体" w:hAnsi="宋体" w:eastAsia="宋体"/>
                <w:color w:val="auto"/>
                <w:sz w:val="22"/>
              </w:rPr>
            </w:pPr>
            <w:r>
              <w:rPr>
                <w:rFonts w:ascii="宋体" w:hAnsi="宋体" w:eastAsia="宋体"/>
                <w:color w:val="auto"/>
                <w:sz w:val="22"/>
              </w:rPr>
              <w:t>5.具备可交互式理论知识体现形式，理论知识要可交互、可操作且与实际工作过程相融合。</w:t>
            </w:r>
          </w:p>
          <w:p>
            <w:pPr>
              <w:rPr>
                <w:rFonts w:ascii="宋体" w:hAnsi="宋体" w:eastAsia="宋体"/>
                <w:color w:val="auto"/>
                <w:sz w:val="22"/>
              </w:rPr>
            </w:pPr>
            <w:r>
              <w:rPr>
                <w:rFonts w:ascii="宋体" w:hAnsi="宋体" w:eastAsia="宋体"/>
                <w:color w:val="auto"/>
                <w:sz w:val="22"/>
              </w:rPr>
              <w:t>6.每个任务的交互性实训操作步骤不少于10 步，任务可评价点不少于5个。</w:t>
            </w:r>
          </w:p>
          <w:p>
            <w:pPr>
              <w:rPr>
                <w:rFonts w:ascii="宋体" w:hAnsi="宋体" w:eastAsia="宋体"/>
                <w:color w:val="auto"/>
                <w:sz w:val="22"/>
              </w:rPr>
            </w:pPr>
            <w:r>
              <w:rPr>
                <w:rFonts w:ascii="宋体" w:hAnsi="宋体" w:eastAsia="宋体"/>
                <w:color w:val="auto"/>
                <w:sz w:val="22"/>
              </w:rPr>
              <w:t>7.具备游戏化内容设计，包括单人任务、PK任务和组队任务等多种形式。</w:t>
            </w:r>
          </w:p>
          <w:p>
            <w:pPr>
              <w:widowControl/>
              <w:rPr>
                <w:rFonts w:ascii="宋体" w:hAnsi="宋体" w:eastAsia="宋体" w:cs="宋体"/>
                <w:color w:val="auto"/>
                <w:kern w:val="0"/>
                <w:sz w:val="22"/>
              </w:rPr>
            </w:pPr>
            <w:r>
              <w:rPr>
                <w:rFonts w:hint="eastAsia" w:ascii="宋体" w:hAnsi="宋体" w:eastAsia="宋体" w:cs="宋体"/>
                <w:color w:val="auto"/>
                <w:kern w:val="0"/>
                <w:sz w:val="22"/>
              </w:rPr>
              <w:t>*四、其他要求</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rPr>
              <w:t>为确保本项目可以顺利开展，供应商在投标时需具备并提供至少</w:t>
            </w:r>
            <w:r>
              <w:rPr>
                <w:rFonts w:ascii="宋体" w:hAnsi="宋体" w:eastAsia="宋体" w:cs="宋体"/>
                <w:color w:val="auto"/>
                <w:kern w:val="0"/>
                <w:sz w:val="22"/>
              </w:rPr>
              <w:t>1</w:t>
            </w:r>
            <w:r>
              <w:rPr>
                <w:rFonts w:hint="eastAsia" w:ascii="宋体" w:hAnsi="宋体" w:eastAsia="宋体" w:cs="宋体"/>
                <w:color w:val="auto"/>
                <w:kern w:val="0"/>
                <w:sz w:val="22"/>
              </w:rPr>
              <w:t>个跟本专业相关的软件著作权证书，以证明企业的开发能力。</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工程机械数字资源系统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工程机械相关专业的数字资源查询与管理，由工程机械数字资源软件和触摸查询一体机组成，包括但不限于挖掘机与装载机的专业知识、技能和工程机械虚拟仿真软件操作知识等。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1.软件内的资源包括但不限于挖掘机、装载机的基本知识、操作方法、部件拆装等内容。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工程机械虚拟仿真系统的教学引导资源，包括硬件设备使用方法、实训名称、实训目的、实训环境、实训内容、实训要求、实训方法、实训步骤、实训操作流程、实训注意事项等，以便使用者通过引导可自主操作实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3.软件管理的资源文件类型包括数字教材、教学课件、教学视频、图片、音频、等各类数字资源。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55寸显示器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显示亮度：450cd/㎡±5</w:t>
            </w:r>
            <w:r>
              <w:rPr>
                <w:rFonts w:ascii="宋体" w:hAnsi="宋体" w:eastAsia="宋体" w:cs="宋体"/>
                <w:color w:val="auto"/>
                <w:kern w:val="0"/>
                <w:sz w:val="22"/>
              </w:rPr>
              <w:t>%</w:t>
            </w:r>
            <w:r>
              <w:rPr>
                <w:rFonts w:hint="eastAsia" w:ascii="宋体" w:hAnsi="宋体" w:eastAsia="宋体" w:cs="宋体"/>
                <w:color w:val="auto"/>
                <w:kern w:val="0"/>
                <w:sz w:val="22"/>
              </w:rPr>
              <w:t>；内置音箱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产品尺寸（mm）：长1915mm±5</w:t>
            </w:r>
            <w:r>
              <w:rPr>
                <w:rFonts w:ascii="宋体" w:hAnsi="宋体" w:eastAsia="宋体" w:cs="宋体"/>
                <w:color w:val="auto"/>
                <w:kern w:val="0"/>
                <w:sz w:val="22"/>
              </w:rPr>
              <w:t>%</w:t>
            </w:r>
            <w:r>
              <w:rPr>
                <w:rFonts w:hint="eastAsia" w:ascii="宋体" w:hAnsi="宋体" w:eastAsia="宋体" w:cs="宋体"/>
                <w:color w:val="auto"/>
                <w:kern w:val="0"/>
                <w:sz w:val="22"/>
              </w:rPr>
              <w:t>；宽749mm±5</w:t>
            </w:r>
            <w:r>
              <w:rPr>
                <w:rFonts w:ascii="宋体" w:hAnsi="宋体" w:eastAsia="宋体" w:cs="宋体"/>
                <w:color w:val="auto"/>
                <w:kern w:val="0"/>
                <w:sz w:val="22"/>
              </w:rPr>
              <w:t>%</w:t>
            </w:r>
            <w:r>
              <w:rPr>
                <w:rFonts w:hint="eastAsia" w:ascii="宋体" w:hAnsi="宋体" w:eastAsia="宋体" w:cs="宋体"/>
                <w:color w:val="auto"/>
                <w:kern w:val="0"/>
                <w:sz w:val="22"/>
              </w:rPr>
              <w:t>；高38mm±5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产品净重（kg）：150KG±5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接口</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VGA接口、支持USB扩展/充电、支持HDMI接口</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挖掘机模拟设备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通过与挖掘机1：1的操纵部件结合虚拟仿真软件相结合，满足挖掘机虚拟仿真实训。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模型制作按一比一尺寸，包含设备外观，驾驶室内部结构完全按照真机制作。驾驶室内部包含仪表板，操作旋钮。方向盘、操纵杆、油门控制、档位调节等与驾驶者的操作实时响应并一致，从而具备更高的模拟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2.符合最新挖掘机驾驶员培训大纲和最新的驾驶模拟器行业标准。</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3.对不规范的操作给予文字提示功能，同时以文字的形式规范学生操作。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4.软件设置：通过即时评判，对学生操作技能进行评估等。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5.安全提醒：操作中和操作前的安全准备和操作后的安全归位等系列安全规范操作等。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6.软件中可对操作的机器进行参数的设置，如分辨率和效果设置。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7.具有 MINIMAP 功能，直观显示任务目标地点和起始地点。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8.具有动态任务提示功能可以显示学生当前操作的状态。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9.视角可 360 度旋转。</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10.系统分辨率和显示效果可以通过参数配置进行调节，具备多种不同的显示效果。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11.操作课题按照真实工程机械设备系统操作制作。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12.包含故障模拟系统主机可以模拟挖掘机使用过程中的常见故障，通过指令控制训练过程。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13.教师可以通过电脑、大屏等终端设备随时查看学生的练习情况。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14.教学录像：利用该功能，可以播放工程机械设备操作的各种安全、保养、操作知识等教学录像，为学生提供实用、规范的实际真机操作演练。</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15.挖掘机仿真操作内容包括装挖土甩方、挖日字沟、上下坡、找平、破碎锤、挖土装车、上下板车、躲避障碍物、跨沟、坑沟填埋等项目。</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6.</w:t>
            </w:r>
            <w:r>
              <w:rPr>
                <w:rFonts w:hint="eastAsia" w:ascii="宋体" w:hAnsi="宋体" w:eastAsia="宋体" w:cs="宋体"/>
                <w:color w:val="auto"/>
                <w:kern w:val="0"/>
                <w:sz w:val="22"/>
              </w:rPr>
              <w:t>理论考核，题库加密并且可以有考题添加权限，并具有成绩统计功能。</w:t>
            </w:r>
          </w:p>
          <w:p>
            <w:pPr>
              <w:tabs>
                <w:tab w:val="left" w:pos="7410"/>
              </w:tabs>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7.</w:t>
            </w:r>
            <w:r>
              <w:rPr>
                <w:rFonts w:hint="eastAsia" w:ascii="宋体" w:hAnsi="宋体" w:eastAsia="宋体" w:cs="宋体"/>
                <w:color w:val="auto"/>
                <w:kern w:val="0"/>
                <w:sz w:val="22"/>
              </w:rPr>
              <w:t>具备前后俯仰、左右倾斜、上下升降运动特性。</w:t>
            </w:r>
          </w:p>
          <w:p>
            <w:pPr>
              <w:tabs>
                <w:tab w:val="left" w:pos="7410"/>
              </w:tabs>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8.</w:t>
            </w:r>
            <w:r>
              <w:rPr>
                <w:rFonts w:hint="eastAsia" w:ascii="宋体" w:hAnsi="宋体" w:eastAsia="宋体" w:cs="宋体"/>
                <w:color w:val="auto"/>
                <w:kern w:val="0"/>
                <w:sz w:val="22"/>
              </w:rPr>
              <w:t>独立任务场景文件，可以在多个不同设备上通用，并可以通过服务器进行任务场景同步，实现协同作业。</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外观：整体为铸铁件，经久耐用，不易损坏。</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座椅：工程机械实车座椅，前后可调、角度可调。</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操控：工程机械实机配件改装，实机操作功能。</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显示系统：显示器≥43寸，60hz高清显示。</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尺寸（长*宽*高）：2000mm*1100mm*2000mm±5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重量（含包装）：200kg±5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最大功率：600W±5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 ±12V,50Hz ±1Hz</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温度：-10℃ - +40℃</w:t>
            </w:r>
          </w:p>
          <w:p>
            <w:pPr>
              <w:tabs>
                <w:tab w:val="left" w:pos="7410"/>
              </w:tabs>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湿度：&lt;85%（25℃）</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5</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装载机模拟设备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通过与装载机1：1的操纵部件结合虚拟仿真软件相结合，满足装载机虚拟仿真实训。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模型制作按一比一尺寸，包含设备外观，驾驶室内部结构完全按照真机制作。驾驶室内部包含仪表板，操作旋钮。方向盘、操纵杆、油门控制、档位调节等与驾驶者的操作实时响应并一致，从而具备更高的模拟度。</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2.符合最新装载机驾驶员培训大纲和最新的驾驶模拟器行业标准。</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3.对不规范的操作给予文字提示功能，同时以文字的形式规范学生操作。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4.软件设置：通过即时评判，对学生操作技能进行评估等。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5.安全提醒：操作中和操作前的安全准备和操作后的安全归位等系列安全规范操作等。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6.软件中可对操作的机器进行参数的设置，如分辨率和效果设置。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7.具有 MINIMAP 功能，直观显示任务目标地点和起始地点。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8.具有动态任务提示功能可以显示学生当前操作的状态。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9.视角可 360 度旋转。</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10.系统分辨率和显示效果可以通过参数配置进行调节，具备多种不同的显示效果。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11.操作课题按照真实工程机械设备系统操作制作。</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12.包含故障模拟系统主机可以模拟挖掘机使用过程中的常见故障，通过指令控制训练过程。</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13.教师可以通过电脑、大屏等终端设备随时查看学生的练习情况。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14.教学录像：利用该功能，可以播放工程机械设备操作的各种安全、保养、操作知识等教学录像，为学生提供实用、规范的实际真机操作演练。</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15.装载机仿真操作内容包括装卸物料（V形装卸法、I形装卸法、L形装卸法、T形装卸法）、精确装载、倒车入库、填平、刮平、堆积、推土、牵引等项目。</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6.</w:t>
            </w:r>
            <w:r>
              <w:rPr>
                <w:rFonts w:hint="eastAsia" w:ascii="宋体" w:hAnsi="宋体" w:eastAsia="宋体" w:cs="宋体"/>
                <w:color w:val="auto"/>
                <w:kern w:val="0"/>
                <w:sz w:val="22"/>
              </w:rPr>
              <w:t>理论考核，题库加密并且可以有考题添加权限，并具有成绩统计功能。</w:t>
            </w:r>
          </w:p>
          <w:p>
            <w:pPr>
              <w:tabs>
                <w:tab w:val="left" w:pos="7410"/>
              </w:tabs>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7.</w:t>
            </w:r>
            <w:r>
              <w:rPr>
                <w:rFonts w:hint="eastAsia" w:ascii="宋体" w:hAnsi="宋体" w:eastAsia="宋体" w:cs="宋体"/>
                <w:color w:val="auto"/>
                <w:kern w:val="0"/>
                <w:sz w:val="22"/>
              </w:rPr>
              <w:t>具备前后俯仰、左右倾斜、上下升降运动特性。</w:t>
            </w:r>
          </w:p>
          <w:p>
            <w:pPr>
              <w:tabs>
                <w:tab w:val="left" w:pos="7410"/>
              </w:tabs>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8.</w:t>
            </w:r>
            <w:r>
              <w:rPr>
                <w:rFonts w:hint="eastAsia" w:ascii="宋体" w:hAnsi="宋体" w:eastAsia="宋体" w:cs="宋体"/>
                <w:color w:val="auto"/>
                <w:kern w:val="0"/>
                <w:sz w:val="22"/>
              </w:rPr>
              <w:t>独立任务场景文件，可以在多个不同设备上通用，并可以通过服务器进行任务场景同步，实现协同作业。</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外观：整体为铸铁件，经久耐用，不易损坏。</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座椅：工程机械实车座椅，前后可调、角度可调。</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操控：工程机械实机配件改装，实机操作功能。</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显示系统：显示器≥43寸，60hz高清显示。</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尺寸（长*宽*高）：2000mm*1100mm*2000mm±5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重量（含包装）：200kg±5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最大功率：600W±5</w:t>
            </w:r>
            <w:r>
              <w:rPr>
                <w:rFonts w:ascii="宋体" w:hAnsi="宋体" w:eastAsia="宋体" w:cs="宋体"/>
                <w:color w:val="auto"/>
                <w:kern w:val="0"/>
                <w:sz w:val="22"/>
              </w:rPr>
              <w:t>%</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 ±12V,50Hz ±1Hz</w:t>
            </w:r>
          </w:p>
          <w:p>
            <w:pPr>
              <w:tabs>
                <w:tab w:val="left" w:pos="7410"/>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温度：-10℃ - +40℃</w:t>
            </w:r>
          </w:p>
          <w:p>
            <w:pPr>
              <w:tabs>
                <w:tab w:val="left" w:pos="7410"/>
              </w:tabs>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湿度：&lt;85%（25℃）</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5</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5</w:t>
            </w:r>
          </w:p>
        </w:tc>
        <w:tc>
          <w:tcPr>
            <w:tcW w:w="519" w:type="pct"/>
            <w:shd w:val="clear" w:color="auto" w:fill="auto"/>
            <w:vAlign w:val="center"/>
          </w:tcPr>
          <w:p>
            <w:pPr>
              <w:widowControl/>
              <w:jc w:val="center"/>
              <w:rPr>
                <w:rFonts w:hint="eastAsia" w:ascii="宋体" w:hAnsi="宋体" w:eastAsia="宋体" w:cs="宋体"/>
                <w:color w:val="auto"/>
                <w:kern w:val="0"/>
                <w:sz w:val="22"/>
                <w:lang w:eastAsia="zh-CN"/>
              </w:rPr>
            </w:pPr>
            <w:r>
              <w:rPr>
                <w:rFonts w:ascii="宋体" w:hAnsi="宋体" w:eastAsia="宋体" w:cs="宋体"/>
                <w:color w:val="auto"/>
                <w:kern w:val="0"/>
                <w:sz w:val="22"/>
              </w:rPr>
              <w:t>VR</w:t>
            </w:r>
            <w:r>
              <w:rPr>
                <w:rFonts w:hint="eastAsia" w:ascii="宋体" w:hAnsi="宋体" w:eastAsia="宋体" w:cs="宋体"/>
                <w:color w:val="auto"/>
                <w:kern w:val="0"/>
                <w:sz w:val="22"/>
              </w:rPr>
              <w:t>一体机</w:t>
            </w:r>
          </w:p>
          <w:p>
            <w:pPr>
              <w:pStyle w:val="2"/>
              <w:rPr>
                <w:rFonts w:hint="eastAsia"/>
                <w:lang w:val="en-US" w:eastAsia="zh-CN"/>
              </w:rPr>
            </w:pP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≥5K分辨率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≥120°视场角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≥90HZ刷新率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≥XR2处理器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≥8GB运行内存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支持串流</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支持TFT卡</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4</w:t>
            </w:r>
            <w:r>
              <w:rPr>
                <w:rFonts w:ascii="宋体" w:hAnsi="宋体" w:eastAsia="宋体" w:cs="宋体"/>
                <w:color w:val="auto"/>
                <w:kern w:val="0"/>
                <w:sz w:val="22"/>
              </w:rPr>
              <w:t>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教学一体机</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100英寸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分辨率：3840*2160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支持多点触控</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触摸类型：红外触摸</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默认支持2</w:t>
            </w:r>
            <w:r>
              <w:rPr>
                <w:rFonts w:ascii="宋体" w:hAnsi="宋体" w:eastAsia="宋体" w:cs="宋体"/>
                <w:color w:val="auto"/>
                <w:kern w:val="0"/>
                <w:sz w:val="22"/>
              </w:rPr>
              <w:t>0</w:t>
            </w:r>
            <w:r>
              <w:rPr>
                <w:rFonts w:hint="eastAsia" w:ascii="宋体" w:hAnsi="宋体" w:eastAsia="宋体" w:cs="宋体"/>
                <w:color w:val="auto"/>
                <w:kern w:val="0"/>
                <w:sz w:val="22"/>
              </w:rPr>
              <w:t>点触摸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亮度3</w:t>
            </w:r>
            <w:r>
              <w:rPr>
                <w:rFonts w:ascii="宋体" w:hAnsi="宋体" w:eastAsia="宋体" w:cs="宋体"/>
                <w:color w:val="auto"/>
                <w:kern w:val="0"/>
                <w:sz w:val="22"/>
              </w:rPr>
              <w:t>50</w:t>
            </w:r>
            <w:r>
              <w:rPr>
                <w:rFonts w:hint="eastAsia" w:ascii="宋体" w:hAnsi="宋体" w:eastAsia="宋体" w:cs="宋体"/>
                <w:color w:val="auto"/>
                <w:kern w:val="0"/>
                <w:sz w:val="22"/>
              </w:rPr>
              <w:t>cd</w:t>
            </w:r>
            <w:r>
              <w:rPr>
                <w:rFonts w:ascii="宋体" w:hAnsi="宋体" w:eastAsia="宋体" w:cs="宋体"/>
                <w:color w:val="auto"/>
                <w:kern w:val="0"/>
                <w:sz w:val="22"/>
              </w:rPr>
              <w:t>/</w:t>
            </w:r>
            <w:r>
              <w:rPr>
                <w:rFonts w:hint="eastAsia"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HDMI，VGA接口</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可视角度：178°</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刷新率1</w:t>
            </w:r>
            <w:r>
              <w:rPr>
                <w:rFonts w:ascii="宋体" w:hAnsi="宋体" w:eastAsia="宋体" w:cs="宋体"/>
                <w:color w:val="auto"/>
                <w:kern w:val="0"/>
                <w:sz w:val="22"/>
              </w:rPr>
              <w:t>60HZ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响应时间4m</w:t>
            </w:r>
            <w:r>
              <w:rPr>
                <w:rFonts w:ascii="宋体" w:hAnsi="宋体" w:eastAsia="宋体" w:cs="宋体"/>
                <w:color w:val="auto"/>
                <w:kern w:val="0"/>
                <w:sz w:val="22"/>
              </w:rPr>
              <w:t>s</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处理器；DDR4 </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256</w:t>
            </w:r>
            <w:r>
              <w:rPr>
                <w:rFonts w:hint="eastAsia" w:ascii="宋体" w:hAnsi="宋体" w:eastAsia="宋体" w:cs="宋体"/>
                <w:color w:val="auto"/>
                <w:kern w:val="0"/>
                <w:sz w:val="22"/>
              </w:rPr>
              <w:t>G固态硬盘</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android、windows双系统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支持4分屏、支持电脑手机投屏</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支持批注、书写、截图、扫码分享</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功耗4</w:t>
            </w:r>
            <w:r>
              <w:rPr>
                <w:rFonts w:ascii="宋体" w:hAnsi="宋体" w:eastAsia="宋体" w:cs="宋体"/>
                <w:color w:val="auto"/>
                <w:kern w:val="0"/>
                <w:sz w:val="22"/>
              </w:rPr>
              <w:t>00W</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铝合金外框，表面喷砂并阳极氧化处理</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铁壳后盖，主动散热</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4mm物理钢化防暴玻璃，坚固耐用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高速10点触控书写</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使用国际通用标准的OPS插槽，一体化插拔式设计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前置扩展端口:1路PC一USB、1路TV一USB、1路HMI、1路Touch、一个(开机、光机、待机）三合一按键</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喇叭出音前置</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童锁功能，通过设置可屏蔽按键功能</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≥22英寸显示屏，可进行翻转设计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I7</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ascii="宋体" w:hAnsi="宋体" w:eastAsia="宋体" w:cs="宋体"/>
                <w:color w:val="auto"/>
                <w:kern w:val="0"/>
                <w:sz w:val="22"/>
              </w:rPr>
              <w:t>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8</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PC电脑</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分辨率：≥1920*1080dpi</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屏幕尺寸≥：27英寸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输入设备有线鼠标、有线键盘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i7</w:t>
            </w:r>
            <w:r>
              <w:rPr>
                <w:rFonts w:ascii="宋体" w:hAnsi="宋体" w:eastAsia="宋体" w:cs="宋体"/>
                <w:color w:val="auto"/>
                <w:kern w:val="0"/>
                <w:sz w:val="22"/>
              </w:rPr>
              <w:t xml:space="preserve"> </w:t>
            </w:r>
            <w:r>
              <w:rPr>
                <w:rFonts w:hint="eastAsia" w:ascii="宋体" w:hAnsi="宋体" w:eastAsia="宋体" w:cs="宋体"/>
                <w:color w:val="auto"/>
                <w:kern w:val="0"/>
                <w:sz w:val="22"/>
              </w:rPr>
              <w:t>三级缓存16G；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 32GB DDR4；</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硬盘：≥1TB 机械 SSD+1TB 7200RPM；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显卡：≥11GB独立显卡；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显示器：≥27英寸；</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电源：≥1000w；</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9</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0</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资料柜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800*400*1800mm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冷轧钢材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透明玻璃</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静电喷涂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防水防潮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易清洁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耐划痕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可调节板层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高承载滑轨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钢制锁芯，铝合金把手</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两把钥匙</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千兆端口：9个</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办公桌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E1级别环保板材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金属钢架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2.5CM加厚桌面</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300KG承重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铝合金线盒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PVC封边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600*1200*1100mm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铝合金加固防锈框架</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移动座椅</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带滑轮可移动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加厚加固滑轮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带折叠桌板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桌板带笔槽和伸缩杯架</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高880*460*480mm</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8</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ascii="宋体" w:hAnsi="宋体" w:cs="宋体"/>
                <w:kern w:val="0"/>
                <w:sz w:val="22"/>
              </w:rPr>
              <w:t>19</w:t>
            </w:r>
          </w:p>
          <w:p>
            <w:pPr>
              <w:pStyle w:val="12"/>
            </w:pP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59" w:type="pct"/>
            <w:shd w:val="clear" w:color="auto" w:fill="auto"/>
            <w:noWrap/>
            <w:vAlign w:val="center"/>
          </w:tcPr>
          <w:p>
            <w:pPr>
              <w:widowControl/>
              <w:jc w:val="center"/>
              <w:rPr>
                <w:rFonts w:ascii="宋体" w:hAnsi="宋体" w:eastAsia="宋体" w:cs="宋体"/>
                <w:color w:val="auto"/>
                <w:kern w:val="0"/>
                <w:sz w:val="22"/>
                <w:szCs w:val="24"/>
                <w:lang w:val="en-US" w:eastAsia="zh-CN" w:bidi="ar-SA"/>
              </w:rPr>
            </w:pPr>
            <w:r>
              <w:rPr>
                <w:rFonts w:ascii="宋体" w:hAnsi="宋体" w:eastAsia="宋体" w:cs="宋体"/>
                <w:color w:val="auto"/>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bl>
    <w:p>
      <w:pPr>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第六标段：</w:t>
      </w:r>
    </w:p>
    <w:tbl>
      <w:tblPr>
        <w:tblStyle w:val="26"/>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7"/>
        <w:gridCol w:w="5683"/>
        <w:gridCol w:w="529"/>
        <w:gridCol w:w="397"/>
        <w:gridCol w:w="92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1"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59"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4"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w:t>
            </w:r>
          </w:p>
        </w:tc>
        <w:tc>
          <w:tcPr>
            <w:tcW w:w="533"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食品加工数字资源系统</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食品专业的数字资源查询与管理，由食品加工数字资源软件和触摸查询一体机组成，包括但不限于青稞、蔬菜、乳制品、肉制品等专业知识、技能和食品加工虚拟仿真软件操作知识等。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1.软件内的资源包括青稞加工、蔬菜加工、乳制品加工、肉制品加工、豆制品加工、中/西式面点制作等内容。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食品加工虚拟仿真系统的教学引导资源，包括硬件设备使用方法、实训名称、实训目的、实训环境、实训内容、实训要求、实训方法、实训步骤、实训操作流程、实训注意事项等，以便使用者通过引导可自主操作实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3.软件管理的资源文件类型包括数字教材、教学课件、教学视频、图片、音频、等各类数字资源。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55</w:t>
            </w:r>
            <w:r>
              <w:rPr>
                <w:rFonts w:hint="eastAsia" w:ascii="宋体" w:hAnsi="宋体" w:eastAsia="宋体" w:cs="宋体"/>
                <w:color w:val="auto"/>
                <w:kern w:val="0"/>
                <w:sz w:val="22"/>
              </w:rPr>
              <w:t>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 xml:space="preserve"> 8G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产品尺寸（mm）：长1915mm；宽749mm；高38mm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产品净重（kg）：约150KG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接口</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VGA接口、支持USB扩展/充电、支持HDMI接口</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食品加工仿真系统</w:t>
            </w:r>
          </w:p>
        </w:tc>
        <w:tc>
          <w:tcPr>
            <w:tcW w:w="2791" w:type="pct"/>
            <w:shd w:val="clear" w:color="auto" w:fill="auto"/>
            <w:vAlign w:val="center"/>
          </w:tcPr>
          <w:p>
            <w:pPr>
              <w:rPr>
                <w:rFonts w:ascii="宋体" w:hAnsi="宋体" w:eastAsia="宋体"/>
                <w:color w:val="auto"/>
                <w:sz w:val="22"/>
              </w:rPr>
            </w:pPr>
            <w:r>
              <w:rPr>
                <w:rFonts w:hint="eastAsia" w:ascii="宋体" w:hAnsi="宋体" w:eastAsia="宋体"/>
                <w:color w:val="auto"/>
                <w:sz w:val="22"/>
              </w:rPr>
              <w:t>一、功能</w:t>
            </w:r>
          </w:p>
          <w:p>
            <w:pPr>
              <w:rPr>
                <w:rFonts w:ascii="宋体" w:hAnsi="宋体" w:eastAsia="宋体"/>
                <w:color w:val="auto"/>
                <w:sz w:val="22"/>
              </w:rPr>
            </w:pPr>
            <w:r>
              <w:rPr>
                <w:rFonts w:hint="eastAsia" w:ascii="宋体" w:hAnsi="宋体" w:eastAsia="宋体" w:cs="宋体"/>
                <w:color w:val="auto"/>
                <w:kern w:val="0"/>
                <w:sz w:val="22"/>
              </w:rPr>
              <w:t>食品加工仿真系统以食品制作、食品工艺设备操作、食品加工流程训练、食品简单检测等为主要工作内容，制作仿真场景与模型，通过演示与模拟操作两种形式完成相关专业知识学习与技能训练。</w:t>
            </w:r>
          </w:p>
          <w:p>
            <w:pPr>
              <w:rPr>
                <w:rFonts w:ascii="宋体" w:hAnsi="宋体" w:eastAsia="宋体"/>
                <w:color w:val="auto"/>
                <w:sz w:val="22"/>
              </w:rPr>
            </w:pPr>
            <w:r>
              <w:rPr>
                <w:rFonts w:hint="eastAsia" w:ascii="宋体" w:hAnsi="宋体" w:eastAsia="宋体"/>
                <w:color w:val="auto"/>
                <w:sz w:val="22"/>
              </w:rPr>
              <w:t>二、场景模块</w:t>
            </w:r>
          </w:p>
          <w:p>
            <w:pPr>
              <w:rPr>
                <w:rFonts w:ascii="宋体" w:hAnsi="宋体" w:eastAsia="宋体"/>
                <w:color w:val="auto"/>
                <w:sz w:val="22"/>
              </w:rPr>
            </w:pPr>
            <w:r>
              <w:rPr>
                <w:rFonts w:hint="eastAsia" w:ascii="宋体" w:hAnsi="宋体" w:eastAsia="宋体"/>
                <w:color w:val="auto"/>
                <w:sz w:val="22"/>
              </w:rPr>
              <w:t>（一）模型分类</w:t>
            </w:r>
          </w:p>
          <w:p>
            <w:pPr>
              <w:rPr>
                <w:rFonts w:ascii="宋体" w:hAnsi="宋体" w:eastAsia="宋体"/>
                <w:color w:val="auto"/>
                <w:sz w:val="22"/>
              </w:rPr>
            </w:pPr>
            <w:r>
              <w:rPr>
                <w:rFonts w:hint="eastAsia" w:ascii="宋体" w:hAnsi="宋体" w:eastAsia="宋体"/>
                <w:color w:val="auto"/>
                <w:sz w:val="22"/>
              </w:rPr>
              <w:t>1</w:t>
            </w:r>
            <w:r>
              <w:rPr>
                <w:rFonts w:ascii="宋体" w:hAnsi="宋体" w:eastAsia="宋体"/>
                <w:color w:val="auto"/>
                <w:sz w:val="22"/>
              </w:rPr>
              <w:t>.</w:t>
            </w:r>
            <w:r>
              <w:rPr>
                <w:rFonts w:hint="eastAsia" w:ascii="宋体" w:hAnsi="宋体" w:eastAsia="宋体"/>
                <w:color w:val="auto"/>
                <w:sz w:val="22"/>
              </w:rPr>
              <w:t>环境模型</w:t>
            </w:r>
          </w:p>
          <w:p>
            <w:pPr>
              <w:rPr>
                <w:rFonts w:ascii="宋体" w:hAnsi="宋体" w:eastAsia="宋体"/>
                <w:color w:val="auto"/>
                <w:sz w:val="22"/>
              </w:rPr>
            </w:pPr>
            <w:r>
              <w:rPr>
                <w:rFonts w:hint="eastAsia" w:ascii="宋体" w:hAnsi="宋体" w:eastAsia="宋体"/>
                <w:color w:val="auto"/>
                <w:sz w:val="22"/>
              </w:rPr>
              <w:t>食品加工中心，其中包括啤酒生产环节、果酒生产环节、米酒生产环节、冰淇淋加工环节、果蔬糖制作环节、酱卤制品加工环节、炸制品加工环节、牦牛肉加工环节、中点、西点、中餐、藏餐、西餐加工环节等。</w:t>
            </w:r>
          </w:p>
          <w:p>
            <w:pPr>
              <w:rPr>
                <w:rFonts w:ascii="宋体" w:hAnsi="宋体" w:eastAsia="宋体"/>
                <w:color w:val="auto"/>
                <w:sz w:val="22"/>
              </w:rPr>
            </w:pPr>
            <w:r>
              <w:rPr>
                <w:rFonts w:hint="eastAsia" w:ascii="宋体" w:hAnsi="宋体" w:eastAsia="宋体"/>
                <w:color w:val="auto"/>
                <w:sz w:val="22"/>
              </w:rPr>
              <w:t>2</w:t>
            </w:r>
            <w:r>
              <w:rPr>
                <w:rFonts w:ascii="宋体" w:hAnsi="宋体" w:eastAsia="宋体"/>
                <w:color w:val="auto"/>
                <w:sz w:val="22"/>
              </w:rPr>
              <w:t>.</w:t>
            </w:r>
            <w:r>
              <w:rPr>
                <w:rFonts w:hint="eastAsia" w:ascii="宋体" w:hAnsi="宋体" w:eastAsia="宋体"/>
                <w:color w:val="auto"/>
                <w:sz w:val="22"/>
              </w:rPr>
              <w:t>设备模型</w:t>
            </w:r>
          </w:p>
          <w:p>
            <w:pPr>
              <w:rPr>
                <w:rFonts w:ascii="宋体" w:hAnsi="宋体" w:eastAsia="宋体"/>
                <w:color w:val="auto"/>
                <w:sz w:val="22"/>
              </w:rPr>
            </w:pPr>
            <w:r>
              <w:rPr>
                <w:rFonts w:hint="eastAsia" w:ascii="宋体" w:hAnsi="宋体" w:eastAsia="宋体"/>
                <w:color w:val="auto"/>
                <w:sz w:val="22"/>
              </w:rPr>
              <w:t>环境内部包括各环节主要加工设备模型（仅外观）。</w:t>
            </w:r>
          </w:p>
          <w:p>
            <w:pPr>
              <w:rPr>
                <w:rFonts w:ascii="宋体" w:hAnsi="宋体" w:eastAsia="宋体"/>
                <w:color w:val="auto"/>
                <w:sz w:val="22"/>
              </w:rPr>
            </w:pPr>
            <w:r>
              <w:rPr>
                <w:rFonts w:hint="eastAsia" w:ascii="宋体" w:hAnsi="宋体" w:eastAsia="宋体"/>
                <w:color w:val="auto"/>
                <w:sz w:val="22"/>
              </w:rPr>
              <w:t>3</w:t>
            </w:r>
            <w:r>
              <w:rPr>
                <w:rFonts w:ascii="宋体" w:hAnsi="宋体" w:eastAsia="宋体"/>
                <w:color w:val="auto"/>
                <w:sz w:val="22"/>
              </w:rPr>
              <w:t>.</w:t>
            </w:r>
            <w:r>
              <w:rPr>
                <w:rFonts w:hint="eastAsia" w:ascii="宋体" w:hAnsi="宋体" w:eastAsia="宋体"/>
                <w:color w:val="auto"/>
                <w:sz w:val="22"/>
              </w:rPr>
              <w:t>食材模型</w:t>
            </w:r>
          </w:p>
          <w:p>
            <w:pPr>
              <w:rPr>
                <w:rFonts w:ascii="宋体" w:hAnsi="宋体" w:eastAsia="宋体"/>
                <w:color w:val="auto"/>
                <w:sz w:val="22"/>
              </w:rPr>
            </w:pPr>
            <w:r>
              <w:rPr>
                <w:rFonts w:hint="eastAsia" w:ascii="宋体" w:hAnsi="宋体" w:eastAsia="宋体"/>
                <w:color w:val="auto"/>
                <w:sz w:val="22"/>
              </w:rPr>
              <w:t>啤酒、果酒、米酒、冰淇淋、果蔬糖（</w:t>
            </w:r>
            <w:r>
              <w:rPr>
                <w:rFonts w:ascii="宋体" w:hAnsi="宋体" w:eastAsia="宋体"/>
                <w:color w:val="auto"/>
                <w:sz w:val="22"/>
              </w:rPr>
              <w:t>2</w:t>
            </w:r>
            <w:r>
              <w:rPr>
                <w:rFonts w:hint="eastAsia" w:ascii="宋体" w:hAnsi="宋体" w:eastAsia="宋体"/>
                <w:color w:val="auto"/>
                <w:sz w:val="22"/>
              </w:rPr>
              <w:t>种食品以上）、酱卤制品（</w:t>
            </w:r>
            <w:r>
              <w:rPr>
                <w:rFonts w:ascii="宋体" w:hAnsi="宋体" w:eastAsia="宋体"/>
                <w:color w:val="auto"/>
                <w:sz w:val="22"/>
              </w:rPr>
              <w:t>2</w:t>
            </w:r>
            <w:r>
              <w:rPr>
                <w:rFonts w:hint="eastAsia" w:ascii="宋体" w:hAnsi="宋体" w:eastAsia="宋体"/>
                <w:color w:val="auto"/>
                <w:sz w:val="22"/>
              </w:rPr>
              <w:t>种食品以上）、炸制品（</w:t>
            </w:r>
            <w:r>
              <w:rPr>
                <w:rFonts w:ascii="宋体" w:hAnsi="宋体" w:eastAsia="宋体"/>
                <w:color w:val="auto"/>
                <w:sz w:val="22"/>
              </w:rPr>
              <w:t>2</w:t>
            </w:r>
            <w:r>
              <w:rPr>
                <w:rFonts w:hint="eastAsia" w:ascii="宋体" w:hAnsi="宋体" w:eastAsia="宋体"/>
                <w:color w:val="auto"/>
                <w:sz w:val="22"/>
              </w:rPr>
              <w:t>种食品以上）、牦牛肉的原材料模型、制作过程模型和成品模型。</w:t>
            </w:r>
          </w:p>
          <w:p>
            <w:pPr>
              <w:rPr>
                <w:rFonts w:ascii="宋体" w:hAnsi="宋体" w:eastAsia="宋体"/>
                <w:color w:val="auto"/>
                <w:sz w:val="22"/>
              </w:rPr>
            </w:pPr>
            <w:r>
              <w:rPr>
                <w:rFonts w:hint="eastAsia" w:ascii="宋体" w:hAnsi="宋体" w:eastAsia="宋体"/>
                <w:color w:val="auto"/>
                <w:sz w:val="22"/>
              </w:rPr>
              <w:t>（二）模型标准</w:t>
            </w:r>
          </w:p>
          <w:p>
            <w:pPr>
              <w:rPr>
                <w:rFonts w:hint="eastAsia" w:ascii="宋体" w:hAnsi="宋体" w:eastAsia="宋体" w:cs="宋体"/>
                <w:color w:val="auto"/>
                <w:kern w:val="0"/>
                <w:sz w:val="22"/>
                <w:lang w:eastAsia="zh-CN"/>
              </w:rPr>
            </w:pPr>
            <w:r>
              <w:rPr>
                <w:rFonts w:ascii="宋体" w:hAnsi="宋体" w:eastAsia="宋体" w:cs="宋体"/>
                <w:color w:val="auto"/>
                <w:kern w:val="0"/>
                <w:sz w:val="22"/>
              </w:rPr>
              <w:t>1.</w:t>
            </w:r>
            <w:r>
              <w:rPr>
                <w:rFonts w:hint="eastAsia" w:ascii="宋体" w:hAnsi="宋体" w:eastAsia="宋体" w:cs="宋体"/>
                <w:color w:val="auto"/>
                <w:kern w:val="0"/>
                <w:sz w:val="22"/>
              </w:rPr>
              <w:t>用合理的优化方法，能满足不同硬件设备（PC电脑、PC-VR）3D引擎的渲染性能要求，在不同设备上均能流畅运行。</w:t>
            </w:r>
          </w:p>
          <w:p>
            <w:pPr>
              <w:rPr>
                <w:rFonts w:hint="eastAsia" w:ascii="宋体" w:hAnsi="宋体" w:eastAsia="宋体" w:cs="宋体"/>
                <w:color w:val="auto"/>
                <w:kern w:val="0"/>
                <w:sz w:val="22"/>
                <w:lang w:eastAsia="zh-CN"/>
              </w:rPr>
            </w:pPr>
            <w:r>
              <w:rPr>
                <w:rFonts w:ascii="宋体" w:hAnsi="宋体" w:eastAsia="宋体" w:cs="宋体"/>
                <w:color w:val="auto"/>
                <w:kern w:val="0"/>
                <w:sz w:val="22"/>
              </w:rPr>
              <w:t>2</w:t>
            </w:r>
            <w:r>
              <w:rPr>
                <w:rFonts w:hint="eastAsia" w:ascii="宋体" w:hAnsi="宋体" w:eastAsia="宋体" w:cs="宋体"/>
                <w:color w:val="auto"/>
                <w:kern w:val="0"/>
                <w:sz w:val="22"/>
              </w:rPr>
              <w:t>.实时渲染帧率保持在每秒 45～60 帧，VR设备实时渲染帧率不低于每秒 75 帧。</w:t>
            </w:r>
          </w:p>
          <w:p>
            <w:pPr>
              <w:rPr>
                <w:rFonts w:hint="eastAsia" w:ascii="宋体" w:hAnsi="宋体" w:eastAsia="宋体" w:cs="宋体"/>
                <w:color w:val="auto"/>
                <w:kern w:val="0"/>
                <w:sz w:val="22"/>
                <w:lang w:eastAsia="zh-CN"/>
              </w:rPr>
            </w:pPr>
            <w:r>
              <w:rPr>
                <w:rFonts w:ascii="宋体" w:hAnsi="宋体" w:eastAsia="宋体" w:cs="宋体"/>
                <w:color w:val="auto"/>
                <w:kern w:val="0"/>
                <w:sz w:val="22"/>
              </w:rPr>
              <w:t>3</w:t>
            </w:r>
            <w:r>
              <w:rPr>
                <w:rFonts w:hint="eastAsia" w:ascii="宋体" w:hAnsi="宋体" w:eastAsia="宋体" w:cs="宋体"/>
                <w:color w:val="auto"/>
                <w:kern w:val="0"/>
                <w:sz w:val="22"/>
              </w:rPr>
              <w:t>.所有场景最终采用混合光照模式，静态模型采用静态光照，动态模型采用实时光照系统。</w:t>
            </w:r>
          </w:p>
          <w:p>
            <w:pPr>
              <w:rPr>
                <w:rFonts w:ascii="宋体" w:hAnsi="宋体" w:eastAsia="宋体"/>
                <w:color w:val="auto"/>
                <w:sz w:val="22"/>
              </w:rPr>
            </w:pPr>
            <w:r>
              <w:rPr>
                <w:rFonts w:ascii="宋体" w:hAnsi="宋体" w:eastAsia="宋体" w:cs="宋体"/>
                <w:color w:val="auto"/>
                <w:kern w:val="0"/>
                <w:sz w:val="22"/>
              </w:rPr>
              <w:t>4</w:t>
            </w:r>
            <w:r>
              <w:rPr>
                <w:rFonts w:hint="eastAsia" w:ascii="宋体" w:hAnsi="宋体" w:eastAsia="宋体" w:cs="宋体"/>
                <w:color w:val="auto"/>
                <w:kern w:val="0"/>
                <w:sz w:val="22"/>
              </w:rPr>
              <w:t>.模型在视觉效果上能很好的区分不同的材质属性，如金属件、塑料件、漆面、玻璃、各种食材等。</w:t>
            </w:r>
          </w:p>
          <w:p>
            <w:pPr>
              <w:rPr>
                <w:rFonts w:ascii="宋体" w:hAnsi="宋体" w:eastAsia="宋体"/>
                <w:color w:val="auto"/>
                <w:sz w:val="22"/>
              </w:rPr>
            </w:pPr>
            <w:r>
              <w:rPr>
                <w:rFonts w:hint="eastAsia" w:ascii="宋体" w:hAnsi="宋体" w:eastAsia="宋体"/>
                <w:color w:val="auto"/>
                <w:sz w:val="22"/>
              </w:rPr>
              <w:t>三、任务模块</w:t>
            </w:r>
          </w:p>
          <w:p>
            <w:pPr>
              <w:rPr>
                <w:rFonts w:ascii="宋体" w:hAnsi="宋体" w:eastAsia="宋体"/>
                <w:color w:val="auto"/>
                <w:sz w:val="22"/>
              </w:rPr>
            </w:pPr>
            <w:r>
              <w:rPr>
                <w:rFonts w:hint="eastAsia" w:ascii="宋体" w:hAnsi="宋体" w:eastAsia="宋体"/>
                <w:color w:val="auto"/>
                <w:sz w:val="22"/>
              </w:rPr>
              <w:t>（一）任务范围</w:t>
            </w:r>
          </w:p>
          <w:p>
            <w:pPr>
              <w:rPr>
                <w:rFonts w:ascii="宋体" w:hAnsi="宋体" w:eastAsia="宋体"/>
                <w:color w:val="auto"/>
                <w:sz w:val="22"/>
              </w:rPr>
            </w:pPr>
            <w:r>
              <w:rPr>
                <w:rFonts w:hint="eastAsia" w:ascii="宋体" w:hAnsi="宋体" w:eastAsia="宋体"/>
                <w:color w:val="auto"/>
                <w:sz w:val="22"/>
              </w:rPr>
              <w:t>食品加工任务范围包括啤酒生产工艺、果酒生产工艺、米酒生产工艺、冰淇淋加工技术、雪糕加工技术、果蔬糖制品、酱卤制品加工、炸制品加工、牦牛肉加工、西点加工、中式面点加工、中餐、藏餐、西餐制作，食品基本分析与检验。各种食品加工环节，包括但不限于清洗、分割、调配、分选、加热、包装、储藏等。</w:t>
            </w:r>
          </w:p>
          <w:p>
            <w:pPr>
              <w:rPr>
                <w:rFonts w:ascii="宋体" w:hAnsi="宋体" w:eastAsia="宋体"/>
                <w:color w:val="auto"/>
                <w:sz w:val="22"/>
              </w:rPr>
            </w:pPr>
            <w:r>
              <w:rPr>
                <w:rFonts w:hint="eastAsia" w:ascii="宋体" w:hAnsi="宋体" w:eastAsia="宋体"/>
                <w:color w:val="auto"/>
                <w:sz w:val="22"/>
              </w:rPr>
              <w:t>（二）任务标准</w:t>
            </w:r>
          </w:p>
          <w:p>
            <w:pPr>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任务</w:t>
            </w:r>
            <w:r>
              <w:rPr>
                <w:rFonts w:ascii="宋体" w:hAnsi="宋体" w:eastAsia="宋体"/>
                <w:color w:val="auto"/>
                <w:sz w:val="22"/>
              </w:rPr>
              <w:t xml:space="preserve">的交互方式包括鼠标、键盘和操控手柄。 </w:t>
            </w:r>
          </w:p>
          <w:p>
            <w:pPr>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任务</w:t>
            </w:r>
            <w:r>
              <w:rPr>
                <w:rFonts w:ascii="宋体" w:hAnsi="宋体" w:eastAsia="宋体"/>
                <w:color w:val="auto"/>
                <w:sz w:val="22"/>
              </w:rPr>
              <w:t>的实训内容采用模块化设计，可自由组合。</w:t>
            </w:r>
          </w:p>
          <w:p>
            <w:pPr>
              <w:rPr>
                <w:rFonts w:ascii="宋体" w:hAnsi="宋体" w:eastAsia="宋体"/>
                <w:color w:val="auto"/>
                <w:sz w:val="22"/>
              </w:rPr>
            </w:pPr>
            <w:r>
              <w:rPr>
                <w:rFonts w:ascii="宋体" w:hAnsi="宋体" w:eastAsia="宋体"/>
                <w:color w:val="auto"/>
                <w:sz w:val="22"/>
              </w:rPr>
              <w:t>3.内容要求来自真实工作岗位、符合课程教学标准、包含有技能大赛内容和相关证书考试内容。</w:t>
            </w:r>
          </w:p>
          <w:p>
            <w:pPr>
              <w:rPr>
                <w:rFonts w:ascii="宋体" w:hAnsi="宋体" w:eastAsia="宋体"/>
                <w:color w:val="auto"/>
                <w:sz w:val="22"/>
              </w:rPr>
            </w:pPr>
            <w:r>
              <w:rPr>
                <w:rFonts w:ascii="宋体" w:hAnsi="宋体" w:eastAsia="宋体"/>
                <w:color w:val="auto"/>
                <w:sz w:val="22"/>
              </w:rPr>
              <w:t>4.场景与交互点模拟真实工作场景，应能够根据学生不同的实训操作或者不同的探究行为产生反馈，保证实训结果的真实性与可靠性。</w:t>
            </w:r>
          </w:p>
          <w:p>
            <w:pPr>
              <w:rPr>
                <w:rFonts w:ascii="宋体" w:hAnsi="宋体" w:eastAsia="宋体"/>
                <w:color w:val="auto"/>
                <w:sz w:val="22"/>
              </w:rPr>
            </w:pPr>
            <w:r>
              <w:rPr>
                <w:rFonts w:ascii="宋体" w:hAnsi="宋体" w:eastAsia="宋体"/>
                <w:color w:val="auto"/>
                <w:sz w:val="22"/>
              </w:rPr>
              <w:t>5. 具备可交互式理论知识体现形式，理论知识要可交互、可操作且与实际工作过程相融合。</w:t>
            </w:r>
          </w:p>
          <w:p>
            <w:pPr>
              <w:rPr>
                <w:rFonts w:ascii="宋体" w:hAnsi="宋体" w:eastAsia="宋体"/>
                <w:color w:val="auto"/>
                <w:sz w:val="22"/>
              </w:rPr>
            </w:pPr>
            <w:r>
              <w:rPr>
                <w:rFonts w:ascii="宋体" w:hAnsi="宋体" w:eastAsia="宋体"/>
                <w:color w:val="auto"/>
                <w:sz w:val="22"/>
              </w:rPr>
              <w:t>6.每个任务的交互性实训操作步骤不少于10 步，任务可评价点不少于5个。</w:t>
            </w:r>
          </w:p>
          <w:p>
            <w:pPr>
              <w:rPr>
                <w:rFonts w:ascii="宋体" w:hAnsi="宋体" w:eastAsia="宋体"/>
                <w:color w:val="auto"/>
                <w:sz w:val="22"/>
              </w:rPr>
            </w:pPr>
            <w:r>
              <w:rPr>
                <w:rFonts w:ascii="宋体" w:hAnsi="宋体" w:eastAsia="宋体"/>
                <w:color w:val="auto"/>
                <w:sz w:val="22"/>
              </w:rPr>
              <w:t>7.具备游戏化内容设计，包括单人任务、PK任务和组队任务等多种形式。</w:t>
            </w:r>
          </w:p>
          <w:p>
            <w:pPr>
              <w:widowControl/>
              <w:rPr>
                <w:rFonts w:ascii="宋体" w:hAnsi="宋体" w:eastAsia="宋体" w:cs="宋体"/>
                <w:color w:val="auto"/>
                <w:kern w:val="0"/>
                <w:sz w:val="22"/>
              </w:rPr>
            </w:pPr>
            <w:r>
              <w:rPr>
                <w:rFonts w:hint="eastAsia" w:ascii="宋体" w:hAnsi="宋体" w:eastAsia="宋体" w:cs="宋体"/>
                <w:color w:val="auto"/>
                <w:kern w:val="0"/>
                <w:sz w:val="22"/>
              </w:rPr>
              <w:t>*四、其他要求</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rPr>
              <w:t>为确保本项目可以顺利开展，供应商在投标时需具备并提供至少</w:t>
            </w:r>
            <w:r>
              <w:rPr>
                <w:rFonts w:ascii="宋体" w:hAnsi="宋体" w:eastAsia="宋体" w:cs="宋体"/>
                <w:color w:val="auto"/>
                <w:kern w:val="0"/>
                <w:sz w:val="22"/>
              </w:rPr>
              <w:t>1</w:t>
            </w:r>
            <w:r>
              <w:rPr>
                <w:rFonts w:hint="eastAsia" w:ascii="宋体" w:hAnsi="宋体" w:eastAsia="宋体" w:cs="宋体"/>
                <w:color w:val="auto"/>
                <w:kern w:val="0"/>
                <w:sz w:val="22"/>
              </w:rPr>
              <w:t>个跟本专业相关的软件著作权证书，以证明企业的开发能力。</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w:t>
            </w:r>
            <w:r>
              <w:rPr>
                <w:rFonts w:ascii="宋体" w:hAnsi="宋体" w:eastAsia="宋体" w:cs="宋体"/>
                <w:color w:val="auto"/>
                <w:kern w:val="0"/>
                <w:sz w:val="22"/>
              </w:rPr>
              <w:t>C-VR</w:t>
            </w:r>
            <w:r>
              <w:rPr>
                <w:rFonts w:hint="eastAsia" w:ascii="宋体" w:hAnsi="宋体" w:eastAsia="宋体" w:cs="宋体"/>
                <w:color w:val="auto"/>
                <w:kern w:val="0"/>
                <w:sz w:val="22"/>
              </w:rPr>
              <w:t>设备</w:t>
            </w:r>
          </w:p>
        </w:tc>
        <w:tc>
          <w:tcPr>
            <w:tcW w:w="2791" w:type="pct"/>
            <w:shd w:val="clear" w:color="auto" w:fill="auto"/>
            <w:vAlign w:val="center"/>
          </w:tcPr>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1.PC-VR头显：</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屏幕：双AMOLED 屏幕</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对角直径3.6吋</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分辨率：单眼分辨率为1440 x 1600组合分辨率为2880 x 1600像素</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刷新率：90 Hz</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视场角：110度</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2. 图形工作站</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GPU：GTX 970 以上</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i</w:t>
            </w:r>
            <w:r>
              <w:rPr>
                <w:rFonts w:hint="eastAsia" w:ascii="宋体" w:hAnsi="宋体" w:eastAsia="宋体" w:cs="宋体"/>
                <w:color w:val="auto"/>
                <w:kern w:val="0"/>
                <w:sz w:val="22"/>
                <w:lang w:val="en-US" w:eastAsia="zh-CN"/>
              </w:rPr>
              <w:t>5-4590</w:t>
            </w:r>
            <w:r>
              <w:rPr>
                <w:rFonts w:hint="eastAsia" w:ascii="宋体" w:hAnsi="宋体" w:eastAsia="宋体" w:cs="宋体"/>
                <w:color w:val="auto"/>
                <w:kern w:val="0"/>
                <w:sz w:val="22"/>
              </w:rPr>
              <w:t>以上</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RAM：</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 xml:space="preserve">G或以上 </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视频输出：DisplayPort 1.2</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端口：1x USB 3.0端口 </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rPr>
              <w:t xml:space="preserve">操作系统： Windows10 </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w:t>
            </w:r>
            <w:r>
              <w:rPr>
                <w:rFonts w:ascii="宋体" w:hAnsi="宋体" w:eastAsia="宋体" w:cs="宋体"/>
                <w:color w:val="auto"/>
                <w:kern w:val="0"/>
                <w:sz w:val="22"/>
              </w:rPr>
              <w:t>C</w:t>
            </w:r>
            <w:r>
              <w:rPr>
                <w:rFonts w:hint="eastAsia" w:ascii="宋体" w:hAnsi="宋体" w:eastAsia="宋体" w:cs="宋体"/>
                <w:color w:val="auto"/>
                <w:kern w:val="0"/>
                <w:sz w:val="22"/>
              </w:rPr>
              <w:t>电脑</w:t>
            </w:r>
          </w:p>
        </w:tc>
        <w:tc>
          <w:tcPr>
            <w:tcW w:w="2791" w:type="pct"/>
            <w:shd w:val="clear" w:color="auto" w:fill="auto"/>
            <w:vAlign w:val="center"/>
          </w:tcPr>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分辨率：1920*1080dpi</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屏幕尺寸：</w:t>
            </w:r>
            <w:r>
              <w:rPr>
                <w:rFonts w:hint="eastAsia" w:ascii="宋体" w:hAnsi="宋体" w:eastAsia="宋体" w:cs="宋体"/>
                <w:color w:val="auto"/>
                <w:kern w:val="0"/>
                <w:sz w:val="22"/>
                <w:lang w:val="en-US" w:eastAsia="zh-CN"/>
              </w:rPr>
              <w:t>27</w:t>
            </w:r>
            <w:r>
              <w:rPr>
                <w:rFonts w:hint="eastAsia" w:ascii="宋体" w:hAnsi="宋体" w:eastAsia="宋体" w:cs="宋体"/>
                <w:color w:val="auto"/>
                <w:kern w:val="0"/>
                <w:sz w:val="22"/>
              </w:rPr>
              <w:t>英寸</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输入设备有线鼠标、有线键盘</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CPU：CPU型号i5-11400</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16GBDDR4;GTX1660</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lang w:val="en-US" w:eastAsia="zh-CN"/>
              </w:rPr>
              <w:t>256</w:t>
            </w:r>
            <w:r>
              <w:rPr>
                <w:rFonts w:hint="eastAsia" w:ascii="宋体" w:hAnsi="宋体" w:eastAsia="宋体" w:cs="宋体"/>
                <w:color w:val="auto"/>
                <w:kern w:val="0"/>
                <w:sz w:val="22"/>
              </w:rPr>
              <w:t>GSSD;1TB7200RPMHDD</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 xml:space="preserve">8 </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融合投影</w:t>
            </w:r>
          </w:p>
        </w:tc>
        <w:tc>
          <w:tcPr>
            <w:tcW w:w="2791" w:type="pct"/>
            <w:shd w:val="clear" w:color="auto" w:fill="auto"/>
            <w:vAlign w:val="center"/>
          </w:tcPr>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用多投影拼接融合处理器结合激光投影技术，将高清内容投射到曲面幕布上，实现高清曲面融合投影。</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二、参数</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1. 激光工程投影仪2台</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投影技术：LCD  </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亮度：≥7000流明</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对比度：≥2500000:1</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分辨率：≥1920*1200                                                                                                                                                                   </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灯泡寿命：≥20000小时</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安装方式：吊装</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HDMI以太网传输信号转换器</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2.多投影拼接融合处理器</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实现多台投影画面的无缝拼接</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支持投影仪画面矫正功能</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支持热插拔信号线、电源线</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支持串联扩展</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支持7*24小时运行</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3.3D投影画面渲染输出PC图形工作站</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功能：3D投影画面渲染输出处理。</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机箱：全塔机箱 </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电源：800W电源</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主板：≥Z490-PLUS</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i7</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G DDR4 3200</w:t>
            </w:r>
          </w:p>
          <w:p>
            <w:pPr>
              <w:rPr>
                <w:rFonts w:ascii="宋体" w:hAnsi="宋体" w:eastAsia="宋体" w:cs="宋体"/>
                <w:color w:val="auto"/>
                <w:kern w:val="0"/>
                <w:sz w:val="22"/>
              </w:rPr>
            </w:pPr>
            <w:r>
              <w:rPr>
                <w:rFonts w:hint="eastAsia" w:ascii="宋体" w:hAnsi="宋体" w:eastAsia="宋体" w:cs="宋体"/>
                <w:color w:val="auto"/>
                <w:kern w:val="0"/>
                <w:sz w:val="22"/>
              </w:rPr>
              <w:t>显卡：≥</w:t>
            </w: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G</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SSD：≥500GB  M.2接口</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硬盘：≥2T</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rPr>
              <w:t>键鼠：有线键鼠套装</w:t>
            </w:r>
          </w:p>
        </w:tc>
        <w:tc>
          <w:tcPr>
            <w:tcW w:w="259"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1"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22</w:t>
            </w:r>
            <w:r>
              <w:rPr>
                <w:rFonts w:hint="eastAsia" w:ascii="宋体" w:hAnsi="宋体" w:eastAsia="宋体" w:cs="宋体"/>
                <w:color w:val="auto"/>
                <w:kern w:val="0"/>
                <w:sz w:val="22"/>
              </w:rPr>
              <w:t>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I7</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ascii="宋体" w:hAnsi="宋体" w:eastAsia="宋体" w:cs="宋体"/>
                <w:color w:val="auto"/>
                <w:kern w:val="0"/>
                <w:sz w:val="22"/>
              </w:rPr>
              <w:t>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8</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9</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千兆端口：9个</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0</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6人六角桌</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1.环保板材E1级环保三聚氰胺面板，板材厚度25MM，结实稳固PVC封边条，全自动封边机热熔胶封边。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2.便捷置物架可以，收纳方便，方便放置书本物品。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3.烤漆脚架，采用环保脚架烤漆工艺，防止生锈防腐蚀，耐磨耐用，颜色均匀不易掉漆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4.静音万向轮：上下脚刹功能，360旋转，较少噪音同时避免刮伤地板，轻松方便。        </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5.折叠开关：方便收纳节省空间，随意组合，空间合理利用。                     </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6.支持教学模式、会议模式、汇报模式、分组讨论模型等多种模式随机组合。</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9</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55</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4" w:type="pct"/>
            <w:vAlign w:val="center"/>
          </w:tcPr>
          <w:p>
            <w:pPr>
              <w:widowControl/>
              <w:jc w:val="center"/>
              <w:rPr>
                <w:rFonts w:ascii="宋体" w:hAnsi="宋体" w:cs="宋体"/>
                <w:kern w:val="0"/>
                <w:sz w:val="22"/>
              </w:rPr>
            </w:pPr>
          </w:p>
        </w:tc>
        <w:tc>
          <w:tcPr>
            <w:tcW w:w="533"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ascii="宋体" w:hAnsi="宋体" w:cs="宋体"/>
                <w:kern w:val="0"/>
                <w:sz w:val="22"/>
              </w:rPr>
              <w:t>15</w:t>
            </w: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1"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59"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4" w:type="pct"/>
            <w:vAlign w:val="center"/>
          </w:tcPr>
          <w:p>
            <w:pPr>
              <w:widowControl/>
              <w:jc w:val="center"/>
              <w:rPr>
                <w:rFonts w:ascii="宋体" w:hAnsi="宋体"/>
                <w:sz w:val="22"/>
              </w:rPr>
            </w:pPr>
          </w:p>
        </w:tc>
        <w:tc>
          <w:tcPr>
            <w:tcW w:w="533" w:type="pct"/>
            <w:vAlign w:val="center"/>
          </w:tcPr>
          <w:p>
            <w:pPr>
              <w:widowControl/>
              <w:jc w:val="center"/>
              <w:rPr>
                <w:rFonts w:ascii="宋体" w:hAnsi="宋体" w:cs="宋体"/>
                <w:kern w:val="0"/>
                <w:sz w:val="22"/>
              </w:rPr>
            </w:pPr>
          </w:p>
        </w:tc>
      </w:tr>
    </w:tbl>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第七标段：</w:t>
      </w:r>
    </w:p>
    <w:tbl>
      <w:tblPr>
        <w:tblStyle w:val="26"/>
        <w:tblW w:w="51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8"/>
        <w:gridCol w:w="5685"/>
        <w:gridCol w:w="530"/>
        <w:gridCol w:w="395"/>
        <w:gridCol w:w="92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519"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采购内容</w:t>
            </w:r>
          </w:p>
        </w:tc>
        <w:tc>
          <w:tcPr>
            <w:tcW w:w="2793"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技术参数要求</w:t>
            </w:r>
          </w:p>
        </w:tc>
        <w:tc>
          <w:tcPr>
            <w:tcW w:w="260" w:type="pct"/>
            <w:shd w:val="clear" w:color="auto" w:fill="auto"/>
            <w:noWrap/>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194" w:type="pct"/>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单位</w:t>
            </w:r>
          </w:p>
        </w:tc>
        <w:tc>
          <w:tcPr>
            <w:tcW w:w="453" w:type="pct"/>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w:t>
            </w:r>
          </w:p>
        </w:tc>
        <w:tc>
          <w:tcPr>
            <w:tcW w:w="532" w:type="pct"/>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物业服务仿真系统</w:t>
            </w:r>
          </w:p>
        </w:tc>
        <w:tc>
          <w:tcPr>
            <w:tcW w:w="2793" w:type="pct"/>
            <w:shd w:val="clear" w:color="auto" w:fill="auto"/>
            <w:vAlign w:val="center"/>
          </w:tcPr>
          <w:p>
            <w:pPr>
              <w:rPr>
                <w:rFonts w:ascii="宋体" w:hAnsi="宋体" w:eastAsia="宋体"/>
                <w:color w:val="auto"/>
                <w:sz w:val="22"/>
              </w:rPr>
            </w:pPr>
            <w:r>
              <w:rPr>
                <w:rFonts w:hint="eastAsia" w:ascii="宋体" w:hAnsi="宋体" w:eastAsia="宋体"/>
                <w:color w:val="auto"/>
                <w:sz w:val="22"/>
              </w:rPr>
              <w:t>一、功能</w:t>
            </w:r>
          </w:p>
          <w:p>
            <w:pPr>
              <w:rPr>
                <w:rFonts w:ascii="宋体" w:hAnsi="宋体" w:eastAsia="宋体"/>
                <w:color w:val="auto"/>
                <w:sz w:val="22"/>
              </w:rPr>
            </w:pPr>
            <w:r>
              <w:rPr>
                <w:rFonts w:hint="eastAsia" w:ascii="宋体" w:hAnsi="宋体" w:eastAsia="宋体" w:cs="宋体"/>
                <w:color w:val="auto"/>
                <w:kern w:val="0"/>
                <w:sz w:val="22"/>
              </w:rPr>
              <w:t>物业管理仿真系统以物业专业教材为基础，从物业技术管理和物业管理服务两个方向构建仿真场景与工作过程，通过演示与模拟操作两种方式完成物业专业的知识与技能实训。</w:t>
            </w:r>
          </w:p>
          <w:p>
            <w:pPr>
              <w:rPr>
                <w:rFonts w:ascii="宋体" w:hAnsi="宋体" w:eastAsia="宋体"/>
                <w:color w:val="auto"/>
                <w:sz w:val="22"/>
              </w:rPr>
            </w:pPr>
            <w:r>
              <w:rPr>
                <w:rFonts w:hint="eastAsia" w:ascii="宋体" w:hAnsi="宋体" w:eastAsia="宋体"/>
                <w:color w:val="auto"/>
                <w:sz w:val="22"/>
              </w:rPr>
              <w:t>二、场景模块</w:t>
            </w:r>
          </w:p>
          <w:p>
            <w:pPr>
              <w:rPr>
                <w:rFonts w:ascii="宋体" w:hAnsi="宋体" w:eastAsia="宋体"/>
                <w:color w:val="auto"/>
                <w:sz w:val="22"/>
              </w:rPr>
            </w:pPr>
            <w:r>
              <w:rPr>
                <w:rFonts w:hint="eastAsia" w:ascii="宋体" w:hAnsi="宋体" w:eastAsia="宋体"/>
                <w:color w:val="auto"/>
                <w:sz w:val="22"/>
              </w:rPr>
              <w:t>（一）模型分类</w:t>
            </w:r>
          </w:p>
          <w:p>
            <w:pPr>
              <w:rPr>
                <w:rFonts w:ascii="宋体" w:hAnsi="宋体" w:eastAsia="宋体"/>
                <w:color w:val="auto"/>
                <w:sz w:val="22"/>
              </w:rPr>
            </w:pPr>
            <w:r>
              <w:rPr>
                <w:rFonts w:hint="eastAsia" w:ascii="宋体" w:hAnsi="宋体" w:eastAsia="宋体"/>
                <w:color w:val="auto"/>
                <w:sz w:val="22"/>
              </w:rPr>
              <w:t>1</w:t>
            </w:r>
            <w:r>
              <w:rPr>
                <w:rFonts w:ascii="宋体" w:hAnsi="宋体" w:eastAsia="宋体"/>
                <w:color w:val="auto"/>
                <w:sz w:val="22"/>
              </w:rPr>
              <w:t>.</w:t>
            </w:r>
            <w:r>
              <w:rPr>
                <w:rFonts w:hint="eastAsia" w:ascii="宋体" w:hAnsi="宋体" w:eastAsia="宋体"/>
                <w:color w:val="auto"/>
                <w:sz w:val="22"/>
              </w:rPr>
              <w:t>环境模型</w:t>
            </w:r>
          </w:p>
          <w:p>
            <w:pPr>
              <w:snapToGrid w:val="0"/>
              <w:rPr>
                <w:rFonts w:ascii="宋体" w:hAnsi="宋体" w:eastAsia="宋体"/>
                <w:color w:val="auto"/>
                <w:sz w:val="22"/>
              </w:rPr>
            </w:pPr>
            <w:r>
              <w:rPr>
                <w:rFonts w:hint="eastAsia" w:ascii="宋体" w:hAnsi="宋体" w:eastAsia="宋体"/>
                <w:color w:val="auto"/>
                <w:sz w:val="22"/>
              </w:rPr>
              <w:t>①具有西藏特色的小区环境场景，小区内包含具有藏区特色的建筑物、住宅楼、物业中心、草坪、花卉、路灯、苗木（果木树、风景树）、监控设备、健身器械、凉亭、安保亭等设施。</w:t>
            </w:r>
          </w:p>
          <w:p>
            <w:pPr>
              <w:snapToGrid w:val="0"/>
              <w:rPr>
                <w:rFonts w:ascii="宋体" w:hAnsi="宋体" w:eastAsia="宋体"/>
                <w:color w:val="auto"/>
                <w:sz w:val="22"/>
              </w:rPr>
            </w:pPr>
            <w:r>
              <w:rPr>
                <w:rFonts w:hint="eastAsia" w:ascii="宋体" w:hAnsi="宋体" w:eastAsia="宋体"/>
                <w:color w:val="auto"/>
                <w:sz w:val="22"/>
              </w:rPr>
              <w:t>②物业中心内部场景，有物业接待前台、收费处、安保部、绿化部、工程维修部等，各部分按照其功能配置不同的设施，包括但不限于电脑、办公桌椅、接待椅、花草装饰等，还需要根据各部分的专业性配置相应的设施，如工程维修部配置水电维修工具等。</w:t>
            </w:r>
          </w:p>
          <w:p>
            <w:pPr>
              <w:rPr>
                <w:rFonts w:ascii="宋体" w:hAnsi="宋体" w:eastAsia="宋体"/>
                <w:color w:val="auto"/>
                <w:sz w:val="22"/>
              </w:rPr>
            </w:pPr>
            <w:r>
              <w:rPr>
                <w:rFonts w:ascii="宋体" w:hAnsi="宋体" w:eastAsia="宋体"/>
                <w:color w:val="auto"/>
                <w:sz w:val="22"/>
              </w:rPr>
              <w:t>③</w:t>
            </w:r>
            <w:r>
              <w:rPr>
                <w:rFonts w:hint="eastAsia" w:ascii="宋体" w:hAnsi="宋体" w:eastAsia="宋体"/>
                <w:color w:val="auto"/>
                <w:sz w:val="22"/>
              </w:rPr>
              <w:t>业主室内场景（三居室），有室内上下水、给排水系统、照明用电系统、基本家具家电设备、总控开关、消防设备、水电费装置等。</w:t>
            </w:r>
          </w:p>
          <w:p>
            <w:pPr>
              <w:rPr>
                <w:rFonts w:ascii="宋体" w:hAnsi="宋体" w:eastAsia="宋体"/>
                <w:color w:val="auto"/>
                <w:sz w:val="22"/>
              </w:rPr>
            </w:pPr>
            <w:r>
              <w:rPr>
                <w:rFonts w:hint="eastAsia" w:ascii="宋体" w:hAnsi="宋体" w:eastAsia="宋体"/>
                <w:color w:val="auto"/>
                <w:sz w:val="22"/>
              </w:rPr>
              <w:t>2</w:t>
            </w:r>
            <w:r>
              <w:rPr>
                <w:rFonts w:ascii="宋体" w:hAnsi="宋体" w:eastAsia="宋体"/>
                <w:color w:val="auto"/>
                <w:sz w:val="22"/>
              </w:rPr>
              <w:t>.</w:t>
            </w:r>
            <w:r>
              <w:rPr>
                <w:rFonts w:hint="eastAsia" w:ascii="宋体" w:hAnsi="宋体" w:eastAsia="宋体"/>
                <w:color w:val="auto"/>
                <w:sz w:val="22"/>
              </w:rPr>
              <w:t>人物模型，小区内宏观场景下的基本人物模型，物业服务中心的接待人物模型、工程维修人物模型、安保人物模型、绿化人物模型、业主模型等。</w:t>
            </w:r>
          </w:p>
          <w:p>
            <w:pPr>
              <w:rPr>
                <w:rFonts w:ascii="宋体" w:hAnsi="宋体" w:eastAsia="宋体"/>
                <w:color w:val="auto"/>
                <w:sz w:val="22"/>
              </w:rPr>
            </w:pPr>
            <w:r>
              <w:rPr>
                <w:rFonts w:hint="eastAsia" w:ascii="宋体" w:hAnsi="宋体" w:eastAsia="宋体"/>
                <w:color w:val="auto"/>
                <w:sz w:val="22"/>
              </w:rPr>
              <w:t>3</w:t>
            </w:r>
            <w:r>
              <w:rPr>
                <w:rFonts w:ascii="宋体" w:hAnsi="宋体" w:eastAsia="宋体"/>
                <w:color w:val="auto"/>
                <w:sz w:val="22"/>
              </w:rPr>
              <w:t>.</w:t>
            </w:r>
            <w:r>
              <w:rPr>
                <w:rFonts w:hint="eastAsia" w:ascii="宋体" w:hAnsi="宋体" w:eastAsia="宋体"/>
                <w:color w:val="auto"/>
                <w:sz w:val="22"/>
              </w:rPr>
              <w:t>工具设备模型</w:t>
            </w:r>
          </w:p>
          <w:p>
            <w:pPr>
              <w:rPr>
                <w:rFonts w:ascii="宋体" w:hAnsi="宋体" w:eastAsia="宋体"/>
                <w:color w:val="auto"/>
                <w:sz w:val="22"/>
              </w:rPr>
            </w:pPr>
            <w:r>
              <w:rPr>
                <w:rFonts w:hint="eastAsia" w:ascii="宋体" w:hAnsi="宋体" w:eastAsia="宋体"/>
                <w:color w:val="auto"/>
                <w:sz w:val="22"/>
              </w:rPr>
              <w:t>水电系统维修工具、消防设备、无人机设备、监控设备、物业人员服装模型等。</w:t>
            </w:r>
          </w:p>
          <w:p>
            <w:pPr>
              <w:rPr>
                <w:rFonts w:ascii="宋体" w:hAnsi="宋体" w:eastAsia="宋体"/>
                <w:color w:val="auto"/>
                <w:sz w:val="22"/>
              </w:rPr>
            </w:pPr>
            <w:r>
              <w:rPr>
                <w:rFonts w:hint="eastAsia" w:ascii="宋体" w:hAnsi="宋体" w:eastAsia="宋体"/>
                <w:color w:val="auto"/>
                <w:sz w:val="22"/>
              </w:rPr>
              <w:t>（二）模型标准</w:t>
            </w:r>
          </w:p>
          <w:p>
            <w:pPr>
              <w:rPr>
                <w:rFonts w:hint="eastAsia" w:ascii="宋体" w:hAnsi="宋体" w:eastAsia="宋体" w:cs="宋体"/>
                <w:color w:val="auto"/>
                <w:kern w:val="0"/>
                <w:sz w:val="22"/>
                <w:lang w:eastAsia="zh-CN"/>
              </w:rPr>
            </w:pPr>
            <w:r>
              <w:rPr>
                <w:rFonts w:ascii="宋体" w:hAnsi="宋体" w:eastAsia="宋体" w:cs="宋体"/>
                <w:color w:val="auto"/>
                <w:kern w:val="0"/>
                <w:sz w:val="22"/>
              </w:rPr>
              <w:t>1.</w:t>
            </w:r>
            <w:r>
              <w:rPr>
                <w:rFonts w:hint="eastAsia" w:ascii="宋体" w:hAnsi="宋体" w:eastAsia="宋体" w:cs="宋体"/>
                <w:color w:val="auto"/>
                <w:kern w:val="0"/>
                <w:sz w:val="22"/>
              </w:rPr>
              <w:t>用合理的优化方法，能满足不同硬件设备（</w:t>
            </w:r>
            <w:r>
              <w:rPr>
                <w:rFonts w:ascii="宋体" w:hAnsi="宋体" w:eastAsia="宋体" w:cs="宋体"/>
                <w:color w:val="auto"/>
                <w:kern w:val="0"/>
                <w:sz w:val="22"/>
              </w:rPr>
              <w:t>VR</w:t>
            </w:r>
            <w:r>
              <w:rPr>
                <w:rFonts w:hint="eastAsia" w:ascii="宋体" w:hAnsi="宋体" w:eastAsia="宋体" w:cs="宋体"/>
                <w:color w:val="auto"/>
                <w:kern w:val="0"/>
                <w:sz w:val="22"/>
              </w:rPr>
              <w:t>一体机、PC电脑）3D引擎的渲染性能要求，在不同设备上均能流畅运行。</w:t>
            </w:r>
          </w:p>
          <w:p>
            <w:pPr>
              <w:rPr>
                <w:rFonts w:hint="eastAsia" w:ascii="宋体" w:hAnsi="宋体" w:eastAsia="宋体" w:cs="宋体"/>
                <w:color w:val="auto"/>
                <w:kern w:val="0"/>
                <w:sz w:val="22"/>
                <w:lang w:eastAsia="zh-CN"/>
              </w:rPr>
            </w:pPr>
            <w:r>
              <w:rPr>
                <w:rFonts w:ascii="宋体" w:hAnsi="宋体" w:eastAsia="宋体" w:cs="宋体"/>
                <w:color w:val="auto"/>
                <w:kern w:val="0"/>
                <w:sz w:val="22"/>
              </w:rPr>
              <w:t>2</w:t>
            </w:r>
            <w:r>
              <w:rPr>
                <w:rFonts w:hint="eastAsia" w:ascii="宋体" w:hAnsi="宋体" w:eastAsia="宋体" w:cs="宋体"/>
                <w:color w:val="auto"/>
                <w:kern w:val="0"/>
                <w:sz w:val="22"/>
              </w:rPr>
              <w:t>.实时渲染帧率保持在每秒 45～60 帧，VR设备实时渲染帧率不低于每秒 75 帧。</w:t>
            </w:r>
          </w:p>
          <w:p>
            <w:pPr>
              <w:rPr>
                <w:rFonts w:hint="eastAsia" w:ascii="宋体" w:hAnsi="宋体" w:eastAsia="宋体" w:cs="宋体"/>
                <w:color w:val="auto"/>
                <w:kern w:val="0"/>
                <w:sz w:val="22"/>
                <w:lang w:eastAsia="zh-CN"/>
              </w:rPr>
            </w:pPr>
            <w:r>
              <w:rPr>
                <w:rFonts w:ascii="宋体" w:hAnsi="宋体" w:eastAsia="宋体" w:cs="宋体"/>
                <w:color w:val="auto"/>
                <w:kern w:val="0"/>
                <w:sz w:val="22"/>
              </w:rPr>
              <w:t>3</w:t>
            </w:r>
            <w:r>
              <w:rPr>
                <w:rFonts w:hint="eastAsia" w:ascii="宋体" w:hAnsi="宋体" w:eastAsia="宋体" w:cs="宋体"/>
                <w:color w:val="auto"/>
                <w:kern w:val="0"/>
                <w:sz w:val="22"/>
              </w:rPr>
              <w:t>.所有场景最终采用混合光照模式，静态模型采用静态光照，动态模型采用实时光照系统。</w:t>
            </w:r>
          </w:p>
          <w:p>
            <w:pPr>
              <w:rPr>
                <w:rFonts w:ascii="宋体" w:hAnsi="宋体" w:eastAsia="宋体"/>
                <w:color w:val="auto"/>
                <w:sz w:val="22"/>
              </w:rPr>
            </w:pPr>
            <w:r>
              <w:rPr>
                <w:rFonts w:ascii="宋体" w:hAnsi="宋体" w:eastAsia="宋体" w:cs="宋体"/>
                <w:color w:val="auto"/>
                <w:kern w:val="0"/>
                <w:sz w:val="22"/>
              </w:rPr>
              <w:t>4</w:t>
            </w:r>
            <w:r>
              <w:rPr>
                <w:rFonts w:hint="eastAsia" w:ascii="宋体" w:hAnsi="宋体" w:eastAsia="宋体" w:cs="宋体"/>
                <w:color w:val="auto"/>
                <w:kern w:val="0"/>
                <w:sz w:val="22"/>
              </w:rPr>
              <w:t>.模型在视觉效果上能很好的区分不同的材质属性，如金属件、塑料件、漆面、玻璃、皮革、水流、电流、植物等。</w:t>
            </w:r>
          </w:p>
          <w:p>
            <w:pPr>
              <w:rPr>
                <w:rFonts w:ascii="宋体" w:hAnsi="宋体" w:eastAsia="宋体"/>
                <w:color w:val="auto"/>
                <w:sz w:val="22"/>
              </w:rPr>
            </w:pPr>
            <w:r>
              <w:rPr>
                <w:rFonts w:hint="eastAsia" w:ascii="宋体" w:hAnsi="宋体" w:eastAsia="宋体"/>
                <w:color w:val="auto"/>
                <w:sz w:val="22"/>
              </w:rPr>
              <w:t>三、任务模块</w:t>
            </w:r>
          </w:p>
          <w:p>
            <w:pPr>
              <w:rPr>
                <w:rFonts w:ascii="宋体" w:hAnsi="宋体" w:eastAsia="宋体"/>
                <w:color w:val="auto"/>
                <w:sz w:val="22"/>
              </w:rPr>
            </w:pPr>
            <w:r>
              <w:rPr>
                <w:rFonts w:hint="eastAsia" w:ascii="宋体" w:hAnsi="宋体" w:eastAsia="宋体"/>
                <w:color w:val="auto"/>
                <w:sz w:val="22"/>
              </w:rPr>
              <w:t>（一）任务范围</w:t>
            </w:r>
          </w:p>
          <w:p>
            <w:pPr>
              <w:rPr>
                <w:rFonts w:ascii="宋体" w:hAnsi="宋体" w:eastAsia="宋体"/>
                <w:color w:val="auto"/>
                <w:sz w:val="22"/>
              </w:rPr>
            </w:pPr>
            <w:r>
              <w:rPr>
                <w:rFonts w:hint="eastAsia" w:ascii="宋体" w:hAnsi="宋体" w:eastAsia="宋体"/>
                <w:color w:val="auto"/>
                <w:sz w:val="22"/>
              </w:rPr>
              <w:t>物业服务仿真系统任务范围包括但不限于以下内容：水系统工具、电工工具、供暖设备维修工具、客服模拟、专业服装配置、物业接待专业术语、管道组装、电工基础知识、电路系统的操作与养护、智能安防系统、无人机工作、监控系统种类认知、监控系统安装、监控系统操作和保养、智能水费收取、智能电费收取、智能物业费收取、园林美化工具、修剪美化与养护、园林设计、企业组织架构认知、后期维修、消防设备设施和器材配备（认识与工作原理）、消防系统的操作及保养、消防系统日常巡视、消防系统模拟消防演习等。</w:t>
            </w:r>
          </w:p>
          <w:p>
            <w:pPr>
              <w:rPr>
                <w:rFonts w:ascii="宋体" w:hAnsi="宋体" w:eastAsia="宋体"/>
                <w:color w:val="auto"/>
                <w:sz w:val="22"/>
              </w:rPr>
            </w:pPr>
            <w:r>
              <w:rPr>
                <w:rFonts w:hint="eastAsia" w:ascii="宋体" w:hAnsi="宋体" w:eastAsia="宋体"/>
                <w:color w:val="auto"/>
                <w:sz w:val="22"/>
              </w:rPr>
              <w:t>（二）任务标准</w:t>
            </w:r>
          </w:p>
          <w:p>
            <w:pPr>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任务</w:t>
            </w:r>
            <w:r>
              <w:rPr>
                <w:rFonts w:ascii="宋体" w:hAnsi="宋体" w:eastAsia="宋体"/>
                <w:color w:val="auto"/>
                <w:sz w:val="22"/>
              </w:rPr>
              <w:t xml:space="preserve">的交互方式包括鼠标、键盘和操控手柄。 </w:t>
            </w:r>
          </w:p>
          <w:p>
            <w:pPr>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任务</w:t>
            </w:r>
            <w:r>
              <w:rPr>
                <w:rFonts w:ascii="宋体" w:hAnsi="宋体" w:eastAsia="宋体"/>
                <w:color w:val="auto"/>
                <w:sz w:val="22"/>
              </w:rPr>
              <w:t>的实训内容采用模块化设计，可自由组合。</w:t>
            </w:r>
          </w:p>
          <w:p>
            <w:pPr>
              <w:rPr>
                <w:rFonts w:ascii="宋体" w:hAnsi="宋体" w:eastAsia="宋体"/>
                <w:color w:val="auto"/>
                <w:sz w:val="22"/>
              </w:rPr>
            </w:pPr>
            <w:r>
              <w:rPr>
                <w:rFonts w:ascii="宋体" w:hAnsi="宋体" w:eastAsia="宋体"/>
                <w:color w:val="auto"/>
                <w:sz w:val="22"/>
              </w:rPr>
              <w:t>3.内容要求来自真实工作岗位、符合课程教学标准、包含有技能大赛内容和相关证书考试内容。</w:t>
            </w:r>
          </w:p>
          <w:p>
            <w:pPr>
              <w:rPr>
                <w:rFonts w:ascii="宋体" w:hAnsi="宋体" w:eastAsia="宋体"/>
                <w:color w:val="auto"/>
                <w:sz w:val="22"/>
              </w:rPr>
            </w:pPr>
            <w:r>
              <w:rPr>
                <w:rFonts w:ascii="宋体" w:hAnsi="宋体" w:eastAsia="宋体"/>
                <w:color w:val="auto"/>
                <w:sz w:val="22"/>
              </w:rPr>
              <w:t>4.场景与交互点模拟真实工作场景，应能够根据学生不同的实训操作或者不同的探究行为产生反馈，保证实训结果的真实性与可靠性。</w:t>
            </w:r>
          </w:p>
          <w:p>
            <w:pPr>
              <w:rPr>
                <w:rFonts w:ascii="宋体" w:hAnsi="宋体" w:eastAsia="宋体"/>
                <w:color w:val="auto"/>
                <w:sz w:val="22"/>
              </w:rPr>
            </w:pPr>
            <w:r>
              <w:rPr>
                <w:rFonts w:ascii="宋体" w:hAnsi="宋体" w:eastAsia="宋体"/>
                <w:color w:val="auto"/>
                <w:sz w:val="22"/>
              </w:rPr>
              <w:t>5. 具备可交互式理论知识体现形式，理论知识要可交互、可操作且与实际工作过程相融合。</w:t>
            </w:r>
          </w:p>
          <w:p>
            <w:pPr>
              <w:rPr>
                <w:rFonts w:ascii="宋体" w:hAnsi="宋体" w:eastAsia="宋体"/>
                <w:color w:val="auto"/>
                <w:sz w:val="22"/>
              </w:rPr>
            </w:pPr>
            <w:r>
              <w:rPr>
                <w:rFonts w:ascii="宋体" w:hAnsi="宋体" w:eastAsia="宋体"/>
                <w:color w:val="auto"/>
                <w:sz w:val="22"/>
              </w:rPr>
              <w:t>6.每个任务的交互性实训操作步骤不少于10 步，任务可评价点不少于5个。</w:t>
            </w:r>
          </w:p>
          <w:p>
            <w:pPr>
              <w:rPr>
                <w:rFonts w:ascii="宋体" w:hAnsi="宋体" w:eastAsia="宋体" w:cs="Times New Roman"/>
                <w:color w:val="auto"/>
                <w:kern w:val="2"/>
                <w:sz w:val="22"/>
                <w:szCs w:val="24"/>
                <w:lang w:val="en-US" w:eastAsia="zh-CN" w:bidi="ar-SA"/>
              </w:rPr>
            </w:pPr>
            <w:r>
              <w:rPr>
                <w:rFonts w:ascii="宋体" w:hAnsi="宋体" w:eastAsia="宋体"/>
                <w:color w:val="auto"/>
                <w:sz w:val="22"/>
              </w:rPr>
              <w:t>7.具备游戏化内容设计，包括单人任务、PK任务和组队任务等多种形式。</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智慧沙盘系统</w:t>
            </w:r>
          </w:p>
        </w:tc>
        <w:tc>
          <w:tcPr>
            <w:tcW w:w="2793"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智慧沙盘系统包括智慧沙盘、控制软件、L</w:t>
            </w:r>
            <w:r>
              <w:rPr>
                <w:rFonts w:ascii="宋体" w:hAnsi="宋体" w:eastAsia="宋体" w:cs="宋体"/>
                <w:color w:val="auto"/>
                <w:kern w:val="0"/>
                <w:sz w:val="22"/>
              </w:rPr>
              <w:t>ED</w:t>
            </w:r>
            <w:r>
              <w:rPr>
                <w:rFonts w:hint="eastAsia" w:ascii="宋体" w:hAnsi="宋体" w:eastAsia="宋体" w:cs="宋体"/>
                <w:color w:val="auto"/>
                <w:kern w:val="0"/>
                <w:sz w:val="22"/>
              </w:rPr>
              <w:t>大屏、大屏伺服器等，用于物业专业的实训教学，直观的展示物业场景布局，使学生了解物业服务的基本内容。</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二、要求</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w:t>
            </w:r>
            <w:r>
              <w:rPr>
                <w:rFonts w:ascii="宋体" w:hAnsi="宋体" w:eastAsia="宋体" w:cs="宋体"/>
                <w:color w:val="auto"/>
                <w:kern w:val="0"/>
                <w:sz w:val="22"/>
              </w:rPr>
              <w:t>.</w:t>
            </w:r>
            <w:r>
              <w:rPr>
                <w:rFonts w:hint="eastAsia" w:ascii="宋体" w:hAnsi="宋体" w:eastAsia="宋体" w:cs="宋体"/>
                <w:color w:val="auto"/>
                <w:kern w:val="0"/>
                <w:sz w:val="22"/>
              </w:rPr>
              <w:t>智慧沙盘尺寸不小于2</w:t>
            </w:r>
            <w:r>
              <w:rPr>
                <w:rFonts w:ascii="宋体" w:hAnsi="宋体" w:eastAsia="宋体" w:cs="宋体"/>
                <w:color w:val="auto"/>
                <w:kern w:val="0"/>
                <w:sz w:val="22"/>
              </w:rPr>
              <w:t>.6*1.5</w:t>
            </w:r>
            <w:r>
              <w:rPr>
                <w:rFonts w:hint="eastAsia" w:ascii="宋体" w:hAnsi="宋体" w:eastAsia="宋体" w:cs="宋体"/>
                <w:color w:val="auto"/>
                <w:kern w:val="0"/>
                <w:sz w:val="22"/>
              </w:rPr>
              <w:t>米。</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2</w:t>
            </w:r>
            <w:r>
              <w:rPr>
                <w:rFonts w:ascii="宋体" w:hAnsi="宋体" w:eastAsia="宋体" w:cs="宋体"/>
                <w:color w:val="auto"/>
                <w:kern w:val="0"/>
                <w:sz w:val="22"/>
              </w:rPr>
              <w:t>.</w:t>
            </w:r>
            <w:r>
              <w:rPr>
                <w:rFonts w:hint="eastAsia" w:ascii="宋体" w:hAnsi="宋体" w:eastAsia="宋体" w:cs="宋体"/>
                <w:color w:val="auto"/>
                <w:kern w:val="0"/>
                <w:sz w:val="22"/>
              </w:rPr>
              <w:t>智慧沙盘的主要设备设施（楼宇照明、路灯、监控、门禁等）内置传感器，具备动态结构。</w:t>
            </w:r>
          </w:p>
          <w:p>
            <w:pPr>
              <w:widowControl/>
              <w:jc w:val="left"/>
              <w:rPr>
                <w:rFonts w:ascii="宋体" w:hAnsi="宋体" w:eastAsia="宋体" w:cs="宋体"/>
                <w:color w:val="auto"/>
                <w:kern w:val="0"/>
                <w:sz w:val="22"/>
              </w:rPr>
            </w:pPr>
            <w:r>
              <w:rPr>
                <w:rFonts w:ascii="宋体" w:hAnsi="宋体" w:eastAsia="宋体" w:cs="宋体"/>
                <w:color w:val="auto"/>
                <w:kern w:val="0"/>
                <w:sz w:val="22"/>
              </w:rPr>
              <w:t>3.</w:t>
            </w:r>
            <w:r>
              <w:rPr>
                <w:rFonts w:hint="eastAsia" w:ascii="宋体" w:hAnsi="宋体" w:eastAsia="宋体" w:cs="宋体"/>
                <w:color w:val="auto"/>
                <w:kern w:val="0"/>
                <w:sz w:val="22"/>
              </w:rPr>
              <w:t>控制软件可以设置传感器故障，并且可以在L</w:t>
            </w:r>
            <w:r>
              <w:rPr>
                <w:rFonts w:ascii="宋体" w:hAnsi="宋体" w:eastAsia="宋体" w:cs="宋体"/>
                <w:color w:val="auto"/>
                <w:kern w:val="0"/>
                <w:sz w:val="22"/>
              </w:rPr>
              <w:t>ED</w:t>
            </w:r>
            <w:r>
              <w:rPr>
                <w:rFonts w:hint="eastAsia" w:ascii="宋体" w:hAnsi="宋体" w:eastAsia="宋体" w:cs="宋体"/>
                <w:color w:val="auto"/>
                <w:kern w:val="0"/>
                <w:sz w:val="22"/>
              </w:rPr>
              <w:t>大屏上显示故障现象。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4</w:t>
            </w:r>
            <w:r>
              <w:rPr>
                <w:rFonts w:ascii="宋体" w:hAnsi="宋体" w:eastAsia="宋体" w:cs="宋体"/>
                <w:color w:val="auto"/>
                <w:kern w:val="0"/>
                <w:sz w:val="22"/>
              </w:rPr>
              <w:t>.LED</w:t>
            </w:r>
            <w:r>
              <w:rPr>
                <w:rFonts w:hint="eastAsia" w:ascii="宋体" w:hAnsi="宋体" w:eastAsia="宋体" w:cs="宋体"/>
                <w:color w:val="auto"/>
                <w:kern w:val="0"/>
                <w:sz w:val="22"/>
              </w:rPr>
              <w:t>大屏可以与智慧沙盘联动显示，通过大屏展示出物业服务内容。</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5</w:t>
            </w:r>
            <w:r>
              <w:rPr>
                <w:rFonts w:ascii="宋体" w:hAnsi="宋体" w:eastAsia="宋体" w:cs="宋体"/>
                <w:color w:val="auto"/>
                <w:kern w:val="0"/>
                <w:sz w:val="22"/>
              </w:rPr>
              <w:t>.</w:t>
            </w:r>
            <w:r>
              <w:rPr>
                <w:rFonts w:hint="eastAsia" w:ascii="宋体" w:hAnsi="宋体" w:eastAsia="宋体" w:cs="宋体"/>
                <w:color w:val="auto"/>
                <w:kern w:val="0"/>
                <w:sz w:val="22"/>
              </w:rPr>
              <w:t>沙盘模型包括但不限于具有西藏特色的小区环境场景，行人，车辆。小区内包含具有藏区特色的建筑物、住宅楼、物业中心、草坪、花卉、路灯、苗木（果木树、风景树）、监控设备、健身器械、凉亭、安保亭、门禁等设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6</w:t>
            </w:r>
            <w:r>
              <w:rPr>
                <w:rFonts w:ascii="宋体" w:hAnsi="宋体" w:eastAsia="宋体" w:cs="宋体"/>
                <w:color w:val="auto"/>
                <w:kern w:val="0"/>
                <w:sz w:val="22"/>
              </w:rPr>
              <w:t>.</w:t>
            </w:r>
            <w:r>
              <w:rPr>
                <w:rFonts w:hint="eastAsia" w:ascii="宋体" w:hAnsi="宋体" w:eastAsia="宋体" w:cs="宋体"/>
                <w:color w:val="auto"/>
                <w:kern w:val="0"/>
                <w:sz w:val="22"/>
              </w:rPr>
              <w:t>智慧沙盘主体与模型采用环保材质。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7</w:t>
            </w:r>
            <w:r>
              <w:rPr>
                <w:rFonts w:ascii="宋体" w:hAnsi="宋体" w:eastAsia="宋体" w:cs="宋体"/>
                <w:color w:val="auto"/>
                <w:kern w:val="0"/>
                <w:sz w:val="22"/>
              </w:rPr>
              <w:t>.</w:t>
            </w:r>
            <w:r>
              <w:rPr>
                <w:rFonts w:hint="eastAsia" w:ascii="宋体" w:hAnsi="宋体" w:eastAsia="宋体" w:cs="宋体"/>
                <w:color w:val="auto"/>
                <w:kern w:val="0"/>
                <w:sz w:val="22"/>
              </w:rPr>
              <w:t>沙盘主体结构采用圆角设计，无尖锐棱角结构。</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三、参数</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长2.7米 宽1.5米</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像素点间距：≤1.86mm；</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像素构成：1R1G1B；</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像素密度：≥288762Dots/㎡；</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亮度：0-1500cd/㎡可调，具有蓝光抑制功能；</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亮度均匀性：≥99%；</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刷新率：≥3840Hz；</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整屏平整度：≤0.1mm；</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色温：1000-10000K可调；</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色度均匀性：±0.002Cx,Cy之内；</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反光率：≤2％；</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水平/垂直视角：≥170°；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像素失控率：≤0.00001，出厂时为0；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能源效率：≥3.0cd/㎡；</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信噪比：≥47dB；</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睡眠模式功率密度：≤100W/㎡；</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对比度：≥8000:1 ；</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画面延时：≤2ms；</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屈服强度：170mpa；</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抗拉强度：230mpa；</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横向/纵向拉伸承载力：≥2.5吨；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峰值功耗：≤500W/㎡，平均功耗：≤180W/㎡；</w:t>
            </w:r>
          </w:p>
          <w:p>
            <w:pPr>
              <w:snapToGrid w:val="0"/>
              <w:rPr>
                <w:rFonts w:ascii="宋体" w:hAnsi="宋体" w:eastAsia="宋体" w:cs="宋体"/>
                <w:color w:val="auto"/>
                <w:kern w:val="0"/>
                <w:sz w:val="22"/>
              </w:rPr>
            </w:pPr>
            <w:r>
              <w:rPr>
                <w:rFonts w:hint="eastAsia" w:ascii="宋体" w:hAnsi="宋体" w:eastAsia="宋体" w:cs="宋体"/>
                <w:color w:val="auto"/>
                <w:kern w:val="0"/>
                <w:sz w:val="22"/>
              </w:rPr>
              <w:t>灰度等级：≥16bit 。</w:t>
            </w:r>
          </w:p>
          <w:p>
            <w:pPr>
              <w:snapToGrid w:val="0"/>
              <w:rPr>
                <w:rFonts w:ascii="宋体" w:hAnsi="宋体" w:eastAsia="宋体" w:cs="宋体"/>
                <w:color w:val="auto"/>
                <w:kern w:val="0"/>
                <w:sz w:val="22"/>
              </w:rPr>
            </w:pPr>
            <w:r>
              <w:rPr>
                <w:rFonts w:hint="eastAsia" w:ascii="宋体" w:hAnsi="宋体" w:eastAsia="宋体" w:cs="宋体"/>
                <w:color w:val="auto"/>
                <w:kern w:val="0"/>
                <w:sz w:val="22"/>
              </w:rPr>
              <w:t>2</w:t>
            </w:r>
            <w:r>
              <w:rPr>
                <w:rFonts w:ascii="宋体" w:hAnsi="宋体" w:eastAsia="宋体" w:cs="宋体"/>
                <w:color w:val="auto"/>
                <w:kern w:val="0"/>
                <w:sz w:val="22"/>
              </w:rPr>
              <w:t>.</w:t>
            </w:r>
            <w:r>
              <w:rPr>
                <w:rFonts w:hint="eastAsia" w:ascii="宋体" w:hAnsi="宋体" w:eastAsia="宋体" w:cs="宋体"/>
                <w:color w:val="auto"/>
                <w:kern w:val="0"/>
                <w:sz w:val="22"/>
              </w:rPr>
              <w:t>大屏伺服器</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Cpu：六核</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内存：16GB</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硬盘：256GBSSD+600GB</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主板：能支持通电自启动</w:t>
            </w:r>
          </w:p>
          <w:p>
            <w:pPr>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显卡：GTX-1060 3G</w:t>
            </w:r>
          </w:p>
          <w:p>
            <w:pPr>
              <w:rPr>
                <w:rFonts w:ascii="宋体" w:hAnsi="宋体" w:eastAsia="宋体" w:cs="Times New Roman"/>
                <w:color w:val="auto"/>
                <w:kern w:val="2"/>
                <w:sz w:val="22"/>
                <w:szCs w:val="24"/>
                <w:lang w:val="en-US" w:eastAsia="zh-CN" w:bidi="ar-SA"/>
              </w:rPr>
            </w:pPr>
            <w:r>
              <w:rPr>
                <w:rFonts w:hint="eastAsia" w:ascii="宋体" w:hAnsi="宋体" w:eastAsia="宋体" w:cs="宋体"/>
                <w:color w:val="auto"/>
                <w:kern w:val="0"/>
                <w:sz w:val="22"/>
              </w:rPr>
              <w:t>机箱：4U</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3" w:type="pct"/>
            <w:vAlign w:val="center"/>
          </w:tcPr>
          <w:p>
            <w:pPr>
              <w:widowControl/>
              <w:jc w:val="center"/>
              <w:rPr>
                <w:rFonts w:ascii="宋体" w:hAnsi="宋体"/>
                <w:sz w:val="22"/>
              </w:rPr>
            </w:pPr>
          </w:p>
        </w:tc>
        <w:tc>
          <w:tcPr>
            <w:tcW w:w="532"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物业服务数字资源系统</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一、功能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物业管理专业的数字资源查询与管理，由物业服务数字资源软件和触摸查询一体机组成，包括但不限于物业管理服务和物业技术管理两个专业的知识点、技能点和物业服务虚拟仿真软件操作知识等。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二、要求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1.软件内的资源包括但不限于服务与接待礼仪、上下水系统、照明系统、智能安防系统、园林美化等内容。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软件包含物业管理虚拟仿真系统的教学引导资源，包括硬件设备使用方法、实训名称、实训目的、实训环境、实训内容、实训要求、实训方法、实训步骤、实训操作流程、实训注意事项等，以便使用者通过引导可自主操作实验。</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3.软件管理的资源文件类型包括数字教材、教学课件、教学视频、图片、音频、等各类数字资源。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4</w:t>
            </w:r>
            <w:r>
              <w:rPr>
                <w:rFonts w:hint="eastAsia" w:ascii="宋体" w:hAnsi="宋体" w:eastAsia="宋体" w:cs="宋体"/>
                <w:color w:val="auto"/>
                <w:kern w:val="0"/>
                <w:sz w:val="22"/>
              </w:rPr>
              <w:t>.支持语音与文字输入两种方式获取数字资源。</w:t>
            </w:r>
          </w:p>
          <w:p>
            <w:pPr>
              <w:widowControl/>
              <w:jc w:val="left"/>
              <w:rPr>
                <w:rFonts w:hint="eastAsia" w:ascii="宋体" w:hAnsi="宋体" w:eastAsia="宋体" w:cs="宋体"/>
                <w:color w:val="auto"/>
                <w:kern w:val="0"/>
                <w:sz w:val="22"/>
                <w:lang w:eastAsia="zh-CN"/>
              </w:rPr>
            </w:pPr>
            <w:r>
              <w:rPr>
                <w:rFonts w:ascii="宋体" w:hAnsi="宋体" w:eastAsia="宋体" w:cs="宋体"/>
                <w:color w:val="auto"/>
                <w:kern w:val="0"/>
                <w:sz w:val="22"/>
              </w:rPr>
              <w:t>5</w:t>
            </w:r>
            <w:r>
              <w:rPr>
                <w:rFonts w:hint="eastAsia" w:ascii="宋体" w:hAnsi="宋体" w:eastAsia="宋体" w:cs="宋体"/>
                <w:color w:val="auto"/>
                <w:kern w:val="0"/>
                <w:sz w:val="22"/>
              </w:rPr>
              <w:t>.支持数字资源管理，包括新增、删除、修改。</w:t>
            </w:r>
          </w:p>
          <w:p>
            <w:pPr>
              <w:widowControl/>
              <w:jc w:val="left"/>
              <w:rPr>
                <w:rFonts w:ascii="宋体" w:hAnsi="宋体" w:eastAsia="宋体" w:cs="宋体"/>
                <w:color w:val="auto"/>
                <w:kern w:val="0"/>
                <w:sz w:val="22"/>
              </w:rPr>
            </w:pPr>
            <w:r>
              <w:rPr>
                <w:rFonts w:ascii="宋体" w:hAnsi="宋体" w:eastAsia="宋体" w:cs="宋体"/>
                <w:color w:val="auto"/>
                <w:kern w:val="0"/>
                <w:sz w:val="22"/>
              </w:rPr>
              <w:t>6</w:t>
            </w:r>
            <w:r>
              <w:rPr>
                <w:rFonts w:hint="eastAsia" w:ascii="宋体" w:hAnsi="宋体" w:eastAsia="宋体" w:cs="宋体"/>
                <w:color w:val="auto"/>
                <w:kern w:val="0"/>
                <w:sz w:val="22"/>
              </w:rPr>
              <w:t>.具备多种统计功能，包括但不限于资源类别统计、访问量统计、访问类型统计等。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三、参数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55寸显示器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十点触控、智能手势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1080P高清显示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支持无线连接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CPU：I5 8G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运行内存8G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显示亮度：450cd/㎡；内置音箱</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产品尺寸（mm）：长1915mm；宽749mm；高38mm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产品净重（kg）：约150KG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接口</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VGA接口、支持USB扩展/充电、支持HDMI接口</w:t>
            </w:r>
          </w:p>
        </w:tc>
        <w:tc>
          <w:tcPr>
            <w:tcW w:w="260"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套</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V</w:t>
            </w:r>
            <w:r>
              <w:rPr>
                <w:rFonts w:ascii="宋体" w:hAnsi="宋体" w:eastAsia="宋体" w:cs="宋体"/>
                <w:color w:val="auto"/>
                <w:kern w:val="0"/>
                <w:sz w:val="22"/>
              </w:rPr>
              <w:t>R</w:t>
            </w:r>
            <w:r>
              <w:rPr>
                <w:rFonts w:hint="eastAsia" w:ascii="宋体" w:hAnsi="宋体" w:eastAsia="宋体" w:cs="宋体"/>
                <w:color w:val="auto"/>
                <w:kern w:val="0"/>
                <w:sz w:val="22"/>
              </w:rPr>
              <w:t>一体机</w:t>
            </w:r>
          </w:p>
        </w:tc>
        <w:tc>
          <w:tcPr>
            <w:tcW w:w="2793"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≥5K分辨率</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≥120°视场角</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≥90HZ刷新率</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≥XR2处理器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≥8GB运行内存</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支持串流</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支持TFT卡</w:t>
            </w:r>
          </w:p>
        </w:tc>
        <w:tc>
          <w:tcPr>
            <w:tcW w:w="260"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sz w:val="22"/>
              </w:rPr>
            </w:pPr>
          </w:p>
        </w:tc>
        <w:tc>
          <w:tcPr>
            <w:tcW w:w="532" w:type="pct"/>
            <w:vAlign w:val="center"/>
          </w:tcPr>
          <w:p>
            <w:pPr>
              <w:widowControl/>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智慧讲桌</w:t>
            </w:r>
          </w:p>
        </w:tc>
        <w:tc>
          <w:tcPr>
            <w:tcW w:w="2793" w:type="pct"/>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主体材料采用1.5MM冷轧钢板讲台桌面扶手采用木质扶手，耐腐蚀环保台面，防尘、防水，耐刮花。</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具备中央控制系统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防盗锁具安全设计</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能实时通风散热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电容触摸+键盘鼠标</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扩展信号输出</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高度可调节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折叠置物架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尺寸：1</w:t>
            </w:r>
            <w:r>
              <w:rPr>
                <w:rFonts w:ascii="宋体" w:hAnsi="宋体" w:eastAsia="宋体" w:cs="宋体"/>
                <w:color w:val="auto"/>
                <w:kern w:val="0"/>
                <w:sz w:val="22"/>
              </w:rPr>
              <w:t>20</w:t>
            </w:r>
            <w:r>
              <w:rPr>
                <w:rFonts w:hint="eastAsia" w:ascii="宋体" w:hAnsi="宋体" w:eastAsia="宋体" w:cs="宋体"/>
                <w:color w:val="auto"/>
                <w:kern w:val="0"/>
                <w:sz w:val="22"/>
              </w:rPr>
              <w:t>0*</w:t>
            </w:r>
            <w:r>
              <w:rPr>
                <w:rFonts w:ascii="宋体" w:hAnsi="宋体" w:eastAsia="宋体" w:cs="宋体"/>
                <w:color w:val="auto"/>
                <w:kern w:val="0"/>
                <w:sz w:val="22"/>
              </w:rPr>
              <w:t>80</w:t>
            </w:r>
            <w:r>
              <w:rPr>
                <w:rFonts w:hint="eastAsia" w:ascii="宋体" w:hAnsi="宋体" w:eastAsia="宋体" w:cs="宋体"/>
                <w:color w:val="auto"/>
                <w:kern w:val="0"/>
                <w:sz w:val="22"/>
              </w:rPr>
              <w:t>0*6</w:t>
            </w:r>
            <w:r>
              <w:rPr>
                <w:rFonts w:ascii="宋体" w:hAnsi="宋体" w:eastAsia="宋体" w:cs="宋体"/>
                <w:color w:val="auto"/>
                <w:kern w:val="0"/>
                <w:sz w:val="22"/>
              </w:rPr>
              <w:t>80</w:t>
            </w:r>
            <w:r>
              <w:rPr>
                <w:rFonts w:hint="eastAsia" w:ascii="宋体" w:hAnsi="宋体" w:eastAsia="宋体" w:cs="宋体"/>
                <w:color w:val="auto"/>
                <w:kern w:val="0"/>
                <w:sz w:val="22"/>
              </w:rPr>
              <w:t>mm±5</w:t>
            </w:r>
            <w:r>
              <w:rPr>
                <w:rFonts w:ascii="宋体" w:hAnsi="宋体" w:eastAsia="宋体" w:cs="宋体"/>
                <w:color w:val="auto"/>
                <w:kern w:val="0"/>
                <w:sz w:val="22"/>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≥22英寸显示屏，可进行翻转设计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≥Windows</w:t>
            </w:r>
            <w:r>
              <w:rPr>
                <w:rFonts w:ascii="宋体" w:hAnsi="宋体" w:eastAsia="宋体" w:cs="宋体"/>
                <w:color w:val="auto"/>
                <w:kern w:val="0"/>
                <w:sz w:val="22"/>
              </w:rPr>
              <w:t xml:space="preserve"> 10</w:t>
            </w:r>
            <w:r>
              <w:rPr>
                <w:rFonts w:hint="eastAsia" w:ascii="宋体" w:hAnsi="宋体" w:eastAsia="宋体" w:cs="宋体"/>
                <w:color w:val="auto"/>
                <w:kern w:val="0"/>
                <w:sz w:val="22"/>
              </w:rPr>
              <w:t>系统</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I7</w:t>
            </w:r>
            <w:r>
              <w:rPr>
                <w:rFonts w:hint="eastAsia" w:ascii="宋体" w:hAnsi="宋体" w:eastAsia="宋体" w:cs="宋体"/>
                <w:color w:val="auto"/>
                <w:kern w:val="0"/>
                <w:sz w:val="22"/>
              </w:rPr>
              <w:t>处理器</w:t>
            </w:r>
          </w:p>
          <w:p>
            <w:pPr>
              <w:widowControl/>
              <w:jc w:val="left"/>
              <w:rPr>
                <w:rFonts w:ascii="宋体" w:hAnsi="宋体" w:eastAsia="宋体" w:cs="宋体"/>
                <w:color w:val="auto"/>
                <w:kern w:val="0"/>
                <w:sz w:val="22"/>
              </w:rPr>
            </w:pPr>
            <w:r>
              <w:rPr>
                <w:rFonts w:hint="eastAsia" w:ascii="宋体" w:hAnsi="宋体" w:eastAsia="宋体" w:cs="宋体"/>
                <w:color w:val="auto"/>
                <w:kern w:val="0"/>
                <w:sz w:val="22"/>
              </w:rPr>
              <w:t>≥</w:t>
            </w:r>
            <w:r>
              <w:rPr>
                <w:rFonts w:ascii="宋体" w:hAnsi="宋体" w:eastAsia="宋体" w:cs="宋体"/>
                <w:color w:val="auto"/>
                <w:kern w:val="0"/>
                <w:sz w:val="22"/>
              </w:rPr>
              <w:t>4G</w:t>
            </w:r>
            <w:r>
              <w:rPr>
                <w:rFonts w:hint="eastAsia" w:ascii="宋体" w:hAnsi="宋体" w:eastAsia="宋体" w:cs="宋体"/>
                <w:color w:val="auto"/>
                <w:kern w:val="0"/>
                <w:sz w:val="22"/>
              </w:rPr>
              <w:t>独立显卡</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w:t>
            </w:r>
            <w:r>
              <w:rPr>
                <w:rFonts w:ascii="宋体" w:hAnsi="宋体" w:eastAsia="宋体" w:cs="宋体"/>
                <w:color w:val="auto"/>
                <w:kern w:val="0"/>
                <w:sz w:val="22"/>
              </w:rPr>
              <w:t>16G</w:t>
            </w:r>
            <w:r>
              <w:rPr>
                <w:rFonts w:hint="eastAsia" w:ascii="宋体" w:hAnsi="宋体" w:eastAsia="宋体" w:cs="宋体"/>
                <w:color w:val="auto"/>
                <w:kern w:val="0"/>
                <w:sz w:val="22"/>
              </w:rPr>
              <w:t>高频内存</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PC电脑</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分辨率：≥1920*1080dpi</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屏幕尺寸：≥27英寸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输入设备有线鼠标、有线键盘</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CPU：≥ 第10代 i7三级缓存16G；</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内存：≥ 32GB DDR4；</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硬盘：≥1TB 机械 SSD+1TB 7200RPM；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显卡：≥11GB独立显卡；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显示器：≥27英寸；</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电源：≥1000w；</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7</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功率放大器</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高速DSP处理芯片，32bit处理内核</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输入通道：前级放大、扩展器、30段参量均衡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输出通道：10段参量均衡、高低通滤波器、限幅器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≧4路平衡式话筒，≧2组立体声输入</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≧2组立体声输出，≧2组功放输出</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8</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三合一无线话筒</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具备2.4G、UHF、IR红外三种无线传输模式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具备2.4G、IR红外两种自动对频方式</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48K,16bit，30~20KHz宽频响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支持无线充电</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集成智能传感器，放下静音，拿起说话</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内置DSP数字防啸叫功能</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内置7段麦克风均衡器</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包括无线设备+两台手持式麦克+一台头戴式麦克</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部</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9</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资料柜</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800*400*1800mm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冷轧钢材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透明玻璃</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静电喷涂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防水防潮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易清洁</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耐划痕</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可调节板层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高承载滑轨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钢制锁芯，铝合金把手</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两把钥匙</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组</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0</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AC设备</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总带机量：50台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可管理AP：20台</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整机输出功率：123kw</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千兆端口：9个</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1</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无线AP设备</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内置智能天线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辐射面积90-120平米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5GHZ:5DBI</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最大功率：15.3W</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台</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2</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壁挂式音响</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输出功率：20W-60W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频响范围：120Hz-20KHz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阻抗：6Ω</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灵敏度：88dB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数字调频、数字降噪</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电源：220V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灵敏度：90db+3db</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频率响应：120HZ-180KHZ</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无线控制</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3</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办公桌</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E1级别环保板材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金属钢架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2.5CM加厚桌面</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300KG承重</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铝合金线盒</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PVC封边</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600*1200*1100mm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铝合金加固防锈框架</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张</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移动座椅</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带滑轮可移动</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加厚加固滑轮</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带折叠桌板</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高回弹海绵坐垫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桌板带笔槽和伸缩杯架</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高880*460*480mm</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3" w:type="pct"/>
            <w:vAlign w:val="center"/>
          </w:tcPr>
          <w:p>
            <w:pPr>
              <w:widowControl/>
              <w:jc w:val="center"/>
              <w:rPr>
                <w:rFonts w:ascii="宋体" w:hAnsi="宋体"/>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5</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椅子</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后背织网可通风</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纳米网丝，高密度编制</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符合人体工学设计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后背加厚加固，不易断裂</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加厚回弹海绵坐垫</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总高94CM,坐高44CM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扶手离地63CM</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座宽48CM</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2</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把</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6</w:t>
            </w:r>
          </w:p>
        </w:tc>
        <w:tc>
          <w:tcPr>
            <w:tcW w:w="519" w:type="pct"/>
            <w:shd w:val="clear" w:color="auto" w:fill="auto"/>
            <w:vAlign w:val="center"/>
          </w:tcPr>
          <w:p>
            <w:pPr>
              <w:widowControl/>
              <w:jc w:val="center"/>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激光翻页笔</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遥控方式：激光射频技术</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发射频率：2.4GHZ</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遥控距离：50米</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激光功率：＜1mw</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激光距离：大于200m</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电池：300mah</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工作电压：3.6V-4.2V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充电电压：5V</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休眠电流：＜70ua</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尺寸：131*29.6*12.8mm</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1</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453" w:type="pct"/>
            <w:vAlign w:val="center"/>
          </w:tcPr>
          <w:p>
            <w:pPr>
              <w:widowControl/>
              <w:jc w:val="center"/>
              <w:rPr>
                <w:rFonts w:ascii="宋体" w:hAnsi="宋体" w:cs="宋体"/>
                <w:kern w:val="0"/>
                <w:sz w:val="22"/>
              </w:rPr>
            </w:pPr>
          </w:p>
        </w:tc>
        <w:tc>
          <w:tcPr>
            <w:tcW w:w="532" w:type="pct"/>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vAlign w:val="center"/>
          </w:tcPr>
          <w:p>
            <w:pPr>
              <w:widowControl/>
              <w:jc w:val="center"/>
              <w:rPr>
                <w:rFonts w:ascii="宋体" w:hAnsi="宋体" w:cs="宋体"/>
                <w:kern w:val="0"/>
                <w:sz w:val="22"/>
              </w:rPr>
            </w:pPr>
            <w:r>
              <w:rPr>
                <w:rFonts w:ascii="宋体" w:hAnsi="宋体" w:cs="宋体"/>
                <w:kern w:val="0"/>
                <w:sz w:val="22"/>
              </w:rPr>
              <w:t>17</w:t>
            </w:r>
          </w:p>
        </w:tc>
        <w:tc>
          <w:tcPr>
            <w:tcW w:w="519" w:type="pct"/>
            <w:shd w:val="clear" w:color="auto" w:fill="auto"/>
            <w:vAlign w:val="center"/>
          </w:tcPr>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储物柜</w:t>
            </w:r>
          </w:p>
        </w:tc>
        <w:tc>
          <w:tcPr>
            <w:tcW w:w="2793" w:type="pct"/>
            <w:shd w:val="clear" w:color="auto" w:fill="auto"/>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单柜：310*320*420</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环保木材</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开放式设计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可组合拼接</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倒角设计</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表面可擦拭</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加厚柜体</w:t>
            </w:r>
          </w:p>
          <w:p>
            <w:pPr>
              <w:widowControl/>
              <w:jc w:val="left"/>
              <w:rPr>
                <w:rFonts w:ascii="宋体" w:hAnsi="宋体" w:eastAsia="宋体" w:cs="宋体"/>
                <w:color w:val="auto"/>
                <w:kern w:val="0"/>
                <w:sz w:val="22"/>
                <w:szCs w:val="24"/>
                <w:lang w:val="en-US" w:eastAsia="zh-CN" w:bidi="ar-SA"/>
              </w:rPr>
            </w:pPr>
            <w:r>
              <w:rPr>
                <w:rFonts w:hint="eastAsia" w:ascii="宋体" w:hAnsi="宋体" w:eastAsia="宋体" w:cs="宋体"/>
                <w:color w:val="auto"/>
                <w:kern w:val="0"/>
                <w:sz w:val="22"/>
              </w:rPr>
              <w:t>PVC封边</w:t>
            </w:r>
          </w:p>
        </w:tc>
        <w:tc>
          <w:tcPr>
            <w:tcW w:w="260" w:type="pct"/>
            <w:shd w:val="clear" w:color="auto" w:fill="auto"/>
            <w:noWrap/>
            <w:vAlign w:val="center"/>
          </w:tcPr>
          <w:p>
            <w:pPr>
              <w:widowControl/>
              <w:jc w:val="center"/>
              <w:rPr>
                <w:rFonts w:ascii="宋体" w:hAnsi="宋体" w:cs="宋体"/>
                <w:kern w:val="0"/>
                <w:sz w:val="22"/>
              </w:rPr>
            </w:pPr>
            <w:r>
              <w:rPr>
                <w:rFonts w:ascii="宋体" w:hAnsi="宋体" w:cs="宋体"/>
                <w:kern w:val="0"/>
                <w:sz w:val="22"/>
              </w:rPr>
              <w:t>48</w:t>
            </w:r>
          </w:p>
        </w:tc>
        <w:tc>
          <w:tcPr>
            <w:tcW w:w="194" w:type="pct"/>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个</w:t>
            </w:r>
          </w:p>
        </w:tc>
        <w:tc>
          <w:tcPr>
            <w:tcW w:w="453" w:type="pct"/>
            <w:vAlign w:val="center"/>
          </w:tcPr>
          <w:p>
            <w:pPr>
              <w:widowControl/>
              <w:jc w:val="center"/>
              <w:rPr>
                <w:rFonts w:ascii="宋体" w:hAnsi="宋体"/>
                <w:sz w:val="22"/>
              </w:rPr>
            </w:pPr>
          </w:p>
        </w:tc>
        <w:tc>
          <w:tcPr>
            <w:tcW w:w="532" w:type="pct"/>
            <w:vAlign w:val="center"/>
          </w:tcPr>
          <w:p>
            <w:pPr>
              <w:widowControl/>
              <w:jc w:val="center"/>
              <w:rPr>
                <w:rFonts w:ascii="宋体" w:hAnsi="宋体" w:cs="宋体"/>
                <w:kern w:val="0"/>
                <w:sz w:val="22"/>
              </w:rPr>
            </w:pPr>
          </w:p>
        </w:tc>
      </w:tr>
    </w:tbl>
    <w:p>
      <w:pPr>
        <w:pStyle w:val="12"/>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第八标段：</w:t>
      </w:r>
    </w:p>
    <w:tbl>
      <w:tblPr>
        <w:tblStyle w:val="26"/>
        <w:tblW w:w="10480" w:type="dxa"/>
        <w:tblInd w:w="93" w:type="dxa"/>
        <w:tblLayout w:type="fixed"/>
        <w:tblCellMar>
          <w:top w:w="0" w:type="dxa"/>
          <w:left w:w="108" w:type="dxa"/>
          <w:bottom w:w="0" w:type="dxa"/>
          <w:right w:w="108" w:type="dxa"/>
        </w:tblCellMar>
      </w:tblPr>
      <w:tblGrid>
        <w:gridCol w:w="732"/>
        <w:gridCol w:w="845"/>
        <w:gridCol w:w="4886"/>
        <w:gridCol w:w="617"/>
        <w:gridCol w:w="450"/>
        <w:gridCol w:w="700"/>
        <w:gridCol w:w="783"/>
        <w:gridCol w:w="1467"/>
      </w:tblGrid>
      <w:tr>
        <w:tblPrEx>
          <w:tblCellMar>
            <w:top w:w="0" w:type="dxa"/>
            <w:left w:w="108" w:type="dxa"/>
            <w:bottom w:w="0" w:type="dxa"/>
            <w:right w:w="108" w:type="dxa"/>
          </w:tblCellMar>
        </w:tblPrEx>
        <w:trPr>
          <w:trHeight w:val="1277" w:hRule="atLeast"/>
        </w:trPr>
        <w:tc>
          <w:tcPr>
            <w:tcW w:w="10480" w:type="dxa"/>
            <w:gridSpan w:val="8"/>
            <w:tcBorders>
              <w:top w:val="nil"/>
              <w:left w:val="nil"/>
              <w:bottom w:val="nil"/>
              <w:right w:val="nil"/>
            </w:tcBorders>
            <w:shd w:val="clear" w:color="auto" w:fill="auto"/>
            <w:noWrap/>
            <w:vAlign w:val="center"/>
          </w:tcPr>
          <w:p>
            <w:pPr>
              <w:widowControl/>
              <w:jc w:val="center"/>
              <w:textAlignment w:val="center"/>
              <w:rPr>
                <w:rFonts w:ascii="宋体" w:hAnsi="宋体" w:cs="宋体"/>
                <w:b/>
                <w:bCs/>
                <w:sz w:val="40"/>
                <w:szCs w:val="40"/>
              </w:rPr>
            </w:pPr>
            <w:r>
              <w:rPr>
                <w:rFonts w:hint="eastAsia" w:ascii="宋体" w:hAnsi="宋体" w:cs="宋体"/>
                <w:b/>
                <w:bCs/>
                <w:kern w:val="0"/>
                <w:sz w:val="40"/>
                <w:szCs w:val="40"/>
                <w:lang w:bidi="ar"/>
              </w:rPr>
              <w:t>驾驶技能培训班理论课机房建设大概所需清单</w:t>
            </w:r>
          </w:p>
        </w:tc>
      </w:tr>
      <w:tr>
        <w:tblPrEx>
          <w:tblCellMar>
            <w:top w:w="0" w:type="dxa"/>
            <w:left w:w="108" w:type="dxa"/>
            <w:bottom w:w="0" w:type="dxa"/>
            <w:right w:w="108" w:type="dxa"/>
          </w:tblCellMar>
        </w:tblPrEx>
        <w:trPr>
          <w:trHeight w:val="6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项目名称</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参数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单价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kern w:val="0"/>
                <w:sz w:val="22"/>
              </w:rPr>
            </w:pPr>
            <w:r>
              <w:rPr>
                <w:rFonts w:hint="eastAsia" w:ascii="宋体" w:hAnsi="宋体" w:cs="宋体"/>
                <w:b/>
                <w:kern w:val="0"/>
                <w:sz w:val="22"/>
              </w:rPr>
              <w:t>参考</w:t>
            </w:r>
          </w:p>
          <w:p>
            <w:pPr>
              <w:widowControl/>
              <w:jc w:val="center"/>
              <w:rPr>
                <w:rFonts w:ascii="宋体" w:hAnsi="宋体" w:cs="宋体"/>
                <w:b/>
                <w:kern w:val="0"/>
                <w:sz w:val="22"/>
              </w:rPr>
            </w:pPr>
            <w:r>
              <w:rPr>
                <w:rFonts w:hint="eastAsia" w:ascii="宋体" w:hAnsi="宋体" w:cs="宋体"/>
                <w:b/>
                <w:kern w:val="0"/>
                <w:sz w:val="22"/>
              </w:rPr>
              <w:t>总价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备注</w:t>
            </w:r>
          </w:p>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（参考图片）</w:t>
            </w:r>
          </w:p>
        </w:tc>
      </w:tr>
      <w:tr>
        <w:tblPrEx>
          <w:tblCellMar>
            <w:top w:w="0" w:type="dxa"/>
            <w:left w:w="108" w:type="dxa"/>
            <w:bottom w:w="0" w:type="dxa"/>
            <w:right w:w="108" w:type="dxa"/>
          </w:tblCellMar>
        </w:tblPrEx>
        <w:trPr>
          <w:trHeight w:val="865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lang w:bidi="ar"/>
              </w:rPr>
              <w:t>学生电脑</w:t>
            </w:r>
          </w:p>
        </w:tc>
        <w:tc>
          <w:tcPr>
            <w:tcW w:w="4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rPr>
            </w:pPr>
            <w:r>
              <w:rPr>
                <w:rFonts w:hint="eastAsia"/>
              </w:rPr>
              <w:t>CPU：≥I5-处理器；</w:t>
            </w:r>
          </w:p>
          <w:p>
            <w:pPr>
              <w:widowControl/>
              <w:textAlignment w:val="center"/>
              <w:rPr>
                <w:rFonts w:hint="eastAsia"/>
              </w:rPr>
            </w:pPr>
            <w:r>
              <w:rPr>
                <w:rFonts w:hint="eastAsia"/>
              </w:rPr>
              <w:t>主板芯片组：≥H370 以上芯片组</w:t>
            </w:r>
          </w:p>
          <w:p>
            <w:pPr>
              <w:widowControl/>
              <w:textAlignment w:val="center"/>
              <w:rPr>
                <w:rFonts w:hint="eastAsia"/>
              </w:rPr>
            </w:pPr>
            <w:r>
              <w:rPr>
                <w:rFonts w:hint="eastAsia"/>
              </w:rPr>
              <w:t>内存：≥8G 2400MHz 内存，提供双内存槽位</w:t>
            </w:r>
          </w:p>
          <w:p>
            <w:pPr>
              <w:widowControl/>
              <w:textAlignment w:val="center"/>
              <w:rPr>
                <w:rFonts w:hint="eastAsia"/>
              </w:rPr>
            </w:pPr>
            <w:r>
              <w:rPr>
                <w:rFonts w:hint="eastAsia"/>
              </w:rPr>
              <w:t>显卡：集成显卡</w:t>
            </w:r>
          </w:p>
          <w:p>
            <w:pPr>
              <w:widowControl/>
              <w:textAlignment w:val="center"/>
              <w:rPr>
                <w:rFonts w:hint="eastAsia"/>
              </w:rPr>
            </w:pPr>
            <w:r>
              <w:rPr>
                <w:rFonts w:hint="eastAsia"/>
              </w:rPr>
              <w:t>声卡：集成声卡，支持5.1声道（提供前2后3共5个音频接口）</w:t>
            </w:r>
          </w:p>
          <w:p>
            <w:pPr>
              <w:widowControl/>
              <w:textAlignment w:val="center"/>
              <w:rPr>
                <w:rFonts w:hint="eastAsia"/>
              </w:rPr>
            </w:pPr>
            <w:r>
              <w:rPr>
                <w:rFonts w:hint="eastAsia"/>
              </w:rPr>
              <w:t>硬盘：≥1TBG SATA3 7200rpm 硬盘；</w:t>
            </w:r>
          </w:p>
          <w:p>
            <w:pPr>
              <w:widowControl/>
              <w:textAlignment w:val="center"/>
              <w:rPr>
                <w:rFonts w:hint="eastAsia"/>
              </w:rPr>
            </w:pPr>
            <w:r>
              <w:rPr>
                <w:rFonts w:hint="eastAsia"/>
              </w:rPr>
              <w:t>网卡：集成10/100/1000M以太网卡；</w:t>
            </w:r>
          </w:p>
          <w:p>
            <w:pPr>
              <w:widowControl/>
              <w:textAlignment w:val="center"/>
              <w:rPr>
                <w:rFonts w:hint="eastAsia"/>
              </w:rPr>
            </w:pPr>
            <w:r>
              <w:rPr>
                <w:rFonts w:hint="eastAsia"/>
              </w:rPr>
              <w:t>光驱：DVD-RW 刻录光驱；</w:t>
            </w:r>
          </w:p>
          <w:p>
            <w:pPr>
              <w:widowControl/>
              <w:textAlignment w:val="center"/>
              <w:rPr>
                <w:rFonts w:hint="eastAsia"/>
              </w:rPr>
            </w:pPr>
            <w:r>
              <w:rPr>
                <w:rFonts w:hint="eastAsia"/>
              </w:rPr>
              <w:t>扩展接口：≥1个PCI-E*16、2个PCI-E*1、1个PCI槽位；</w:t>
            </w:r>
          </w:p>
          <w:p>
            <w:pPr>
              <w:widowControl/>
              <w:textAlignment w:val="center"/>
              <w:rPr>
                <w:rFonts w:hint="eastAsia"/>
              </w:rPr>
            </w:pPr>
            <w:r>
              <w:rPr>
                <w:rFonts w:hint="eastAsia"/>
              </w:rPr>
              <w:t>键盘、鼠标：原厂防水键盘、抗菌鼠标；</w:t>
            </w:r>
          </w:p>
          <w:p>
            <w:pPr>
              <w:widowControl/>
              <w:textAlignment w:val="center"/>
              <w:rPr>
                <w:rFonts w:hint="eastAsia"/>
              </w:rPr>
            </w:pPr>
            <w:r>
              <w:rPr>
                <w:rFonts w:hint="eastAsia"/>
              </w:rPr>
              <w:t>接口：≥10个USB接口(前置≥6个USB 3.1 G1，后置≥4个USB 2.0)、≥1组PS/2接口、1个串口、VGA+HDMI接口（VGA非转接）</w:t>
            </w:r>
          </w:p>
          <w:p>
            <w:pPr>
              <w:widowControl/>
              <w:textAlignment w:val="center"/>
              <w:rPr>
                <w:rFonts w:hint="eastAsia"/>
              </w:rPr>
            </w:pPr>
            <w:r>
              <w:rPr>
                <w:rFonts w:hint="eastAsia"/>
              </w:rPr>
              <w:t>电源：不大于180W 85Plus节能电源；</w:t>
            </w:r>
          </w:p>
          <w:p>
            <w:pPr>
              <w:widowControl/>
              <w:textAlignment w:val="center"/>
              <w:rPr>
                <w:rFonts w:hint="eastAsia"/>
              </w:rPr>
            </w:pPr>
            <w:r>
              <w:rPr>
                <w:rFonts w:hint="eastAsia"/>
              </w:rPr>
              <w:t>安全特性：USB屏蔽技术，仅识别USB键盘、鼠标，无法识别USB读取设备，有效防止数据泄露（投标时提供功能性截屏）；</w:t>
            </w:r>
          </w:p>
          <w:p>
            <w:pPr>
              <w:widowControl/>
              <w:textAlignment w:val="center"/>
              <w:rPr>
                <w:rFonts w:hint="eastAsia"/>
              </w:rPr>
            </w:pPr>
            <w:r>
              <w:rPr>
                <w:rFonts w:hint="eastAsia"/>
              </w:rPr>
              <w:t>机箱：标准MATX立式机箱，采用蜂窝结构，散热更为有效，机箱不大于16L，顶置提手，方便搬运，顶置电源开关键，方便使用</w:t>
            </w:r>
          </w:p>
          <w:p>
            <w:pPr>
              <w:widowControl/>
              <w:textAlignment w:val="center"/>
              <w:rPr>
                <w:rFonts w:hint="eastAsia"/>
              </w:rPr>
            </w:pPr>
            <w:r>
              <w:rPr>
                <w:rFonts w:hint="eastAsia"/>
              </w:rPr>
              <w:t>显示器：主机同品牌19.5寸分辨率（1600x 900）低蓝光商用显示器</w:t>
            </w:r>
          </w:p>
          <w:p>
            <w:pPr>
              <w:widowControl/>
              <w:textAlignment w:val="center"/>
              <w:rPr>
                <w:rFonts w:ascii="微软雅黑" w:hAnsi="微软雅黑" w:eastAsia="微软雅黑" w:cs="微软雅黑"/>
                <w:sz w:val="18"/>
                <w:szCs w:val="18"/>
              </w:rPr>
            </w:pPr>
            <w:r>
              <w:rPr>
                <w:rFonts w:hint="eastAsia"/>
              </w:rPr>
              <w:t>原厂服务：不低于3年免费上门保修，上门服务时长不超过24小时，具备（公众号、微信、400与800电话）24小时智能在线服务；微信公众号具备实时查询报修状态、工程师电话及其位置等功能</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 xml:space="preserve">60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85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2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22"/>
                <w:szCs w:val="22"/>
              </w:rPr>
            </w:pPr>
            <w:r>
              <w:rPr>
                <w:rFonts w:hint="eastAsia" w:ascii="微软雅黑" w:hAnsi="微软雅黑" w:eastAsia="微软雅黑" w:cs="微软雅黑"/>
                <w:kern w:val="0"/>
                <w:sz w:val="22"/>
                <w:szCs w:val="22"/>
                <w:lang w:bidi="ar"/>
              </w:rPr>
              <w:t>教学控制软件</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在局域网络上实现多媒体信息的教学广播，是一款实现在电子教室、多媒体网络教室或者电脑教室中进行多媒体网络教学的非常好的软件产品，集电脑教室的同步教学、控制、管理、音视频广播、网络考试等功能于一体，并能同时实现屏幕监视和远程控制等网络管理的目的。它专门针对电脑教学和培训网络开发，可以非常方便地完成电脑教学任务，★全面兼容Windows XP、Windows 7/8、Windows 10的32/64位系统；实现屏幕教学演示与示范、屏幕监视、遥控辅导、黑屏肃静、屏幕录制、屏幕回放、网上语音广播、两人对讲和多方讨论、语音监听、联机讨论、VCD/MPG/MPEG/AVI/MP3/WAV/MOV/RM/RMVB等视频流的网络播放、网络考试和在线考试、试卷管理和共享、同步文件传输、提交作业、远程命令、电子教鞭、电子黑板与白板、电子抢答、电子点名、网上消息、电子举手、获取远端信息、获取学生机打开的程序和进程信息、学生上线情况即时监测、锁定学生机的键盘和鼠标、远程开关机和重启、计划任务、时间提醒、★自定义功能面板、班级和学生管理等；并可以直接使用软件厂商搭建的考试服务器，无须自行安装和维护，就可以完全使用网络考试和在线考试功能，以实现在学校里的课堂练习与考试功能，同时实现在学生家里的电子作业功能</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 xml:space="preserve">1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3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48口交换机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Style w:val="77"/>
                <w:rFonts w:hint="default"/>
                <w:color w:val="auto"/>
                <w:sz w:val="24"/>
                <w:szCs w:val="24"/>
                <w:lang w:bidi="ar"/>
              </w:rPr>
              <w:t>48口1000M自适应电口，4个SFP光口，固化单交流电源，无风扇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63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4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电源稳压器</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hint="eastAsia" w:ascii="宋体" w:hAnsi="宋体" w:cs="宋体"/>
                <w:sz w:val="20"/>
                <w:szCs w:val="20"/>
              </w:rPr>
            </w:pPr>
            <w:r>
              <w:rPr>
                <w:rFonts w:hint="eastAsia" w:ascii="宋体" w:hAnsi="宋体" w:cs="宋体"/>
                <w:sz w:val="20"/>
                <w:szCs w:val="20"/>
              </w:rPr>
              <w:t>1、稳压器功率：30KVA，额定功率21KW，单相220V输入，单相220V输出；</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 xml:space="preserve">2、输入电压范围：160～250VAC </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3、输入频率范围：50Hz～60Hz</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 xml:space="preserve">4、输出电流：120A  </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5、调整时间：&gt;15V/秒</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6、过压保护：245正负5V；</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7、延时：短延时3-7秒</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8、环境温度：-5～＋40℃</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9、升温：＜ 70℃（满负荷条件下）</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10、相对温度：低于90%</w:t>
            </w:r>
          </w:p>
          <w:p>
            <w:pPr>
              <w:widowControl/>
              <w:spacing w:after="200"/>
              <w:jc w:val="left"/>
              <w:textAlignment w:val="center"/>
              <w:rPr>
                <w:rFonts w:hint="eastAsia" w:ascii="宋体" w:hAnsi="宋体" w:cs="宋体"/>
                <w:sz w:val="20"/>
                <w:szCs w:val="20"/>
              </w:rPr>
            </w:pPr>
            <w:r>
              <w:rPr>
                <w:rFonts w:hint="eastAsia" w:ascii="宋体" w:hAnsi="宋体" w:cs="宋体"/>
                <w:sz w:val="20"/>
                <w:szCs w:val="20"/>
              </w:rPr>
              <w:t>11、效率：&gt;95%</w:t>
            </w:r>
          </w:p>
          <w:p>
            <w:pPr>
              <w:widowControl/>
              <w:spacing w:after="200"/>
              <w:jc w:val="left"/>
              <w:textAlignment w:val="center"/>
              <w:rPr>
                <w:rFonts w:ascii="宋体" w:hAnsi="宋体" w:cs="宋体"/>
                <w:sz w:val="20"/>
                <w:szCs w:val="20"/>
              </w:rPr>
            </w:pPr>
            <w:r>
              <w:rPr>
                <w:rFonts w:hint="eastAsia" w:ascii="宋体" w:hAnsi="宋体" w:cs="宋体"/>
                <w:sz w:val="20"/>
                <w:szCs w:val="20"/>
              </w:rPr>
              <w:t xml:space="preserve">12、波形失真:无附加波形失真 </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25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5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推拉绿板</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20"/>
                <w:szCs w:val="20"/>
              </w:rPr>
            </w:pPr>
            <w:r>
              <w:rPr>
                <w:rFonts w:hint="eastAsia" w:ascii="宋体" w:hAnsi="宋体" w:cs="宋体"/>
                <w:sz w:val="20"/>
                <w:szCs w:val="20"/>
              </w:rPr>
              <w:t>1、组合式推拉书写板:组合式推拉书写板符合书写板安全卫生要求。书写板采四块组成，推拉书写板可左右滑动并能完全覆盖电子设备，要求不拆卸绿板外框，即可拆卸电子设备，方便维修。</w:t>
            </w:r>
          </w:p>
          <w:p>
            <w:pPr>
              <w:widowControl/>
              <w:jc w:val="left"/>
              <w:textAlignment w:val="center"/>
              <w:rPr>
                <w:rFonts w:hint="eastAsia" w:ascii="宋体" w:hAnsi="宋体" w:cs="宋体"/>
                <w:sz w:val="20"/>
                <w:szCs w:val="20"/>
              </w:rPr>
            </w:pPr>
            <w:r>
              <w:rPr>
                <w:rFonts w:hint="eastAsia" w:ascii="宋体" w:hAnsi="宋体" w:cs="宋体"/>
                <w:sz w:val="20"/>
                <w:szCs w:val="20"/>
              </w:rPr>
              <w:t>2、整体尺寸≥1200*4000mm，外框看面厚度尺寸≥65mm，外框铝材壁厚≥1.5mm，滑轨采用后置设计，防止粉笔粉尘进入滑槽，增强滑轮使用寿命。铝材一次成型，耐磨，耐腐蚀，达到GB5237.3－2008标准。</w:t>
            </w:r>
          </w:p>
          <w:p>
            <w:pPr>
              <w:widowControl/>
              <w:jc w:val="left"/>
              <w:textAlignment w:val="center"/>
              <w:rPr>
                <w:rFonts w:hint="eastAsia" w:ascii="宋体" w:hAnsi="宋体" w:cs="宋体"/>
                <w:sz w:val="20"/>
                <w:szCs w:val="20"/>
              </w:rPr>
            </w:pPr>
            <w:r>
              <w:rPr>
                <w:rFonts w:hint="eastAsia" w:ascii="宋体" w:hAnsi="宋体" w:cs="宋体"/>
                <w:sz w:val="20"/>
                <w:szCs w:val="20"/>
              </w:rPr>
              <w:t>3、内框尺寸≥26x28mm，内框铝材壁厚≥1.0mm，夹层采用泡沫，厚度≥20mm。面板采用镀锌板覆PVC绿膜，书写流畅，不打滑，颜色均匀。</w:t>
            </w:r>
          </w:p>
          <w:p>
            <w:pPr>
              <w:widowControl/>
              <w:jc w:val="left"/>
              <w:textAlignment w:val="center"/>
              <w:rPr>
                <w:rFonts w:hint="eastAsia" w:ascii="宋体" w:hAnsi="宋体" w:cs="宋体"/>
                <w:sz w:val="20"/>
                <w:szCs w:val="20"/>
              </w:rPr>
            </w:pPr>
            <w:r>
              <w:rPr>
                <w:rFonts w:hint="eastAsia" w:ascii="宋体" w:hAnsi="宋体" w:cs="宋体"/>
                <w:sz w:val="20"/>
                <w:szCs w:val="20"/>
              </w:rPr>
              <w:t>4、背板采用优质防锈亚光彩涂钢板，每隔8cm设有2.5cm加强凹槽。</w:t>
            </w:r>
          </w:p>
          <w:p>
            <w:pPr>
              <w:widowControl/>
              <w:jc w:val="left"/>
              <w:textAlignment w:val="center"/>
              <w:rPr>
                <w:rFonts w:hint="eastAsia" w:ascii="宋体" w:hAnsi="宋体" w:cs="宋体"/>
                <w:sz w:val="20"/>
                <w:szCs w:val="20"/>
              </w:rPr>
            </w:pPr>
            <w:r>
              <w:rPr>
                <w:rFonts w:hint="eastAsia" w:ascii="宋体" w:hAnsi="宋体" w:cs="宋体"/>
                <w:sz w:val="20"/>
                <w:szCs w:val="20"/>
              </w:rPr>
              <w:t>5、为了保证产品质量和售后服务，投标时必须提供产品厂家的产品质量保证承诺和售后服务承诺.</w:t>
            </w:r>
          </w:p>
          <w:p>
            <w:pPr>
              <w:widowControl/>
              <w:jc w:val="left"/>
              <w:textAlignment w:val="center"/>
              <w:rPr>
                <w:rFonts w:ascii="宋体" w:hAnsi="宋体" w:cs="宋体"/>
                <w:sz w:val="20"/>
                <w:szCs w:val="20"/>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155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6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教师桌椅</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sz w:val="20"/>
                <w:szCs w:val="20"/>
              </w:rPr>
              <w:t>桌面采用1200*600*18mmE1钢木组合基材，桌面四周注塑封边一次成型，四周倒鸭嘴设计，立柱底部加装调节脚，当地不平时，内塞自动调平衡。椅子规格：网状材质办公转椅。</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07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7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学生桌椅</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sz w:val="20"/>
                <w:szCs w:val="20"/>
              </w:rPr>
              <w:t>桌面采用1600*600*18mm（双人桌）钢木组合，桌面四周组合成型，桌面为木板，四周倒鸭嘴设计，带有散热空铁制后遮挡线板，立柱底部加装调节脚，当地不平时，内塞自动调平衡。凳子规格：360*260*420mm，凳面≥25mmE1级三聚氰胺密度板，四周注塑封边一次成型，四周采用倒鸭嘴设计；下脚为钢架结构，≥25mm*25mm方管，厚度约1.2mm，塑胶脚套</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12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8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抗静电地板铺设</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每间教室面积按100平方米计算,国标,耐磨防静电陶瓷材质，规格:600</w:t>
            </w:r>
            <w:r>
              <w:rPr>
                <w:rFonts w:hint="eastAsia" w:ascii="宋体" w:hAnsi="宋体" w:cs="宋体"/>
                <w:kern w:val="0"/>
                <w:sz w:val="20"/>
                <w:szCs w:val="20"/>
                <w:lang w:eastAsia="zh-CN" w:bidi="ar"/>
              </w:rPr>
              <w:t>*</w:t>
            </w:r>
            <w:r>
              <w:rPr>
                <w:rFonts w:hint="eastAsia" w:ascii="宋体" w:hAnsi="宋体" w:cs="宋体"/>
                <w:kern w:val="0"/>
                <w:sz w:val="20"/>
                <w:szCs w:val="20"/>
                <w:lang w:bidi="ar"/>
              </w:rPr>
              <w:t>600</w:t>
            </w:r>
            <w:r>
              <w:rPr>
                <w:rFonts w:hint="eastAsia" w:ascii="宋体" w:hAnsi="宋体" w:cs="宋体"/>
                <w:kern w:val="0"/>
                <w:sz w:val="20"/>
                <w:szCs w:val="20"/>
                <w:lang w:eastAsia="zh-CN" w:bidi="ar"/>
              </w:rPr>
              <w:t>*</w:t>
            </w:r>
            <w:r>
              <w:rPr>
                <w:rFonts w:hint="eastAsia" w:ascii="宋体" w:hAnsi="宋体" w:cs="宋体"/>
                <w:kern w:val="0"/>
                <w:sz w:val="20"/>
                <w:szCs w:val="20"/>
                <w:lang w:bidi="ar"/>
              </w:rPr>
              <w:t>40,(强抗压≥500kg)。</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Style w:val="77"/>
                <w:rFonts w:hint="default"/>
                <w:color w:val="auto"/>
                <w:sz w:val="24"/>
                <w:szCs w:val="24"/>
                <w:lang w:bidi="ar"/>
              </w:rPr>
              <w:t>120</w:t>
            </w:r>
            <w:r>
              <w:rPr>
                <w:rStyle w:val="78"/>
                <w:color w:val="auto"/>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93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9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投影机（挂件）</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LED 有智能系统 桌上正投，吊装正投，桌上背头</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6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10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综合布线</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电源线、网线材料及布置</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93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11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扩音系统（音响话筒）</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额定功率：30w 5英寸喇叭 55-19khz </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6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12 </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其他耗材</w:t>
            </w:r>
          </w:p>
        </w:tc>
        <w:tc>
          <w:tcPr>
            <w:tcW w:w="4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隔断装修，墙面装修；门禁、监控等。</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2"/>
                <w:szCs w:val="22"/>
              </w:rPr>
            </w:pPr>
          </w:p>
        </w:tc>
      </w:tr>
    </w:tbl>
    <w:p>
      <w:pPr>
        <w:pStyle w:val="12"/>
        <w:rPr>
          <w:rFonts w:ascii="新宋体" w:hAnsi="新宋体" w:eastAsia="新宋体" w:cs="新宋体"/>
          <w:b/>
          <w:bCs/>
          <w:kern w:val="44"/>
          <w:sz w:val="36"/>
          <w:szCs w:val="44"/>
        </w:rPr>
      </w:pPr>
    </w:p>
    <w:p>
      <w:pPr>
        <w:rPr>
          <w:rFonts w:ascii="新宋体" w:hAnsi="新宋体" w:eastAsia="新宋体" w:cs="新宋体"/>
          <w:b/>
          <w:bCs/>
          <w:kern w:val="44"/>
          <w:sz w:val="36"/>
          <w:szCs w:val="44"/>
        </w:rPr>
      </w:pPr>
    </w:p>
    <w:p>
      <w:pPr>
        <w:pStyle w:val="12"/>
        <w:rPr>
          <w:rFonts w:ascii="新宋体" w:hAnsi="新宋体" w:eastAsia="新宋体" w:cs="新宋体"/>
          <w:b/>
          <w:bCs/>
          <w:kern w:val="44"/>
          <w:sz w:val="36"/>
          <w:szCs w:val="44"/>
        </w:rPr>
      </w:pPr>
    </w:p>
    <w:p>
      <w:pPr>
        <w:rPr>
          <w:rFonts w:ascii="新宋体" w:hAnsi="新宋体" w:eastAsia="新宋体" w:cs="新宋体"/>
          <w:b/>
          <w:bCs/>
          <w:kern w:val="44"/>
          <w:sz w:val="36"/>
          <w:szCs w:val="44"/>
        </w:rPr>
      </w:pPr>
    </w:p>
    <w:p>
      <w:pPr>
        <w:pStyle w:val="12"/>
        <w:rPr>
          <w:rFonts w:ascii="新宋体" w:hAnsi="新宋体" w:eastAsia="新宋体" w:cs="新宋体"/>
          <w:b/>
          <w:bCs/>
          <w:kern w:val="44"/>
          <w:sz w:val="36"/>
          <w:szCs w:val="44"/>
        </w:rPr>
      </w:pPr>
    </w:p>
    <w:p>
      <w:pPr>
        <w:rPr>
          <w:rFonts w:ascii="新宋体" w:hAnsi="新宋体" w:eastAsia="新宋体" w:cs="新宋体"/>
          <w:b/>
          <w:bCs/>
          <w:kern w:val="44"/>
          <w:sz w:val="36"/>
          <w:szCs w:val="44"/>
        </w:rPr>
      </w:pPr>
    </w:p>
    <w:p>
      <w:pPr>
        <w:pStyle w:val="12"/>
        <w:rPr>
          <w:rFonts w:ascii="新宋体" w:hAnsi="新宋体" w:eastAsia="新宋体" w:cs="新宋体"/>
          <w:b/>
          <w:bCs/>
          <w:kern w:val="44"/>
          <w:sz w:val="36"/>
          <w:szCs w:val="44"/>
        </w:rPr>
      </w:pPr>
    </w:p>
    <w:p>
      <w:pPr>
        <w:jc w:val="both"/>
        <w:outlineLvl w:val="0"/>
        <w:rPr>
          <w:rFonts w:ascii="新宋体" w:hAnsi="新宋体" w:eastAsia="新宋体" w:cs="新宋体"/>
          <w:b/>
          <w:bCs/>
          <w:kern w:val="44"/>
          <w:sz w:val="36"/>
          <w:szCs w:val="44"/>
        </w:rPr>
      </w:pPr>
      <w:bookmarkStart w:id="179" w:name="_Toc9710"/>
    </w:p>
    <w:p>
      <w:pPr>
        <w:jc w:val="center"/>
        <w:outlineLvl w:val="0"/>
        <w:rPr>
          <w:rFonts w:ascii="新宋体" w:hAnsi="新宋体" w:eastAsia="新宋体" w:cs="新宋体"/>
          <w:b/>
          <w:bCs/>
          <w:kern w:val="44"/>
          <w:sz w:val="36"/>
          <w:szCs w:val="44"/>
        </w:rPr>
      </w:pPr>
      <w:r>
        <w:rPr>
          <w:rFonts w:hint="eastAsia" w:ascii="新宋体" w:hAnsi="新宋体" w:eastAsia="新宋体" w:cs="新宋体"/>
          <w:b/>
          <w:bCs/>
          <w:kern w:val="44"/>
          <w:sz w:val="36"/>
          <w:szCs w:val="44"/>
        </w:rPr>
        <w:t>第七章  评标办法</w:t>
      </w:r>
      <w:bookmarkEnd w:id="176"/>
      <w:bookmarkEnd w:id="177"/>
      <w:bookmarkEnd w:id="178"/>
      <w:bookmarkEnd w:id="179"/>
      <w:bookmarkStart w:id="180" w:name="_Hlt101846155"/>
      <w:bookmarkEnd w:id="180"/>
      <w:bookmarkStart w:id="181" w:name="_Toc183682415"/>
      <w:bookmarkStart w:id="182" w:name="_Toc183582280"/>
      <w:bookmarkStart w:id="183" w:name="_Toc217446097"/>
      <w:bookmarkStart w:id="184" w:name="_Toc208849007"/>
    </w:p>
    <w:bookmarkEnd w:id="181"/>
    <w:bookmarkEnd w:id="182"/>
    <w:bookmarkEnd w:id="183"/>
    <w:bookmarkEnd w:id="184"/>
    <w:p>
      <w:pPr>
        <w:pStyle w:val="4"/>
        <w:rPr>
          <w:rFonts w:ascii="新宋体" w:hAnsi="新宋体" w:eastAsia="新宋体" w:cs="新宋体"/>
        </w:rPr>
      </w:pPr>
      <w:r>
        <w:rPr>
          <w:rFonts w:hint="eastAsia" w:ascii="新宋体" w:hAnsi="新宋体" w:eastAsia="新宋体" w:cs="新宋体"/>
        </w:rPr>
        <w:t>一、总则</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 根据《中华人民共和国政府采购法》、《中华人民共和国政府采购法实施条例》、中华人民共和国财政部令第87号《政府采购货物和服务招标投标管理办法》等法律制度，结合采购项目特点制定本评标办法。</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1.2 </w:t>
      </w:r>
      <w:r>
        <w:rPr>
          <w:rFonts w:hint="eastAsia" w:ascii="新宋体" w:hAnsi="新宋体" w:eastAsia="新宋体" w:cs="新宋体"/>
          <w:bCs/>
          <w:sz w:val="24"/>
        </w:rPr>
        <w:t>评标工作由采购代理机构负责组织，具体评标事务由采购代理机构依法组建的评标委员会负责。评标委员会由采购人代表和有关技术、经济等方面的专家组成。</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1.3 评标工作应遵循公平、公正、科学及择优的原则，并以相同的评标程序和标准对待所有的投标供应商。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1.4 评标委员会按照招标文件规定的评标方法和标准进行评标，并独立履行下列职责：</w:t>
      </w:r>
    </w:p>
    <w:p>
      <w:pPr>
        <w:snapToGrid w:val="0"/>
        <w:spacing w:line="360" w:lineRule="auto"/>
        <w:ind w:firstLine="480" w:firstLineChars="200"/>
        <w:rPr>
          <w:rFonts w:ascii="新宋体" w:hAnsi="新宋体" w:eastAsia="新宋体" w:cs="新宋体"/>
          <w:sz w:val="24"/>
        </w:rPr>
      </w:pPr>
      <w:bookmarkStart w:id="185" w:name="_Toc217446098"/>
      <w:r>
        <w:rPr>
          <w:rFonts w:hint="eastAsia" w:ascii="新宋体" w:hAnsi="新宋体" w:eastAsia="新宋体" w:cs="新宋体"/>
          <w:sz w:val="24"/>
        </w:rPr>
        <w:t>（一）熟悉和理解招标文件；</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（二）审查供应商投标文件等是否满足招标文件要求，并作出评价；</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（三）根据需要要求招标采购单位对招标文件作出解释；根据需要要求供应商对投标文件有关事项作出澄清、说明或者补正；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（四）推荐中标候选供应商，或者受采购人委托确定中标供应商；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（五）起草评标报告并进行签署；</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（六）向招标采购单位、财政部门或者其他监督部门报告非法干预评标工作的行为；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（七）法律、法规和规章规定的其他职责。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1.5 评标过程独立、保密。投标供应商非法干预评标过程的行为将导致其投标文件作为无效处理。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1.6评标委员会评价投标文件的响应性，对于投标供应商而言，除评标委员会要求其澄清、说明或者补正而提供的资料外，仅依据投标文件本身的内容，不寻求其他外部证据。</w:t>
      </w:r>
    </w:p>
    <w:p>
      <w:pPr>
        <w:pStyle w:val="4"/>
        <w:rPr>
          <w:rFonts w:ascii="新宋体" w:hAnsi="新宋体" w:eastAsia="新宋体" w:cs="新宋体"/>
        </w:rPr>
      </w:pPr>
      <w:r>
        <w:rPr>
          <w:rFonts w:hint="eastAsia" w:ascii="新宋体" w:hAnsi="新宋体" w:eastAsia="新宋体" w:cs="新宋体"/>
        </w:rPr>
        <w:t>二、评标方法</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本项目评标方法为：综合评分法。</w:t>
      </w:r>
    </w:p>
    <w:p>
      <w:pPr>
        <w:pStyle w:val="4"/>
        <w:rPr>
          <w:rFonts w:ascii="新宋体" w:hAnsi="新宋体" w:eastAsia="新宋体" w:cs="新宋体"/>
        </w:rPr>
      </w:pPr>
      <w:r>
        <w:rPr>
          <w:rFonts w:hint="eastAsia" w:ascii="新宋体" w:hAnsi="新宋体" w:eastAsia="新宋体" w:cs="新宋体"/>
        </w:rPr>
        <w:t>三、评标程序</w:t>
      </w:r>
    </w:p>
    <w:bookmarkEnd w:id="185"/>
    <w:p>
      <w:pPr>
        <w:snapToGrid w:val="0"/>
        <w:spacing w:line="360" w:lineRule="auto"/>
        <w:ind w:firstLine="480" w:firstLineChars="200"/>
        <w:rPr>
          <w:rFonts w:ascii="新宋体" w:hAnsi="新宋体" w:eastAsia="新宋体" w:cs="新宋体"/>
          <w:sz w:val="24"/>
        </w:rPr>
      </w:pPr>
      <w:bookmarkStart w:id="186" w:name="_Toc217446103"/>
      <w:r>
        <w:rPr>
          <w:rFonts w:hint="eastAsia" w:ascii="新宋体" w:hAnsi="新宋体" w:eastAsia="新宋体" w:cs="新宋体"/>
          <w:sz w:val="24"/>
        </w:rPr>
        <w:t>3.1熟悉和理解招标文件和停止评标。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3.1.1评标委员会正式评标前，应当对招标文件进行熟悉和理解，内容主要包括招标文件中投标供应商的采购项目技术、服务和商务要求、评标方法和标准以及可能涉及签订政府采购合同的内容等。</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3.1.2评标委员会熟悉和理解招标文件以及评标过程中，发现本招标文件有下列情形之一的，评标委员会应当停止评标：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（1）招标文件的规定存在歧义、重大缺陷的；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（2）招标文件明显以不合理条件对供应商实行差别待遇或者歧视待遇的；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（3）采购项目属于国家规定的优先、强制采购范围，但是招标文件未依法体现优先、强制采购相关规定的；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（4）采购项目属于政府采购促进中小企业发展的范围，但是招标文件未依法体现促进中小企业发展相关规定的；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（6）招标文件将投标供应商的资格条件列为评分因素的；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（7）招标文件有违反国家其他有关强制性规定的情形。</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3.2资格性检查</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采购人或者采购代理机构应依据法律法规和本招标文件的规定，对投标文件是否按照规定要求提供资格性证明材料、是否按照规定缴纳投标保证金、是否属于禁止参加投标的供应商等进行审查，以确定投标供应商是否具备投标资格。</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3.3符合性检查</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2" w:firstLineChars="200"/>
        <w:rPr>
          <w:rFonts w:ascii="新宋体" w:hAnsi="新宋体" w:eastAsia="新宋体" w:cs="新宋体"/>
          <w:sz w:val="24"/>
        </w:rPr>
      </w:pPr>
      <w:r>
        <w:rPr>
          <w:rFonts w:hint="eastAsia" w:ascii="新宋体" w:hAnsi="新宋体" w:eastAsia="新宋体" w:cs="新宋体"/>
          <w:b/>
          <w:bCs/>
          <w:sz w:val="24"/>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（一）存在个别地方（不超过2个）没有法定代表人签字，但有法定代表人的私人印章或者有效授权代理人签字的；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（二）除招标文件明确要求加盖单位(法人)公章的以外，其他地方以相关专用章加盖的；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（三）其他不影响采购项目实质性要求的情形。</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3.3.3除政府采购法律制度规定的情形外，本项目投标供应商或者其投标文件有下列情形之一的，作为无效投标处理：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（一）开标现场未在规定时间内对投标文件进行解密的；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（二）投标文件组成明显不符合招标文件的规定要求，影响评标委员会评判的；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（三）投标文件的格式、语言、计量单位、报价货币、知识产权、投标有效期等不符合招标文件的规定，影响评标委员会评判的；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（四）投标报价不符合招标文件规定的价格标底和其他报价规定的；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及服务项目的除外）；</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（六）技术、服务应答内容没有完全响应招标文件的实质性要求的；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（七）招标文件有明确要求，但投标文件未载明或者载明的采购项目履约时间、方式、数量与招标文件要求不一致的。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3.4比较与评价。按招标文件中规定的评标方法和标准，对未作无效投标处理的投标文件进行技术、服务、商务等方面评估，综合比较与评价。</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3.5复核。评分汇总结束后，评标委员会应当进行复核，特别要对拟推荐为中标候选供应商的、报价最低的、投标文件被认定为无效的进行重点复核。</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3.7出具评标报告。评标委员会推荐中标候选供应商后，应当向招标采购单位出具评标报告。评标报告应当包括下列内容：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（一）招标公告刊登的媒体名称、开标日期和地点；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（二）获取招标文件的投标供应商名单和评标委员会成员名单；</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（三）评标方法和标准；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（四）开标记录和评标情况及说明，包括无效投标供应商名单及原因；</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（五）评标结果和中标候选供应商排序表；</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（六）评标委员会授标建议；</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（七）报价最高的投标供应商为中标候选人的，评标委员会应当对其报价的合理性予以特别说明。</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3.9供应商应当书面澄清、说明或者补正。</w:t>
      </w:r>
    </w:p>
    <w:p>
      <w:pPr>
        <w:widowControl/>
        <w:shd w:val="clear" w:color="auto" w:fill="FFFFFF"/>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3.9.1在评标过程中，对于投标文件中含义不明确、同类问题表述不一致或者有明显文字和计算错误的内容，评标委员会应当以书面形式要求投标供应商作出必要的澄清、说明或者补正。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（一）按财政部规定应当在评标时不予承认的投标文件内容事项；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（二）投标文件中已经明确的内容事项；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（三）投标文件未提供的材料。</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3.9.4 本项目采购过程中，投标文件出现下列情况的，不需要供应商澄清、说明或者补正，按照以下原则处理：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（一）投标文件的大写金额和小写金额不一致的，以大写金额为准，但大写金额出现文字错误，导致金额无法判断的除外；</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（二）总价金额与按单价汇总金额不一致的，以单价汇总金额计算结果为准，但是单价金额出现计算错误、明显人为工作失误的除外；</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（三）单价金额小数点有明显错位的，应以总价为准，并修改单价；</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（四）对不同语言文本投标文件的解释发生异议的，以中文文本为准。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注：评标委员会当积极履行澄清、说明或者补正的职责，不得滥用权力。供应商的投标文件可以要求澄清、说明或者补正的，不得未经澄清、说明或者补正而直接作无效投标处理。</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3.10 低于成本价投标处理。在评标过程中，评审委员认为投标供应商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3.11 招标采购单位现场复核评标结果。</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（一）资格性审查认定错误的；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（二）分值汇总计算错误的；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（三）分项评分超出评分标准范围的；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（四）客观评分不一致的。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3.11.2有下列情形之一的，不得修改评标结果或者重新评标：</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（一）评标委员会已经出具评标报告并且离开评标现场的；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（二）招标采购单位现场复核时，复核工作人员数量不足的；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（三）招标采购单位现场复核时，没有采购监督人员现场监督的；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（四）招标采购单位现场复核内容超出规定范围的；</w:t>
      </w:r>
    </w:p>
    <w:p>
      <w:pPr>
        <w:pStyle w:val="35"/>
        <w:spacing w:line="360" w:lineRule="auto"/>
        <w:ind w:firstLine="480" w:firstLineChars="200"/>
        <w:rPr>
          <w:rFonts w:hint="default" w:ascii="新宋体" w:hAnsi="新宋体" w:eastAsia="新宋体" w:cs="新宋体"/>
          <w:color w:val="auto"/>
          <w:sz w:val="24"/>
          <w:szCs w:val="24"/>
        </w:rPr>
      </w:pPr>
      <w:r>
        <w:rPr>
          <w:rFonts w:ascii="新宋体" w:hAnsi="新宋体" w:eastAsia="新宋体" w:cs="新宋体"/>
          <w:color w:val="auto"/>
          <w:sz w:val="24"/>
          <w:szCs w:val="24"/>
        </w:rPr>
        <w:t>（五）招标采购单位未提供书面建议的。</w:t>
      </w:r>
    </w:p>
    <w:p>
      <w:pPr>
        <w:spacing w:line="360" w:lineRule="auto"/>
        <w:ind w:firstLine="602" w:firstLineChars="200"/>
        <w:jc w:val="center"/>
        <w:outlineLvl w:val="1"/>
        <w:rPr>
          <w:rFonts w:ascii="新宋体" w:hAnsi="新宋体" w:eastAsia="新宋体" w:cs="新宋体"/>
          <w:sz w:val="24"/>
        </w:rPr>
      </w:pPr>
      <w:r>
        <w:rPr>
          <w:rFonts w:hint="eastAsia" w:ascii="新宋体" w:hAnsi="新宋体" w:eastAsia="新宋体" w:cs="新宋体"/>
          <w:b/>
          <w:bCs/>
          <w:sz w:val="30"/>
          <w:szCs w:val="30"/>
        </w:rPr>
        <w:t>四. 评标细则及标准</w:t>
      </w:r>
      <w:bookmarkEnd w:id="186"/>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4.1本次综合评分的因素是：详见综合评分明细表。</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4.2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rPr>
          <w:rFonts w:ascii="新宋体" w:hAnsi="新宋体" w:eastAsia="新宋体" w:cs="新宋体"/>
          <w:sz w:val="24"/>
        </w:rPr>
      </w:pPr>
      <w:r>
        <w:rPr>
          <w:rFonts w:hint="eastAsia" w:ascii="新宋体" w:hAnsi="新宋体" w:eastAsia="新宋体" w:cs="新宋体"/>
          <w:sz w:val="24"/>
        </w:rPr>
        <w:br w:type="page"/>
      </w:r>
    </w:p>
    <w:p>
      <w:pPr>
        <w:pStyle w:val="12"/>
        <w:ind w:firstLine="480"/>
        <w:rPr>
          <w:rFonts w:ascii="新宋体" w:hAnsi="新宋体" w:eastAsia="新宋体" w:cs="新宋体"/>
        </w:rPr>
      </w:pPr>
      <w:r>
        <w:rPr>
          <w:rFonts w:hint="eastAsia" w:ascii="新宋体" w:hAnsi="新宋体" w:eastAsia="新宋体" w:cs="新宋体"/>
          <w:sz w:val="24"/>
        </w:rPr>
        <w:t>4.3资格评审表</w:t>
      </w:r>
    </w:p>
    <w:tbl>
      <w:tblPr>
        <w:tblStyle w:val="26"/>
        <w:tblW w:w="8958" w:type="dxa"/>
        <w:jc w:val="center"/>
        <w:tblLayout w:type="fixed"/>
        <w:tblCellMar>
          <w:top w:w="0" w:type="dxa"/>
          <w:left w:w="0" w:type="dxa"/>
          <w:bottom w:w="0" w:type="dxa"/>
          <w:right w:w="0" w:type="dxa"/>
        </w:tblCellMar>
      </w:tblPr>
      <w:tblGrid>
        <w:gridCol w:w="708"/>
        <w:gridCol w:w="1925"/>
        <w:gridCol w:w="6325"/>
      </w:tblGrid>
      <w:tr>
        <w:tblPrEx>
          <w:tblCellMar>
            <w:top w:w="0" w:type="dxa"/>
            <w:left w:w="0" w:type="dxa"/>
            <w:bottom w:w="0" w:type="dxa"/>
            <w:right w:w="0" w:type="dxa"/>
          </w:tblCellMar>
        </w:tblPrEx>
        <w:trPr>
          <w:trHeight w:val="178" w:hRule="atLeast"/>
          <w:jc w:val="center"/>
        </w:trPr>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1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评审内容</w:t>
            </w:r>
          </w:p>
        </w:tc>
        <w:tc>
          <w:tcPr>
            <w:tcW w:w="6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b/>
                <w:sz w:val="24"/>
              </w:rPr>
            </w:pPr>
            <w:r>
              <w:rPr>
                <w:rFonts w:hint="eastAsia" w:ascii="新宋体" w:hAnsi="新宋体" w:eastAsia="新宋体" w:cs="新宋体"/>
                <w:b/>
                <w:sz w:val="24"/>
              </w:rPr>
              <w:t>评审要求</w:t>
            </w:r>
          </w:p>
        </w:tc>
      </w:tr>
      <w:tr>
        <w:tblPrEx>
          <w:tblCellMar>
            <w:top w:w="0" w:type="dxa"/>
            <w:left w:w="0" w:type="dxa"/>
            <w:bottom w:w="0" w:type="dxa"/>
            <w:right w:w="0" w:type="dxa"/>
          </w:tblCellMar>
        </w:tblPrEx>
        <w:trPr>
          <w:trHeight w:val="286" w:hRule="atLeast"/>
          <w:jc w:val="center"/>
        </w:trPr>
        <w:tc>
          <w:tcPr>
            <w:tcW w:w="708" w:type="dxa"/>
            <w:tcBorders>
              <w:top w:val="single" w:color="000000" w:sz="4" w:space="0"/>
              <w:left w:val="single" w:color="000000" w:sz="4" w:space="0"/>
              <w:bottom w:val="single" w:color="auto" w:sz="4" w:space="0"/>
              <w:right w:val="nil"/>
            </w:tcBorders>
            <w:noWrap/>
            <w:tcMar>
              <w:top w:w="15" w:type="dxa"/>
              <w:left w:w="15" w:type="dxa"/>
              <w:right w:w="15" w:type="dxa"/>
            </w:tcMar>
            <w:vAlign w:val="center"/>
          </w:tcPr>
          <w:p>
            <w:pPr>
              <w:widowControl/>
              <w:jc w:val="center"/>
              <w:textAlignment w:val="center"/>
              <w:rPr>
                <w:rFonts w:ascii="新宋体" w:hAnsi="新宋体" w:eastAsia="新宋体" w:cs="新宋体"/>
                <w:b/>
                <w:sz w:val="24"/>
              </w:rPr>
            </w:pPr>
            <w:r>
              <w:rPr>
                <w:rFonts w:hint="eastAsia" w:ascii="新宋体" w:hAnsi="新宋体" w:eastAsia="新宋体" w:cs="新宋体"/>
                <w:b/>
                <w:sz w:val="24"/>
              </w:rPr>
              <w:t>1</w:t>
            </w:r>
          </w:p>
        </w:tc>
        <w:tc>
          <w:tcPr>
            <w:tcW w:w="1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具有独立承担民事责任的能力</w:t>
            </w:r>
          </w:p>
        </w:tc>
        <w:tc>
          <w:tcPr>
            <w:tcW w:w="63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textAlignment w:val="center"/>
              <w:rPr>
                <w:rFonts w:ascii="新宋体" w:hAnsi="新宋体" w:eastAsia="新宋体" w:cs="新宋体"/>
                <w:sz w:val="24"/>
              </w:rPr>
            </w:pPr>
            <w:r>
              <w:rPr>
                <w:rFonts w:hint="eastAsia" w:ascii="新宋体" w:hAnsi="新宋体" w:eastAsia="新宋体" w:cs="新宋体"/>
                <w:sz w:val="24"/>
              </w:rPr>
              <w:t>具备符合本项目业务范围的有效营业执照（其他组织或自然人提供具有承担民事责任的能力的证明材料复印件及法人身份证复印件）。</w:t>
            </w:r>
          </w:p>
        </w:tc>
      </w:tr>
      <w:tr>
        <w:tblPrEx>
          <w:tblCellMar>
            <w:top w:w="0" w:type="dxa"/>
            <w:left w:w="0" w:type="dxa"/>
            <w:bottom w:w="0" w:type="dxa"/>
            <w:right w:w="0" w:type="dxa"/>
          </w:tblCellMar>
        </w:tblPrEx>
        <w:trPr>
          <w:trHeight w:val="3096" w:hRule="atLeast"/>
          <w:jc w:val="center"/>
        </w:trPr>
        <w:tc>
          <w:tcPr>
            <w:tcW w:w="708" w:type="dxa"/>
            <w:tcBorders>
              <w:top w:val="single" w:color="auto" w:sz="4" w:space="0"/>
              <w:left w:val="single" w:color="000000" w:sz="4" w:space="0"/>
              <w:bottom w:val="single" w:color="auto" w:sz="4" w:space="0"/>
              <w:right w:val="nil"/>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2</w:t>
            </w:r>
          </w:p>
        </w:tc>
        <w:tc>
          <w:tcPr>
            <w:tcW w:w="192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具有良好的商业信誉和健全的财务会计制度</w:t>
            </w:r>
          </w:p>
        </w:tc>
        <w:tc>
          <w:tcPr>
            <w:tcW w:w="6325"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tabs>
                <w:tab w:val="left" w:pos="1134"/>
              </w:tabs>
              <w:outlineLvl w:val="5"/>
              <w:rPr>
                <w:rFonts w:ascii="新宋体" w:hAnsi="新宋体" w:eastAsia="新宋体" w:cs="新宋体"/>
                <w:kern w:val="0"/>
                <w:sz w:val="24"/>
              </w:rPr>
            </w:pPr>
            <w:r>
              <w:rPr>
                <w:rFonts w:hint="eastAsia" w:ascii="新宋体" w:hAnsi="新宋体" w:eastAsia="新宋体" w:cs="新宋体"/>
                <w:b/>
                <w:bCs/>
                <w:kern w:val="0"/>
                <w:sz w:val="24"/>
              </w:rPr>
              <w:t>良好的商业信誉：</w:t>
            </w:r>
            <w:r>
              <w:rPr>
                <w:rFonts w:hint="eastAsia" w:ascii="新宋体" w:hAnsi="新宋体" w:eastAsia="新宋体" w:cs="新宋体"/>
                <w:kern w:val="0"/>
                <w:sz w:val="24"/>
              </w:rPr>
              <w:t>投标供应商自行提供声明函</w:t>
            </w:r>
          </w:p>
          <w:p>
            <w:pPr>
              <w:tabs>
                <w:tab w:val="left" w:pos="1134"/>
              </w:tabs>
              <w:outlineLvl w:val="5"/>
              <w:rPr>
                <w:rFonts w:ascii="新宋体" w:hAnsi="新宋体" w:eastAsia="新宋体" w:cs="新宋体"/>
                <w:kern w:val="0"/>
                <w:sz w:val="24"/>
              </w:rPr>
            </w:pPr>
            <w:r>
              <w:rPr>
                <w:rFonts w:hint="eastAsia" w:ascii="新宋体" w:hAnsi="新宋体" w:eastAsia="新宋体" w:cs="新宋体"/>
                <w:b/>
                <w:bCs/>
                <w:kern w:val="0"/>
                <w:sz w:val="24"/>
              </w:rPr>
              <w:t>健全的财务制度：</w:t>
            </w:r>
            <w:r>
              <w:rPr>
                <w:rFonts w:hint="eastAsia" w:ascii="新宋体" w:hAnsi="新宋体" w:eastAsia="新宋体" w:cs="新宋体"/>
                <w:kern w:val="0"/>
                <w:sz w:val="24"/>
              </w:rPr>
              <w:t>202</w:t>
            </w:r>
            <w:r>
              <w:rPr>
                <w:rFonts w:ascii="新宋体" w:hAnsi="新宋体" w:eastAsia="新宋体" w:cs="新宋体"/>
                <w:kern w:val="0"/>
                <w:sz w:val="24"/>
              </w:rPr>
              <w:t>1</w:t>
            </w:r>
            <w:r>
              <w:rPr>
                <w:rFonts w:hint="eastAsia" w:ascii="新宋体" w:hAnsi="新宋体" w:eastAsia="新宋体" w:cs="新宋体"/>
                <w:kern w:val="0"/>
                <w:sz w:val="24"/>
              </w:rPr>
              <w:t>年年度财务状况报告复印件（供应商可提供以下证明材料）：</w:t>
            </w:r>
          </w:p>
          <w:p>
            <w:pPr>
              <w:tabs>
                <w:tab w:val="left" w:pos="1134"/>
              </w:tabs>
              <w:outlineLvl w:val="5"/>
              <w:rPr>
                <w:rFonts w:ascii="新宋体" w:hAnsi="新宋体" w:eastAsia="新宋体" w:cs="新宋体"/>
                <w:kern w:val="0"/>
                <w:sz w:val="24"/>
              </w:rPr>
            </w:pPr>
            <w:r>
              <w:rPr>
                <w:rFonts w:hint="eastAsia" w:ascii="新宋体" w:hAnsi="新宋体" w:eastAsia="新宋体" w:cs="新宋体"/>
                <w:kern w:val="0"/>
                <w:sz w:val="24"/>
              </w:rPr>
              <w:t>①第三方机构出具的审计报告（复印件）；</w:t>
            </w:r>
          </w:p>
          <w:p>
            <w:pPr>
              <w:tabs>
                <w:tab w:val="left" w:pos="1134"/>
              </w:tabs>
              <w:outlineLvl w:val="5"/>
              <w:rPr>
                <w:rFonts w:ascii="新宋体" w:hAnsi="新宋体" w:eastAsia="新宋体" w:cs="新宋体"/>
                <w:kern w:val="0"/>
                <w:sz w:val="24"/>
              </w:rPr>
            </w:pPr>
            <w:r>
              <w:rPr>
                <w:rFonts w:hint="eastAsia" w:ascii="新宋体" w:hAnsi="新宋体" w:eastAsia="新宋体" w:cs="新宋体"/>
                <w:kern w:val="0"/>
                <w:sz w:val="24"/>
              </w:rPr>
              <w:t>②新成立公司（2022年新成立的公司，以营业执照注册时间为准）可提供在工商备案的公司章程复印件【格式可自拟】或最新的银行资信证明；</w:t>
            </w:r>
          </w:p>
          <w:p>
            <w:pPr>
              <w:tabs>
                <w:tab w:val="left" w:pos="1134"/>
              </w:tabs>
              <w:outlineLvl w:val="5"/>
              <w:rPr>
                <w:rFonts w:ascii="新宋体" w:hAnsi="新宋体" w:eastAsia="新宋体" w:cs="新宋体"/>
                <w:sz w:val="24"/>
                <w:lang w:val="zh-CN"/>
              </w:rPr>
            </w:pPr>
            <w:r>
              <w:rPr>
                <w:rFonts w:hint="eastAsia" w:ascii="新宋体" w:hAnsi="新宋体" w:eastAsia="新宋体" w:cs="新宋体"/>
                <w:kern w:val="0"/>
                <w:sz w:val="24"/>
              </w:rPr>
              <w:t>③2021年成立的公司提供公司内部出具的财务报告（应包括资产负债表、损益表、现金流量表、报表附注）。</w:t>
            </w:r>
          </w:p>
        </w:tc>
      </w:tr>
      <w:tr>
        <w:tblPrEx>
          <w:tblCellMar>
            <w:top w:w="0" w:type="dxa"/>
            <w:left w:w="0" w:type="dxa"/>
            <w:bottom w:w="0" w:type="dxa"/>
            <w:right w:w="0" w:type="dxa"/>
          </w:tblCellMar>
        </w:tblPrEx>
        <w:trPr>
          <w:trHeight w:val="423" w:hRule="atLeast"/>
          <w:jc w:val="center"/>
        </w:trPr>
        <w:tc>
          <w:tcPr>
            <w:tcW w:w="708" w:type="dxa"/>
            <w:tcBorders>
              <w:top w:val="single" w:color="auto" w:sz="4" w:space="0"/>
              <w:left w:val="single" w:color="000000" w:sz="4" w:space="0"/>
              <w:bottom w:val="single" w:color="auto" w:sz="4" w:space="0"/>
              <w:right w:val="nil"/>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3</w:t>
            </w:r>
          </w:p>
        </w:tc>
        <w:tc>
          <w:tcPr>
            <w:tcW w:w="192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具有履行合同所必需的设备和专业技术能力</w:t>
            </w:r>
          </w:p>
        </w:tc>
        <w:tc>
          <w:tcPr>
            <w:tcW w:w="6325"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新宋体" w:hAnsi="新宋体" w:eastAsia="新宋体" w:cs="新宋体"/>
                <w:sz w:val="24"/>
              </w:rPr>
            </w:pPr>
            <w:r>
              <w:rPr>
                <w:rFonts w:hint="eastAsia" w:ascii="新宋体" w:hAnsi="新宋体" w:eastAsia="新宋体" w:cs="新宋体"/>
                <w:sz w:val="24"/>
                <w:lang w:val="zh-CN"/>
              </w:rPr>
              <w:t>提供相关证明材料（</w:t>
            </w:r>
            <w:r>
              <w:rPr>
                <w:rFonts w:hint="eastAsia" w:ascii="新宋体" w:hAnsi="新宋体" w:eastAsia="新宋体" w:cs="新宋体"/>
                <w:sz w:val="24"/>
              </w:rPr>
              <w:t>声明函</w:t>
            </w:r>
            <w:r>
              <w:rPr>
                <w:rFonts w:hint="eastAsia" w:ascii="新宋体" w:hAnsi="新宋体" w:eastAsia="新宋体" w:cs="新宋体"/>
                <w:sz w:val="24"/>
                <w:lang w:val="zh-CN"/>
              </w:rPr>
              <w:t>）。</w:t>
            </w:r>
          </w:p>
        </w:tc>
      </w:tr>
      <w:tr>
        <w:tblPrEx>
          <w:tblCellMar>
            <w:top w:w="0" w:type="dxa"/>
            <w:left w:w="0" w:type="dxa"/>
            <w:bottom w:w="0" w:type="dxa"/>
            <w:right w:w="0" w:type="dxa"/>
          </w:tblCellMar>
        </w:tblPrEx>
        <w:trPr>
          <w:trHeight w:val="1657" w:hRule="atLeast"/>
          <w:jc w:val="center"/>
        </w:trPr>
        <w:tc>
          <w:tcPr>
            <w:tcW w:w="708" w:type="dxa"/>
            <w:tcBorders>
              <w:top w:val="single" w:color="auto" w:sz="4" w:space="0"/>
              <w:left w:val="single" w:color="000000" w:sz="4" w:space="0"/>
              <w:bottom w:val="single" w:color="auto" w:sz="4" w:space="0"/>
              <w:right w:val="nil"/>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4</w:t>
            </w:r>
          </w:p>
        </w:tc>
        <w:tc>
          <w:tcPr>
            <w:tcW w:w="1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纳税税收和社保证明</w:t>
            </w:r>
          </w:p>
        </w:tc>
        <w:tc>
          <w:tcPr>
            <w:tcW w:w="6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textAlignment w:val="center"/>
              <w:rPr>
                <w:rFonts w:ascii="新宋体" w:hAnsi="新宋体" w:eastAsia="新宋体" w:cs="新宋体"/>
                <w:b/>
                <w:bCs/>
                <w:sz w:val="24"/>
              </w:rPr>
            </w:pPr>
            <w:r>
              <w:rPr>
                <w:rFonts w:hint="eastAsia" w:ascii="新宋体" w:hAnsi="新宋体" w:eastAsia="新宋体" w:cs="新宋体"/>
                <w:b/>
                <w:bCs/>
                <w:sz w:val="24"/>
              </w:rPr>
              <w:t>（1）缴纳税收证明材料（投标供应商可提供以下证明材料）：</w:t>
            </w:r>
          </w:p>
          <w:p>
            <w:pPr>
              <w:widowControl/>
              <w:textAlignment w:val="center"/>
              <w:rPr>
                <w:rFonts w:ascii="新宋体" w:hAnsi="新宋体" w:eastAsia="新宋体" w:cs="新宋体"/>
                <w:sz w:val="24"/>
              </w:rPr>
            </w:pPr>
            <w:r>
              <w:rPr>
                <w:rFonts w:hint="eastAsia" w:ascii="新宋体" w:hAnsi="新宋体" w:eastAsia="新宋体" w:cs="新宋体"/>
                <w:sz w:val="24"/>
              </w:rPr>
              <w:t xml:space="preserve"> ①税务登记证副本复印件（注：在有效期内）或工商部门新颁发的营业执照复印件（有效期内）。</w:t>
            </w:r>
          </w:p>
          <w:p>
            <w:pPr>
              <w:widowControl/>
              <w:textAlignment w:val="center"/>
              <w:rPr>
                <w:rFonts w:ascii="新宋体" w:hAnsi="新宋体" w:eastAsia="新宋体" w:cs="新宋体"/>
                <w:sz w:val="24"/>
              </w:rPr>
            </w:pPr>
            <w:r>
              <w:rPr>
                <w:rFonts w:hint="eastAsia" w:ascii="新宋体" w:hAnsi="新宋体" w:eastAsia="新宋体" w:cs="新宋体"/>
                <w:sz w:val="24"/>
              </w:rPr>
              <w:t xml:space="preserve"> ②投标供应商提供202</w:t>
            </w:r>
            <w:r>
              <w:rPr>
                <w:rFonts w:ascii="新宋体" w:hAnsi="新宋体" w:eastAsia="新宋体" w:cs="新宋体"/>
                <w:sz w:val="24"/>
              </w:rPr>
              <w:t>2</w:t>
            </w:r>
            <w:r>
              <w:rPr>
                <w:rFonts w:hint="eastAsia" w:ascii="新宋体" w:hAnsi="新宋体" w:eastAsia="新宋体" w:cs="新宋体"/>
                <w:sz w:val="24"/>
              </w:rPr>
              <w:t>年1月1日以后任意1个月的交税凭证（税务机关出具的完税证明）（注：原件或复印件或扫描件需加盖单位公章）。</w:t>
            </w:r>
          </w:p>
          <w:p>
            <w:pPr>
              <w:widowControl/>
              <w:textAlignment w:val="center"/>
              <w:rPr>
                <w:rFonts w:ascii="新宋体" w:hAnsi="新宋体" w:eastAsia="新宋体" w:cs="新宋体"/>
                <w:sz w:val="24"/>
              </w:rPr>
            </w:pPr>
            <w:r>
              <w:rPr>
                <w:rFonts w:hint="eastAsia" w:ascii="新宋体" w:hAnsi="新宋体" w:eastAsia="新宋体" w:cs="新宋体"/>
                <w:sz w:val="24"/>
              </w:rPr>
              <w:t>③备注：小规模纳税人、免税企业、机构、等社会力量需提供相关证明文件</w:t>
            </w:r>
          </w:p>
          <w:p>
            <w:pPr>
              <w:widowControl/>
              <w:textAlignment w:val="center"/>
              <w:rPr>
                <w:rFonts w:ascii="新宋体" w:hAnsi="新宋体" w:eastAsia="新宋体" w:cs="新宋体"/>
                <w:b/>
                <w:bCs/>
                <w:sz w:val="24"/>
              </w:rPr>
            </w:pPr>
            <w:r>
              <w:rPr>
                <w:rFonts w:hint="eastAsia" w:ascii="新宋体" w:hAnsi="新宋体" w:eastAsia="新宋体" w:cs="新宋体"/>
                <w:b/>
                <w:bCs/>
                <w:sz w:val="24"/>
              </w:rPr>
              <w:t>（2）缴纳社会保障资金（投标供应商可提供以下证明材料）：</w:t>
            </w:r>
          </w:p>
          <w:p>
            <w:pPr>
              <w:widowControl/>
              <w:textAlignment w:val="center"/>
              <w:rPr>
                <w:rFonts w:ascii="新宋体" w:hAnsi="新宋体" w:eastAsia="新宋体" w:cs="新宋体"/>
                <w:sz w:val="24"/>
                <w:lang w:val="zh-CN"/>
              </w:rPr>
            </w:pPr>
            <w:r>
              <w:rPr>
                <w:rFonts w:hint="eastAsia" w:ascii="新宋体" w:hAnsi="新宋体" w:eastAsia="新宋体" w:cs="新宋体"/>
                <w:sz w:val="24"/>
              </w:rPr>
              <w:t xml:space="preserve"> ①投标供应商提供202</w:t>
            </w:r>
            <w:r>
              <w:rPr>
                <w:rFonts w:ascii="新宋体" w:hAnsi="新宋体" w:eastAsia="新宋体" w:cs="新宋体"/>
                <w:sz w:val="24"/>
              </w:rPr>
              <w:t>2</w:t>
            </w:r>
            <w:r>
              <w:rPr>
                <w:rFonts w:hint="eastAsia" w:ascii="新宋体" w:hAnsi="新宋体" w:eastAsia="新宋体" w:cs="新宋体"/>
                <w:sz w:val="24"/>
              </w:rPr>
              <w:t>年1月1日以后任意1个月的社会缴纳社会保险的凭据（专用收据或社会保险缴纳清单）（注：原件或复印件或扫描件并加盖本单位公章）</w:t>
            </w:r>
          </w:p>
        </w:tc>
      </w:tr>
      <w:tr>
        <w:tblPrEx>
          <w:tblCellMar>
            <w:top w:w="0" w:type="dxa"/>
            <w:left w:w="0" w:type="dxa"/>
            <w:bottom w:w="0" w:type="dxa"/>
            <w:right w:w="0" w:type="dxa"/>
          </w:tblCellMar>
        </w:tblPrEx>
        <w:trPr>
          <w:trHeight w:val="286" w:hRule="atLeast"/>
          <w:jc w:val="center"/>
        </w:trPr>
        <w:tc>
          <w:tcPr>
            <w:tcW w:w="708" w:type="dxa"/>
            <w:tcBorders>
              <w:top w:val="single" w:color="auto" w:sz="4" w:space="0"/>
              <w:left w:val="single" w:color="000000" w:sz="4" w:space="0"/>
              <w:bottom w:val="single" w:color="auto" w:sz="4" w:space="0"/>
              <w:right w:val="nil"/>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5</w:t>
            </w:r>
          </w:p>
        </w:tc>
        <w:tc>
          <w:tcPr>
            <w:tcW w:w="19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近三年无重大违法记录声明</w:t>
            </w:r>
          </w:p>
        </w:tc>
        <w:tc>
          <w:tcPr>
            <w:tcW w:w="6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新宋体"/>
                <w:sz w:val="24"/>
              </w:rPr>
            </w:pPr>
            <w:r>
              <w:rPr>
                <w:rFonts w:hint="eastAsia" w:ascii="新宋体" w:hAnsi="新宋体" w:eastAsia="新宋体" w:cs="新宋体"/>
                <w:sz w:val="24"/>
              </w:rPr>
              <w:t>供应商参加政府采购活动前三年内，在经营活动中没有重大违法记录（提供声明函）</w:t>
            </w:r>
          </w:p>
        </w:tc>
      </w:tr>
      <w:tr>
        <w:tblPrEx>
          <w:tblCellMar>
            <w:top w:w="0" w:type="dxa"/>
            <w:left w:w="0" w:type="dxa"/>
            <w:bottom w:w="0" w:type="dxa"/>
            <w:right w:w="0" w:type="dxa"/>
          </w:tblCellMar>
        </w:tblPrEx>
        <w:trPr>
          <w:trHeight w:val="955" w:hRule="atLeast"/>
          <w:jc w:val="center"/>
        </w:trPr>
        <w:tc>
          <w:tcPr>
            <w:tcW w:w="708" w:type="dxa"/>
            <w:tcBorders>
              <w:top w:val="single" w:color="auto" w:sz="4" w:space="0"/>
              <w:left w:val="single" w:color="000000" w:sz="4" w:space="0"/>
              <w:right w:val="nil"/>
            </w:tcBorders>
            <w:noWrap/>
            <w:tcMar>
              <w:top w:w="15" w:type="dxa"/>
              <w:left w:w="15" w:type="dxa"/>
              <w:right w:w="15" w:type="dxa"/>
            </w:tcMar>
            <w:vAlign w:val="center"/>
          </w:tcPr>
          <w:p>
            <w:pPr>
              <w:jc w:val="center"/>
              <w:rPr>
                <w:rFonts w:ascii="新宋体" w:hAnsi="新宋体" w:eastAsia="新宋体" w:cs="新宋体"/>
                <w:b/>
                <w:sz w:val="24"/>
              </w:rPr>
            </w:pPr>
            <w:r>
              <w:rPr>
                <w:rFonts w:hint="eastAsia" w:ascii="新宋体" w:hAnsi="新宋体" w:eastAsia="新宋体" w:cs="新宋体"/>
                <w:b/>
                <w:sz w:val="24"/>
              </w:rPr>
              <w:t>6</w:t>
            </w:r>
          </w:p>
        </w:tc>
        <w:tc>
          <w:tcPr>
            <w:tcW w:w="19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sz w:val="24"/>
              </w:rPr>
            </w:pPr>
            <w:r>
              <w:rPr>
                <w:rFonts w:hint="eastAsia" w:ascii="新宋体" w:hAnsi="新宋体" w:eastAsia="新宋体" w:cs="新宋体"/>
                <w:sz w:val="24"/>
              </w:rPr>
              <w:t>信用证明</w:t>
            </w:r>
          </w:p>
        </w:tc>
        <w:tc>
          <w:tcPr>
            <w:tcW w:w="6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textAlignment w:val="top"/>
              <w:rPr>
                <w:rFonts w:ascii="新宋体" w:hAnsi="新宋体" w:eastAsia="新宋体" w:cs="新宋体"/>
                <w:sz w:val="24"/>
              </w:rPr>
            </w:pPr>
            <w:r>
              <w:rPr>
                <w:rFonts w:hint="eastAsia" w:ascii="新宋体" w:hAnsi="新宋体" w:eastAsia="新宋体" w:cs="新宋体"/>
                <w:b/>
                <w:bCs/>
                <w:sz w:val="24"/>
              </w:rPr>
              <w:t>提供以下任意一条证明材料：</w:t>
            </w:r>
          </w:p>
          <w:p>
            <w:pPr>
              <w:widowControl/>
              <w:textAlignment w:val="top"/>
              <w:rPr>
                <w:rFonts w:ascii="新宋体" w:hAnsi="新宋体" w:eastAsia="新宋体" w:cs="新宋体"/>
                <w:sz w:val="24"/>
              </w:rPr>
            </w:pPr>
            <w:r>
              <w:rPr>
                <w:rFonts w:hint="eastAsia" w:ascii="新宋体" w:hAnsi="新宋体" w:eastAsia="新宋体" w:cs="新宋体"/>
                <w:b/>
                <w:bCs/>
                <w:sz w:val="24"/>
              </w:rPr>
              <w:t>查询记录：</w:t>
            </w:r>
            <w:r>
              <w:rPr>
                <w:rFonts w:hint="eastAsia" w:ascii="新宋体" w:hAnsi="新宋体" w:eastAsia="新宋体" w:cs="新宋体"/>
                <w:sz w:val="24"/>
              </w:rPr>
              <w:t>（投标供应商应未处于《信用中国网站》“失信被执行人、重大税收违法案件当事人名单、企业经营异常名录、政府采购不良行为记录名单”内；投标供应商应于2017年至今在《中国裁判文书网》无行贿犯罪记录；投标供应商应应未处于《中国政府采购网》“无政府采购严重违法失信行为信息记录”名单内；以及其他不符合《中华人民共和国政府采购法》第二十二条规定条件的供应商禁止参加政府采购活动（处罚期限届满的除外）。</w:t>
            </w:r>
          </w:p>
        </w:tc>
      </w:tr>
      <w:tr>
        <w:tblPrEx>
          <w:tblCellMar>
            <w:top w:w="0" w:type="dxa"/>
            <w:left w:w="0" w:type="dxa"/>
            <w:bottom w:w="0" w:type="dxa"/>
            <w:right w:w="0" w:type="dxa"/>
          </w:tblCellMar>
        </w:tblPrEx>
        <w:trPr>
          <w:trHeight w:val="644" w:hRule="atLeast"/>
          <w:jc w:val="center"/>
        </w:trPr>
        <w:tc>
          <w:tcPr>
            <w:tcW w:w="89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新宋体"/>
                <w:b/>
                <w:sz w:val="24"/>
              </w:rPr>
            </w:pPr>
            <w:r>
              <w:rPr>
                <w:rFonts w:hint="eastAsia" w:ascii="新宋体" w:hAnsi="新宋体" w:eastAsia="新宋体" w:cs="新宋体"/>
                <w:b/>
                <w:sz w:val="24"/>
              </w:rPr>
              <w:t>是否通过资格评审</w:t>
            </w:r>
          </w:p>
        </w:tc>
      </w:tr>
    </w:tbl>
    <w:p>
      <w:pPr>
        <w:rPr>
          <w:rFonts w:ascii="新宋体" w:hAnsi="新宋体" w:eastAsia="新宋体" w:cs="新宋体"/>
          <w:sz w:val="24"/>
        </w:rPr>
      </w:pPr>
      <w:r>
        <w:rPr>
          <w:rFonts w:hint="eastAsia" w:ascii="新宋体" w:hAnsi="新宋体" w:eastAsia="新宋体" w:cs="新宋体"/>
          <w:sz w:val="24"/>
        </w:rPr>
        <w:br w:type="page"/>
      </w:r>
      <w:r>
        <w:rPr>
          <w:rFonts w:hint="eastAsia" w:ascii="新宋体" w:hAnsi="新宋体" w:eastAsia="新宋体" w:cs="新宋体"/>
          <w:sz w:val="24"/>
        </w:rPr>
        <w:t>4.4符合性审查表</w:t>
      </w:r>
    </w:p>
    <w:tbl>
      <w:tblPr>
        <w:tblStyle w:val="26"/>
        <w:tblpPr w:leftFromText="180" w:rightFromText="180" w:vertAnchor="text" w:horzAnchor="page" w:tblpXSpec="center" w:tblpY="205"/>
        <w:tblOverlap w:val="never"/>
        <w:tblW w:w="0" w:type="auto"/>
        <w:jc w:val="center"/>
        <w:tblLayout w:type="autofit"/>
        <w:tblCellMar>
          <w:top w:w="0" w:type="dxa"/>
          <w:left w:w="0" w:type="dxa"/>
          <w:bottom w:w="0" w:type="dxa"/>
          <w:right w:w="0" w:type="dxa"/>
        </w:tblCellMar>
      </w:tblPr>
      <w:tblGrid>
        <w:gridCol w:w="512"/>
        <w:gridCol w:w="8139"/>
      </w:tblGrid>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b/>
                <w:sz w:val="24"/>
              </w:rPr>
            </w:pPr>
            <w:r>
              <w:rPr>
                <w:rFonts w:hint="eastAsia" w:ascii="新宋体" w:hAnsi="新宋体" w:eastAsia="新宋体" w:cs="新宋体"/>
                <w:b/>
                <w:sz w:val="24"/>
              </w:rPr>
              <w:t>序号</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b/>
                <w:sz w:val="24"/>
              </w:rPr>
            </w:pPr>
            <w:r>
              <w:rPr>
                <w:rFonts w:hint="eastAsia" w:ascii="新宋体" w:hAnsi="新宋体" w:eastAsia="新宋体" w:cs="新宋体"/>
                <w:b/>
                <w:sz w:val="24"/>
              </w:rPr>
              <w:t>审查要求</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1</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供应商名称是否与营业执照（登记证书）一致。</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2</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投标文件的签字盖章是否齐。</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3</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报价是否唯一（投标文件中的报价须为唯一报价）。</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4</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供应商是否为联合体投标（不接受联合体投标）。</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5</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是否按招标文件要求递交保证金。</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6</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投标有效期：90日历天（少于90日历天的投标文件按无效处理）。</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7</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供货期限：合同签订后，</w:t>
            </w:r>
            <w:r>
              <w:rPr>
                <w:rFonts w:hint="eastAsia" w:ascii="新宋体" w:hAnsi="新宋体" w:eastAsia="新宋体" w:cs="新宋体"/>
                <w:color w:val="auto"/>
                <w:sz w:val="24"/>
              </w:rPr>
              <w:t>六个月内完成。</w:t>
            </w:r>
          </w:p>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供货地点：以合同签订为准。</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8</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是否满足招标文件其他实质性要求。</w:t>
            </w:r>
          </w:p>
        </w:tc>
      </w:tr>
      <w:tr>
        <w:tblPrEx>
          <w:tblCellMar>
            <w:top w:w="0" w:type="dxa"/>
            <w:left w:w="0" w:type="dxa"/>
            <w:bottom w:w="0" w:type="dxa"/>
            <w:right w:w="0" w:type="dxa"/>
          </w:tblCellMar>
        </w:tblPrEx>
        <w:trPr>
          <w:trHeight w:val="850"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sz w:val="24"/>
              </w:rPr>
            </w:pPr>
            <w:r>
              <w:rPr>
                <w:rFonts w:hint="eastAsia" w:ascii="新宋体" w:hAnsi="新宋体" w:eastAsia="新宋体" w:cs="新宋体"/>
                <w:sz w:val="24"/>
              </w:rPr>
              <w:t>9</w:t>
            </w:r>
          </w:p>
        </w:tc>
        <w:tc>
          <w:tcPr>
            <w:tcW w:w="81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cs="新宋体"/>
                <w:sz w:val="24"/>
              </w:rPr>
            </w:pPr>
            <w:r>
              <w:rPr>
                <w:rFonts w:hint="eastAsia" w:ascii="新宋体" w:hAnsi="新宋体" w:eastAsia="新宋体" w:cs="新宋体"/>
                <w:sz w:val="24"/>
              </w:rPr>
              <w:t>系统审查不同供应商的响应文件是否存在异常。</w:t>
            </w:r>
          </w:p>
        </w:tc>
      </w:tr>
      <w:tr>
        <w:tblPrEx>
          <w:tblCellMar>
            <w:top w:w="0" w:type="dxa"/>
            <w:left w:w="0" w:type="dxa"/>
            <w:bottom w:w="0" w:type="dxa"/>
            <w:right w:w="0" w:type="dxa"/>
          </w:tblCellMar>
        </w:tblPrEx>
        <w:trPr>
          <w:trHeight w:val="426" w:hRule="atLeast"/>
          <w:jc w:val="center"/>
        </w:trPr>
        <w:tc>
          <w:tcPr>
            <w:tcW w:w="8651"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cs="新宋体"/>
                <w:b/>
                <w:bCs/>
                <w:sz w:val="24"/>
              </w:rPr>
            </w:pPr>
            <w:r>
              <w:rPr>
                <w:rFonts w:hint="eastAsia" w:ascii="新宋体" w:hAnsi="新宋体" w:eastAsia="新宋体" w:cs="新宋体"/>
                <w:b/>
                <w:bCs/>
                <w:sz w:val="24"/>
              </w:rPr>
              <w:t>是否通过符合性审查</w:t>
            </w:r>
          </w:p>
        </w:tc>
      </w:tr>
    </w:tbl>
    <w:p>
      <w:pPr>
        <w:rPr>
          <w:rFonts w:ascii="新宋体" w:hAnsi="新宋体" w:eastAsia="新宋体" w:cs="新宋体"/>
          <w:sz w:val="24"/>
        </w:rPr>
      </w:pPr>
    </w:p>
    <w:p>
      <w:pPr>
        <w:rPr>
          <w:rFonts w:ascii="新宋体" w:hAnsi="新宋体" w:eastAsia="新宋体" w:cs="新宋体"/>
          <w:sz w:val="24"/>
        </w:rPr>
      </w:pPr>
      <w:r>
        <w:rPr>
          <w:rFonts w:hint="eastAsia" w:ascii="新宋体" w:hAnsi="新宋体" w:eastAsia="新宋体" w:cs="新宋体"/>
          <w:sz w:val="24"/>
        </w:rPr>
        <w:br w:type="page"/>
      </w:r>
    </w:p>
    <w:p>
      <w:pPr>
        <w:rPr>
          <w:rFonts w:ascii="新宋体" w:hAnsi="新宋体" w:eastAsia="新宋体" w:cs="新宋体"/>
          <w:sz w:val="24"/>
        </w:rPr>
      </w:pPr>
      <w:bookmarkStart w:id="187" w:name="_Toc12278"/>
      <w:bookmarkStart w:id="188" w:name="_Toc25714"/>
      <w:bookmarkStart w:id="189" w:name="_Toc217446060"/>
      <w:r>
        <w:rPr>
          <w:rFonts w:hint="eastAsia" w:ascii="新宋体" w:hAnsi="新宋体" w:eastAsia="新宋体" w:cs="新宋体"/>
          <w:sz w:val="24"/>
        </w:rPr>
        <w:t>4.5综合评分明细表</w:t>
      </w:r>
      <w:bookmarkStart w:id="190" w:name="_Toc183582287"/>
      <w:bookmarkStart w:id="191" w:name="_Toc217446104"/>
      <w:bookmarkStart w:id="192" w:name="_Toc183682422"/>
    </w:p>
    <w:p>
      <w:pPr>
        <w:rPr>
          <w:rFonts w:ascii="新宋体" w:hAnsi="新宋体" w:eastAsia="新宋体" w:cs="新宋体"/>
          <w:sz w:val="24"/>
        </w:rPr>
      </w:pPr>
      <w:r>
        <w:rPr>
          <w:rFonts w:hint="eastAsia" w:ascii="新宋体" w:hAnsi="新宋体" w:eastAsia="新宋体" w:cs="新宋体"/>
          <w:sz w:val="24"/>
          <w:lang w:val="en-US" w:eastAsia="zh-CN"/>
        </w:rPr>
        <w:t>第一标段至第七标段</w:t>
      </w:r>
      <w:r>
        <w:rPr>
          <w:rFonts w:hint="eastAsia" w:ascii="新宋体" w:hAnsi="新宋体" w:eastAsia="新宋体" w:cs="新宋体"/>
          <w:sz w:val="24"/>
        </w:rPr>
        <w:t>评标指标：</w:t>
      </w:r>
    </w:p>
    <w:bookmarkEnd w:id="190"/>
    <w:bookmarkEnd w:id="191"/>
    <w:bookmarkEnd w:id="192"/>
    <w:tbl>
      <w:tblPr>
        <w:tblStyle w:val="2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1"/>
        <w:gridCol w:w="1417"/>
        <w:gridCol w:w="614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序号</w:t>
            </w:r>
          </w:p>
        </w:tc>
        <w:tc>
          <w:tcPr>
            <w:tcW w:w="1417"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评分因素</w:t>
            </w:r>
          </w:p>
        </w:tc>
        <w:tc>
          <w:tcPr>
            <w:tcW w:w="6142"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评分标准</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 w:hRule="atLeast"/>
          <w:jc w:val="center"/>
        </w:trPr>
        <w:tc>
          <w:tcPr>
            <w:tcW w:w="8490" w:type="dxa"/>
            <w:gridSpan w:val="3"/>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第一部分 商务评审（30分）</w:t>
            </w:r>
          </w:p>
        </w:tc>
        <w:tc>
          <w:tcPr>
            <w:tcW w:w="939" w:type="dxa"/>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jc w:val="center"/>
        </w:trPr>
        <w:tc>
          <w:tcPr>
            <w:tcW w:w="931" w:type="dxa"/>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1</w:t>
            </w:r>
          </w:p>
        </w:tc>
        <w:tc>
          <w:tcPr>
            <w:tcW w:w="1417" w:type="dxa"/>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价格</w:t>
            </w:r>
          </w:p>
        </w:tc>
        <w:tc>
          <w:tcPr>
            <w:tcW w:w="6142" w:type="dxa"/>
            <w:vAlign w:val="center"/>
          </w:tcPr>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（1）评标价为投标人的竞标报价进行政策性扣除后的价格，评标价只是作为评标时使用。最终成交人的成交金额＝投标报价。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（2）政策性扣除计算方法。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产品制造商符合</w:t>
            </w:r>
            <w:r>
              <w:rPr>
                <w:rFonts w:ascii="宋体" w:hAnsi="宋体" w:cs="宋体"/>
                <w:color w:val="auto"/>
                <w:szCs w:val="21"/>
                <w:highlight w:val="none"/>
              </w:rPr>
              <w:t>小型、微型</w:t>
            </w:r>
            <w:r>
              <w:rPr>
                <w:rFonts w:hint="eastAsia" w:ascii="宋体" w:hAnsi="宋体" w:cs="宋体"/>
                <w:color w:val="auto"/>
                <w:szCs w:val="21"/>
                <w:highlight w:val="none"/>
              </w:rPr>
              <w:t>企业的，其竞标报价将按相应比例进行扣除，用扣除后的价格参与评审（计算价格分）。</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）按照《政府采购促进中小企业发展管理办法》（财库〔2020〕 46 号）规定，投标产品被认定为</w:t>
            </w:r>
            <w:r>
              <w:rPr>
                <w:rFonts w:ascii="宋体" w:hAnsi="宋体" w:cs="宋体"/>
                <w:color w:val="auto"/>
                <w:szCs w:val="21"/>
                <w:highlight w:val="none"/>
              </w:rPr>
              <w:t>小型和微型</w:t>
            </w:r>
            <w:r>
              <w:rPr>
                <w:rFonts w:hint="eastAsia" w:ascii="宋体" w:hAnsi="宋体" w:cs="宋体"/>
                <w:color w:val="auto"/>
                <w:szCs w:val="21"/>
                <w:highlight w:val="none"/>
              </w:rPr>
              <w:t>企业产品的[按要求提供《中小企业声明函》，并对该声明函的真实性负责，否则不予价格扣除]，对</w:t>
            </w:r>
            <w:r>
              <w:rPr>
                <w:rFonts w:ascii="宋体" w:hAnsi="宋体" w:cs="宋体"/>
                <w:color w:val="auto"/>
                <w:szCs w:val="21"/>
                <w:highlight w:val="none"/>
              </w:rPr>
              <w:t>小型和微型</w:t>
            </w:r>
            <w:r>
              <w:rPr>
                <w:rFonts w:hint="eastAsia" w:ascii="宋体" w:hAnsi="宋体" w:cs="宋体"/>
                <w:color w:val="auto"/>
                <w:szCs w:val="21"/>
                <w:highlight w:val="none"/>
              </w:rPr>
              <w:t>企业产品的价格给予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0%的扣除，扣除后的价格为评标报价，即评标报价=投标价×（1-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0%）。除上述情况外，评标价=最后报价。</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）价格分计算公式：</w:t>
            </w:r>
          </w:p>
          <w:p>
            <w:pPr>
              <w:adjustRightInd w:val="0"/>
              <w:snapToGrid w:val="0"/>
              <w:spacing w:line="440" w:lineRule="exact"/>
              <w:ind w:firstLine="420" w:firstLineChars="200"/>
              <w:rPr>
                <w:rFonts w:ascii="宋体" w:hAnsi="宋体" w:cs="宋体"/>
                <w:szCs w:val="21"/>
              </w:rPr>
            </w:pPr>
            <w:r>
              <w:rPr>
                <w:rFonts w:hint="eastAsia" w:ascii="宋体" w:hAnsi="宋体" w:cs="宋体"/>
                <w:color w:val="auto"/>
                <w:szCs w:val="21"/>
                <w:highlight w:val="none"/>
              </w:rPr>
              <w:t>某投标人价格分=有效投标人最低投标报价/有效投标人投标报价×30分</w:t>
            </w:r>
          </w:p>
        </w:tc>
        <w:tc>
          <w:tcPr>
            <w:tcW w:w="939" w:type="dxa"/>
            <w:vAlign w:val="center"/>
          </w:tcPr>
          <w:p>
            <w:pPr>
              <w:widowControl/>
              <w:spacing w:line="276" w:lineRule="auto"/>
              <w:jc w:val="center"/>
              <w:textAlignment w:val="center"/>
              <w:rPr>
                <w:rFonts w:ascii="宋体" w:hAnsi="宋体" w:cs="宋体"/>
                <w:szCs w:val="21"/>
              </w:rPr>
            </w:pPr>
            <w:r>
              <w:rPr>
                <w:rFonts w:ascii="宋体" w:hAnsi="宋体" w:cs="宋体"/>
                <w:color w:val="auto"/>
                <w:kern w:val="0"/>
                <w:szCs w:val="21"/>
                <w:highlight w:val="none"/>
              </w:rPr>
              <w:t>0-</w:t>
            </w:r>
            <w:r>
              <w:rPr>
                <w:rFonts w:hint="eastAsia" w:ascii="宋体" w:hAnsi="宋体" w:cs="宋体"/>
                <w:color w:val="auto"/>
                <w:kern w:val="0"/>
                <w:szCs w:val="21"/>
                <w:highlight w:val="none"/>
              </w:rPr>
              <w:t>3</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 w:hRule="atLeast"/>
          <w:jc w:val="center"/>
        </w:trPr>
        <w:tc>
          <w:tcPr>
            <w:tcW w:w="8490" w:type="dxa"/>
            <w:gridSpan w:val="3"/>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 xml:space="preserve">第二部分 </w:t>
            </w:r>
            <w:r>
              <w:rPr>
                <w:rFonts w:hint="eastAsia" w:ascii="宋体" w:hAnsi="宋体" w:cs="Arial"/>
                <w:color w:val="auto"/>
                <w:szCs w:val="21"/>
                <w:highlight w:val="none"/>
              </w:rPr>
              <w:t>资信评审</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c>
          <w:tcPr>
            <w:tcW w:w="939" w:type="dxa"/>
            <w:vAlign w:val="center"/>
          </w:tcPr>
          <w:p>
            <w:pPr>
              <w:widowControl/>
              <w:spacing w:line="276" w:lineRule="auto"/>
              <w:jc w:val="center"/>
              <w:textAlignment w:val="center"/>
              <w:rPr>
                <w:rFonts w:ascii="宋体" w:hAnsi="宋体" w:cs="宋体"/>
                <w:szCs w:val="21"/>
              </w:rPr>
            </w:pPr>
            <w:r>
              <w:rPr>
                <w:rFonts w:hint="eastAsia" w:ascii="宋体" w:hAnsi="宋体" w:cs="宋体"/>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p>
        </w:tc>
        <w:tc>
          <w:tcPr>
            <w:tcW w:w="1417" w:type="dxa"/>
            <w:vAlign w:val="center"/>
          </w:tcPr>
          <w:p>
            <w:pPr>
              <w:widowControl/>
              <w:snapToGrid w:val="0"/>
              <w:spacing w:line="360" w:lineRule="auto"/>
              <w:jc w:val="center"/>
              <w:rPr>
                <w:rFonts w:ascii="宋体" w:hAnsi="宋体" w:cs="宋体"/>
                <w:szCs w:val="21"/>
              </w:rPr>
            </w:pPr>
            <w:r>
              <w:rPr>
                <w:rFonts w:hint="eastAsia" w:ascii="宋体" w:hAnsi="宋体" w:cs="宋体"/>
                <w:color w:val="auto"/>
                <w:szCs w:val="21"/>
                <w:highlight w:val="none"/>
              </w:rPr>
              <w:t>企业资质</w:t>
            </w:r>
          </w:p>
        </w:tc>
        <w:tc>
          <w:tcPr>
            <w:tcW w:w="6142" w:type="dxa"/>
            <w:vAlign w:val="center"/>
          </w:tcPr>
          <w:p>
            <w:pPr>
              <w:widowControl/>
              <w:spacing w:line="276" w:lineRule="auto"/>
              <w:jc w:val="left"/>
              <w:textAlignment w:val="center"/>
            </w:pPr>
            <w:r>
              <w:rPr>
                <w:rFonts w:hint="eastAsia"/>
                <w:color w:val="auto"/>
                <w:highlight w:val="none"/>
              </w:rPr>
              <w:t>具有国家认证认可监督管理委员会认可的从业机构出具的有效期内</w:t>
            </w:r>
            <w:r>
              <w:rPr>
                <w:color w:val="auto"/>
                <w:highlight w:val="none"/>
              </w:rPr>
              <w:t xml:space="preserve"> ISO9001</w:t>
            </w:r>
            <w:r>
              <w:rPr>
                <w:rFonts w:hint="eastAsia"/>
                <w:color w:val="auto"/>
                <w:highlight w:val="none"/>
              </w:rPr>
              <w:t>质量体系认证证书、ISO</w:t>
            </w:r>
            <w:r>
              <w:rPr>
                <w:color w:val="auto"/>
                <w:highlight w:val="none"/>
              </w:rPr>
              <w:t>45</w:t>
            </w:r>
            <w:r>
              <w:rPr>
                <w:rFonts w:hint="eastAsia"/>
                <w:color w:val="auto"/>
                <w:highlight w:val="none"/>
              </w:rPr>
              <w:t>001职业健康安全管理体系认证证书、ISO14001环境管理体系认证证书、</w:t>
            </w:r>
            <w:r>
              <w:rPr>
                <w:color w:val="auto"/>
                <w:highlight w:val="none"/>
              </w:rPr>
              <w:t>GB/T29490-2013</w:t>
            </w:r>
            <w:r>
              <w:rPr>
                <w:rFonts w:hint="eastAsia"/>
                <w:color w:val="auto"/>
                <w:highlight w:val="none"/>
              </w:rPr>
              <w:t>知识产权管理体系认证证书、3A级企业信用等级认证，每提供1个证书得1分，满分5分。（投标文件中提供有效期内的证书复印件并加盖公章）</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p>
        </w:tc>
        <w:tc>
          <w:tcPr>
            <w:tcW w:w="1417" w:type="dxa"/>
            <w:vAlign w:val="center"/>
          </w:tcPr>
          <w:p>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w:t>
            </w:r>
          </w:p>
          <w:p>
            <w:pPr>
              <w:widowControl/>
              <w:snapToGrid w:val="0"/>
              <w:spacing w:line="360" w:lineRule="auto"/>
              <w:jc w:val="center"/>
              <w:rPr>
                <w:rFonts w:ascii="宋体" w:hAnsi="宋体" w:cs="宋体"/>
                <w:szCs w:val="21"/>
              </w:rPr>
            </w:pPr>
            <w:r>
              <w:rPr>
                <w:rFonts w:hint="eastAsia" w:ascii="宋体" w:hAnsi="宋体" w:cs="宋体"/>
                <w:color w:val="auto"/>
                <w:szCs w:val="21"/>
                <w:highlight w:val="none"/>
              </w:rPr>
              <w:t>项目实施能力</w:t>
            </w:r>
          </w:p>
        </w:tc>
        <w:tc>
          <w:tcPr>
            <w:tcW w:w="6142" w:type="dxa"/>
            <w:vAlign w:val="center"/>
          </w:tcPr>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提供自20</w:t>
            </w:r>
            <w:r>
              <w:rPr>
                <w:rFonts w:ascii="宋体" w:hAnsi="宋体" w:cs="宋体"/>
                <w:color w:val="auto"/>
                <w:szCs w:val="21"/>
                <w:highlight w:val="none"/>
              </w:rPr>
              <w:t>20</w:t>
            </w:r>
            <w:r>
              <w:rPr>
                <w:rFonts w:hint="eastAsia" w:ascii="宋体" w:hAnsi="宋体" w:cs="宋体"/>
                <w:color w:val="auto"/>
                <w:szCs w:val="21"/>
                <w:highlight w:val="none"/>
              </w:rPr>
              <w:t>年以来类项目的成功案例，每提供1个得0.5分，最多得5分。（投标文件中需提供中标通知书和合同复印件并加盖投标人公章）</w:t>
            </w:r>
          </w:p>
          <w:p>
            <w:pPr>
              <w:widowControl/>
              <w:spacing w:line="276" w:lineRule="auto"/>
              <w:jc w:val="left"/>
              <w:textAlignment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具备虚拟仿真软件开发能力，提供虚拟仿真产品相关软件著作权证书，每提供1个得0.5分，最多得1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kern w:val="0"/>
                <w:sz w:val="22"/>
                <w:highlight w:val="none"/>
              </w:rPr>
              <w:t>需提供相关软件著作权证书复印件（加盖著作权所有人公章）</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3.软件效果演示 满分3分。</w:t>
            </w:r>
          </w:p>
          <w:p>
            <w:pPr>
              <w:widowControl/>
              <w:spacing w:line="276" w:lineRule="auto"/>
              <w:jc w:val="left"/>
              <w:textAlignment w:val="center"/>
              <w:rPr>
                <w:rFonts w:ascii="宋体" w:hAnsi="宋体" w:cs="宋体"/>
                <w:szCs w:val="21"/>
              </w:rPr>
            </w:pPr>
            <w:r>
              <w:rPr>
                <w:rFonts w:hint="eastAsia" w:ascii="宋体" w:hAnsi="宋体" w:cs="宋体"/>
                <w:color w:val="auto"/>
                <w:szCs w:val="21"/>
                <w:highlight w:val="none"/>
              </w:rPr>
              <w:t>相近类似专业虚拟仿真教学实训软件（一个）现场演示，演示教学过程完整的得3分，不完整的得1分，不提供的得0分。</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2.3</w:t>
            </w:r>
          </w:p>
        </w:tc>
        <w:tc>
          <w:tcPr>
            <w:tcW w:w="1417" w:type="dxa"/>
            <w:vAlign w:val="center"/>
          </w:tcPr>
          <w:p>
            <w:pPr>
              <w:widowControl/>
              <w:snapToGrid w:val="0"/>
              <w:spacing w:line="360" w:lineRule="auto"/>
              <w:jc w:val="center"/>
              <w:rPr>
                <w:rFonts w:ascii="宋体" w:hAnsi="宋体" w:cs="宋体"/>
                <w:szCs w:val="21"/>
              </w:rPr>
            </w:pPr>
            <w:r>
              <w:rPr>
                <w:rFonts w:hint="eastAsia" w:ascii="宋体" w:hAnsi="宋体" w:cs="宋体"/>
                <w:color w:val="auto"/>
                <w:szCs w:val="21"/>
                <w:highlight w:val="none"/>
              </w:rPr>
              <w:t>节能环保</w:t>
            </w:r>
          </w:p>
        </w:tc>
        <w:tc>
          <w:tcPr>
            <w:tcW w:w="6142" w:type="dxa"/>
            <w:vAlign w:val="center"/>
          </w:tcPr>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投标人所投产品或相关材料为节能环保产品，以相关证明材料为</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准，包括：投标人所投产品属于财政部、发展改革委、生态环境</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部等部门最新发布的政府采购节能产品、环境标志产品品目清单</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内产品（财库〔2019〕18号）（财库〔2019〕19号），投标产品</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属于优先采购范围内的节能产品或者环境标志产品的，提供国家</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确定的认证机构出具的、处于有效期之内的节能产品、环境标志</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产品认证证书复印件加盖公章（鲜章），每提供1份证书得1分</w:t>
            </w:r>
          </w:p>
          <w:p>
            <w:pPr>
              <w:widowControl/>
              <w:spacing w:line="276" w:lineRule="auto"/>
              <w:jc w:val="left"/>
              <w:textAlignment w:val="center"/>
              <w:rPr>
                <w:rFonts w:ascii="宋体" w:hAnsi="宋体" w:cs="宋体"/>
                <w:szCs w:val="21"/>
              </w:rPr>
            </w:pPr>
            <w:r>
              <w:rPr>
                <w:rFonts w:hint="eastAsia" w:ascii="宋体" w:hAnsi="宋体" w:cs="宋体"/>
                <w:color w:val="auto"/>
                <w:szCs w:val="21"/>
                <w:highlight w:val="none"/>
              </w:rPr>
              <w:t>，最高加2分。</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 w:hRule="atLeast"/>
          <w:jc w:val="center"/>
        </w:trPr>
        <w:tc>
          <w:tcPr>
            <w:tcW w:w="9429" w:type="dxa"/>
            <w:gridSpan w:val="4"/>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第三部分 技术</w:t>
            </w:r>
            <w:r>
              <w:rPr>
                <w:rFonts w:hint="eastAsia" w:ascii="宋体" w:hAnsi="宋体" w:cs="Arial"/>
                <w:color w:val="auto"/>
                <w:szCs w:val="21"/>
                <w:highlight w:val="none"/>
              </w:rPr>
              <w:t>评审</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p>
        </w:tc>
        <w:tc>
          <w:tcPr>
            <w:tcW w:w="1417" w:type="dxa"/>
            <w:vAlign w:val="center"/>
          </w:tcPr>
          <w:p>
            <w:pPr>
              <w:widowControl/>
              <w:spacing w:line="276" w:lineRule="auto"/>
              <w:jc w:val="center"/>
              <w:textAlignment w:val="center"/>
              <w:rPr>
                <w:rFonts w:ascii="宋体" w:hAnsi="宋体" w:cs="宋体"/>
                <w:szCs w:val="21"/>
              </w:rPr>
            </w:pPr>
            <w:r>
              <w:rPr>
                <w:rFonts w:hint="eastAsia" w:ascii="宋体" w:hAnsi="宋体" w:cs="宋体"/>
                <w:color w:val="auto"/>
                <w:szCs w:val="21"/>
                <w:highlight w:val="none"/>
              </w:rPr>
              <w:t>技术参数</w:t>
            </w:r>
          </w:p>
        </w:tc>
        <w:tc>
          <w:tcPr>
            <w:tcW w:w="6142" w:type="dxa"/>
            <w:vAlign w:val="center"/>
          </w:tcPr>
          <w:p>
            <w:pPr>
              <w:widowControl/>
              <w:spacing w:line="276" w:lineRule="auto"/>
              <w:jc w:val="left"/>
              <w:textAlignment w:val="center"/>
              <w:rPr>
                <w:rFonts w:ascii="宋体" w:hAnsi="宋体" w:cs="宋体"/>
                <w:szCs w:val="21"/>
              </w:rPr>
            </w:pPr>
            <w:r>
              <w:rPr>
                <w:rFonts w:hint="eastAsia" w:ascii="宋体" w:hAnsi="宋体" w:cs="宋体"/>
                <w:color w:val="auto"/>
                <w:szCs w:val="21"/>
                <w:highlight w:val="none"/>
              </w:rPr>
              <w:t>投标产品的基本功能、技术指标与需求的吻合程度和偏差情况，是否能够满足采购文件要求，由评委根据供应商提供的“采购需求偏离表”进行打分，全部满足要求的得18分。</w:t>
            </w:r>
            <w:r>
              <w:rPr>
                <w:rFonts w:hint="eastAsia"/>
                <w:color w:val="auto"/>
                <w:highlight w:val="none"/>
              </w:rPr>
              <w:t>一项负偏离扣3分，扣完为止，一项正偏离加1分，最高加8分。</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p>
        </w:tc>
        <w:tc>
          <w:tcPr>
            <w:tcW w:w="1417" w:type="dxa"/>
            <w:vAlign w:val="center"/>
          </w:tcPr>
          <w:p>
            <w:pPr>
              <w:spacing w:line="276" w:lineRule="auto"/>
              <w:jc w:val="center"/>
              <w:rPr>
                <w:rFonts w:ascii="宋体" w:hAnsi="宋体" w:cs="宋体"/>
                <w:szCs w:val="21"/>
              </w:rPr>
            </w:pPr>
            <w:r>
              <w:rPr>
                <w:rFonts w:hint="eastAsia" w:ascii="宋体" w:hAnsi="宋体" w:cs="宋体"/>
                <w:color w:val="auto"/>
                <w:szCs w:val="21"/>
                <w:highlight w:val="none"/>
              </w:rPr>
              <w:t>总体实施服务方案</w:t>
            </w:r>
          </w:p>
        </w:tc>
        <w:tc>
          <w:tcPr>
            <w:tcW w:w="6142" w:type="dxa"/>
            <w:shd w:val="clear" w:color="auto" w:fill="auto"/>
            <w:vAlign w:val="center"/>
          </w:tcPr>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一档（2分）：组织实施方案内容比较简单，能提供对接方案；提供项目实施的技术力量和工作进度安排基本能满足项目要求。 </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二档（5分）：项目实施方案基本可行，有供货配送方案及质量、技术的保证措施和人员配备等服务方案；有项目管理组织机构图；有实施进度计划方案，详细说明各个阶段工作安排及实施进度；有实施安全保障措施；方案基本满足项目实施。 </w:t>
            </w:r>
          </w:p>
          <w:p>
            <w:pPr>
              <w:widowControl/>
              <w:spacing w:line="276" w:lineRule="auto"/>
              <w:jc w:val="left"/>
              <w:textAlignment w:val="center"/>
              <w:rPr>
                <w:rFonts w:ascii="宋体" w:hAnsi="宋体" w:cs="宋体"/>
                <w:szCs w:val="21"/>
              </w:rPr>
            </w:pPr>
            <w:r>
              <w:rPr>
                <w:rFonts w:hint="eastAsia" w:ascii="宋体" w:hAnsi="宋体" w:cs="宋体"/>
                <w:color w:val="auto"/>
                <w:szCs w:val="21"/>
                <w:highlight w:val="none"/>
              </w:rPr>
              <w:t>三档（8 分）：项目实施方案详细，有供货配送方案及质量、技术的保证措施和人员配备等服务方案；有项目管理文档计划；有项目管理组织机构图；有实施进度计划方案，详细说明各个阶段工作安排及实施进度；项目实施小组成员配备满足项目实施需要，方案整体性、针对性、可执行性完全满足项目要求。</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31"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p>
        </w:tc>
        <w:tc>
          <w:tcPr>
            <w:tcW w:w="1417" w:type="dxa"/>
            <w:vAlign w:val="center"/>
          </w:tcPr>
          <w:p>
            <w:pPr>
              <w:spacing w:line="276" w:lineRule="auto"/>
              <w:jc w:val="center"/>
              <w:rPr>
                <w:rFonts w:ascii="宋体" w:hAnsi="宋体" w:cs="宋体"/>
                <w:szCs w:val="21"/>
              </w:rPr>
            </w:pPr>
            <w:r>
              <w:rPr>
                <w:rFonts w:hint="eastAsia" w:ascii="宋体" w:hAnsi="宋体" w:cs="宋体"/>
                <w:color w:val="auto"/>
                <w:szCs w:val="21"/>
                <w:highlight w:val="none"/>
              </w:rPr>
              <w:t>售后及培训服务方案</w:t>
            </w:r>
          </w:p>
        </w:tc>
        <w:tc>
          <w:tcPr>
            <w:tcW w:w="6142" w:type="dxa"/>
            <w:vAlign w:val="center"/>
          </w:tcPr>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评委根据投标人的售后及培训服务方案，售后服务内容包括：售后响应时间、修复时间、应急预案等；培训内容包括：培训课程、培训授课人员安排等内容。</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一档（1 分）：售后及培训服务方案较简单，但服务内容能基本满足采购人要求； </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二档（3 分）：售后服务方案较为详细、具体，满足采购需求，有可行培训方案和可行售后维护保障方案； </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三档（5 分）：项目售后服务方案充分满足项目需求，有培训计划、培训课程、培训授课人员安排、培训保障等完善的培训方案和售后服务体系、售后服务流程、维护保障流程等完善维护保障方案；提供备品备件、售后响应时间、修复时间、制定突发应急预案等高效保障工作。 </w:t>
            </w:r>
          </w:p>
          <w:p>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四挡（8分）：项目售后服务方案充分满足项目需求，有培训计划、培训课程、培训授课人员安排、培训保障等完善的培训方案和售后服务体系、售后服务流程、维护保障流程等完善维护保障方案；提供备品备件、售后响应时间、修复时间、软件修复及漏洞补丁方案、网络安全保障、制定突发应急预案等高效保障工作。 </w:t>
            </w:r>
          </w:p>
          <w:p>
            <w:pPr>
              <w:widowControl/>
              <w:spacing w:line="276" w:lineRule="auto"/>
              <w:jc w:val="left"/>
              <w:textAlignment w:val="center"/>
              <w:rPr>
                <w:rFonts w:ascii="宋体" w:hAnsi="宋体" w:cs="宋体"/>
                <w:szCs w:val="21"/>
              </w:rPr>
            </w:pPr>
            <w:r>
              <w:rPr>
                <w:rFonts w:hint="eastAsia" w:ascii="宋体" w:hAnsi="宋体" w:cs="宋体"/>
                <w:color w:val="auto"/>
                <w:szCs w:val="21"/>
                <w:highlight w:val="none"/>
              </w:rPr>
              <w:t>注：未提供方案或提供的内容与本项目无关的得 0 分。</w:t>
            </w:r>
          </w:p>
        </w:tc>
        <w:tc>
          <w:tcPr>
            <w:tcW w:w="939" w:type="dxa"/>
            <w:vAlign w:val="center"/>
          </w:tcPr>
          <w:p>
            <w:pPr>
              <w:widowControl/>
              <w:spacing w:line="276" w:lineRule="auto"/>
              <w:jc w:val="center"/>
              <w:textAlignment w:val="center"/>
              <w:rPr>
                <w:rFonts w:ascii="宋体" w:hAnsi="宋体" w:cs="宋体"/>
                <w:kern w:val="0"/>
                <w:szCs w:val="21"/>
              </w:rPr>
            </w:pPr>
            <w:r>
              <w:rPr>
                <w:rFonts w:hint="eastAsia" w:ascii="宋体" w:hAnsi="宋体" w:cs="宋体"/>
                <w:color w:val="auto"/>
                <w:kern w:val="0"/>
                <w:szCs w:val="21"/>
                <w:highlight w:val="none"/>
              </w:rPr>
              <w:t>8分</w:t>
            </w:r>
          </w:p>
        </w:tc>
      </w:tr>
    </w:tbl>
    <w:p/>
    <w:p>
      <w:pPr>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第八标段评分标准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
        <w:gridCol w:w="717"/>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30" w:type="dxa"/>
            <w:vAlign w:val="center"/>
          </w:tcPr>
          <w:p>
            <w:pPr>
              <w:pStyle w:val="12"/>
              <w:rPr>
                <w:rFonts w:hint="default"/>
                <w:lang w:val="en-US" w:eastAsia="zh-CN"/>
              </w:rPr>
            </w:pPr>
            <w:r>
              <w:rPr>
                <w:rFonts w:hint="default"/>
                <w:lang w:val="en-US" w:eastAsia="zh-CN"/>
              </w:rPr>
              <w:t>序号</w:t>
            </w:r>
          </w:p>
        </w:tc>
        <w:tc>
          <w:tcPr>
            <w:tcW w:w="1312" w:type="dxa"/>
            <w:vAlign w:val="center"/>
          </w:tcPr>
          <w:p>
            <w:pPr>
              <w:pStyle w:val="12"/>
              <w:rPr>
                <w:rFonts w:hint="default"/>
                <w:lang w:val="en-US" w:eastAsia="zh-CN"/>
              </w:rPr>
            </w:pPr>
            <w:r>
              <w:rPr>
                <w:rFonts w:hint="default"/>
                <w:lang w:val="en-US" w:eastAsia="zh-CN"/>
              </w:rPr>
              <w:t>评分因素</w:t>
            </w:r>
          </w:p>
        </w:tc>
        <w:tc>
          <w:tcPr>
            <w:tcW w:w="717" w:type="dxa"/>
            <w:vAlign w:val="center"/>
          </w:tcPr>
          <w:p>
            <w:pPr>
              <w:pStyle w:val="12"/>
              <w:rPr>
                <w:rFonts w:hint="default"/>
                <w:lang w:val="en-US" w:eastAsia="zh-CN"/>
              </w:rPr>
            </w:pPr>
            <w:r>
              <w:rPr>
                <w:rFonts w:hint="default"/>
                <w:lang w:val="en-US" w:eastAsia="zh-CN"/>
              </w:rPr>
              <w:t>分值</w:t>
            </w:r>
          </w:p>
        </w:tc>
        <w:tc>
          <w:tcPr>
            <w:tcW w:w="5737" w:type="dxa"/>
            <w:vAlign w:val="center"/>
          </w:tcPr>
          <w:p>
            <w:pPr>
              <w:pStyle w:val="12"/>
              <w:rPr>
                <w:rFonts w:hint="default"/>
                <w:lang w:val="en-US" w:eastAsia="zh-CN"/>
              </w:rPr>
            </w:pPr>
            <w:r>
              <w:rPr>
                <w:rFonts w:hint="default"/>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296" w:type="dxa"/>
            <w:gridSpan w:val="4"/>
            <w:vAlign w:val="center"/>
          </w:tcPr>
          <w:p>
            <w:pPr>
              <w:pStyle w:val="12"/>
              <w:rPr>
                <w:rFonts w:hint="default"/>
                <w:lang w:val="en-US" w:eastAsia="zh-CN"/>
              </w:rPr>
            </w:pPr>
            <w:r>
              <w:rPr>
                <w:rFonts w:hint="default"/>
                <w:lang w:val="en-US" w:eastAsia="zh-CN"/>
              </w:rPr>
              <w:t>报价分30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1</w:t>
            </w:r>
          </w:p>
        </w:tc>
        <w:tc>
          <w:tcPr>
            <w:tcW w:w="1312" w:type="dxa"/>
            <w:vAlign w:val="center"/>
          </w:tcPr>
          <w:p>
            <w:pPr>
              <w:pStyle w:val="12"/>
              <w:rPr>
                <w:rFonts w:hint="default"/>
                <w:lang w:val="en-US" w:eastAsia="zh-CN"/>
              </w:rPr>
            </w:pPr>
            <w:r>
              <w:rPr>
                <w:rFonts w:hint="default"/>
                <w:lang w:val="en-US" w:eastAsia="zh-CN"/>
              </w:rPr>
              <w:t>价格部分</w:t>
            </w:r>
          </w:p>
        </w:tc>
        <w:tc>
          <w:tcPr>
            <w:tcW w:w="717" w:type="dxa"/>
            <w:vAlign w:val="center"/>
          </w:tcPr>
          <w:p>
            <w:pPr>
              <w:pStyle w:val="12"/>
              <w:rPr>
                <w:rFonts w:hint="default"/>
                <w:lang w:val="en-US" w:eastAsia="zh-CN"/>
              </w:rPr>
            </w:pPr>
            <w:r>
              <w:rPr>
                <w:rFonts w:hint="default"/>
                <w:lang w:val="en-US" w:eastAsia="zh-CN"/>
              </w:rPr>
              <w:t>30</w:t>
            </w:r>
          </w:p>
        </w:tc>
        <w:tc>
          <w:tcPr>
            <w:tcW w:w="5737" w:type="dxa"/>
            <w:vAlign w:val="center"/>
          </w:tcPr>
          <w:p>
            <w:pPr>
              <w:pStyle w:val="12"/>
              <w:rPr>
                <w:rFonts w:hint="default"/>
                <w:lang w:val="en-US" w:eastAsia="zh-CN"/>
              </w:rPr>
            </w:pPr>
            <w:r>
              <w:rPr>
                <w:rFonts w:hint="default"/>
                <w:lang w:val="en-US" w:eastAsia="zh-CN"/>
              </w:rPr>
              <w:t>1、满足招标文件要求且投标总价最低的投标报价为评标基准价，其价格分为满分。其他投标人的价格分统一按照下列公式计算：</w:t>
            </w:r>
          </w:p>
          <w:p>
            <w:pPr>
              <w:pStyle w:val="12"/>
              <w:rPr>
                <w:rFonts w:hint="default"/>
                <w:lang w:val="en-US" w:eastAsia="zh-CN"/>
              </w:rPr>
            </w:pPr>
            <w:r>
              <w:rPr>
                <w:rFonts w:hint="default"/>
                <w:lang w:val="en-US" w:eastAsia="zh-CN"/>
              </w:rPr>
              <w:t>投标报价得分=(评标基准价／投标报价)×0.30×100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96" w:type="dxa"/>
            <w:gridSpan w:val="4"/>
            <w:vAlign w:val="center"/>
          </w:tcPr>
          <w:p>
            <w:pPr>
              <w:pStyle w:val="12"/>
              <w:rPr>
                <w:rFonts w:hint="default"/>
                <w:lang w:val="en-US" w:eastAsia="zh-CN"/>
              </w:rPr>
            </w:pPr>
            <w:r>
              <w:rPr>
                <w:rFonts w:hint="default"/>
                <w:lang w:val="en-US" w:eastAsia="zh-CN"/>
              </w:rPr>
              <w:t>技术部分53分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1</w:t>
            </w:r>
          </w:p>
        </w:tc>
        <w:tc>
          <w:tcPr>
            <w:tcW w:w="1312" w:type="dxa"/>
            <w:vAlign w:val="center"/>
          </w:tcPr>
          <w:p>
            <w:pPr>
              <w:pStyle w:val="12"/>
              <w:rPr>
                <w:rFonts w:hint="default"/>
                <w:lang w:val="en-US" w:eastAsia="zh-CN"/>
              </w:rPr>
            </w:pPr>
            <w:r>
              <w:rPr>
                <w:rFonts w:hint="default"/>
                <w:lang w:val="en-US" w:eastAsia="zh-CN"/>
              </w:rPr>
              <w:t>投标货物符合“货物技术需求”</w:t>
            </w:r>
          </w:p>
        </w:tc>
        <w:tc>
          <w:tcPr>
            <w:tcW w:w="717" w:type="dxa"/>
            <w:vAlign w:val="center"/>
          </w:tcPr>
          <w:p>
            <w:pPr>
              <w:pStyle w:val="12"/>
              <w:rPr>
                <w:rFonts w:hint="default"/>
                <w:lang w:val="en-US" w:eastAsia="zh-CN"/>
              </w:rPr>
            </w:pPr>
            <w:r>
              <w:rPr>
                <w:rFonts w:hint="default"/>
                <w:lang w:val="en-US" w:eastAsia="zh-CN"/>
              </w:rPr>
              <w:t>30</w:t>
            </w:r>
          </w:p>
        </w:tc>
        <w:tc>
          <w:tcPr>
            <w:tcW w:w="5737" w:type="dxa"/>
            <w:vAlign w:val="center"/>
          </w:tcPr>
          <w:p>
            <w:pPr>
              <w:pStyle w:val="12"/>
              <w:rPr>
                <w:rFonts w:hint="default"/>
                <w:lang w:val="en-US" w:eastAsia="zh-CN"/>
              </w:rPr>
            </w:pPr>
            <w:r>
              <w:rPr>
                <w:rFonts w:hint="default"/>
                <w:lang w:val="en-US" w:eastAsia="zh-CN"/>
              </w:rPr>
              <w:t>完全满足招标文件技术参数要求，配套设备齐全得30分。</w:t>
            </w:r>
          </w:p>
          <w:p>
            <w:pPr>
              <w:pStyle w:val="12"/>
              <w:rPr>
                <w:rFonts w:hint="default"/>
                <w:lang w:val="en-US" w:eastAsia="zh-CN"/>
              </w:rPr>
            </w:pPr>
            <w:r>
              <w:rPr>
                <w:rFonts w:hint="default"/>
                <w:lang w:val="en-US" w:eastAsia="zh-CN"/>
              </w:rPr>
              <w:t>1）.所有项技术、性能指标或者辅助功能与招标文件要求出现负偏离的，每有一项扣1分，扣完为止。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2</w:t>
            </w:r>
          </w:p>
        </w:tc>
        <w:tc>
          <w:tcPr>
            <w:tcW w:w="1312" w:type="dxa"/>
            <w:vAlign w:val="center"/>
          </w:tcPr>
          <w:p>
            <w:pPr>
              <w:pStyle w:val="12"/>
              <w:rPr>
                <w:rFonts w:hint="default"/>
                <w:lang w:val="en-US" w:eastAsia="zh-CN"/>
              </w:rPr>
            </w:pPr>
            <w:r>
              <w:rPr>
                <w:rFonts w:hint="default"/>
                <w:lang w:val="en-US" w:eastAsia="zh-CN"/>
              </w:rPr>
              <w:t>项目实施</w:t>
            </w:r>
          </w:p>
          <w:p>
            <w:pPr>
              <w:pStyle w:val="12"/>
              <w:rPr>
                <w:rFonts w:hint="default"/>
                <w:lang w:val="en-US" w:eastAsia="zh-CN"/>
              </w:rPr>
            </w:pPr>
            <w:r>
              <w:rPr>
                <w:rFonts w:hint="default"/>
                <w:lang w:val="en-US" w:eastAsia="zh-CN"/>
              </w:rPr>
              <w:t>方案</w:t>
            </w:r>
          </w:p>
        </w:tc>
        <w:tc>
          <w:tcPr>
            <w:tcW w:w="717" w:type="dxa"/>
            <w:vAlign w:val="center"/>
          </w:tcPr>
          <w:p>
            <w:pPr>
              <w:pStyle w:val="12"/>
              <w:rPr>
                <w:rFonts w:hint="default"/>
                <w:lang w:val="en-US" w:eastAsia="zh-CN"/>
              </w:rPr>
            </w:pPr>
            <w:r>
              <w:rPr>
                <w:rFonts w:hint="default"/>
                <w:lang w:val="en-US" w:eastAsia="zh-CN"/>
              </w:rPr>
              <w:t>10</w:t>
            </w:r>
          </w:p>
        </w:tc>
        <w:tc>
          <w:tcPr>
            <w:tcW w:w="5737" w:type="dxa"/>
            <w:vAlign w:val="center"/>
          </w:tcPr>
          <w:p>
            <w:pPr>
              <w:pStyle w:val="12"/>
              <w:rPr>
                <w:rFonts w:hint="default"/>
                <w:lang w:val="en-US" w:eastAsia="zh-CN"/>
              </w:rPr>
            </w:pPr>
            <w:r>
              <w:rPr>
                <w:rFonts w:hint="default"/>
                <w:lang w:val="en-US" w:eastAsia="zh-CN"/>
              </w:rPr>
              <w:t>实施方案全面、科学、合理、详细，满足招标文件的要求，重点内容包含但不限于以下内容：人员配置及分工、实施文档管理、运输计划及保障措施、质量保证措施、工期及进度安排、验收方案：由评委根据实施方案的完整程度、条理性及实施可行性相应打分，最高得 10 分，提供的以上方案中存在缺陷或漏洞的，或不利于项目实施的，每有意向扣2分，扣完为止。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3</w:t>
            </w:r>
          </w:p>
        </w:tc>
        <w:tc>
          <w:tcPr>
            <w:tcW w:w="1312" w:type="dxa"/>
            <w:vAlign w:val="center"/>
          </w:tcPr>
          <w:p>
            <w:pPr>
              <w:pStyle w:val="12"/>
              <w:rPr>
                <w:rFonts w:hint="default"/>
                <w:lang w:val="en-US" w:eastAsia="zh-CN"/>
              </w:rPr>
            </w:pPr>
            <w:r>
              <w:rPr>
                <w:rFonts w:hint="default"/>
                <w:lang w:val="en-US" w:eastAsia="zh-CN"/>
              </w:rPr>
              <w:t>技术培训</w:t>
            </w:r>
          </w:p>
          <w:p>
            <w:pPr>
              <w:pStyle w:val="12"/>
              <w:rPr>
                <w:rFonts w:hint="default"/>
                <w:lang w:val="en-US" w:eastAsia="zh-CN"/>
              </w:rPr>
            </w:pPr>
            <w:r>
              <w:rPr>
                <w:rFonts w:hint="default"/>
                <w:lang w:val="en-US" w:eastAsia="zh-CN"/>
              </w:rPr>
              <w:t>方案</w:t>
            </w:r>
          </w:p>
        </w:tc>
        <w:tc>
          <w:tcPr>
            <w:tcW w:w="717" w:type="dxa"/>
            <w:vAlign w:val="center"/>
          </w:tcPr>
          <w:p>
            <w:pPr>
              <w:pStyle w:val="12"/>
              <w:rPr>
                <w:rFonts w:hint="default"/>
                <w:lang w:val="en-US" w:eastAsia="zh-CN"/>
              </w:rPr>
            </w:pPr>
            <w:r>
              <w:rPr>
                <w:rFonts w:hint="default"/>
                <w:lang w:val="en-US" w:eastAsia="zh-CN"/>
              </w:rPr>
              <w:t>8</w:t>
            </w:r>
          </w:p>
        </w:tc>
        <w:tc>
          <w:tcPr>
            <w:tcW w:w="5737" w:type="dxa"/>
            <w:vAlign w:val="center"/>
          </w:tcPr>
          <w:p>
            <w:pPr>
              <w:pStyle w:val="12"/>
              <w:rPr>
                <w:rFonts w:hint="default"/>
                <w:lang w:val="en-US" w:eastAsia="zh-CN"/>
              </w:rPr>
            </w:pPr>
            <w:r>
              <w:rPr>
                <w:rFonts w:hint="default"/>
                <w:lang w:val="en-US" w:eastAsia="zh-CN"/>
              </w:rPr>
              <w:t>培训方案符合实际、切实可行，能符合本项目实际情况及要求，其重点内容包含但不限于以下内容：培养目的、培训方式、培训质量保障、培训资料和手册。符合实际、切实可行、含以上全部4项的能符合本项目实际情况及要求，方案合理可行得8分，每缺少一项或不合理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4</w:t>
            </w:r>
          </w:p>
        </w:tc>
        <w:tc>
          <w:tcPr>
            <w:tcW w:w="1312" w:type="dxa"/>
            <w:vAlign w:val="center"/>
          </w:tcPr>
          <w:p>
            <w:pPr>
              <w:pStyle w:val="12"/>
              <w:rPr>
                <w:rFonts w:hint="default"/>
                <w:lang w:val="en-US" w:eastAsia="zh-CN"/>
              </w:rPr>
            </w:pPr>
            <w:r>
              <w:rPr>
                <w:rFonts w:hint="default"/>
                <w:lang w:val="en-US" w:eastAsia="zh-CN"/>
              </w:rPr>
              <w:t>售后服务</w:t>
            </w:r>
          </w:p>
          <w:p>
            <w:pPr>
              <w:pStyle w:val="12"/>
              <w:rPr>
                <w:rFonts w:hint="default"/>
                <w:lang w:val="en-US" w:eastAsia="zh-CN"/>
              </w:rPr>
            </w:pPr>
            <w:r>
              <w:rPr>
                <w:rFonts w:hint="default"/>
                <w:lang w:val="en-US" w:eastAsia="zh-CN"/>
              </w:rPr>
              <w:t>方案</w:t>
            </w:r>
          </w:p>
        </w:tc>
        <w:tc>
          <w:tcPr>
            <w:tcW w:w="717" w:type="dxa"/>
            <w:vAlign w:val="center"/>
          </w:tcPr>
          <w:p>
            <w:pPr>
              <w:pStyle w:val="12"/>
              <w:rPr>
                <w:rFonts w:hint="default"/>
                <w:lang w:val="en-US" w:eastAsia="zh-CN"/>
              </w:rPr>
            </w:pPr>
            <w:r>
              <w:rPr>
                <w:rFonts w:hint="default"/>
                <w:lang w:val="en-US" w:eastAsia="zh-CN"/>
              </w:rPr>
              <w:t>5</w:t>
            </w:r>
          </w:p>
        </w:tc>
        <w:tc>
          <w:tcPr>
            <w:tcW w:w="5737" w:type="dxa"/>
            <w:vAlign w:val="center"/>
          </w:tcPr>
          <w:p>
            <w:pPr>
              <w:pStyle w:val="12"/>
              <w:rPr>
                <w:rFonts w:hint="default"/>
                <w:lang w:val="en-US" w:eastAsia="zh-CN"/>
              </w:rPr>
            </w:pPr>
            <w:r>
              <w:rPr>
                <w:rFonts w:hint="default"/>
                <w:lang w:val="en-US" w:eastAsia="zh-CN"/>
              </w:rPr>
              <w:t>根据投标人售后服务方案，其重点内容包含但不限于以下内容：质量保证范围、售后服务组织架构、故障报修流程、售后服务流程、应急维修服务。包含以上全部5项的根据方案的合理性进行评分，方案合理可行得5分，每缺少一项或不合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96" w:type="dxa"/>
            <w:gridSpan w:val="4"/>
            <w:vAlign w:val="center"/>
          </w:tcPr>
          <w:p>
            <w:pPr>
              <w:pStyle w:val="12"/>
              <w:rPr>
                <w:rFonts w:hint="default"/>
                <w:lang w:val="en-US" w:eastAsia="zh-CN"/>
              </w:rPr>
            </w:pPr>
            <w:r>
              <w:rPr>
                <w:rFonts w:hint="default"/>
                <w:lang w:val="en-US" w:eastAsia="zh-CN"/>
              </w:rPr>
              <w:t>售后服务11分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1</w:t>
            </w:r>
          </w:p>
        </w:tc>
        <w:tc>
          <w:tcPr>
            <w:tcW w:w="1312" w:type="dxa"/>
            <w:vAlign w:val="center"/>
          </w:tcPr>
          <w:p>
            <w:pPr>
              <w:pStyle w:val="12"/>
              <w:rPr>
                <w:rFonts w:hint="default"/>
                <w:lang w:val="en-US" w:eastAsia="zh-CN"/>
              </w:rPr>
            </w:pPr>
            <w:r>
              <w:rPr>
                <w:rFonts w:hint="default"/>
                <w:lang w:val="en-US" w:eastAsia="zh-CN"/>
              </w:rPr>
              <w:t>售后服务</w:t>
            </w:r>
          </w:p>
          <w:p>
            <w:pPr>
              <w:pStyle w:val="12"/>
              <w:rPr>
                <w:rFonts w:hint="default"/>
                <w:lang w:val="en-US" w:eastAsia="zh-CN"/>
              </w:rPr>
            </w:pPr>
            <w:r>
              <w:rPr>
                <w:rFonts w:hint="default"/>
                <w:lang w:val="en-US" w:eastAsia="zh-CN"/>
              </w:rPr>
              <w:t>网点</w:t>
            </w:r>
          </w:p>
        </w:tc>
        <w:tc>
          <w:tcPr>
            <w:tcW w:w="717" w:type="dxa"/>
            <w:vAlign w:val="center"/>
          </w:tcPr>
          <w:p>
            <w:pPr>
              <w:pStyle w:val="12"/>
              <w:rPr>
                <w:rFonts w:hint="default"/>
                <w:lang w:val="en-US" w:eastAsia="zh-CN"/>
              </w:rPr>
            </w:pPr>
            <w:r>
              <w:rPr>
                <w:rFonts w:hint="default"/>
                <w:lang w:val="en-US" w:eastAsia="zh-CN"/>
              </w:rPr>
              <w:t>4</w:t>
            </w:r>
          </w:p>
        </w:tc>
        <w:tc>
          <w:tcPr>
            <w:tcW w:w="5737" w:type="dxa"/>
            <w:vAlign w:val="center"/>
          </w:tcPr>
          <w:p>
            <w:pPr>
              <w:pStyle w:val="12"/>
              <w:rPr>
                <w:rFonts w:hint="default"/>
                <w:lang w:val="en-US" w:eastAsia="zh-CN"/>
              </w:rPr>
            </w:pPr>
            <w:r>
              <w:rPr>
                <w:rFonts w:hint="default"/>
                <w:lang w:val="en-US" w:eastAsia="zh-CN"/>
              </w:rPr>
              <w:t>在项目所属市或县设立售后服务机构(或服务点)或承诺中标后设立（承诺必须明确设立时间）的，且必须提供售后专业维护人员至少一名，得4分（租赁的场地以租赁合同为准，自有房产以房产证明为准，提供投标人为该人员购买的近三月社保的证明材料、劳务合同及联系方式），提供不齐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30" w:type="dxa"/>
            <w:vAlign w:val="center"/>
          </w:tcPr>
          <w:p>
            <w:pPr>
              <w:pStyle w:val="12"/>
              <w:rPr>
                <w:rFonts w:hint="default"/>
                <w:lang w:val="en-US" w:eastAsia="zh-CN"/>
              </w:rPr>
            </w:pPr>
            <w:r>
              <w:rPr>
                <w:rFonts w:hint="default"/>
                <w:lang w:val="en-US" w:eastAsia="zh-CN"/>
              </w:rPr>
              <w:t>2</w:t>
            </w:r>
          </w:p>
        </w:tc>
        <w:tc>
          <w:tcPr>
            <w:tcW w:w="1312" w:type="dxa"/>
            <w:vAlign w:val="center"/>
          </w:tcPr>
          <w:p>
            <w:pPr>
              <w:pStyle w:val="12"/>
              <w:rPr>
                <w:rFonts w:hint="default"/>
                <w:lang w:val="en-US" w:eastAsia="zh-CN"/>
              </w:rPr>
            </w:pPr>
            <w:r>
              <w:rPr>
                <w:rFonts w:hint="default"/>
                <w:lang w:val="en-US" w:eastAsia="zh-CN"/>
              </w:rPr>
              <w:t>售后响应</w:t>
            </w:r>
          </w:p>
          <w:p>
            <w:pPr>
              <w:pStyle w:val="12"/>
              <w:rPr>
                <w:rFonts w:hint="default"/>
                <w:lang w:val="en-US" w:eastAsia="zh-CN"/>
              </w:rPr>
            </w:pPr>
            <w:r>
              <w:rPr>
                <w:rFonts w:hint="default"/>
                <w:lang w:val="en-US" w:eastAsia="zh-CN"/>
              </w:rPr>
              <w:t>时间</w:t>
            </w:r>
          </w:p>
        </w:tc>
        <w:tc>
          <w:tcPr>
            <w:tcW w:w="717" w:type="dxa"/>
            <w:vAlign w:val="center"/>
          </w:tcPr>
          <w:p>
            <w:pPr>
              <w:pStyle w:val="12"/>
              <w:rPr>
                <w:rFonts w:hint="default"/>
                <w:lang w:val="en-US" w:eastAsia="zh-CN"/>
              </w:rPr>
            </w:pPr>
            <w:r>
              <w:rPr>
                <w:rFonts w:hint="default"/>
                <w:lang w:val="en-US" w:eastAsia="zh-CN"/>
              </w:rPr>
              <w:t>7</w:t>
            </w:r>
          </w:p>
        </w:tc>
        <w:tc>
          <w:tcPr>
            <w:tcW w:w="5737" w:type="dxa"/>
            <w:vAlign w:val="center"/>
          </w:tcPr>
          <w:p>
            <w:pPr>
              <w:pStyle w:val="12"/>
              <w:rPr>
                <w:rFonts w:hint="default"/>
                <w:lang w:val="en-US" w:eastAsia="zh-CN"/>
              </w:rPr>
            </w:pPr>
            <w:r>
              <w:rPr>
                <w:rFonts w:hint="default"/>
                <w:lang w:val="en-US" w:eastAsia="zh-CN"/>
              </w:rPr>
              <w:t>投标人提供7*24小时响应，承诺接到甲方故障报修后能立即派遣技术人员到现场进行相关故障修复服务：到达现场时间在4小时以内得2分，8小时以内得1分，12小时以内得0.5分，到现场解决实质性问题的5分，其余不得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96" w:type="dxa"/>
            <w:gridSpan w:val="4"/>
            <w:vAlign w:val="center"/>
          </w:tcPr>
          <w:p>
            <w:pPr>
              <w:pStyle w:val="12"/>
              <w:rPr>
                <w:rFonts w:hint="default"/>
                <w:lang w:val="en-US" w:eastAsia="zh-CN"/>
              </w:rPr>
            </w:pPr>
            <w:r>
              <w:rPr>
                <w:rFonts w:hint="default"/>
                <w:lang w:val="en-US" w:eastAsia="zh-CN"/>
              </w:rPr>
              <w:t>商务部分6分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530" w:type="dxa"/>
            <w:vAlign w:val="center"/>
          </w:tcPr>
          <w:p>
            <w:pPr>
              <w:pStyle w:val="12"/>
              <w:rPr>
                <w:rFonts w:hint="default"/>
                <w:lang w:val="en-US" w:eastAsia="zh-CN"/>
              </w:rPr>
            </w:pPr>
            <w:r>
              <w:rPr>
                <w:rFonts w:hint="default"/>
                <w:lang w:val="en-US" w:eastAsia="zh-CN"/>
              </w:rPr>
              <w:t>1</w:t>
            </w:r>
          </w:p>
        </w:tc>
        <w:tc>
          <w:tcPr>
            <w:tcW w:w="1312" w:type="dxa"/>
            <w:vAlign w:val="center"/>
          </w:tcPr>
          <w:p>
            <w:pPr>
              <w:pStyle w:val="12"/>
              <w:rPr>
                <w:rFonts w:hint="default"/>
                <w:lang w:val="en-US" w:eastAsia="zh-CN"/>
              </w:rPr>
            </w:pPr>
            <w:r>
              <w:rPr>
                <w:rFonts w:hint="default"/>
                <w:lang w:val="en-US" w:eastAsia="zh-CN"/>
              </w:rPr>
              <w:t>业绩经验</w:t>
            </w:r>
          </w:p>
        </w:tc>
        <w:tc>
          <w:tcPr>
            <w:tcW w:w="717" w:type="dxa"/>
            <w:vAlign w:val="center"/>
          </w:tcPr>
          <w:p>
            <w:pPr>
              <w:pStyle w:val="12"/>
              <w:rPr>
                <w:rFonts w:hint="default"/>
                <w:lang w:val="en-US" w:eastAsia="zh-CN"/>
              </w:rPr>
            </w:pPr>
            <w:r>
              <w:rPr>
                <w:rFonts w:hint="default"/>
                <w:lang w:val="en-US" w:eastAsia="zh-CN"/>
              </w:rPr>
              <w:t>6</w:t>
            </w:r>
          </w:p>
        </w:tc>
        <w:tc>
          <w:tcPr>
            <w:tcW w:w="5737" w:type="dxa"/>
            <w:vAlign w:val="center"/>
          </w:tcPr>
          <w:p>
            <w:pPr>
              <w:pStyle w:val="12"/>
              <w:rPr>
                <w:rFonts w:hint="default"/>
                <w:lang w:val="en-US" w:eastAsia="zh-CN"/>
              </w:rPr>
            </w:pPr>
            <w:r>
              <w:rPr>
                <w:rFonts w:hint="default"/>
                <w:lang w:val="en-US" w:eastAsia="zh-CN"/>
              </w:rPr>
              <w:t>2019年1月1日至投标截止时间，已承接同类似的项目业绩的，每提供1份得2分，最高得6分。</w:t>
            </w:r>
          </w:p>
          <w:p>
            <w:pPr>
              <w:pStyle w:val="12"/>
              <w:rPr>
                <w:rFonts w:hint="default"/>
                <w:lang w:val="en-US" w:eastAsia="zh-CN"/>
              </w:rPr>
            </w:pPr>
            <w:r>
              <w:rPr>
                <w:rFonts w:hint="default"/>
                <w:lang w:val="en-US" w:eastAsia="zh-CN"/>
              </w:rPr>
              <w:t>投标人须提供合同关键页或中标通知书（合同须包括采购内容、金额、签约日期、双方盖章，现场提供合同或中标通知书原件进行查验，提供复印件或不提供则不得分）</w:t>
            </w:r>
          </w:p>
        </w:tc>
      </w:tr>
    </w:tbl>
    <w:p>
      <w:pPr>
        <w:pStyle w:val="12"/>
        <w:rPr>
          <w:rFonts w:hint="default"/>
          <w:lang w:val="en-US" w:eastAsia="zh-CN"/>
        </w:rPr>
      </w:pPr>
    </w:p>
    <w:p>
      <w:pPr>
        <w:jc w:val="center"/>
        <w:rPr>
          <w:rFonts w:ascii="新宋体" w:hAnsi="新宋体" w:eastAsia="新宋体" w:cs="新宋体"/>
          <w:b/>
          <w:bCs/>
          <w:sz w:val="32"/>
          <w:szCs w:val="32"/>
        </w:rPr>
      </w:pPr>
    </w:p>
    <w:p>
      <w:pPr>
        <w:jc w:val="center"/>
        <w:rPr>
          <w:rFonts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hint="eastAsia" w:ascii="新宋体" w:hAnsi="新宋体" w:eastAsia="新宋体" w:cs="新宋体"/>
          <w:b/>
          <w:bCs/>
          <w:sz w:val="32"/>
          <w:szCs w:val="32"/>
        </w:rPr>
      </w:pPr>
    </w:p>
    <w:p>
      <w:pPr>
        <w:jc w:val="center"/>
        <w:rPr>
          <w:rFonts w:ascii="新宋体" w:hAnsi="新宋体" w:eastAsia="新宋体" w:cs="新宋体"/>
          <w:b/>
          <w:bCs/>
          <w:sz w:val="32"/>
          <w:szCs w:val="32"/>
        </w:rPr>
      </w:pPr>
      <w:r>
        <w:rPr>
          <w:rFonts w:hint="eastAsia" w:ascii="新宋体" w:hAnsi="新宋体" w:eastAsia="新宋体" w:cs="新宋体"/>
          <w:b/>
          <w:bCs/>
          <w:sz w:val="32"/>
          <w:szCs w:val="32"/>
        </w:rPr>
        <w:t>五、废 标</w:t>
      </w:r>
      <w:bookmarkEnd w:id="187"/>
      <w:bookmarkEnd w:id="188"/>
    </w:p>
    <w:p>
      <w:pPr>
        <w:ind w:firstLine="480" w:firstLineChars="200"/>
        <w:rPr>
          <w:rFonts w:ascii="新宋体" w:hAnsi="新宋体" w:eastAsia="新宋体" w:cs="新宋体"/>
          <w:sz w:val="24"/>
        </w:rPr>
      </w:pPr>
      <w:r>
        <w:rPr>
          <w:rFonts w:hint="eastAsia" w:ascii="新宋体" w:hAnsi="新宋体" w:eastAsia="新宋体" w:cs="新宋体"/>
          <w:sz w:val="24"/>
        </w:rPr>
        <w:t>5.1本次政府采购活动中，出现下列情形之一的，予以废标：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（1）符合专业条件的供应商或者对招标文件作实质响应的供应商不足三家的；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（2）出现影响采购公正的违法、违规行为的；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（3）投标供应商的报价均超过了采购预算，采购人不能支付的；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（4）因重大变故，采购任务取消的。</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废标后，采购代理机构应在《中国政府采购网》、《西藏自治区政府采购网》、《西藏自治区公共资源交易平台》、《拉萨市公共资源交易平台》上公示，并公告废标的理由。投标供应商需要知晓导致废标情形的具体原因和理由的，可以通过书面形式询问招标采购单位。</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5.2对于评标过程中废标的采购项目，评标委员会应当对招标文件是否存在倾向性和歧视性、是否存在不合理条款进行论证，并出具书面论证意见。</w:t>
      </w:r>
    </w:p>
    <w:p>
      <w:pPr>
        <w:pStyle w:val="4"/>
        <w:rPr>
          <w:rFonts w:ascii="新宋体" w:hAnsi="新宋体" w:eastAsia="新宋体" w:cs="新宋体"/>
        </w:rPr>
      </w:pPr>
      <w:bookmarkStart w:id="193" w:name="_Toc30736"/>
      <w:r>
        <w:rPr>
          <w:rFonts w:hint="eastAsia" w:ascii="新宋体" w:hAnsi="新宋体" w:eastAsia="新宋体" w:cs="新宋体"/>
        </w:rPr>
        <w:t>六、定标</w:t>
      </w:r>
      <w:bookmarkEnd w:id="189"/>
      <w:bookmarkEnd w:id="193"/>
      <w:bookmarkStart w:id="194" w:name="_Toc217446061"/>
    </w:p>
    <w:p>
      <w:pPr>
        <w:ind w:firstLine="480" w:firstLineChars="200"/>
        <w:rPr>
          <w:rFonts w:ascii="新宋体" w:hAnsi="新宋体" w:eastAsia="新宋体" w:cs="新宋体"/>
          <w:sz w:val="24"/>
        </w:rPr>
      </w:pPr>
      <w:r>
        <w:rPr>
          <w:rFonts w:hint="eastAsia" w:ascii="新宋体" w:hAnsi="新宋体" w:eastAsia="新宋体" w:cs="新宋体"/>
          <w:sz w:val="24"/>
        </w:rPr>
        <w:t>6.1 定标原则</w:t>
      </w:r>
      <w:bookmarkEnd w:id="194"/>
      <w:r>
        <w:rPr>
          <w:rFonts w:hint="eastAsia" w:ascii="新宋体" w:hAnsi="新宋体" w:eastAsia="新宋体" w:cs="新宋体"/>
          <w:sz w:val="24"/>
        </w:rPr>
        <w:t>：本项目根据评标委员会推荐的中标候选供应商名单，按顺序确定中标供应商。</w:t>
      </w:r>
    </w:p>
    <w:p>
      <w:pPr>
        <w:ind w:firstLine="480" w:firstLineChars="200"/>
        <w:rPr>
          <w:rFonts w:ascii="新宋体" w:hAnsi="新宋体" w:eastAsia="新宋体" w:cs="新宋体"/>
          <w:sz w:val="24"/>
        </w:rPr>
      </w:pPr>
      <w:bookmarkStart w:id="195" w:name="_Toc217446062"/>
      <w:r>
        <w:rPr>
          <w:rFonts w:hint="eastAsia" w:ascii="新宋体" w:hAnsi="新宋体" w:eastAsia="新宋体" w:cs="新宋体"/>
          <w:sz w:val="24"/>
        </w:rPr>
        <w:t>6.2 定标程序</w:t>
      </w:r>
      <w:bookmarkEnd w:id="195"/>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6.2.1 评标委员会将评标情况写出书面报告，推荐中标候选供应商。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6.2.2 采购代理机构在评标结束之日起2个工作日内将评标报告送采购人。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6.2.3 采购单位在收到评标报告之日起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注意：根据《中华人民共和国政府采购法实施条例》第四十九条：</w:t>
      </w:r>
    </w:p>
    <w:p>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中标供应商拒绝与采购人签订合同的，采购人可以按照评审报告推荐的中标候选人名单排序，确定下一候选人为中标供应商，也可以重新开展政府采购活动。</w:t>
      </w:r>
    </w:p>
    <w:p>
      <w:pPr>
        <w:spacing w:line="360" w:lineRule="auto"/>
        <w:ind w:firstLine="480" w:firstLineChars="200"/>
        <w:rPr>
          <w:rFonts w:ascii="新宋体" w:hAnsi="新宋体" w:eastAsia="新宋体" w:cs="新宋体"/>
          <w:b/>
          <w:sz w:val="24"/>
        </w:rPr>
      </w:pPr>
      <w:r>
        <w:rPr>
          <w:rFonts w:hint="eastAsia" w:ascii="新宋体" w:hAnsi="新宋体" w:eastAsia="新宋体" w:cs="新宋体"/>
          <w:sz w:val="24"/>
        </w:rPr>
        <w:t>6</w:t>
      </w:r>
      <w:r>
        <w:rPr>
          <w:rFonts w:hint="eastAsia" w:ascii="新宋体" w:hAnsi="新宋体" w:eastAsia="新宋体" w:cs="新宋体"/>
          <w:b/>
          <w:sz w:val="24"/>
        </w:rPr>
        <w:t>.2.4 中标公告期限为1个工作日。</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6.2.5 根据采购人确定的中标供应商，采购代理机构在《中国政府采购网》、《西藏自治区政府采购网》、《西藏自治区公共资源交易平台》、《拉萨市公共资源交易平台》上发布中标结果公告，并自采购人确定中标之日起2个工作日内向中标供应商发出中标通知书。</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6.2.6 招标采购单位不退回投标供应商投标文件和其他投标资料。</w:t>
      </w:r>
    </w:p>
    <w:p>
      <w:pPr>
        <w:pStyle w:val="4"/>
        <w:rPr>
          <w:rFonts w:ascii="新宋体" w:hAnsi="新宋体" w:eastAsia="新宋体" w:cs="新宋体"/>
        </w:rPr>
      </w:pPr>
      <w:bookmarkStart w:id="196" w:name="_Toc183582297"/>
      <w:bookmarkStart w:id="197" w:name="_Toc208849022"/>
      <w:bookmarkStart w:id="198" w:name="_Toc217446105"/>
      <w:bookmarkStart w:id="199" w:name="_Toc183682432"/>
      <w:bookmarkStart w:id="200" w:name="_Toc1551"/>
      <w:r>
        <w:rPr>
          <w:rFonts w:hint="eastAsia" w:ascii="新宋体" w:hAnsi="新宋体" w:eastAsia="新宋体" w:cs="新宋体"/>
        </w:rPr>
        <w:t>七、</w:t>
      </w:r>
      <w:bookmarkEnd w:id="196"/>
      <w:bookmarkEnd w:id="197"/>
      <w:bookmarkEnd w:id="198"/>
      <w:bookmarkEnd w:id="199"/>
      <w:r>
        <w:rPr>
          <w:rFonts w:hint="eastAsia" w:ascii="新宋体" w:hAnsi="新宋体" w:eastAsia="新宋体" w:cs="新宋体"/>
        </w:rPr>
        <w:t>评标专家在政府采购活动中承担以下义务</w:t>
      </w:r>
      <w:bookmarkEnd w:id="200"/>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7.1遵守评审工作纪律； </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7.2按照客观、公正、审慎的原则，根据采购文件规定的评审程序、评审方法和评审标准进行独立评审；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7.3不得泄露评审文件、评审情况和在评审过程中获悉的商业秘密；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7.4及时向监督部门报告评审过程中采购组织单位向评审专家做倾向性、误导性的解释或者说明，供应商行贿、提供虚假材料或者串通、受到的非法干预情况等违法违规行为；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7.5发现采购文件内容违反国家有关强制性规定或者存在歧义、重大缺陷导致评审工作无法进行时，停止评审并向采购组织单位书面说明情况；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7.6配合答复处理供应商的询问、质疑和投诉等事项；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7.7法律、法规和规章规定的其他义务。</w:t>
      </w:r>
    </w:p>
    <w:p>
      <w:pPr>
        <w:pStyle w:val="4"/>
        <w:rPr>
          <w:rFonts w:ascii="新宋体" w:hAnsi="新宋体" w:eastAsia="新宋体" w:cs="新宋体"/>
        </w:rPr>
      </w:pPr>
      <w:bookmarkStart w:id="201" w:name="_Toc14113"/>
      <w:r>
        <w:rPr>
          <w:rFonts w:hint="eastAsia" w:ascii="新宋体" w:hAnsi="新宋体" w:eastAsia="新宋体" w:cs="新宋体"/>
        </w:rPr>
        <w:t>八、评标专家在政府采购活动中应当遵守以下工作纪律</w:t>
      </w:r>
      <w:bookmarkEnd w:id="201"/>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8.1遵行《中华人民共和国政府采购法》第十二条和《中华人民共和国政府采购法实施条例》第九条及财政部关于回避的规定。</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8.2评标前，应当将通讯工具或者相关电子设备交由招标采购单位统一保管。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8.3评标过程中，不得与外界联系，因发生不可预见情况，确实需要与外界联系的，应当在监督人员监督之下办理。</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8.5在评标过程中和评标结束后，不得记录、复制或带走任何评标资料，除因规定的义务外，不得向外界透露评标内容。</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8.6服从评标现场招标采购单位的现场秩序管理，接受评标现场监督人员的合法监督。</w:t>
      </w:r>
    </w:p>
    <w:p>
      <w:pPr>
        <w:spacing w:line="360" w:lineRule="auto"/>
        <w:ind w:left="239" w:leftChars="114" w:firstLine="240" w:firstLineChars="100"/>
        <w:rPr>
          <w:rFonts w:ascii="新宋体" w:hAnsi="新宋体" w:eastAsia="新宋体" w:cs="新宋体"/>
          <w:sz w:val="24"/>
        </w:rPr>
      </w:pPr>
      <w:r>
        <w:rPr>
          <w:rFonts w:hint="eastAsia" w:ascii="新宋体" w:hAnsi="新宋体" w:eastAsia="新宋体" w:cs="新宋体"/>
          <w:sz w:val="24"/>
        </w:rPr>
        <w:t>8.7遵守有关廉洁自律规定，不得私下接触供应商，不得收受供应商及有关业务单位和个人的财物或好处，不得接受采购组织单位的请托。</w:t>
      </w:r>
    </w:p>
    <w:p>
      <w:pPr>
        <w:rPr>
          <w:rFonts w:ascii="新宋体" w:hAnsi="新宋体" w:eastAsia="新宋体" w:cs="新宋体"/>
        </w:rPr>
        <w:sectPr>
          <w:headerReference r:id="rId10" w:type="default"/>
          <w:footerReference r:id="rId11" w:type="default"/>
          <w:pgSz w:w="11906" w:h="16838"/>
          <w:pgMar w:top="1440" w:right="1080" w:bottom="1440" w:left="1080" w:header="851" w:footer="992" w:gutter="0"/>
          <w:pgNumType w:fmt="decimal"/>
          <w:cols w:space="720" w:num="1"/>
          <w:docGrid w:type="lines" w:linePitch="312" w:charSpace="0"/>
        </w:sectPr>
      </w:pPr>
      <w:bookmarkStart w:id="202" w:name="_Toc19775"/>
      <w:bookmarkStart w:id="203" w:name="_Toc17147"/>
    </w:p>
    <w:p>
      <w:pPr>
        <w:jc w:val="center"/>
        <w:outlineLvl w:val="0"/>
        <w:rPr>
          <w:rFonts w:ascii="新宋体" w:hAnsi="新宋体" w:eastAsia="新宋体" w:cs="新宋体"/>
          <w:b/>
          <w:bCs/>
          <w:kern w:val="44"/>
          <w:sz w:val="36"/>
          <w:szCs w:val="44"/>
        </w:rPr>
      </w:pPr>
      <w:bookmarkStart w:id="204" w:name="_Toc28312"/>
      <w:r>
        <w:rPr>
          <w:rFonts w:hint="eastAsia" w:ascii="新宋体" w:hAnsi="新宋体" w:eastAsia="新宋体" w:cs="新宋体"/>
          <w:b/>
          <w:bCs/>
          <w:kern w:val="44"/>
          <w:sz w:val="36"/>
          <w:szCs w:val="44"/>
        </w:rPr>
        <w:t>第八章  政府采购合同（样例）</w:t>
      </w:r>
      <w:bookmarkEnd w:id="204"/>
    </w:p>
    <w:p>
      <w:pPr>
        <w:jc w:val="left"/>
        <w:rPr>
          <w:rFonts w:ascii="宋体" w:hAnsi="宋体" w:cs="华文中宋"/>
          <w:b/>
          <w:bCs/>
          <w:kern w:val="0"/>
          <w:sz w:val="28"/>
          <w:szCs w:val="28"/>
          <w:u w:val="single"/>
        </w:rPr>
      </w:pPr>
      <w:r>
        <w:rPr>
          <w:rFonts w:hint="eastAsia" w:ascii="宋体" w:hAnsi="宋体" w:cs="华文中宋"/>
          <w:b/>
          <w:bCs/>
          <w:kern w:val="0"/>
          <w:sz w:val="28"/>
          <w:szCs w:val="28"/>
        </w:rPr>
        <w:t>项目编号：</w:t>
      </w:r>
    </w:p>
    <w:p>
      <w:pPr>
        <w:jc w:val="left"/>
        <w:rPr>
          <w:rFonts w:ascii="宋体" w:hAnsi="宋体" w:cs="华文中宋"/>
          <w:b/>
          <w:bCs/>
          <w:w w:val="90"/>
          <w:kern w:val="0"/>
          <w:sz w:val="48"/>
          <w:szCs w:val="48"/>
        </w:rPr>
      </w:pPr>
      <w:r>
        <w:rPr>
          <w:rFonts w:hint="eastAsia" w:ascii="宋体" w:hAnsi="宋体" w:cs="华文中宋"/>
          <w:b/>
          <w:bCs/>
          <w:kern w:val="0"/>
          <w:sz w:val="28"/>
          <w:szCs w:val="28"/>
        </w:rPr>
        <w:t>项目名称：</w:t>
      </w:r>
    </w:p>
    <w:p>
      <w:pPr>
        <w:spacing w:line="360" w:lineRule="auto"/>
        <w:rPr>
          <w:rFonts w:ascii="宋体" w:hAnsi="宋体" w:cs="宋体"/>
          <w:kern w:val="0"/>
          <w:sz w:val="24"/>
          <w:szCs w:val="20"/>
        </w:rPr>
      </w:pPr>
    </w:p>
    <w:p>
      <w:pPr>
        <w:spacing w:line="360" w:lineRule="auto"/>
        <w:rPr>
          <w:rFonts w:ascii="宋体" w:hAnsi="宋体" w:cs="宋体"/>
          <w:kern w:val="0"/>
          <w:sz w:val="24"/>
          <w:szCs w:val="20"/>
        </w:rPr>
      </w:pPr>
    </w:p>
    <w:p>
      <w:pPr>
        <w:jc w:val="center"/>
        <w:rPr>
          <w:rFonts w:ascii="宋体" w:hAnsi="宋体" w:cs="华文中宋"/>
          <w:w w:val="90"/>
          <w:kern w:val="0"/>
          <w:sz w:val="48"/>
          <w:szCs w:val="48"/>
        </w:rPr>
      </w:pPr>
      <w:r>
        <w:rPr>
          <w:rFonts w:hint="eastAsia" w:ascii="宋体" w:hAnsi="宋体" w:cs="华文中宋"/>
          <w:w w:val="90"/>
          <w:kern w:val="0"/>
          <w:sz w:val="48"/>
          <w:szCs w:val="48"/>
        </w:rPr>
        <w:t>采购合同</w:t>
      </w:r>
    </w:p>
    <w:p>
      <w:pPr>
        <w:ind w:firstLine="640"/>
        <w:rPr>
          <w:rFonts w:ascii="宋体" w:hAnsi="宋体" w:cs="华文中宋"/>
          <w:kern w:val="0"/>
          <w:sz w:val="34"/>
          <w:szCs w:val="20"/>
        </w:rPr>
      </w:pPr>
    </w:p>
    <w:p>
      <w:pPr>
        <w:ind w:firstLine="1162" w:firstLineChars="342"/>
        <w:rPr>
          <w:rFonts w:ascii="宋体" w:hAnsi="宋体" w:cs="华文中宋"/>
          <w:kern w:val="0"/>
          <w:sz w:val="34"/>
          <w:szCs w:val="32"/>
        </w:rPr>
      </w:pPr>
    </w:p>
    <w:p>
      <w:pPr>
        <w:ind w:firstLine="1162" w:firstLineChars="342"/>
        <w:rPr>
          <w:rFonts w:ascii="宋体" w:hAnsi="宋体" w:cs="华文中宋"/>
          <w:kern w:val="0"/>
          <w:sz w:val="34"/>
          <w:szCs w:val="32"/>
        </w:rPr>
      </w:pPr>
    </w:p>
    <w:p>
      <w:pPr>
        <w:ind w:firstLine="1162" w:firstLineChars="342"/>
        <w:rPr>
          <w:rFonts w:ascii="宋体" w:hAnsi="宋体" w:cs="华文中宋"/>
          <w:kern w:val="0"/>
          <w:sz w:val="34"/>
          <w:szCs w:val="32"/>
        </w:rPr>
      </w:pPr>
    </w:p>
    <w:p>
      <w:pPr>
        <w:ind w:firstLine="1162" w:firstLineChars="342"/>
        <w:rPr>
          <w:rFonts w:ascii="宋体" w:hAnsi="宋体" w:cs="华文中宋"/>
          <w:kern w:val="0"/>
          <w:sz w:val="34"/>
          <w:szCs w:val="32"/>
        </w:rPr>
      </w:pPr>
    </w:p>
    <w:p>
      <w:pPr>
        <w:ind w:firstLine="1162" w:firstLineChars="342"/>
        <w:rPr>
          <w:rFonts w:ascii="宋体" w:hAnsi="宋体" w:cs="华文中宋"/>
          <w:kern w:val="0"/>
          <w:sz w:val="34"/>
          <w:szCs w:val="32"/>
        </w:rPr>
      </w:pPr>
    </w:p>
    <w:p>
      <w:pPr>
        <w:ind w:firstLine="1162" w:firstLineChars="342"/>
        <w:rPr>
          <w:rFonts w:ascii="宋体" w:hAnsi="宋体" w:cs="华文中宋"/>
          <w:kern w:val="0"/>
          <w:sz w:val="34"/>
          <w:szCs w:val="32"/>
        </w:rPr>
      </w:pPr>
      <w:r>
        <w:rPr>
          <w:rFonts w:hint="eastAsia" w:ascii="宋体" w:hAnsi="宋体" w:cs="华文中宋"/>
          <w:kern w:val="0"/>
          <w:sz w:val="34"/>
          <w:szCs w:val="32"/>
        </w:rPr>
        <w:t>合同编号：</w:t>
      </w:r>
    </w:p>
    <w:p>
      <w:pPr>
        <w:ind w:firstLine="1162" w:firstLineChars="342"/>
        <w:rPr>
          <w:rFonts w:ascii="宋体" w:hAnsi="宋体" w:cs="华文中宋"/>
          <w:kern w:val="0"/>
          <w:sz w:val="34"/>
          <w:szCs w:val="32"/>
          <w:u w:val="single"/>
        </w:rPr>
      </w:pPr>
      <w:r>
        <w:rPr>
          <w:rFonts w:hint="eastAsia" w:ascii="宋体" w:hAnsi="宋体" w:cs="华文中宋"/>
          <w:kern w:val="0"/>
          <w:sz w:val="34"/>
          <w:szCs w:val="32"/>
        </w:rPr>
        <w:t>甲    方：</w:t>
      </w:r>
    </w:p>
    <w:p>
      <w:pPr>
        <w:ind w:firstLine="1162" w:firstLineChars="342"/>
        <w:rPr>
          <w:rFonts w:ascii="宋体" w:hAnsi="宋体" w:cs="华文中宋"/>
          <w:kern w:val="0"/>
          <w:sz w:val="34"/>
          <w:szCs w:val="32"/>
          <w:u w:val="single"/>
        </w:rPr>
      </w:pPr>
      <w:r>
        <w:rPr>
          <w:rFonts w:hint="eastAsia" w:ascii="宋体" w:hAnsi="宋体" w:cs="华文中宋"/>
          <w:kern w:val="0"/>
          <w:sz w:val="34"/>
          <w:szCs w:val="32"/>
        </w:rPr>
        <w:t>乙    方：</w:t>
      </w:r>
    </w:p>
    <w:p>
      <w:pPr>
        <w:ind w:firstLine="1162" w:firstLineChars="342"/>
        <w:rPr>
          <w:rFonts w:ascii="宋体" w:hAnsi="宋体" w:cs="华文中宋"/>
          <w:kern w:val="0"/>
          <w:sz w:val="28"/>
          <w:szCs w:val="28"/>
          <w:u w:val="single"/>
        </w:rPr>
      </w:pPr>
      <w:r>
        <w:rPr>
          <w:rFonts w:hint="eastAsia" w:ascii="宋体" w:hAnsi="宋体" w:cs="华文中宋"/>
          <w:kern w:val="0"/>
          <w:sz w:val="34"/>
          <w:szCs w:val="32"/>
        </w:rPr>
        <w:t>签订时间：</w:t>
      </w:r>
      <w:r>
        <w:rPr>
          <w:rFonts w:hint="eastAsia" w:ascii="宋体" w:hAnsi="宋体" w:cs="华文中宋"/>
          <w:kern w:val="0"/>
          <w:sz w:val="34"/>
          <w:szCs w:val="32"/>
          <w:u w:val="single"/>
        </w:rPr>
        <w:t xml:space="preserve">       年     月    日 </w:t>
      </w:r>
    </w:p>
    <w:p>
      <w:pPr>
        <w:sectPr>
          <w:footerReference r:id="rId12" w:type="default"/>
          <w:pgSz w:w="11906" w:h="16838"/>
          <w:pgMar w:top="1134" w:right="1134" w:bottom="1134" w:left="1418" w:header="851" w:footer="992" w:gutter="0"/>
          <w:pgNumType w:fmt="decimal"/>
          <w:cols w:space="720" w:num="1"/>
          <w:docGrid w:type="lines" w:linePitch="312" w:charSpace="0"/>
        </w:sectPr>
      </w:pPr>
      <w:r>
        <w:rPr>
          <w:rFonts w:hint="eastAsia" w:ascii="宋体" w:hAnsi="宋体" w:cs="华文中宋"/>
          <w:kern w:val="0"/>
          <w:sz w:val="52"/>
          <w:szCs w:val="52"/>
        </w:rPr>
        <w:br w:type="page"/>
      </w:r>
    </w:p>
    <w:p>
      <w:pPr>
        <w:adjustRightInd w:val="0"/>
        <w:spacing w:before="240" w:after="60" w:line="420" w:lineRule="atLeast"/>
        <w:jc w:val="center"/>
        <w:textAlignment w:val="baseline"/>
        <w:rPr>
          <w:rFonts w:ascii="宋体" w:hAnsi="宋体" w:cs="华文中宋"/>
          <w:b/>
          <w:kern w:val="0"/>
          <w:sz w:val="52"/>
          <w:szCs w:val="52"/>
        </w:rPr>
      </w:pPr>
      <w:bookmarkStart w:id="205" w:name="_Toc6061"/>
      <w:bookmarkStart w:id="206" w:name="_Toc14791"/>
      <w:r>
        <w:rPr>
          <w:rFonts w:hint="eastAsia" w:ascii="宋体" w:hAnsi="宋体" w:cs="华文中宋"/>
          <w:b/>
          <w:kern w:val="0"/>
          <w:sz w:val="52"/>
          <w:szCs w:val="52"/>
        </w:rPr>
        <w:t>合同条款</w:t>
      </w:r>
      <w:bookmarkEnd w:id="205"/>
      <w:bookmarkEnd w:id="206"/>
    </w:p>
    <w:p>
      <w:pPr>
        <w:rPr>
          <w:rFonts w:ascii="宋体" w:hAnsi="宋体" w:cs="华文中宋"/>
          <w:kern w:val="0"/>
          <w:sz w:val="24"/>
          <w:szCs w:val="20"/>
        </w:rPr>
      </w:pPr>
      <w:r>
        <w:rPr>
          <w:rFonts w:hint="eastAsia" w:ascii="宋体" w:hAnsi="宋体" w:cs="华文中宋"/>
          <w:kern w:val="0"/>
          <w:sz w:val="24"/>
          <w:szCs w:val="20"/>
        </w:rPr>
        <w:t>注：采购合同应当包括采购人与成交供应商的名称和住所、标的、数量、质量、价款或者报酬、履行期限及地点和方式、验收要求、违约责任、解决争议的方法等内容。</w:t>
      </w:r>
    </w:p>
    <w:p>
      <w:pPr>
        <w:jc w:val="center"/>
        <w:rPr>
          <w:rFonts w:ascii="新宋体" w:hAnsi="新宋体" w:eastAsia="新宋体" w:cs="新宋体"/>
        </w:rPr>
        <w:sectPr>
          <w:pgSz w:w="11906" w:h="16838"/>
          <w:pgMar w:top="1191" w:right="1684" w:bottom="1191" w:left="1684" w:header="851" w:footer="992" w:gutter="0"/>
          <w:pgNumType w:fmt="decimal"/>
          <w:cols w:space="720" w:num="1"/>
          <w:docGrid w:type="lines" w:linePitch="312" w:charSpace="0"/>
        </w:sectPr>
      </w:pPr>
      <w:r>
        <w:rPr>
          <w:rFonts w:hint="eastAsia" w:ascii="宋体" w:hAnsi="宋体" w:cs="华文中宋"/>
          <w:kern w:val="0"/>
          <w:sz w:val="24"/>
          <w:szCs w:val="20"/>
        </w:rPr>
        <w:t>（所提供为合同模板，供应商和采购人可根据项目实际情况进行编制）</w:t>
      </w:r>
    </w:p>
    <w:bookmarkEnd w:id="202"/>
    <w:bookmarkEnd w:id="203"/>
    <w:p>
      <w:pPr>
        <w:pStyle w:val="3"/>
      </w:pPr>
      <w:bookmarkStart w:id="207" w:name="_Toc30589"/>
      <w:bookmarkStart w:id="208" w:name="_Toc15803"/>
      <w:r>
        <w:rPr>
          <w:rFonts w:hint="eastAsia" w:hAnsi="宋体" w:cs="华文中宋"/>
          <w:sz w:val="32"/>
          <w:szCs w:val="32"/>
        </w:rPr>
        <w:t>（填写政府采购项目名称）合同</w:t>
      </w:r>
      <w:r>
        <w:rPr>
          <w:rFonts w:hint="eastAsia"/>
        </w:rPr>
        <w:t>（样例）</w:t>
      </w:r>
    </w:p>
    <w:p>
      <w:pPr>
        <w:spacing w:line="420" w:lineRule="exact"/>
        <w:rPr>
          <w:rFonts w:hAnsi="宋体" w:cs="宋体"/>
          <w:sz w:val="24"/>
        </w:rPr>
      </w:pPr>
      <w:r>
        <w:rPr>
          <w:rFonts w:hint="eastAsia" w:hAnsi="宋体" w:cs="宋体"/>
          <w:sz w:val="24"/>
        </w:rPr>
        <w:t>合同编号：XXXX。</w:t>
      </w:r>
    </w:p>
    <w:p>
      <w:pPr>
        <w:spacing w:line="420" w:lineRule="exact"/>
        <w:rPr>
          <w:rFonts w:hAnsi="宋体" w:cs="宋体"/>
          <w:sz w:val="24"/>
        </w:rPr>
      </w:pPr>
      <w:r>
        <w:rPr>
          <w:rFonts w:hint="eastAsia" w:hAnsi="宋体" w:cs="宋体"/>
          <w:sz w:val="24"/>
        </w:rPr>
        <w:t>签订地点：XXXX。</w:t>
      </w:r>
    </w:p>
    <w:p>
      <w:pPr>
        <w:spacing w:line="420" w:lineRule="exact"/>
        <w:rPr>
          <w:rFonts w:hAnsi="宋体" w:cs="宋体"/>
          <w:sz w:val="24"/>
        </w:rPr>
      </w:pPr>
      <w:r>
        <w:rPr>
          <w:rFonts w:hint="eastAsia" w:hAnsi="宋体" w:cs="宋体"/>
          <w:sz w:val="24"/>
        </w:rPr>
        <w:t>签订时间：XXXX年XX月XX日。</w:t>
      </w:r>
    </w:p>
    <w:p>
      <w:pPr>
        <w:spacing w:line="420" w:lineRule="exact"/>
        <w:rPr>
          <w:rFonts w:hAnsi="宋体" w:cs="宋体"/>
          <w:sz w:val="24"/>
        </w:rPr>
      </w:pPr>
      <w:r>
        <w:rPr>
          <w:rFonts w:hint="eastAsia" w:hAnsi="宋体" w:cs="宋体"/>
          <w:sz w:val="24"/>
        </w:rPr>
        <w:t>招标人（甲方）：</w:t>
      </w:r>
      <w:r>
        <w:rPr>
          <w:rFonts w:hint="eastAsia" w:hAnsi="宋体" w:cs="宋体"/>
          <w:sz w:val="24"/>
          <w:u w:val="single"/>
        </w:rPr>
        <w:t xml:space="preserve">                              </w:t>
      </w:r>
    </w:p>
    <w:p>
      <w:pPr>
        <w:spacing w:line="420" w:lineRule="exact"/>
        <w:rPr>
          <w:rFonts w:hAnsi="宋体" w:cs="宋体"/>
          <w:sz w:val="24"/>
        </w:rPr>
      </w:pPr>
      <w:r>
        <w:rPr>
          <w:rFonts w:hint="eastAsia" w:hAnsi="宋体" w:cs="宋体"/>
          <w:sz w:val="24"/>
        </w:rPr>
        <w:t>投标人（乙方）：</w:t>
      </w:r>
      <w:r>
        <w:rPr>
          <w:rFonts w:hint="eastAsia" w:hAnsi="宋体" w:cs="宋体"/>
          <w:sz w:val="24"/>
          <w:u w:val="single"/>
        </w:rPr>
        <w:t xml:space="preserve">                              </w:t>
      </w:r>
    </w:p>
    <w:p>
      <w:pPr>
        <w:pStyle w:val="39"/>
        <w:spacing w:line="420" w:lineRule="exact"/>
        <w:ind w:firstLine="0" w:firstLineChars="0"/>
        <w:rPr>
          <w:rFonts w:hAnsi="宋体"/>
        </w:rPr>
      </w:pPr>
      <w:r>
        <w:rPr>
          <w:rFonts w:hint="eastAsia" w:hAnsi="宋体"/>
        </w:rPr>
        <w:t>根据《中华人民共和国政府采购法》、《中华人民共和国合同法》及XX政府采购中心</w:t>
      </w:r>
      <w:r>
        <w:rPr>
          <w:rFonts w:hint="eastAsia" w:hAnsi="宋体"/>
          <w:u w:val="single"/>
        </w:rPr>
        <w:t xml:space="preserve">         </w:t>
      </w:r>
      <w:r>
        <w:rPr>
          <w:rFonts w:hint="eastAsia" w:hAnsi="宋体"/>
        </w:rPr>
        <w:t>项目（项目编号：XX）的《招标文件》、乙方的《投标文件》及《中标通知书》，甲、乙双方同意签订本合同。详细技术说明及其他有关合同的特定信息由合同附件予以说明，合同附件及本项目的招标文件、投标文件、《中标通知书》等均为本合同不可分割的部分。双方同意共同遵守如下条款：</w:t>
      </w:r>
    </w:p>
    <w:p>
      <w:pPr>
        <w:spacing w:line="420" w:lineRule="exact"/>
        <w:rPr>
          <w:rFonts w:hAnsi="宋体" w:cs="宋体"/>
          <w:sz w:val="24"/>
        </w:rPr>
      </w:pPr>
      <w:bookmarkStart w:id="209" w:name="_Toc25273_WPSOffice_Level2"/>
      <w:bookmarkStart w:id="210" w:name="_Toc217446107"/>
      <w:r>
        <w:rPr>
          <w:rFonts w:hint="eastAsia" w:hAnsi="宋体" w:cs="宋体"/>
          <w:sz w:val="24"/>
        </w:rPr>
        <w:t>一、合同货物</w:t>
      </w:r>
      <w:bookmarkEnd w:id="209"/>
      <w:bookmarkEnd w:id="210"/>
    </w:p>
    <w:tbl>
      <w:tblPr>
        <w:tblStyle w:val="26"/>
        <w:tblW w:w="0" w:type="auto"/>
        <w:tblInd w:w="1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3"/>
        <w:gridCol w:w="1433"/>
        <w:gridCol w:w="911"/>
        <w:gridCol w:w="923"/>
        <w:gridCol w:w="1580"/>
        <w:gridCol w:w="1498"/>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1673" w:type="dxa"/>
            <w:tcBorders>
              <w:top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货物品名</w:t>
            </w:r>
          </w:p>
        </w:tc>
        <w:tc>
          <w:tcPr>
            <w:tcW w:w="143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规格型号</w:t>
            </w:r>
          </w:p>
        </w:tc>
        <w:tc>
          <w:tcPr>
            <w:tcW w:w="9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单位</w:t>
            </w:r>
          </w:p>
        </w:tc>
        <w:tc>
          <w:tcPr>
            <w:tcW w:w="92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数量</w:t>
            </w:r>
          </w:p>
        </w:tc>
        <w:tc>
          <w:tcPr>
            <w:tcW w:w="15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单价</w:t>
            </w:r>
          </w:p>
          <w:p>
            <w:pPr>
              <w:spacing w:line="420" w:lineRule="exact"/>
              <w:jc w:val="center"/>
              <w:rPr>
                <w:rFonts w:hAnsi="宋体" w:cs="宋体"/>
                <w:sz w:val="24"/>
              </w:rPr>
            </w:pPr>
            <w:r>
              <w:rPr>
                <w:rFonts w:hint="eastAsia" w:hAnsi="宋体" w:cs="宋体"/>
                <w:sz w:val="24"/>
              </w:rPr>
              <w:t>（万元）</w:t>
            </w:r>
          </w:p>
        </w:tc>
        <w:tc>
          <w:tcPr>
            <w:tcW w:w="149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r>
              <w:rPr>
                <w:rFonts w:hint="eastAsia" w:hAnsi="宋体" w:cs="宋体"/>
                <w:sz w:val="24"/>
              </w:rPr>
              <w:t>总价</w:t>
            </w:r>
          </w:p>
          <w:p>
            <w:pPr>
              <w:spacing w:line="420" w:lineRule="exact"/>
              <w:jc w:val="center"/>
              <w:rPr>
                <w:rFonts w:hAnsi="宋体" w:cs="宋体"/>
                <w:sz w:val="24"/>
              </w:rPr>
            </w:pPr>
            <w:r>
              <w:rPr>
                <w:rFonts w:hint="eastAsia" w:hAnsi="宋体" w:cs="宋体"/>
                <w:sz w:val="24"/>
              </w:rPr>
              <w:t>（万元）</w:t>
            </w:r>
          </w:p>
        </w:tc>
        <w:tc>
          <w:tcPr>
            <w:tcW w:w="1220" w:type="dxa"/>
            <w:tcBorders>
              <w:top w:val="single" w:color="auto" w:sz="4" w:space="0"/>
              <w:left w:val="single" w:color="auto" w:sz="4" w:space="0"/>
              <w:bottom w:val="single" w:color="auto" w:sz="4" w:space="0"/>
            </w:tcBorders>
            <w:vAlign w:val="center"/>
          </w:tcPr>
          <w:p>
            <w:pPr>
              <w:spacing w:line="420" w:lineRule="exact"/>
              <w:jc w:val="center"/>
              <w:rPr>
                <w:rFonts w:hAnsi="宋体" w:cs="宋体"/>
                <w:sz w:val="24"/>
              </w:rPr>
            </w:pPr>
            <w:r>
              <w:rPr>
                <w:rFonts w:hint="eastAsia" w:hAnsi="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673" w:type="dxa"/>
            <w:tcBorders>
              <w:top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220" w:type="dxa"/>
            <w:tcBorders>
              <w:top w:val="single" w:color="auto" w:sz="4" w:space="0"/>
              <w:left w:val="single" w:color="auto" w:sz="4" w:space="0"/>
              <w:bottom w:val="single" w:color="auto" w:sz="4" w:space="0"/>
            </w:tcBorders>
            <w:vAlign w:val="center"/>
          </w:tcPr>
          <w:p>
            <w:pPr>
              <w:spacing w:line="42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673" w:type="dxa"/>
            <w:tcBorders>
              <w:top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Ansi="宋体" w:cs="宋体"/>
                <w:sz w:val="24"/>
              </w:rPr>
            </w:pPr>
          </w:p>
        </w:tc>
        <w:tc>
          <w:tcPr>
            <w:tcW w:w="1220" w:type="dxa"/>
            <w:tcBorders>
              <w:top w:val="single" w:color="auto" w:sz="4" w:space="0"/>
              <w:left w:val="single" w:color="auto" w:sz="4" w:space="0"/>
              <w:bottom w:val="single" w:color="auto" w:sz="4" w:space="0"/>
            </w:tcBorders>
            <w:vAlign w:val="center"/>
          </w:tcPr>
          <w:p>
            <w:pPr>
              <w:spacing w:line="420" w:lineRule="exact"/>
              <w:jc w:val="center"/>
              <w:rPr>
                <w:rFonts w:hAnsi="宋体" w:cs="宋体"/>
                <w:sz w:val="24"/>
              </w:rPr>
            </w:pPr>
          </w:p>
        </w:tc>
      </w:tr>
    </w:tbl>
    <w:p>
      <w:pPr>
        <w:spacing w:line="420" w:lineRule="exact"/>
        <w:rPr>
          <w:rFonts w:hAnsi="宋体" w:cs="宋体"/>
          <w:sz w:val="24"/>
        </w:rPr>
      </w:pPr>
      <w:bookmarkStart w:id="211" w:name="_Toc217446108"/>
      <w:bookmarkStart w:id="212" w:name="_Toc27513_WPSOffice_Level2"/>
      <w:r>
        <w:rPr>
          <w:rFonts w:hint="eastAsia" w:hAnsi="宋体" w:cs="宋体"/>
          <w:sz w:val="24"/>
        </w:rPr>
        <w:t>二、合同总价</w:t>
      </w:r>
      <w:bookmarkEnd w:id="211"/>
      <w:bookmarkEnd w:id="212"/>
    </w:p>
    <w:p>
      <w:pPr>
        <w:pStyle w:val="9"/>
        <w:spacing w:line="420" w:lineRule="exact"/>
        <w:ind w:firstLine="0"/>
        <w:rPr>
          <w:rFonts w:hAnsi="宋体" w:cs="宋体"/>
          <w:sz w:val="24"/>
          <w:szCs w:val="24"/>
        </w:rPr>
      </w:pPr>
      <w:r>
        <w:rPr>
          <w:rFonts w:hint="eastAsia" w:hAnsi="宋体" w:cs="宋体"/>
          <w:sz w:val="24"/>
          <w:szCs w:val="24"/>
        </w:rPr>
        <w:t>合同总价为人民币大写：</w:t>
      </w:r>
      <w:r>
        <w:rPr>
          <w:rFonts w:hint="eastAsia" w:hAnsi="宋体" w:cs="宋体"/>
          <w:sz w:val="24"/>
          <w:szCs w:val="24"/>
          <w:u w:val="single"/>
        </w:rPr>
        <w:t xml:space="preserve">                </w:t>
      </w:r>
      <w:r>
        <w:rPr>
          <w:rFonts w:hint="eastAsia" w:hAnsi="宋体" w:cs="宋体"/>
          <w:sz w:val="24"/>
          <w:szCs w:val="24"/>
        </w:rPr>
        <w:t>元，即RMB￥</w:t>
      </w:r>
      <w:r>
        <w:rPr>
          <w:rFonts w:hint="eastAsia" w:hAnsi="宋体" w:cs="宋体"/>
          <w:sz w:val="24"/>
          <w:szCs w:val="24"/>
          <w:u w:val="single"/>
        </w:rPr>
        <w:t xml:space="preserve">        </w:t>
      </w:r>
      <w:r>
        <w:rPr>
          <w:rFonts w:hint="eastAsia" w:hAnsi="宋体" w:cs="宋体"/>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420" w:lineRule="exact"/>
        <w:rPr>
          <w:rFonts w:hAnsi="宋体" w:cs="宋体"/>
          <w:sz w:val="24"/>
        </w:rPr>
      </w:pPr>
      <w:bookmarkStart w:id="213" w:name="_Toc217446109"/>
      <w:bookmarkStart w:id="214" w:name="_Toc9280_WPSOffice_Level2"/>
      <w:r>
        <w:rPr>
          <w:rFonts w:hint="eastAsia" w:hAnsi="宋体" w:cs="宋体"/>
          <w:sz w:val="24"/>
        </w:rPr>
        <w:t>三、质量要求</w:t>
      </w:r>
      <w:bookmarkEnd w:id="213"/>
      <w:bookmarkEnd w:id="214"/>
    </w:p>
    <w:p>
      <w:pPr>
        <w:pStyle w:val="39"/>
        <w:spacing w:line="420" w:lineRule="exact"/>
        <w:ind w:firstLine="0" w:firstLineChars="0"/>
        <w:rPr>
          <w:rFonts w:hAnsi="宋体"/>
        </w:rPr>
      </w:pPr>
      <w:r>
        <w:rPr>
          <w:rFonts w:hint="eastAsia" w:hAnsi="宋体"/>
        </w:rPr>
        <w:t>1、乙方须提供全新的货物（含零部件、配件等），表面无划伤、无碰撞痕迹，且权属清楚，不得侵害他人的知识产权。</w:t>
      </w:r>
    </w:p>
    <w:p>
      <w:pPr>
        <w:pStyle w:val="39"/>
        <w:spacing w:line="420" w:lineRule="exact"/>
        <w:ind w:firstLine="0" w:firstLineChars="0"/>
        <w:rPr>
          <w:rFonts w:hAnsi="宋体"/>
        </w:rPr>
      </w:pPr>
      <w:r>
        <w:rPr>
          <w:rFonts w:hint="eastAsia" w:hAnsi="宋体"/>
        </w:rPr>
        <w:t>2、货物必须符合或优于国家（行业）</w:t>
      </w:r>
      <w:r>
        <w:rPr>
          <w:rFonts w:hint="eastAsia" w:hAnsi="宋体"/>
          <w:u w:val="single"/>
        </w:rPr>
        <w:t xml:space="preserve">          </w:t>
      </w:r>
      <w:r>
        <w:rPr>
          <w:rFonts w:hint="eastAsia" w:hAnsi="宋体"/>
        </w:rPr>
        <w:t>标准，以及本项目招标文件的质量要求和技术指标与出厂标准。</w:t>
      </w:r>
    </w:p>
    <w:p>
      <w:pPr>
        <w:pStyle w:val="39"/>
        <w:spacing w:line="420" w:lineRule="exact"/>
        <w:ind w:firstLine="0" w:firstLineChars="0"/>
        <w:rPr>
          <w:rFonts w:hAnsi="宋体"/>
        </w:rPr>
      </w:pPr>
      <w:r>
        <w:rPr>
          <w:rFonts w:hint="eastAsia" w:hAnsi="宋体"/>
        </w:rPr>
        <w:t>3、乙方须在本合同签订之日起</w:t>
      </w:r>
      <w:r>
        <w:rPr>
          <w:rFonts w:hint="eastAsia" w:hAnsi="宋体"/>
          <w:u w:val="single"/>
        </w:rPr>
        <w:t xml:space="preserve">   </w:t>
      </w:r>
      <w:r>
        <w:rPr>
          <w:rFonts w:hint="eastAsia" w:hAnsi="宋体"/>
        </w:rPr>
        <w:t>日内送交货物成品样品给甲方确认，在甲方出具样品确认书并封存成品样品外观尺寸后，乙方才能按样生产，并以此样品作为验收样品；每台货物上均应有产品质量检验合格标志。</w:t>
      </w:r>
    </w:p>
    <w:p>
      <w:pPr>
        <w:pStyle w:val="39"/>
        <w:spacing w:line="420" w:lineRule="exact"/>
        <w:ind w:firstLine="0" w:firstLineChars="0"/>
        <w:rPr>
          <w:rFonts w:hAnsi="宋体"/>
        </w:rPr>
      </w:pPr>
      <w:r>
        <w:rPr>
          <w:rFonts w:hint="eastAsia" w:hAnsi="宋体"/>
        </w:rPr>
        <w:t>4、货物制造质量出现问题，乙方应负责三包（包修、包换、包退），费用由乙方负担，甲方有权到乙方生产场地检查货物质量和生产进度。</w:t>
      </w:r>
    </w:p>
    <w:p>
      <w:pPr>
        <w:pStyle w:val="39"/>
        <w:spacing w:line="420" w:lineRule="exact"/>
        <w:ind w:firstLine="0" w:firstLineChars="0"/>
        <w:rPr>
          <w:rFonts w:hAnsi="宋体"/>
        </w:rPr>
      </w:pPr>
      <w:r>
        <w:rPr>
          <w:rFonts w:hint="eastAsia" w:hAnsi="宋体"/>
        </w:rPr>
        <w:t>5、货到现场后由于甲方保管不当造成的质量问题，乙方亦应负责修理，但费用由甲方负担。</w:t>
      </w:r>
    </w:p>
    <w:p>
      <w:pPr>
        <w:spacing w:line="420" w:lineRule="exact"/>
        <w:rPr>
          <w:rFonts w:hAnsi="宋体" w:cs="宋体"/>
          <w:sz w:val="24"/>
        </w:rPr>
      </w:pPr>
      <w:bookmarkStart w:id="215" w:name="_Toc8391_WPSOffice_Level2"/>
      <w:bookmarkStart w:id="216" w:name="_Toc217446110"/>
      <w:r>
        <w:rPr>
          <w:rFonts w:hint="eastAsia" w:hAnsi="宋体" w:cs="宋体"/>
          <w:sz w:val="24"/>
        </w:rPr>
        <w:t>四、交货及验收</w:t>
      </w:r>
      <w:bookmarkEnd w:id="215"/>
      <w:bookmarkEnd w:id="216"/>
    </w:p>
    <w:p>
      <w:pPr>
        <w:pStyle w:val="39"/>
        <w:spacing w:line="420" w:lineRule="exact"/>
        <w:ind w:firstLine="0" w:firstLineChars="0"/>
        <w:rPr>
          <w:rFonts w:hAnsi="宋体"/>
        </w:rPr>
      </w:pPr>
      <w:bookmarkStart w:id="217" w:name="_Toc217446111"/>
      <w:bookmarkStart w:id="218" w:name="_Toc5843_WPSOffice_Level2"/>
      <w:r>
        <w:rPr>
          <w:rFonts w:hint="eastAsia"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招标人的原因造成合同延迟签订或验收的，时间顺延)。交货验收时须提供产品质检部门从同类产品中抽样检查合格的检测报告。</w:t>
      </w:r>
    </w:p>
    <w:p>
      <w:pPr>
        <w:pStyle w:val="39"/>
        <w:spacing w:line="420" w:lineRule="exact"/>
        <w:ind w:firstLine="0" w:firstLineChars="0"/>
        <w:rPr>
          <w:rFonts w:hAnsi="宋体"/>
        </w:rPr>
      </w:pPr>
      <w:r>
        <w:rPr>
          <w:rFonts w:hint="eastAsia" w:hAnsi="宋体"/>
        </w:rPr>
        <w:t>2、验收由甲方组织，乙方配合进行：</w:t>
      </w:r>
    </w:p>
    <w:p>
      <w:pPr>
        <w:pStyle w:val="39"/>
        <w:spacing w:line="420" w:lineRule="exact"/>
        <w:ind w:firstLine="0" w:firstLineChars="0"/>
        <w:rPr>
          <w:rFonts w:hAnsi="宋体"/>
        </w:rPr>
      </w:pPr>
      <w:r>
        <w:rPr>
          <w:rFonts w:hint="eastAsia" w:hAnsi="宋体"/>
        </w:rPr>
        <w:t>(1) 货物在乙方通知安装调试完毕后</w:t>
      </w:r>
      <w:r>
        <w:rPr>
          <w:rFonts w:hint="eastAsia" w:hAnsi="宋体"/>
          <w:u w:val="single"/>
        </w:rPr>
        <w:t xml:space="preserve">    </w:t>
      </w:r>
      <w:r>
        <w:rPr>
          <w:rFonts w:hint="eastAsia" w:hAnsi="宋体"/>
        </w:rPr>
        <w:t>日内初步验收。初步验收合格后，进入</w:t>
      </w:r>
      <w:r>
        <w:rPr>
          <w:rFonts w:hint="eastAsia" w:hAnsi="宋体"/>
          <w:u w:val="single"/>
        </w:rPr>
        <w:t xml:space="preserve">    </w:t>
      </w:r>
      <w:r>
        <w:rPr>
          <w:rFonts w:hint="eastAsia" w:hAnsi="宋体"/>
        </w:rPr>
        <w:t>试用期；试用期间发生重大质量问题，修复后试用相应顺延；试用期结束后</w:t>
      </w:r>
      <w:r>
        <w:rPr>
          <w:rFonts w:hint="eastAsia" w:hAnsi="宋体"/>
          <w:u w:val="single"/>
        </w:rPr>
        <w:t xml:space="preserve">    </w:t>
      </w:r>
      <w:r>
        <w:rPr>
          <w:rFonts w:hint="eastAsia" w:hAnsi="宋体"/>
        </w:rPr>
        <w:t>日内完成最终验收；</w:t>
      </w:r>
    </w:p>
    <w:p>
      <w:pPr>
        <w:pStyle w:val="39"/>
        <w:spacing w:line="420" w:lineRule="exact"/>
        <w:ind w:firstLine="0" w:firstLineChars="0"/>
        <w:rPr>
          <w:rFonts w:hAnsi="宋体"/>
        </w:rPr>
      </w:pPr>
      <w:r>
        <w:rPr>
          <w:rFonts w:hint="eastAsia"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采购与投标文件中按质量要求和技术指标比较优胜的原则确定该项的约定标准进行验收；</w:t>
      </w:r>
    </w:p>
    <w:p>
      <w:pPr>
        <w:pStyle w:val="39"/>
        <w:spacing w:line="420" w:lineRule="exact"/>
        <w:ind w:firstLine="0" w:firstLineChars="0"/>
        <w:rPr>
          <w:rFonts w:hAnsi="宋体"/>
        </w:rPr>
      </w:pPr>
      <w:r>
        <w:rPr>
          <w:rFonts w:hint="eastAsia"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9"/>
        <w:spacing w:line="420" w:lineRule="exact"/>
        <w:ind w:firstLine="0" w:firstLineChars="0"/>
        <w:rPr>
          <w:rFonts w:hAnsi="宋体"/>
        </w:rPr>
      </w:pPr>
      <w:r>
        <w:rPr>
          <w:rFonts w:hint="eastAsia" w:hAnsi="宋体"/>
        </w:rPr>
        <w:t>(4) 如质量验收合格，双方签署质量验收报告。</w:t>
      </w:r>
    </w:p>
    <w:p>
      <w:pPr>
        <w:pStyle w:val="39"/>
        <w:spacing w:line="420" w:lineRule="exact"/>
        <w:ind w:firstLine="0" w:firstLineChars="0"/>
        <w:rPr>
          <w:rFonts w:hAnsi="宋体"/>
        </w:rPr>
      </w:pPr>
      <w:r>
        <w:rPr>
          <w:rFonts w:hint="eastAsia" w:hAnsi="宋体"/>
        </w:rPr>
        <w:t>3、货物安装完成后</w:t>
      </w:r>
      <w:r>
        <w:rPr>
          <w:rFonts w:hint="eastAsia" w:hAnsi="宋体"/>
          <w:u w:val="single"/>
        </w:rPr>
        <w:t xml:space="preserve">    </w:t>
      </w:r>
      <w:r>
        <w:rPr>
          <w:rFonts w:hint="eastAsia" w:hAnsi="宋体"/>
        </w:rPr>
        <w:t>日内，甲方无故不进行验收工作并已使用货物的，视同已安装调试完成并验收合格。</w:t>
      </w:r>
    </w:p>
    <w:p>
      <w:pPr>
        <w:pStyle w:val="39"/>
        <w:spacing w:line="420" w:lineRule="exact"/>
        <w:ind w:firstLine="0" w:firstLineChars="0"/>
        <w:rPr>
          <w:rFonts w:hAnsi="宋体"/>
        </w:rPr>
      </w:pPr>
      <w:r>
        <w:rPr>
          <w:rFonts w:hint="eastAsia"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39"/>
        <w:spacing w:line="420" w:lineRule="exact"/>
        <w:ind w:firstLine="0" w:firstLineChars="0"/>
        <w:rPr>
          <w:rFonts w:hAnsi="宋体"/>
        </w:rPr>
      </w:pPr>
      <w:r>
        <w:rPr>
          <w:rFonts w:hint="eastAsia" w:hAnsi="宋体"/>
        </w:rPr>
        <w:t>5、如货物经乙方</w:t>
      </w:r>
      <w:r>
        <w:rPr>
          <w:rFonts w:hint="eastAsia" w:hAnsi="宋体"/>
          <w:u w:val="single"/>
        </w:rPr>
        <w:t xml:space="preserve">   </w:t>
      </w:r>
      <w:r>
        <w:rPr>
          <w:rFonts w:hint="eastAsia" w:hAnsi="宋体"/>
        </w:rPr>
        <w:t>次维修仍不能达到合同约定的质量标准，甲方有权退货，并视作乙方不能交付货物而须支付违约赔偿金给甲方，甲方还可依法追究乙方的违约责任。 </w:t>
      </w:r>
    </w:p>
    <w:p>
      <w:pPr>
        <w:pStyle w:val="39"/>
        <w:spacing w:line="420" w:lineRule="exact"/>
        <w:ind w:firstLine="0" w:firstLineChars="0"/>
        <w:rPr>
          <w:rFonts w:hAnsi="宋体"/>
        </w:rPr>
      </w:pPr>
      <w:r>
        <w:rPr>
          <w:rFonts w:hint="eastAsia" w:hAnsi="宋体"/>
        </w:rPr>
        <w:t>6、其他未尽事宜应严格按照《西藏自治区政府采购履约验收管理办法》的要求进行。</w:t>
      </w:r>
    </w:p>
    <w:p>
      <w:pPr>
        <w:spacing w:line="420" w:lineRule="exact"/>
        <w:rPr>
          <w:rFonts w:hAnsi="宋体" w:cs="宋体"/>
          <w:sz w:val="24"/>
        </w:rPr>
      </w:pPr>
      <w:r>
        <w:rPr>
          <w:rFonts w:hint="eastAsia" w:hAnsi="宋体" w:cs="宋体"/>
          <w:sz w:val="24"/>
        </w:rPr>
        <w:t>五、付款方式</w:t>
      </w:r>
      <w:bookmarkEnd w:id="217"/>
      <w:bookmarkEnd w:id="218"/>
    </w:p>
    <w:p>
      <w:pPr>
        <w:pStyle w:val="39"/>
        <w:spacing w:line="420" w:lineRule="exact"/>
        <w:ind w:firstLine="0" w:firstLineChars="0"/>
        <w:rPr>
          <w:rFonts w:hAnsi="宋体"/>
        </w:rPr>
      </w:pPr>
      <w:bookmarkStart w:id="219" w:name="_Toc217446112"/>
      <w:bookmarkStart w:id="220" w:name="_Toc4410_WPSOffice_Level2"/>
      <w:r>
        <w:rPr>
          <w:rFonts w:hint="eastAsia" w:hAnsi="宋体"/>
        </w:rPr>
        <w:t>1、甲方在本合同签订生效之日起接到乙方通知和票据凭证资料以及乙方交给甲方的合同履约保证金（按合同总价的百分之</w:t>
      </w:r>
      <w:r>
        <w:rPr>
          <w:rFonts w:hint="eastAsia" w:hAnsi="宋体"/>
          <w:u w:val="single"/>
        </w:rPr>
        <w:t xml:space="preserve">  </w:t>
      </w:r>
      <w:r>
        <w:rPr>
          <w:rFonts w:hint="eastAsia" w:hAnsi="宋体"/>
        </w:rPr>
        <w:t>计算款额￥</w:t>
      </w:r>
      <w:r>
        <w:rPr>
          <w:rFonts w:hint="eastAsia" w:hAnsi="宋体"/>
          <w:u w:val="single"/>
        </w:rPr>
        <w:t xml:space="preserve">             </w:t>
      </w:r>
      <w:r>
        <w:rPr>
          <w:rFonts w:hint="eastAsia" w:hAnsi="宋体"/>
        </w:rPr>
        <w:t>元，人民币大写：</w:t>
      </w:r>
      <w:r>
        <w:rPr>
          <w:rFonts w:hint="eastAsia" w:hAnsi="宋体"/>
          <w:u w:val="single"/>
        </w:rPr>
        <w:t xml:space="preserve">                            </w:t>
      </w:r>
      <w:r>
        <w:rPr>
          <w:rFonts w:hint="eastAsia" w:hAnsi="宋体"/>
        </w:rPr>
        <w:t>元整）后的</w:t>
      </w:r>
      <w:r>
        <w:rPr>
          <w:rFonts w:hint="eastAsia" w:hAnsi="宋体"/>
          <w:u w:val="single"/>
        </w:rPr>
        <w:t xml:space="preserve">    </w:t>
      </w:r>
      <w:r>
        <w:rPr>
          <w:rFonts w:hint="eastAsia" w:hAnsi="宋体"/>
        </w:rPr>
        <w:t>日内支付合同金额百分之</w:t>
      </w:r>
      <w:r>
        <w:rPr>
          <w:rFonts w:hint="eastAsia" w:hAnsi="宋体"/>
          <w:u w:val="single"/>
        </w:rPr>
        <w:t xml:space="preserve">      </w:t>
      </w:r>
      <w:r>
        <w:rPr>
          <w:rFonts w:hint="eastAsia" w:hAnsi="宋体"/>
        </w:rPr>
        <w:t>的价款；</w:t>
      </w:r>
    </w:p>
    <w:p>
      <w:pPr>
        <w:pStyle w:val="39"/>
        <w:spacing w:line="420" w:lineRule="exact"/>
        <w:ind w:firstLine="0" w:firstLineChars="0"/>
        <w:rPr>
          <w:rFonts w:hAnsi="宋体"/>
        </w:rPr>
      </w:pPr>
      <w:r>
        <w:rPr>
          <w:rFonts w:hint="eastAsia" w:hAnsi="宋体"/>
        </w:rPr>
        <w:t>2、全部货物安装调试完毕并验收合格之日起，甲方接到乙方通知与票据凭证资料以后的</w:t>
      </w:r>
      <w:r>
        <w:rPr>
          <w:rFonts w:hint="eastAsia" w:hAnsi="宋体"/>
          <w:u w:val="single"/>
        </w:rPr>
        <w:t xml:space="preserve">      </w:t>
      </w:r>
      <w:r>
        <w:rPr>
          <w:rFonts w:hint="eastAsia" w:hAnsi="宋体"/>
        </w:rPr>
        <w:t>日内，提交支付凭证资料给</w:t>
      </w:r>
      <w:r>
        <w:rPr>
          <w:rFonts w:hint="eastAsia" w:hAnsi="宋体"/>
          <w:u w:val="single"/>
        </w:rPr>
        <w:t xml:space="preserve">       </w:t>
      </w:r>
      <w:r>
        <w:rPr>
          <w:rFonts w:hint="eastAsia" w:hAnsi="宋体"/>
        </w:rPr>
        <w:t>财政国库支付执行机构办理财政国库支付手续，并由其向乙方核拨合同总价的百分之</w:t>
      </w:r>
      <w:r>
        <w:rPr>
          <w:rFonts w:hint="eastAsia" w:hAnsi="宋体"/>
          <w:u w:val="single"/>
        </w:rPr>
        <w:t xml:space="preserve">   </w:t>
      </w:r>
      <w:r>
        <w:rPr>
          <w:rFonts w:hint="eastAsia" w:hAnsi="宋体"/>
        </w:rPr>
        <w:t>款项：￥</w:t>
      </w:r>
      <w:r>
        <w:rPr>
          <w:rFonts w:hint="eastAsia" w:hAnsi="宋体"/>
          <w:u w:val="single"/>
        </w:rPr>
        <w:t xml:space="preserve">     </w:t>
      </w:r>
      <w:r>
        <w:rPr>
          <w:rFonts w:hint="eastAsia" w:hAnsi="宋体"/>
        </w:rPr>
        <w:t>元，人民币大写</w:t>
      </w:r>
      <w:r>
        <w:rPr>
          <w:rFonts w:hint="eastAsia" w:hAnsi="宋体"/>
          <w:u w:val="single"/>
        </w:rPr>
        <w:t xml:space="preserve">    </w:t>
      </w:r>
      <w:r>
        <w:rPr>
          <w:rFonts w:hint="eastAsia" w:hAnsi="宋体"/>
        </w:rPr>
        <w:t>元整；</w:t>
      </w:r>
    </w:p>
    <w:p>
      <w:pPr>
        <w:pStyle w:val="39"/>
        <w:spacing w:line="420" w:lineRule="exact"/>
        <w:ind w:firstLine="0" w:firstLineChars="0"/>
        <w:rPr>
          <w:rFonts w:hAnsi="宋体"/>
        </w:rPr>
      </w:pPr>
      <w:r>
        <w:rPr>
          <w:rFonts w:hint="eastAsia" w:hAnsi="宋体"/>
        </w:rPr>
        <w:t>3、合同履约保证金：在货物验收合格满</w:t>
      </w:r>
      <w:r>
        <w:rPr>
          <w:rFonts w:hint="eastAsia" w:hAnsi="宋体"/>
          <w:u w:val="single"/>
        </w:rPr>
        <w:t xml:space="preserve">    </w:t>
      </w:r>
      <w:r>
        <w:rPr>
          <w:rFonts w:hint="eastAsia" w:hAnsi="宋体"/>
        </w:rPr>
        <w:t>后，甲方财务部门接到乙方通知和支付凭证资料文件，以及由甲方确认本合同货物质量与服务等约定事项已经履行完毕的正式书面文件后的</w:t>
      </w:r>
      <w:r>
        <w:rPr>
          <w:rFonts w:hint="eastAsia" w:hAnsi="宋体"/>
          <w:u w:val="single"/>
        </w:rPr>
        <w:t xml:space="preserve">     </w:t>
      </w:r>
      <w:r>
        <w:rPr>
          <w:rFonts w:hint="eastAsia" w:hAnsi="宋体"/>
        </w:rPr>
        <w:t>日内，递交结算凭证资料给银行并由其向乙方支付价款￥</w:t>
      </w:r>
      <w:r>
        <w:rPr>
          <w:rFonts w:hint="eastAsia" w:hAnsi="宋体"/>
          <w:u w:val="single"/>
        </w:rPr>
        <w:t xml:space="preserve">      </w:t>
      </w:r>
      <w:r>
        <w:rPr>
          <w:rFonts w:hint="eastAsia" w:hAnsi="宋体"/>
        </w:rPr>
        <w:t>元，人民币大写：</w:t>
      </w:r>
      <w:r>
        <w:rPr>
          <w:rFonts w:hint="eastAsia" w:hAnsi="宋体"/>
          <w:u w:val="single"/>
        </w:rPr>
        <w:t xml:space="preserve">              </w:t>
      </w:r>
      <w:r>
        <w:rPr>
          <w:rFonts w:hint="eastAsia" w:hAnsi="宋体"/>
        </w:rPr>
        <w:t>元整；</w:t>
      </w:r>
    </w:p>
    <w:p>
      <w:pPr>
        <w:pStyle w:val="39"/>
        <w:spacing w:line="420" w:lineRule="exact"/>
        <w:ind w:firstLine="0" w:firstLineChars="0"/>
        <w:rPr>
          <w:rFonts w:hAnsi="宋体"/>
        </w:rPr>
      </w:pPr>
      <w:r>
        <w:rPr>
          <w:rFonts w:hint="eastAsia" w:hAnsi="宋体"/>
        </w:rPr>
        <w:t>4、乙方须向甲方出具合法有效完整的完税发票及凭证资料进行支付结算。</w:t>
      </w:r>
    </w:p>
    <w:p>
      <w:pPr>
        <w:spacing w:line="420" w:lineRule="exact"/>
        <w:rPr>
          <w:rFonts w:hAnsi="宋体" w:cs="宋体"/>
          <w:sz w:val="24"/>
        </w:rPr>
      </w:pPr>
      <w:r>
        <w:rPr>
          <w:rFonts w:hint="eastAsia" w:hAnsi="宋体" w:cs="宋体"/>
          <w:sz w:val="24"/>
        </w:rPr>
        <w:t>六、售后服务</w:t>
      </w:r>
      <w:bookmarkEnd w:id="219"/>
      <w:bookmarkEnd w:id="220"/>
    </w:p>
    <w:p>
      <w:pPr>
        <w:pStyle w:val="39"/>
        <w:spacing w:line="420" w:lineRule="exact"/>
        <w:ind w:firstLine="0" w:firstLineChars="0"/>
        <w:rPr>
          <w:rFonts w:hAnsi="宋体"/>
        </w:rPr>
      </w:pPr>
      <w:r>
        <w:rPr>
          <w:rFonts w:hint="eastAsia" w:hAnsi="宋体"/>
        </w:rPr>
        <w:t>1、质保期为验收合格后XX年，质保期内出现质量问题，乙方在接到通知后</w:t>
      </w:r>
      <w:r>
        <w:rPr>
          <w:rFonts w:hint="eastAsia" w:hAnsi="宋体"/>
          <w:u w:val="single"/>
        </w:rPr>
        <w:t xml:space="preserve">   </w:t>
      </w:r>
      <w:r>
        <w:rPr>
          <w:rFonts w:hint="eastAsia" w:hAnsi="宋体"/>
        </w:rPr>
        <w:t>小时内响应到场，</w:t>
      </w:r>
      <w:r>
        <w:rPr>
          <w:rFonts w:hint="eastAsia" w:hAnsi="宋体"/>
          <w:u w:val="single"/>
        </w:rPr>
        <w:t xml:space="preserve">    </w:t>
      </w:r>
      <w:r>
        <w:rPr>
          <w:rFonts w:hint="eastAsia" w:hAnsi="宋体"/>
        </w:rPr>
        <w:t>小时内完成维修或更换，并承担修理调换的费用；如货物经乙方</w:t>
      </w:r>
      <w:r>
        <w:rPr>
          <w:rFonts w:hint="eastAsia" w:hAnsi="宋体"/>
          <w:u w:val="single"/>
        </w:rPr>
        <w:t xml:space="preserve">   </w:t>
      </w:r>
      <w:r>
        <w:rPr>
          <w:rFonts w:hint="eastAsia" w:hAnsi="宋体"/>
        </w:rPr>
        <w:t>次维修仍不能达到本合同约定的质量标准，视作乙方未能按时交货，甲方有权退货并追究乙方的违约责任。货到现场后由于甲方保管不当造成的问题，乙方亦应负责修复，但费用由甲方负担。</w:t>
      </w:r>
    </w:p>
    <w:p>
      <w:pPr>
        <w:pStyle w:val="39"/>
        <w:spacing w:line="420" w:lineRule="exact"/>
        <w:ind w:firstLine="0" w:firstLineChars="0"/>
        <w:rPr>
          <w:rFonts w:hAnsi="宋体"/>
        </w:rPr>
      </w:pPr>
      <w:r>
        <w:rPr>
          <w:rFonts w:hint="eastAsia" w:hAnsi="宋体"/>
        </w:rPr>
        <w:t>2、乙方须指派专人负责与甲方联系售后服务事宜。 </w:t>
      </w:r>
    </w:p>
    <w:p>
      <w:pPr>
        <w:spacing w:line="420" w:lineRule="exact"/>
        <w:rPr>
          <w:rFonts w:hAnsi="宋体" w:cs="宋体"/>
          <w:sz w:val="24"/>
        </w:rPr>
      </w:pPr>
      <w:bookmarkStart w:id="221" w:name="_Toc217446113"/>
      <w:bookmarkStart w:id="222" w:name="_Toc28175_WPSOffice_Level2"/>
      <w:r>
        <w:rPr>
          <w:rFonts w:hint="eastAsia" w:hAnsi="宋体" w:cs="宋体"/>
          <w:sz w:val="24"/>
        </w:rPr>
        <w:t>七、违约责任</w:t>
      </w:r>
      <w:bookmarkEnd w:id="221"/>
      <w:bookmarkEnd w:id="222"/>
    </w:p>
    <w:p>
      <w:pPr>
        <w:pStyle w:val="39"/>
        <w:spacing w:line="420" w:lineRule="exact"/>
        <w:ind w:firstLine="0" w:firstLineChars="0"/>
        <w:rPr>
          <w:rFonts w:hAnsi="宋体"/>
        </w:rPr>
      </w:pPr>
      <w:r>
        <w:rPr>
          <w:rFonts w:hint="eastAsia" w:hAnsi="宋体"/>
        </w:rPr>
        <w:t>1、甲方违约责任</w:t>
      </w:r>
    </w:p>
    <w:p>
      <w:pPr>
        <w:pStyle w:val="39"/>
        <w:spacing w:line="420" w:lineRule="exact"/>
        <w:ind w:firstLine="0" w:firstLineChars="0"/>
        <w:rPr>
          <w:rFonts w:hAnsi="宋体"/>
        </w:rPr>
      </w:pPr>
      <w:r>
        <w:rPr>
          <w:rFonts w:hint="eastAsia" w:hAnsi="宋体"/>
        </w:rPr>
        <w:t>（1） 甲方无正当理由拒收货物的，甲方应偿付合同总价百分之</w:t>
      </w:r>
      <w:r>
        <w:rPr>
          <w:rFonts w:hint="eastAsia" w:hAnsi="宋体"/>
          <w:u w:val="single"/>
        </w:rPr>
        <w:t xml:space="preserve"> 　 </w:t>
      </w:r>
      <w:r>
        <w:rPr>
          <w:rFonts w:hint="eastAsia" w:hAnsi="宋体"/>
        </w:rPr>
        <w:t>的违约金；</w:t>
      </w:r>
    </w:p>
    <w:p>
      <w:pPr>
        <w:pStyle w:val="39"/>
        <w:spacing w:line="420" w:lineRule="exact"/>
        <w:ind w:firstLine="0" w:firstLineChars="0"/>
        <w:rPr>
          <w:rFonts w:hAnsi="宋体"/>
        </w:rPr>
      </w:pPr>
      <w:r>
        <w:rPr>
          <w:rFonts w:hint="eastAsia" w:hAnsi="宋体"/>
        </w:rPr>
        <w:t>（2） 甲方逾期支付货款的，除应及时付足货款外，应向乙方偿付欠款总额万分之</w:t>
      </w:r>
      <w:r>
        <w:rPr>
          <w:rFonts w:hint="eastAsia" w:hAnsi="宋体"/>
          <w:u w:val="single"/>
        </w:rPr>
        <w:t xml:space="preserve">  </w:t>
      </w:r>
      <w:r>
        <w:rPr>
          <w:rFonts w:hint="eastAsia" w:hAnsi="宋体"/>
        </w:rPr>
        <w:t xml:space="preserve"> /天的违约金；逾期付款超过</w:t>
      </w:r>
      <w:r>
        <w:rPr>
          <w:rFonts w:hint="eastAsia" w:hAnsi="宋体"/>
          <w:u w:val="single"/>
        </w:rPr>
        <w:t xml:space="preserve"> 　 </w:t>
      </w:r>
      <w:r>
        <w:rPr>
          <w:rFonts w:hint="eastAsia" w:hAnsi="宋体"/>
        </w:rPr>
        <w:t>天的，乙方有权终止合同；</w:t>
      </w:r>
    </w:p>
    <w:p>
      <w:pPr>
        <w:pStyle w:val="39"/>
        <w:spacing w:line="420" w:lineRule="exact"/>
        <w:ind w:firstLine="0" w:firstLineChars="0"/>
        <w:rPr>
          <w:rFonts w:hAnsi="宋体"/>
        </w:rPr>
      </w:pPr>
      <w:r>
        <w:rPr>
          <w:rFonts w:hint="eastAsia" w:hAnsi="宋体"/>
        </w:rPr>
        <w:t>（3） 甲方偿付的违约金不足以弥补乙方损失的，还应按乙方损失尚未弥补的部分，支付赔偿金给乙方。</w:t>
      </w:r>
    </w:p>
    <w:p>
      <w:pPr>
        <w:pStyle w:val="39"/>
        <w:spacing w:line="420" w:lineRule="exact"/>
        <w:ind w:firstLine="0" w:firstLineChars="0"/>
        <w:rPr>
          <w:rFonts w:hAnsi="宋体"/>
        </w:rPr>
      </w:pPr>
      <w:r>
        <w:rPr>
          <w:rFonts w:hint="eastAsia" w:hAnsi="宋体"/>
        </w:rPr>
        <w:t>2、乙方违约责任</w:t>
      </w:r>
    </w:p>
    <w:p>
      <w:pPr>
        <w:pStyle w:val="39"/>
        <w:spacing w:line="420" w:lineRule="exact"/>
        <w:ind w:firstLine="0" w:firstLineChars="0"/>
        <w:rPr>
          <w:rFonts w:hAnsi="宋体"/>
        </w:rPr>
      </w:pPr>
      <w:r>
        <w:rPr>
          <w:rFonts w:hint="eastAsia" w:hAnsi="宋体"/>
        </w:rPr>
        <w:t>（1）乙方交付的货物质量不符合合同规定的，乙方应向甲方支付合同总价的百分之</w:t>
      </w:r>
      <w:r>
        <w:rPr>
          <w:rFonts w:hint="eastAsia" w:hAnsi="宋体"/>
          <w:u w:val="single"/>
        </w:rPr>
        <w:t xml:space="preserve">  </w:t>
      </w:r>
      <w:r>
        <w:rPr>
          <w:rFonts w:hint="eastAsia" w:hAnsi="宋体"/>
        </w:rPr>
        <w:t>的违约金，并须在合同规定的交货时间内更换合格的货物给甲方，否则，视作乙方不能交付货物而违约，按本条本款下述第“（2）”项规定由乙方偿付违约赔偿金给甲方。</w:t>
      </w:r>
    </w:p>
    <w:p>
      <w:pPr>
        <w:pStyle w:val="39"/>
        <w:spacing w:line="420" w:lineRule="exact"/>
        <w:ind w:firstLine="0" w:firstLineChars="0"/>
        <w:rPr>
          <w:rFonts w:hAnsi="宋体"/>
        </w:rPr>
      </w:pPr>
      <w:r>
        <w:rPr>
          <w:rFonts w:hint="eastAsia" w:hAnsi="宋体"/>
        </w:rPr>
        <w:t>（2）乙方不能交付货物或逾期交付货物而违约的，除应及时交足货物外，应向甲方偿付逾期交货部分货款总额的万分之</w:t>
      </w:r>
      <w:r>
        <w:rPr>
          <w:rFonts w:hint="eastAsia" w:hAnsi="宋体"/>
          <w:u w:val="single"/>
        </w:rPr>
        <w:t xml:space="preserve"> 　 </w:t>
      </w:r>
      <w:r>
        <w:rPr>
          <w:rFonts w:hint="eastAsia" w:hAnsi="宋体"/>
        </w:rPr>
        <w:t xml:space="preserve"> /天的违约金；逾期交货超过XX天，甲方有权终止合同，乙方则应按合同总价的百分之</w:t>
      </w:r>
      <w:r>
        <w:rPr>
          <w:rFonts w:hint="eastAsia" w:hAnsi="宋体"/>
          <w:u w:val="single"/>
        </w:rPr>
        <w:t xml:space="preserve"> 　 </w:t>
      </w:r>
      <w:r>
        <w:rPr>
          <w:rFonts w:hint="eastAsia" w:hAnsi="宋体"/>
        </w:rPr>
        <w:t>的款额向甲方偿付赔偿金，并须全额退还甲方已经付给乙方的货款及其利息。</w:t>
      </w:r>
    </w:p>
    <w:p>
      <w:pPr>
        <w:pStyle w:val="39"/>
        <w:spacing w:line="420" w:lineRule="exact"/>
        <w:ind w:firstLine="0" w:firstLineChars="0"/>
        <w:rPr>
          <w:rFonts w:hAnsi="宋体"/>
        </w:rPr>
      </w:pPr>
      <w:r>
        <w:rPr>
          <w:rFonts w:hint="eastAsia" w:hAnsi="宋体"/>
        </w:rPr>
        <w:t>（3）乙方货物经甲方送交具有法定资格条件的质量技术监督机构检测后，如检测结果认定货物质量不符合本合同规定标准的，则视为乙方没有按时交货而违约，乙方须在</w:t>
      </w:r>
      <w:r>
        <w:rPr>
          <w:rFonts w:hint="eastAsia" w:hAnsi="宋体"/>
          <w:u w:val="single"/>
        </w:rPr>
        <w:t xml:space="preserve">   </w:t>
      </w:r>
      <w:r>
        <w:rPr>
          <w:rFonts w:hint="eastAsia" w:hAnsi="宋体"/>
        </w:rPr>
        <w:t>天内无条件更换合格的货物，如逾期不能更换合格的货物，甲方有权终止本合同，乙方应另付合同总价的百分之</w:t>
      </w:r>
      <w:r>
        <w:rPr>
          <w:rFonts w:hint="eastAsia" w:hAnsi="宋体"/>
          <w:u w:val="single"/>
        </w:rPr>
        <w:t xml:space="preserve">  　 </w:t>
      </w:r>
      <w:r>
        <w:rPr>
          <w:rFonts w:hint="eastAsia" w:hAnsi="宋体"/>
        </w:rPr>
        <w:t>的赔偿金给甲方。</w:t>
      </w:r>
    </w:p>
    <w:p>
      <w:pPr>
        <w:pStyle w:val="39"/>
        <w:spacing w:line="420" w:lineRule="exact"/>
        <w:ind w:firstLine="0" w:firstLineChars="0"/>
        <w:rPr>
          <w:rFonts w:hAnsi="宋体"/>
        </w:rPr>
      </w:pPr>
      <w:r>
        <w:rPr>
          <w:rFonts w:hint="eastAsia"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hAnsi="宋体"/>
          <w:u w:val="single"/>
        </w:rPr>
        <w:t xml:space="preserve">   </w:t>
      </w:r>
      <w:r>
        <w:rPr>
          <w:rFonts w:hint="eastAsia" w:hAnsi="宋体"/>
        </w:rPr>
        <w:t>向甲方支付违约金并赔偿因此给甲方造成的一切损失。</w:t>
      </w:r>
    </w:p>
    <w:p>
      <w:pPr>
        <w:pStyle w:val="39"/>
        <w:spacing w:line="420" w:lineRule="exact"/>
        <w:ind w:firstLine="0" w:firstLineChars="0"/>
        <w:rPr>
          <w:rFonts w:hAnsi="宋体"/>
        </w:rPr>
      </w:pPr>
      <w:r>
        <w:rPr>
          <w:rFonts w:hint="eastAsia" w:hAnsi="宋体"/>
        </w:rPr>
        <w:t>（5）乙方偿付的违约金不足以弥补甲方损失的，还应按甲方损失尚未弥补的部分，支付赔偿金给甲方。</w:t>
      </w:r>
    </w:p>
    <w:p>
      <w:pPr>
        <w:spacing w:line="420" w:lineRule="exact"/>
        <w:rPr>
          <w:rFonts w:hAnsi="宋体" w:cs="宋体"/>
          <w:sz w:val="24"/>
        </w:rPr>
      </w:pPr>
      <w:bookmarkStart w:id="223" w:name="_Toc217446114"/>
      <w:bookmarkStart w:id="224" w:name="_Toc3683_WPSOffice_Level2"/>
      <w:r>
        <w:rPr>
          <w:rFonts w:hint="eastAsia" w:hAnsi="宋体" w:cs="宋体"/>
          <w:sz w:val="24"/>
        </w:rPr>
        <w:t>八、争议解决办法</w:t>
      </w:r>
      <w:bookmarkEnd w:id="223"/>
      <w:bookmarkEnd w:id="224"/>
    </w:p>
    <w:p>
      <w:pPr>
        <w:pStyle w:val="39"/>
        <w:spacing w:line="420" w:lineRule="exact"/>
        <w:ind w:firstLine="0" w:firstLineChars="0"/>
        <w:rPr>
          <w:rFonts w:hAnsi="宋体"/>
        </w:rPr>
      </w:pPr>
      <w:r>
        <w:rPr>
          <w:rFonts w:hint="eastAsia" w:hAnsi="宋体"/>
        </w:rPr>
        <w:t>1、因货物的质量问题发生争议，由质量技术监督部门或其指定的质量鉴定机构进行质量鉴定。货物符合标准的，鉴定费由甲方承担；货物不符合质量标准的，鉴定费由乙方承担。</w:t>
      </w:r>
    </w:p>
    <w:p>
      <w:pPr>
        <w:pStyle w:val="39"/>
        <w:spacing w:line="420" w:lineRule="exact"/>
        <w:ind w:firstLine="0" w:firstLineChars="0"/>
        <w:rPr>
          <w:rFonts w:hAnsi="宋体"/>
        </w:rPr>
      </w:pPr>
      <w:r>
        <w:rPr>
          <w:rFonts w:hint="eastAsia" w:hAnsi="宋体"/>
        </w:rPr>
        <w:t>2、合同履行期间,若双方发生争议，可协商或由有关部门调解解决，协商或调解不成的，任何一方均可向西藏自治区高级人民法院提起诉讼。</w:t>
      </w:r>
    </w:p>
    <w:p>
      <w:pPr>
        <w:spacing w:line="420" w:lineRule="exact"/>
        <w:rPr>
          <w:rFonts w:hAnsi="宋体" w:cs="宋体"/>
          <w:sz w:val="24"/>
        </w:rPr>
      </w:pPr>
      <w:bookmarkStart w:id="225" w:name="_Toc30752_WPSOffice_Level2"/>
      <w:bookmarkStart w:id="226" w:name="_Toc217446115"/>
      <w:r>
        <w:rPr>
          <w:rFonts w:hint="eastAsia" w:hAnsi="宋体" w:cs="宋体"/>
          <w:sz w:val="24"/>
        </w:rPr>
        <w:t>九、其他</w:t>
      </w:r>
      <w:bookmarkEnd w:id="225"/>
      <w:bookmarkEnd w:id="226"/>
    </w:p>
    <w:p>
      <w:pPr>
        <w:pStyle w:val="39"/>
        <w:spacing w:line="420" w:lineRule="exact"/>
        <w:ind w:firstLine="0" w:firstLineChars="0"/>
        <w:rPr>
          <w:rFonts w:hAnsi="宋体"/>
        </w:rPr>
      </w:pPr>
      <w:r>
        <w:rPr>
          <w:rFonts w:hint="eastAsia" w:hAnsi="宋体"/>
        </w:rPr>
        <w:t>1、如有未尽事宜，由双方依法订立补充合同。</w:t>
      </w:r>
    </w:p>
    <w:p>
      <w:pPr>
        <w:pStyle w:val="39"/>
        <w:spacing w:line="420" w:lineRule="exact"/>
        <w:ind w:firstLine="0" w:firstLineChars="0"/>
        <w:rPr>
          <w:rFonts w:hAnsi="宋体"/>
        </w:rPr>
      </w:pPr>
      <w:r>
        <w:rPr>
          <w:rFonts w:hint="eastAsia" w:hAnsi="宋体"/>
        </w:rPr>
        <w:t>2、本合同一式六份，自双方签章之日起生效。甲方、乙方及招标代理机构各两份。</w:t>
      </w:r>
    </w:p>
    <w:p>
      <w:pPr>
        <w:spacing w:line="420" w:lineRule="exact"/>
        <w:rPr>
          <w:rFonts w:hAnsi="宋体" w:cs="宋体"/>
          <w:sz w:val="24"/>
        </w:rPr>
      </w:pPr>
      <w:r>
        <w:rPr>
          <w:rFonts w:hint="eastAsia" w:hAnsi="宋体" w:cs="宋体"/>
          <w:sz w:val="24"/>
        </w:rPr>
        <w:t>甲方：   （盖章）                  乙方：   （盖章）</w:t>
      </w:r>
    </w:p>
    <w:p>
      <w:pPr>
        <w:spacing w:line="420" w:lineRule="exact"/>
        <w:rPr>
          <w:rFonts w:hAnsi="宋体" w:cs="宋体"/>
          <w:sz w:val="24"/>
        </w:rPr>
      </w:pPr>
      <w:r>
        <w:rPr>
          <w:rFonts w:hint="eastAsia" w:hAnsi="宋体" w:cs="宋体"/>
          <w:sz w:val="24"/>
        </w:rPr>
        <w:t>法定代表人（授权代表）：           法定代表人（授权代表）：</w:t>
      </w:r>
    </w:p>
    <w:p>
      <w:pPr>
        <w:spacing w:line="420" w:lineRule="exact"/>
        <w:rPr>
          <w:rFonts w:hAnsi="宋体" w:cs="宋体"/>
          <w:sz w:val="24"/>
        </w:rPr>
      </w:pPr>
      <w:r>
        <w:rPr>
          <w:rFonts w:hint="eastAsia" w:hAnsi="宋体" w:cs="宋体"/>
          <w:sz w:val="24"/>
        </w:rPr>
        <w:t>地    址：                         地    址：</w:t>
      </w:r>
    </w:p>
    <w:p>
      <w:pPr>
        <w:spacing w:line="420" w:lineRule="exact"/>
        <w:rPr>
          <w:rFonts w:hAnsi="宋体" w:cs="宋体"/>
          <w:sz w:val="24"/>
        </w:rPr>
      </w:pPr>
      <w:r>
        <w:rPr>
          <w:rFonts w:hint="eastAsia" w:hAnsi="宋体" w:cs="宋体"/>
          <w:sz w:val="24"/>
        </w:rPr>
        <w:t>开户银行：                         开户银行：</w:t>
      </w:r>
    </w:p>
    <w:p>
      <w:pPr>
        <w:spacing w:line="420" w:lineRule="exact"/>
        <w:rPr>
          <w:rFonts w:hAnsi="宋体" w:cs="宋体"/>
          <w:sz w:val="24"/>
        </w:rPr>
      </w:pPr>
      <w:r>
        <w:rPr>
          <w:rFonts w:hint="eastAsia" w:hAnsi="宋体" w:cs="宋体"/>
          <w:sz w:val="24"/>
        </w:rPr>
        <w:t>账号：                             账号：</w:t>
      </w:r>
    </w:p>
    <w:p>
      <w:pPr>
        <w:spacing w:line="420" w:lineRule="exact"/>
        <w:rPr>
          <w:rFonts w:hAnsi="宋体" w:cs="宋体"/>
          <w:sz w:val="24"/>
        </w:rPr>
      </w:pPr>
      <w:r>
        <w:rPr>
          <w:rFonts w:hint="eastAsia" w:hAnsi="宋体" w:cs="宋体"/>
          <w:sz w:val="24"/>
        </w:rPr>
        <w:t>电    话：                         电    话：</w:t>
      </w:r>
    </w:p>
    <w:p>
      <w:pPr>
        <w:spacing w:line="420" w:lineRule="exact"/>
        <w:rPr>
          <w:rFonts w:hAnsi="宋体" w:cs="宋体"/>
          <w:sz w:val="24"/>
        </w:rPr>
      </w:pPr>
      <w:r>
        <w:rPr>
          <w:rFonts w:hint="eastAsia" w:hAnsi="宋体" w:cs="宋体"/>
          <w:sz w:val="24"/>
        </w:rPr>
        <w:t>传    真：                         传    真：</w:t>
      </w:r>
    </w:p>
    <w:p>
      <w:pPr>
        <w:pStyle w:val="12"/>
        <w:spacing w:line="420" w:lineRule="exact"/>
        <w:rPr>
          <w:rFonts w:hAnsi="宋体" w:cs="宋体"/>
          <w:sz w:val="24"/>
        </w:rPr>
        <w:sectPr>
          <w:pgSz w:w="11906" w:h="16838"/>
          <w:pgMar w:top="1134" w:right="1252" w:bottom="1134" w:left="1134" w:header="567" w:footer="992" w:gutter="0"/>
          <w:pgNumType w:fmt="decimal"/>
          <w:cols w:space="720" w:num="1"/>
          <w:docGrid w:linePitch="326" w:charSpace="0"/>
        </w:sectPr>
      </w:pPr>
      <w:r>
        <w:rPr>
          <w:rFonts w:hint="eastAsia" w:hAnsi="宋体" w:cs="宋体"/>
          <w:sz w:val="24"/>
        </w:rPr>
        <w:t>签约日期：XX年XX月XX日          签约日期：XX年XX月XX</w:t>
      </w:r>
    </w:p>
    <w:p>
      <w:pPr>
        <w:pStyle w:val="3"/>
      </w:pPr>
      <w:bookmarkStart w:id="227" w:name="_Toc27455"/>
      <w:bookmarkStart w:id="228" w:name="_Toc27978"/>
      <w:bookmarkStart w:id="229" w:name="_Toc14991"/>
      <w:r>
        <w:rPr>
          <w:rFonts w:hint="eastAsia" w:eastAsia="新宋体"/>
        </w:rPr>
        <w:t xml:space="preserve">第九章  </w:t>
      </w:r>
      <w:r>
        <w:rPr>
          <w:rFonts w:hint="eastAsia"/>
        </w:rPr>
        <w:t>采购项目履约验收标准和要求</w:t>
      </w:r>
      <w:bookmarkEnd w:id="227"/>
      <w:bookmarkEnd w:id="228"/>
      <w:bookmarkEnd w:id="229"/>
    </w:p>
    <w:p/>
    <w:p>
      <w:pPr>
        <w:spacing w:line="360" w:lineRule="auto"/>
        <w:ind w:firstLine="480" w:firstLineChars="200"/>
        <w:rPr>
          <w:rFonts w:hAnsi="宋体"/>
          <w:sz w:val="24"/>
        </w:rPr>
      </w:pPr>
      <w:bookmarkStart w:id="230" w:name="_Toc217446071"/>
      <w:r>
        <w:rPr>
          <w:rFonts w:hint="eastAsia" w:hAnsi="宋体"/>
          <w:sz w:val="24"/>
        </w:rPr>
        <w:t>成交供应商与采购人应按照</w:t>
      </w:r>
      <w:bookmarkEnd w:id="230"/>
      <w:r>
        <w:rPr>
          <w:rFonts w:hint="eastAsia" w:hAnsi="宋体"/>
          <w:sz w:val="24"/>
        </w:rPr>
        <w:t>《西藏自治区政府采购履约验收管理办法》的相关要求执行。</w:t>
      </w:r>
    </w:p>
    <w:p>
      <w:pPr>
        <w:pStyle w:val="12"/>
      </w:pPr>
    </w:p>
    <w:bookmarkEnd w:id="207"/>
    <w:bookmarkEnd w:id="208"/>
    <w:p>
      <w:pPr>
        <w:spacing w:before="156" w:beforeLines="50" w:after="156" w:afterLines="50" w:line="460" w:lineRule="exact"/>
        <w:jc w:val="center"/>
        <w:textAlignment w:val="center"/>
        <w:rPr>
          <w:rFonts w:ascii="方正小标宋简体" w:hAnsi="宋体" w:eastAsia="方正小标宋简体"/>
          <w:sz w:val="36"/>
          <w:szCs w:val="36"/>
        </w:rPr>
      </w:pPr>
      <w:r>
        <w:rPr>
          <w:rFonts w:hint="eastAsia" w:ascii="方正小标宋简体" w:hAnsi="仿宋" w:eastAsia="方正小标宋简体"/>
          <w:sz w:val="36"/>
          <w:szCs w:val="36"/>
        </w:rPr>
        <w:br w:type="page"/>
      </w:r>
      <w:r>
        <w:rPr>
          <w:rFonts w:hint="eastAsia" w:ascii="方正小标宋简体" w:hAnsi="Calibri" w:eastAsia="方正小标宋简体"/>
          <w:sz w:val="36"/>
          <w:szCs w:val="36"/>
        </w:rPr>
        <w:t>政府采购</w:t>
      </w:r>
      <w:r>
        <w:rPr>
          <w:rFonts w:hint="eastAsia" w:ascii="方正小标宋简体" w:hAnsi="宋体" w:eastAsia="方正小标宋简体"/>
          <w:sz w:val="36"/>
          <w:szCs w:val="36"/>
        </w:rPr>
        <w:t>履约验收书参考样本（货物类）</w:t>
      </w:r>
    </w:p>
    <w:tbl>
      <w:tblPr>
        <w:tblStyle w:val="26"/>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94"/>
        <w:gridCol w:w="915"/>
        <w:gridCol w:w="1311"/>
        <w:gridCol w:w="1398"/>
        <w:gridCol w:w="134"/>
        <w:gridCol w:w="762"/>
        <w:gridCol w:w="917"/>
        <w:gridCol w:w="1239"/>
        <w:gridCol w:w="91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采购单位</w:t>
            </w:r>
          </w:p>
        </w:tc>
        <w:tc>
          <w:tcPr>
            <w:tcW w:w="222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项目名称</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合同名称</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供应商</w:t>
            </w:r>
          </w:p>
        </w:tc>
        <w:tc>
          <w:tcPr>
            <w:tcW w:w="222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项目及合同编号</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合同金额</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验收时间</w:t>
            </w:r>
          </w:p>
        </w:tc>
        <w:tc>
          <w:tcPr>
            <w:tcW w:w="222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验收地点</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280" w:lineRule="exact"/>
              <w:ind w:left="378" w:hanging="378" w:hangingChars="180"/>
              <w:jc w:val="center"/>
              <w:textAlignment w:val="center"/>
              <w:rPr>
                <w:rFonts w:ascii="仿宋" w:hAnsi="仿宋" w:eastAsia="仿宋"/>
                <w:szCs w:val="21"/>
              </w:rPr>
            </w:pPr>
            <w:r>
              <w:rPr>
                <w:rFonts w:hint="eastAsia" w:ascii="仿宋" w:hAnsi="仿宋" w:eastAsia="仿宋"/>
                <w:szCs w:val="21"/>
              </w:rPr>
              <w:t>验收组织形式</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ind w:left="840" w:hanging="840" w:hangingChars="400"/>
              <w:jc w:val="center"/>
              <w:textAlignment w:val="center"/>
              <w:rPr>
                <w:rFonts w:ascii="仿宋" w:hAnsi="仿宋" w:eastAsia="仿宋"/>
                <w:szCs w:val="21"/>
              </w:rPr>
            </w:pPr>
            <w:r>
              <w:rPr>
                <w:rFonts w:hint="eastAsia" w:ascii="仿宋" w:hAnsi="仿宋" w:eastAsia="仿宋"/>
                <w:szCs w:val="21"/>
              </w:rPr>
              <w:t>□自行简易验收</w:t>
            </w:r>
          </w:p>
          <w:p>
            <w:pPr>
              <w:spacing w:line="280" w:lineRule="exact"/>
              <w:jc w:val="center"/>
              <w:textAlignment w:val="center"/>
              <w:rPr>
                <w:rFonts w:ascii="仿宋" w:hAnsi="仿宋" w:eastAsia="仿宋"/>
                <w:szCs w:val="21"/>
              </w:rPr>
            </w:pPr>
            <w:r>
              <w:rPr>
                <w:rFonts w:hint="eastAsia" w:ascii="仿宋" w:hAnsi="仿宋" w:eastAsia="仿宋"/>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分期验收</w:t>
            </w:r>
          </w:p>
        </w:tc>
        <w:tc>
          <w:tcPr>
            <w:tcW w:w="222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是□   否□</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分期情况</w:t>
            </w:r>
          </w:p>
        </w:tc>
        <w:tc>
          <w:tcPr>
            <w:tcW w:w="522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3" w:hRule="atLeast"/>
          <w:jc w:val="center"/>
        </w:trPr>
        <w:tc>
          <w:tcPr>
            <w:tcW w:w="129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验收内容</w:t>
            </w: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货物清单</w:t>
            </w:r>
          </w:p>
        </w:tc>
        <w:tc>
          <w:tcPr>
            <w:tcW w:w="13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品牌、型号、规格、数量及外观质量</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技术、性能</w:t>
            </w:r>
          </w:p>
          <w:p>
            <w:pPr>
              <w:spacing w:line="280" w:lineRule="exact"/>
              <w:jc w:val="center"/>
              <w:textAlignment w:val="center"/>
              <w:rPr>
                <w:rFonts w:ascii="仿宋" w:hAnsi="仿宋" w:eastAsia="仿宋"/>
                <w:szCs w:val="21"/>
              </w:rPr>
            </w:pPr>
            <w:r>
              <w:rPr>
                <w:rFonts w:hint="eastAsia" w:ascii="仿宋" w:hAnsi="仿宋" w:eastAsia="仿宋"/>
                <w:szCs w:val="21"/>
              </w:rPr>
              <w:t>指标</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运行状况及安装调试</w:t>
            </w:r>
          </w:p>
        </w:tc>
        <w:tc>
          <w:tcPr>
            <w:tcW w:w="9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质量证明</w:t>
            </w:r>
          </w:p>
          <w:p>
            <w:pPr>
              <w:spacing w:line="280" w:lineRule="exact"/>
              <w:ind w:firstLine="210" w:firstLineChars="100"/>
              <w:jc w:val="center"/>
              <w:textAlignment w:val="center"/>
              <w:rPr>
                <w:rFonts w:ascii="仿宋" w:hAnsi="仿宋" w:eastAsia="仿宋"/>
                <w:szCs w:val="21"/>
              </w:rPr>
            </w:pPr>
            <w:r>
              <w:rPr>
                <w:rFonts w:hint="eastAsia" w:ascii="仿宋" w:hAnsi="仿宋" w:eastAsia="仿宋"/>
                <w:szCs w:val="21"/>
              </w:rPr>
              <w:t>文件</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售后服务</w:t>
            </w:r>
          </w:p>
          <w:p>
            <w:pPr>
              <w:spacing w:line="280" w:lineRule="exact"/>
              <w:jc w:val="center"/>
              <w:textAlignment w:val="center"/>
              <w:rPr>
                <w:rFonts w:ascii="仿宋" w:hAnsi="仿宋" w:eastAsia="仿宋"/>
                <w:szCs w:val="21"/>
              </w:rPr>
            </w:pPr>
            <w:r>
              <w:rPr>
                <w:rFonts w:hint="eastAsia" w:ascii="仿宋" w:hAnsi="仿宋" w:eastAsia="仿宋"/>
                <w:szCs w:val="21"/>
              </w:rPr>
              <w:t>承诺</w:t>
            </w: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安全标准</w:t>
            </w:r>
          </w:p>
        </w:tc>
        <w:tc>
          <w:tcPr>
            <w:tcW w:w="12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3" w:hRule="atLeast"/>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13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9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不合格□</w:t>
            </w:r>
          </w:p>
        </w:tc>
        <w:tc>
          <w:tcPr>
            <w:tcW w:w="125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仿宋" w:hAnsi="仿宋" w:eastAsia="仿宋"/>
                <w:szCs w:val="21"/>
              </w:rPr>
            </w:pPr>
            <w:r>
              <w:rPr>
                <w:rFonts w:hint="eastAsia" w:ascii="仿宋" w:hAnsi="仿宋" w:eastAsia="仿宋"/>
                <w:szCs w:val="21"/>
              </w:rPr>
              <w:t>合  格□</w:t>
            </w:r>
          </w:p>
          <w:p>
            <w:pPr>
              <w:spacing w:line="280" w:lineRule="exact"/>
              <w:jc w:val="center"/>
              <w:textAlignment w:val="center"/>
              <w:rPr>
                <w:rFonts w:ascii="仿宋" w:hAnsi="仿宋" w:eastAsia="仿宋"/>
                <w:szCs w:val="21"/>
              </w:rPr>
            </w:pPr>
            <w:r>
              <w:rPr>
                <w:rFonts w:hint="eastAsia" w:ascii="仿宋" w:hAnsi="仿宋" w:eastAsia="仿宋"/>
                <w:szCs w:val="21"/>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专业检测机构情况说明</w:t>
            </w:r>
          </w:p>
        </w:tc>
        <w:tc>
          <w:tcPr>
            <w:tcW w:w="8844"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存在问题</w:t>
            </w:r>
          </w:p>
          <w:p>
            <w:pPr>
              <w:spacing w:line="280" w:lineRule="exact"/>
              <w:jc w:val="center"/>
              <w:textAlignment w:val="center"/>
              <w:rPr>
                <w:rFonts w:ascii="仿宋" w:hAnsi="仿宋" w:eastAsia="仿宋"/>
                <w:szCs w:val="21"/>
              </w:rPr>
            </w:pPr>
            <w:r>
              <w:rPr>
                <w:rFonts w:hint="eastAsia" w:ascii="仿宋" w:hAnsi="仿宋" w:eastAsia="仿宋"/>
                <w:szCs w:val="21"/>
              </w:rPr>
              <w:t>和改进意见</w:t>
            </w:r>
          </w:p>
        </w:tc>
        <w:tc>
          <w:tcPr>
            <w:tcW w:w="8844"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最终结论</w:t>
            </w:r>
          </w:p>
        </w:tc>
        <w:tc>
          <w:tcPr>
            <w:tcW w:w="8844"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验收小组</w:t>
            </w:r>
          </w:p>
          <w:p>
            <w:pPr>
              <w:spacing w:line="280" w:lineRule="exact"/>
              <w:jc w:val="center"/>
              <w:textAlignment w:val="center"/>
              <w:rPr>
                <w:rFonts w:ascii="仿宋" w:hAnsi="仿宋" w:eastAsia="仿宋"/>
                <w:szCs w:val="21"/>
              </w:rPr>
            </w:pPr>
            <w:r>
              <w:rPr>
                <w:rFonts w:hint="eastAsia" w:ascii="仿宋" w:hAnsi="仿宋" w:eastAsia="仿宋"/>
                <w:szCs w:val="21"/>
              </w:rPr>
              <w:t>成员签字</w:t>
            </w:r>
          </w:p>
        </w:tc>
        <w:tc>
          <w:tcPr>
            <w:tcW w:w="8844"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505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代理机构意见</w:t>
            </w:r>
          </w:p>
        </w:tc>
        <w:tc>
          <w:tcPr>
            <w:tcW w:w="508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仿宋" w:hAnsi="仿宋" w:eastAsia="仿宋"/>
                <w:szCs w:val="21"/>
              </w:rPr>
            </w:pPr>
            <w:r>
              <w:rPr>
                <w:rFonts w:hint="eastAsia" w:ascii="仿宋" w:hAnsi="仿宋" w:eastAsia="仿宋"/>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5" w:hRule="atLeast"/>
          <w:jc w:val="center"/>
        </w:trPr>
        <w:tc>
          <w:tcPr>
            <w:tcW w:w="505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textAlignment w:val="center"/>
              <w:rPr>
                <w:rFonts w:ascii="仿宋" w:hAnsi="仿宋" w:eastAsia="仿宋"/>
                <w:szCs w:val="21"/>
              </w:rPr>
            </w:pPr>
            <w:r>
              <w:rPr>
                <w:rFonts w:hint="eastAsia" w:ascii="仿宋" w:hAnsi="仿宋" w:eastAsia="仿宋"/>
                <w:szCs w:val="21"/>
              </w:rPr>
              <w:t xml:space="preserve">                                                     </w:t>
            </w:r>
          </w:p>
          <w:p>
            <w:pPr>
              <w:spacing w:line="280" w:lineRule="exact"/>
              <w:ind w:firstLine="105" w:firstLineChars="50"/>
              <w:jc w:val="center"/>
              <w:textAlignment w:val="center"/>
              <w:rPr>
                <w:rFonts w:ascii="仿宋" w:hAnsi="仿宋" w:eastAsia="仿宋"/>
                <w:szCs w:val="21"/>
              </w:rPr>
            </w:pPr>
          </w:p>
          <w:p>
            <w:pPr>
              <w:spacing w:line="280" w:lineRule="exact"/>
              <w:textAlignment w:val="center"/>
              <w:rPr>
                <w:rFonts w:ascii="仿宋" w:hAnsi="仿宋" w:eastAsia="仿宋"/>
                <w:szCs w:val="21"/>
              </w:rPr>
            </w:pPr>
            <w:r>
              <w:rPr>
                <w:rFonts w:hint="eastAsia" w:ascii="仿宋" w:hAnsi="仿宋" w:eastAsia="仿宋"/>
                <w:szCs w:val="21"/>
              </w:rPr>
              <w:t>经办人：          负责人：            （采购代理机构公章）</w:t>
            </w:r>
          </w:p>
        </w:tc>
        <w:tc>
          <w:tcPr>
            <w:tcW w:w="508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textAlignment w:val="center"/>
              <w:rPr>
                <w:rFonts w:ascii="仿宋" w:hAnsi="仿宋" w:eastAsia="仿宋"/>
                <w:szCs w:val="21"/>
              </w:rPr>
            </w:pPr>
            <w:r>
              <w:rPr>
                <w:rFonts w:hint="eastAsia" w:ascii="仿宋" w:hAnsi="仿宋" w:eastAsia="仿宋"/>
                <w:szCs w:val="21"/>
              </w:rPr>
              <w:t xml:space="preserve">                                                     </w:t>
            </w:r>
          </w:p>
          <w:p>
            <w:pPr>
              <w:spacing w:line="280" w:lineRule="exact"/>
              <w:ind w:firstLine="105" w:firstLineChars="50"/>
              <w:textAlignment w:val="center"/>
              <w:rPr>
                <w:rFonts w:ascii="仿宋" w:hAnsi="仿宋" w:eastAsia="仿宋"/>
                <w:szCs w:val="21"/>
              </w:rPr>
            </w:pPr>
          </w:p>
          <w:p>
            <w:pPr>
              <w:spacing w:line="280" w:lineRule="exact"/>
              <w:textAlignment w:val="center"/>
              <w:rPr>
                <w:rFonts w:ascii="仿宋" w:hAnsi="仿宋" w:eastAsia="仿宋"/>
                <w:szCs w:val="21"/>
              </w:rPr>
            </w:pPr>
            <w:r>
              <w:rPr>
                <w:rFonts w:hint="eastAsia" w:ascii="仿宋" w:hAnsi="仿宋" w:eastAsia="仿宋"/>
                <w:szCs w:val="21"/>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26" w:hRule="atLeast"/>
          <w:jc w:val="center"/>
        </w:trPr>
        <w:tc>
          <w:tcPr>
            <w:tcW w:w="10138"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textAlignment w:val="center"/>
              <w:rPr>
                <w:rFonts w:ascii="仿宋" w:hAnsi="仿宋" w:eastAsia="仿宋"/>
                <w:szCs w:val="21"/>
              </w:rPr>
            </w:pPr>
            <w:r>
              <w:rPr>
                <w:rFonts w:hint="eastAsia" w:ascii="仿宋" w:hAnsi="仿宋" w:eastAsia="仿宋"/>
                <w:szCs w:val="21"/>
              </w:rPr>
              <w:t>供应商确认：</w:t>
            </w:r>
          </w:p>
          <w:p>
            <w:pPr>
              <w:spacing w:line="280" w:lineRule="exact"/>
              <w:textAlignment w:val="center"/>
              <w:rPr>
                <w:rFonts w:ascii="仿宋" w:hAnsi="仿宋" w:eastAsia="仿宋"/>
                <w:szCs w:val="21"/>
              </w:rPr>
            </w:pPr>
          </w:p>
          <w:p>
            <w:pPr>
              <w:spacing w:line="280" w:lineRule="exact"/>
              <w:textAlignment w:val="center"/>
              <w:rPr>
                <w:rFonts w:ascii="仿宋" w:hAnsi="仿宋" w:eastAsia="仿宋"/>
                <w:szCs w:val="21"/>
              </w:rPr>
            </w:pPr>
          </w:p>
          <w:p>
            <w:pPr>
              <w:spacing w:line="280" w:lineRule="exact"/>
              <w:textAlignment w:val="center"/>
              <w:rPr>
                <w:rFonts w:ascii="仿宋" w:hAnsi="仿宋" w:eastAsia="仿宋"/>
                <w:szCs w:val="21"/>
              </w:rPr>
            </w:pPr>
            <w:r>
              <w:rPr>
                <w:rFonts w:hint="eastAsia" w:ascii="仿宋" w:hAnsi="仿宋" w:eastAsia="仿宋"/>
                <w:szCs w:val="21"/>
              </w:rPr>
              <w:t xml:space="preserve">                                                                                   （单位公章或授权代表签字）</w:t>
            </w:r>
          </w:p>
        </w:tc>
      </w:tr>
    </w:tbl>
    <w:p>
      <w:pPr>
        <w:spacing w:line="280" w:lineRule="exact"/>
        <w:textAlignment w:val="center"/>
        <w:rPr>
          <w:rFonts w:ascii="仿宋" w:hAnsi="仿宋" w:eastAsia="仿宋"/>
          <w:szCs w:val="21"/>
        </w:rPr>
      </w:pPr>
      <w:r>
        <w:rPr>
          <w:rFonts w:hint="eastAsia" w:ascii="仿宋" w:hAnsi="仿宋" w:eastAsia="仿宋"/>
          <w:szCs w:val="21"/>
        </w:rPr>
        <w:t>说明: 1.该表为货物类项目履约验收的参考样表，采购人或采购代理机构可以根据工作实际进行调整。</w:t>
      </w:r>
    </w:p>
    <w:p>
      <w:pPr>
        <w:spacing w:line="280" w:lineRule="exact"/>
        <w:textAlignment w:val="center"/>
        <w:rPr>
          <w:rFonts w:ascii="仿宋" w:hAnsi="仿宋" w:eastAsia="仿宋"/>
          <w:szCs w:val="21"/>
        </w:rPr>
      </w:pPr>
      <w:r>
        <w:rPr>
          <w:rFonts w:hint="eastAsia" w:ascii="仿宋" w:hAnsi="仿宋" w:eastAsia="仿宋"/>
          <w:szCs w:val="21"/>
        </w:rPr>
        <w:t xml:space="preserve">     2. “采购代理机构意见”，履约验收工作由采购人自行组织的，无需填写该项内容及加盖公章。</w:t>
      </w:r>
    </w:p>
    <w:p>
      <w:pPr>
        <w:rPr>
          <w:rFonts w:ascii="方正小标宋简体" w:hAnsi="仿宋" w:eastAsia="方正小标宋简体"/>
          <w:sz w:val="36"/>
          <w:szCs w:val="36"/>
        </w:rPr>
      </w:pPr>
    </w:p>
    <w:p>
      <w:pPr>
        <w:pStyle w:val="3"/>
        <w:spacing w:before="0" w:after="0" w:line="240" w:lineRule="auto"/>
        <w:rPr>
          <w:rFonts w:ascii="新宋体" w:hAnsi="新宋体" w:eastAsia="新宋体" w:cs="新宋体"/>
          <w:szCs w:val="36"/>
        </w:rPr>
      </w:pPr>
      <w:bookmarkStart w:id="231" w:name="_Toc11938"/>
      <w:bookmarkStart w:id="232" w:name="_Toc30473"/>
    </w:p>
    <w:p>
      <w:pPr>
        <w:pStyle w:val="3"/>
        <w:spacing w:before="0" w:after="0" w:line="240" w:lineRule="auto"/>
        <w:rPr>
          <w:rFonts w:ascii="新宋体" w:hAnsi="新宋体" w:eastAsia="新宋体" w:cs="新宋体"/>
          <w:szCs w:val="36"/>
        </w:rPr>
      </w:pPr>
    </w:p>
    <w:p>
      <w:pPr>
        <w:pStyle w:val="3"/>
        <w:spacing w:before="0" w:after="0" w:line="240" w:lineRule="auto"/>
        <w:jc w:val="both"/>
        <w:rPr>
          <w:rFonts w:ascii="新宋体" w:hAnsi="新宋体" w:eastAsia="新宋体" w:cs="新宋体"/>
          <w:szCs w:val="36"/>
        </w:rPr>
        <w:sectPr>
          <w:headerReference r:id="rId13" w:type="default"/>
          <w:pgSz w:w="11906" w:h="16838"/>
          <w:pgMar w:top="1191" w:right="1684" w:bottom="1191" w:left="1684" w:header="851" w:footer="992" w:gutter="0"/>
          <w:pgNumType w:fmt="decimal"/>
          <w:cols w:space="720" w:num="1"/>
          <w:docGrid w:type="lines" w:linePitch="312" w:charSpace="0"/>
        </w:sectPr>
      </w:pPr>
    </w:p>
    <w:p>
      <w:pPr>
        <w:pStyle w:val="3"/>
        <w:numPr>
          <w:ilvl w:val="0"/>
          <w:numId w:val="13"/>
        </w:numPr>
        <w:spacing w:before="0" w:after="0" w:line="240" w:lineRule="auto"/>
        <w:rPr>
          <w:rFonts w:hint="eastAsia" w:ascii="新宋体" w:hAnsi="新宋体" w:eastAsia="新宋体" w:cs="新宋体"/>
          <w:sz w:val="28"/>
          <w:szCs w:val="28"/>
        </w:rPr>
      </w:pPr>
      <w:r>
        <w:rPr>
          <w:rFonts w:hint="eastAsia" w:ascii="新宋体" w:hAnsi="新宋体" w:eastAsia="新宋体" w:cs="新宋体"/>
          <w:sz w:val="28"/>
          <w:szCs w:val="28"/>
        </w:rPr>
        <w:t xml:space="preserve"> 保证金退还</w:t>
      </w:r>
      <w:r>
        <w:rPr>
          <w:rFonts w:hint="eastAsia" w:ascii="新宋体" w:hAnsi="新宋体" w:eastAsia="新宋体" w:cs="新宋体"/>
          <w:sz w:val="28"/>
          <w:szCs w:val="28"/>
          <w:lang w:val="en-US" w:eastAsia="zh-CN"/>
        </w:rPr>
        <w:t>一览</w:t>
      </w:r>
      <w:r>
        <w:rPr>
          <w:rFonts w:hint="eastAsia" w:ascii="新宋体" w:hAnsi="新宋体" w:eastAsia="新宋体" w:cs="新宋体"/>
          <w:sz w:val="28"/>
          <w:szCs w:val="28"/>
        </w:rPr>
        <w:t>表</w:t>
      </w:r>
      <w:bookmarkEnd w:id="231"/>
      <w:bookmarkEnd w:id="232"/>
    </w:p>
    <w:p>
      <w:pPr>
        <w:rPr>
          <w:rFonts w:hint="default" w:eastAsia="宋体"/>
          <w:b/>
          <w:bCs/>
          <w:sz w:val="18"/>
          <w:szCs w:val="18"/>
          <w:lang w:val="en-US" w:eastAsia="zh-CN"/>
        </w:rPr>
      </w:pPr>
      <w:r>
        <w:rPr>
          <w:rFonts w:hint="eastAsia"/>
          <w:b/>
          <w:bCs/>
          <w:sz w:val="18"/>
          <w:szCs w:val="18"/>
          <w:lang w:val="en-US" w:eastAsia="zh-CN"/>
        </w:rPr>
        <w:t>填制日期：   年   月   日</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1338"/>
        <w:gridCol w:w="1778"/>
        <w:gridCol w:w="222"/>
        <w:gridCol w:w="2099"/>
        <w:gridCol w:w="3668"/>
        <w:gridCol w:w="11"/>
        <w:gridCol w:w="1014"/>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*项目名称：</w:t>
            </w:r>
          </w:p>
        </w:tc>
        <w:tc>
          <w:tcPr>
            <w:tcW w:w="5437" w:type="dxa"/>
            <w:gridSpan w:val="4"/>
          </w:tcPr>
          <w:p>
            <w:pPr>
              <w:numPr>
                <w:ilvl w:val="0"/>
                <w:numId w:val="0"/>
              </w:numPr>
              <w:jc w:val="center"/>
              <w:rPr>
                <w:sz w:val="18"/>
                <w:szCs w:val="18"/>
                <w:vertAlign w:val="baseline"/>
              </w:rPr>
            </w:pPr>
          </w:p>
        </w:tc>
        <w:tc>
          <w:tcPr>
            <w:tcW w:w="366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*项目委托业主单位</w:t>
            </w:r>
          </w:p>
        </w:tc>
        <w:tc>
          <w:tcPr>
            <w:tcW w:w="3668" w:type="dxa"/>
            <w:gridSpan w:val="3"/>
          </w:tcPr>
          <w:p>
            <w:pPr>
              <w:numPr>
                <w:ilvl w:val="0"/>
                <w:numId w:val="0"/>
              </w:num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项目招标编号</w:t>
            </w:r>
          </w:p>
        </w:tc>
        <w:tc>
          <w:tcPr>
            <w:tcW w:w="5437" w:type="dxa"/>
            <w:gridSpan w:val="4"/>
          </w:tcPr>
          <w:p>
            <w:pPr>
              <w:numPr>
                <w:ilvl w:val="0"/>
                <w:numId w:val="0"/>
              </w:numPr>
              <w:jc w:val="center"/>
              <w:rPr>
                <w:sz w:val="18"/>
                <w:szCs w:val="18"/>
                <w:vertAlign w:val="baseline"/>
              </w:rPr>
            </w:pPr>
          </w:p>
        </w:tc>
        <w:tc>
          <w:tcPr>
            <w:tcW w:w="366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*招标代理机构名称</w:t>
            </w:r>
          </w:p>
        </w:tc>
        <w:tc>
          <w:tcPr>
            <w:tcW w:w="3668" w:type="dxa"/>
            <w:gridSpan w:val="3"/>
          </w:tcPr>
          <w:p>
            <w:pPr>
              <w:numPr>
                <w:ilvl w:val="0"/>
                <w:numId w:val="0"/>
              </w:numPr>
              <w:jc w:val="center"/>
              <w:rPr>
                <w:rFonts w:hint="default" w:eastAsia="宋体"/>
                <w:sz w:val="18"/>
                <w:szCs w:val="18"/>
                <w:vertAlign w:val="baseline"/>
                <w:lang w:val="en-US" w:eastAsia="zh-CN"/>
              </w:rPr>
            </w:pPr>
            <w:r>
              <w:rPr>
                <w:rFonts w:hint="eastAsia"/>
                <w:b/>
                <w:bCs/>
                <w:sz w:val="18"/>
                <w:szCs w:val="18"/>
                <w:vertAlign w:val="baseline"/>
                <w:lang w:val="en-US" w:eastAsia="zh-CN"/>
              </w:rPr>
              <w:t>永道工程咨询（江苏）有限公司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*项目投标标段</w:t>
            </w:r>
          </w:p>
        </w:tc>
        <w:tc>
          <w:tcPr>
            <w:tcW w:w="5437" w:type="dxa"/>
            <w:gridSpan w:val="4"/>
          </w:tcPr>
          <w:p>
            <w:pPr>
              <w:numPr>
                <w:ilvl w:val="0"/>
                <w:numId w:val="0"/>
              </w:numPr>
              <w:jc w:val="center"/>
              <w:rPr>
                <w:sz w:val="18"/>
                <w:szCs w:val="18"/>
                <w:vertAlign w:val="baseline"/>
              </w:rPr>
            </w:pPr>
          </w:p>
        </w:tc>
        <w:tc>
          <w:tcPr>
            <w:tcW w:w="366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*投标单位名称</w:t>
            </w:r>
          </w:p>
        </w:tc>
        <w:tc>
          <w:tcPr>
            <w:tcW w:w="3668" w:type="dxa"/>
            <w:gridSpan w:val="3"/>
          </w:tcPr>
          <w:p>
            <w:pPr>
              <w:numPr>
                <w:ilvl w:val="0"/>
                <w:numId w:val="0"/>
              </w:num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*退还保证金金额</w:t>
            </w:r>
          </w:p>
        </w:tc>
        <w:tc>
          <w:tcPr>
            <w:tcW w:w="5437" w:type="dxa"/>
            <w:gridSpan w:val="4"/>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小写￥：          大写：</w:t>
            </w:r>
          </w:p>
        </w:tc>
        <w:tc>
          <w:tcPr>
            <w:tcW w:w="366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*投标保证金缴纳方式</w:t>
            </w:r>
          </w:p>
        </w:tc>
        <w:tc>
          <w:tcPr>
            <w:tcW w:w="3668" w:type="dxa"/>
            <w:gridSpan w:val="3"/>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□转账 □现金 □电汇（现金存款）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*保证金退还原因（</w:t>
            </w:r>
            <w:r>
              <w:rPr>
                <w:rFonts w:hint="eastAsia" w:ascii="仿宋_GB2312" w:eastAsia="仿宋_GB2312"/>
                <w:b/>
                <w:bCs/>
                <w:sz w:val="18"/>
                <w:szCs w:val="18"/>
              </w:rPr>
              <w:t>√</w:t>
            </w:r>
            <w:r>
              <w:rPr>
                <w:rFonts w:hint="eastAsia"/>
                <w:b/>
                <w:bCs/>
                <w:sz w:val="18"/>
                <w:szCs w:val="18"/>
                <w:vertAlign w:val="baseline"/>
                <w:lang w:val="en-US" w:eastAsia="zh-CN"/>
              </w:rPr>
              <w:t>选）</w:t>
            </w:r>
          </w:p>
        </w:tc>
        <w:tc>
          <w:tcPr>
            <w:tcW w:w="12773" w:type="dxa"/>
            <w:gridSpan w:val="8"/>
          </w:tcPr>
          <w:p>
            <w:pPr>
              <w:numPr>
                <w:ilvl w:val="0"/>
                <w:numId w:val="0"/>
              </w:numPr>
              <w:jc w:val="center"/>
              <w:rPr>
                <w:rFonts w:hint="default"/>
                <w:sz w:val="18"/>
                <w:szCs w:val="18"/>
                <w:vertAlign w:val="baseline"/>
                <w:lang w:val="en-US"/>
              </w:rPr>
            </w:pPr>
            <w:r>
              <w:rPr>
                <w:rFonts w:hint="eastAsia"/>
                <w:sz w:val="18"/>
                <w:szCs w:val="18"/>
                <w:vertAlign w:val="baseline"/>
                <w:lang w:val="en-US" w:eastAsia="zh-CN"/>
              </w:rPr>
              <w:t>□未中标   □流标  □ 废标    □中标企业，项目实施完毕   □其他原因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99" w:type="dxa"/>
            <w:vMerge w:val="restart"/>
          </w:tcPr>
          <w:p>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*投标企业</w:t>
            </w:r>
          </w:p>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（签章）</w:t>
            </w:r>
          </w:p>
        </w:tc>
        <w:tc>
          <w:tcPr>
            <w:tcW w:w="3116" w:type="dxa"/>
            <w:gridSpan w:val="2"/>
            <w:vMerge w:val="restart"/>
            <w:vAlign w:val="center"/>
          </w:tcPr>
          <w:p>
            <w:pPr>
              <w:numPr>
                <w:ilvl w:val="0"/>
                <w:numId w:val="0"/>
              </w:numPr>
              <w:jc w:val="center"/>
              <w:rPr>
                <w:rFonts w:hint="eastAsia"/>
                <w:b/>
                <w:bCs/>
                <w:sz w:val="18"/>
                <w:szCs w:val="18"/>
                <w:lang w:val="en-US" w:eastAsia="zh-CN"/>
              </w:rPr>
            </w:pPr>
            <w:r>
              <w:rPr>
                <w:rFonts w:hint="eastAsia"/>
                <w:b/>
                <w:bCs/>
                <w:sz w:val="18"/>
                <w:szCs w:val="18"/>
                <w:lang w:val="en-US" w:eastAsia="zh-CN"/>
              </w:rPr>
              <w:t>（签章）</w:t>
            </w:r>
          </w:p>
          <w:p>
            <w:pPr>
              <w:pStyle w:val="12"/>
              <w:jc w:val="center"/>
              <w:rPr>
                <w:rFonts w:hint="eastAsia"/>
                <w:b/>
                <w:bCs/>
                <w:sz w:val="18"/>
                <w:szCs w:val="18"/>
                <w:lang w:val="en-US" w:eastAsia="zh-CN"/>
              </w:rPr>
            </w:pPr>
          </w:p>
          <w:p>
            <w:pPr>
              <w:jc w:val="both"/>
              <w:rPr>
                <w:rFonts w:hint="default"/>
                <w:b/>
                <w:bCs/>
                <w:sz w:val="18"/>
                <w:szCs w:val="18"/>
                <w:lang w:val="en-US" w:eastAsia="zh-CN"/>
              </w:rPr>
            </w:pPr>
            <w:r>
              <w:rPr>
                <w:rFonts w:hint="eastAsia"/>
                <w:b/>
                <w:bCs/>
                <w:sz w:val="18"/>
                <w:szCs w:val="18"/>
                <w:lang w:val="en-US" w:eastAsia="zh-CN"/>
              </w:rPr>
              <w:t>法人（签字）：</w:t>
            </w:r>
          </w:p>
        </w:tc>
        <w:tc>
          <w:tcPr>
            <w:tcW w:w="2321" w:type="dxa"/>
            <w:gridSpan w:val="2"/>
            <w:vMerge w:val="restart"/>
            <w:vAlign w:val="center"/>
          </w:tcPr>
          <w:p>
            <w:pPr>
              <w:jc w:val="center"/>
              <w:rPr>
                <w:rFonts w:hint="default"/>
                <w:sz w:val="18"/>
                <w:szCs w:val="18"/>
                <w:lang w:val="en-US" w:eastAsia="zh-CN"/>
              </w:rPr>
            </w:pPr>
            <w:r>
              <w:rPr>
                <w:rFonts w:hint="eastAsia"/>
                <w:sz w:val="18"/>
                <w:szCs w:val="18"/>
                <w:lang w:val="en-US" w:eastAsia="zh-CN"/>
              </w:rPr>
              <w:t>招标代理审核意见</w:t>
            </w:r>
          </w:p>
        </w:tc>
        <w:tc>
          <w:tcPr>
            <w:tcW w:w="3679" w:type="dxa"/>
            <w:gridSpan w:val="2"/>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项目经理意见：</w:t>
            </w:r>
          </w:p>
        </w:tc>
        <w:tc>
          <w:tcPr>
            <w:tcW w:w="3657" w:type="dxa"/>
            <w:gridSpan w:val="2"/>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财务意见：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9" w:type="dxa"/>
            <w:vMerge w:val="continue"/>
          </w:tcPr>
          <w:p>
            <w:pPr>
              <w:numPr>
                <w:ilvl w:val="0"/>
                <w:numId w:val="0"/>
              </w:numPr>
              <w:jc w:val="center"/>
              <w:rPr>
                <w:rFonts w:hint="eastAsia"/>
                <w:b/>
                <w:bCs/>
                <w:sz w:val="18"/>
                <w:szCs w:val="18"/>
                <w:vertAlign w:val="baseline"/>
                <w:lang w:val="en-US" w:eastAsia="zh-CN"/>
              </w:rPr>
            </w:pPr>
          </w:p>
        </w:tc>
        <w:tc>
          <w:tcPr>
            <w:tcW w:w="3116" w:type="dxa"/>
            <w:gridSpan w:val="2"/>
            <w:vMerge w:val="continue"/>
          </w:tcPr>
          <w:p>
            <w:pPr>
              <w:jc w:val="center"/>
              <w:rPr>
                <w:rFonts w:hint="eastAsia"/>
                <w:b/>
                <w:bCs/>
                <w:sz w:val="18"/>
                <w:szCs w:val="18"/>
                <w:lang w:val="en-US" w:eastAsia="zh-CN"/>
              </w:rPr>
            </w:pPr>
          </w:p>
        </w:tc>
        <w:tc>
          <w:tcPr>
            <w:tcW w:w="2321" w:type="dxa"/>
            <w:gridSpan w:val="2"/>
            <w:vMerge w:val="continue"/>
          </w:tcPr>
          <w:p>
            <w:pPr>
              <w:jc w:val="center"/>
              <w:rPr>
                <w:rFonts w:hint="eastAsia"/>
                <w:sz w:val="18"/>
                <w:szCs w:val="18"/>
                <w:lang w:val="en-US" w:eastAsia="zh-CN"/>
              </w:rPr>
            </w:pPr>
          </w:p>
        </w:tc>
        <w:tc>
          <w:tcPr>
            <w:tcW w:w="7336" w:type="dxa"/>
            <w:gridSpan w:val="4"/>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总经理审批意见：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99" w:type="dxa"/>
            <w:vMerge w:val="restart"/>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*保证金退还账户</w:t>
            </w:r>
          </w:p>
        </w:tc>
        <w:tc>
          <w:tcPr>
            <w:tcW w:w="133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*开户名称</w:t>
            </w:r>
          </w:p>
        </w:tc>
        <w:tc>
          <w:tcPr>
            <w:tcW w:w="4099" w:type="dxa"/>
            <w:gridSpan w:val="3"/>
          </w:tcPr>
          <w:p>
            <w:pPr>
              <w:numPr>
                <w:ilvl w:val="0"/>
                <w:numId w:val="0"/>
              </w:numPr>
              <w:jc w:val="center"/>
              <w:rPr>
                <w:b/>
                <w:bCs/>
                <w:sz w:val="18"/>
                <w:szCs w:val="18"/>
                <w:vertAlign w:val="baseline"/>
              </w:rPr>
            </w:pPr>
          </w:p>
        </w:tc>
        <w:tc>
          <w:tcPr>
            <w:tcW w:w="3668" w:type="dxa"/>
          </w:tcPr>
          <w:p>
            <w:pPr>
              <w:numPr>
                <w:ilvl w:val="0"/>
                <w:numId w:val="0"/>
              </w:numPr>
              <w:jc w:val="center"/>
              <w:rPr>
                <w:sz w:val="18"/>
                <w:szCs w:val="18"/>
                <w:vertAlign w:val="baseline"/>
              </w:rPr>
            </w:pPr>
          </w:p>
        </w:tc>
        <w:tc>
          <w:tcPr>
            <w:tcW w:w="3668" w:type="dxa"/>
            <w:gridSpan w:val="3"/>
          </w:tcPr>
          <w:p>
            <w:pPr>
              <w:numPr>
                <w:ilvl w:val="0"/>
                <w:numId w:val="0"/>
              </w:num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9" w:type="dxa"/>
            <w:vMerge w:val="continue"/>
          </w:tcPr>
          <w:p>
            <w:pPr>
              <w:numPr>
                <w:ilvl w:val="0"/>
                <w:numId w:val="0"/>
              </w:numPr>
              <w:jc w:val="center"/>
              <w:rPr>
                <w:b/>
                <w:bCs/>
                <w:sz w:val="18"/>
                <w:szCs w:val="18"/>
                <w:vertAlign w:val="baseline"/>
              </w:rPr>
            </w:pPr>
          </w:p>
        </w:tc>
        <w:tc>
          <w:tcPr>
            <w:tcW w:w="133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*开户银行</w:t>
            </w:r>
          </w:p>
        </w:tc>
        <w:tc>
          <w:tcPr>
            <w:tcW w:w="4099" w:type="dxa"/>
            <w:gridSpan w:val="3"/>
          </w:tcPr>
          <w:p>
            <w:pPr>
              <w:numPr>
                <w:ilvl w:val="0"/>
                <w:numId w:val="0"/>
              </w:numPr>
              <w:jc w:val="center"/>
              <w:rPr>
                <w:b/>
                <w:bCs/>
                <w:sz w:val="18"/>
                <w:szCs w:val="18"/>
                <w:vertAlign w:val="baseline"/>
              </w:rPr>
            </w:pPr>
          </w:p>
        </w:tc>
        <w:tc>
          <w:tcPr>
            <w:tcW w:w="3668" w:type="dxa"/>
          </w:tcPr>
          <w:p>
            <w:pPr>
              <w:numPr>
                <w:ilvl w:val="0"/>
                <w:numId w:val="0"/>
              </w:numPr>
              <w:jc w:val="center"/>
              <w:rPr>
                <w:rFonts w:hint="default" w:eastAsia="宋体"/>
                <w:sz w:val="18"/>
                <w:szCs w:val="18"/>
                <w:vertAlign w:val="baseline"/>
                <w:lang w:val="en-US" w:eastAsia="zh-CN"/>
              </w:rPr>
            </w:pPr>
            <w:r>
              <w:rPr>
                <w:rFonts w:hint="eastAsia"/>
                <w:b/>
                <w:bCs/>
                <w:sz w:val="18"/>
                <w:szCs w:val="18"/>
                <w:vertAlign w:val="baseline"/>
                <w:lang w:val="en-US" w:eastAsia="zh-CN"/>
              </w:rPr>
              <w:t>*开户银行联行号（详询开户行）</w:t>
            </w:r>
          </w:p>
        </w:tc>
        <w:tc>
          <w:tcPr>
            <w:tcW w:w="3668" w:type="dxa"/>
            <w:gridSpan w:val="3"/>
          </w:tcPr>
          <w:p>
            <w:pPr>
              <w:numPr>
                <w:ilvl w:val="0"/>
                <w:numId w:val="0"/>
              </w:num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9" w:type="dxa"/>
            <w:vMerge w:val="continue"/>
          </w:tcPr>
          <w:p>
            <w:pPr>
              <w:numPr>
                <w:ilvl w:val="0"/>
                <w:numId w:val="0"/>
              </w:numPr>
              <w:jc w:val="center"/>
              <w:rPr>
                <w:b/>
                <w:bCs/>
                <w:sz w:val="18"/>
                <w:szCs w:val="18"/>
                <w:vertAlign w:val="baseline"/>
              </w:rPr>
            </w:pPr>
          </w:p>
        </w:tc>
        <w:tc>
          <w:tcPr>
            <w:tcW w:w="133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*开户账户</w:t>
            </w:r>
          </w:p>
        </w:tc>
        <w:tc>
          <w:tcPr>
            <w:tcW w:w="11435" w:type="dxa"/>
            <w:gridSpan w:val="7"/>
          </w:tcPr>
          <w:p>
            <w:pPr>
              <w:numPr>
                <w:ilvl w:val="0"/>
                <w:numId w:val="0"/>
              </w:numPr>
              <w:jc w:val="center"/>
              <w:rPr>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*投标单位联系方式</w:t>
            </w:r>
          </w:p>
        </w:tc>
        <w:tc>
          <w:tcPr>
            <w:tcW w:w="1338"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*姓名</w:t>
            </w:r>
          </w:p>
        </w:tc>
        <w:tc>
          <w:tcPr>
            <w:tcW w:w="2000" w:type="dxa"/>
            <w:gridSpan w:val="2"/>
          </w:tcPr>
          <w:p>
            <w:pPr>
              <w:numPr>
                <w:ilvl w:val="0"/>
                <w:numId w:val="0"/>
              </w:numPr>
              <w:jc w:val="center"/>
              <w:rPr>
                <w:b/>
                <w:bCs/>
                <w:sz w:val="18"/>
                <w:szCs w:val="18"/>
                <w:vertAlign w:val="baseline"/>
              </w:rPr>
            </w:pPr>
          </w:p>
        </w:tc>
        <w:tc>
          <w:tcPr>
            <w:tcW w:w="2099" w:type="dxa"/>
          </w:tcPr>
          <w:p>
            <w:pPr>
              <w:numPr>
                <w:ilvl w:val="0"/>
                <w:numId w:val="0"/>
              </w:numPr>
              <w:jc w:val="center"/>
              <w:rPr>
                <w:rFonts w:hint="default" w:eastAsia="宋体"/>
                <w:b/>
                <w:bCs/>
                <w:sz w:val="18"/>
                <w:szCs w:val="18"/>
                <w:vertAlign w:val="baseline"/>
                <w:lang w:val="en-US" w:eastAsia="zh-CN"/>
              </w:rPr>
            </w:pPr>
            <w:r>
              <w:rPr>
                <w:rFonts w:hint="eastAsia"/>
                <w:b/>
                <w:bCs/>
                <w:sz w:val="18"/>
                <w:szCs w:val="18"/>
                <w:vertAlign w:val="baseline"/>
                <w:lang w:val="en-US" w:eastAsia="zh-CN"/>
              </w:rPr>
              <w:t>*联系电话</w:t>
            </w:r>
          </w:p>
        </w:tc>
        <w:tc>
          <w:tcPr>
            <w:tcW w:w="3668" w:type="dxa"/>
          </w:tcPr>
          <w:p>
            <w:pPr>
              <w:numPr>
                <w:ilvl w:val="0"/>
                <w:numId w:val="0"/>
              </w:numPr>
              <w:jc w:val="center"/>
              <w:rPr>
                <w:sz w:val="18"/>
                <w:szCs w:val="18"/>
                <w:vertAlign w:val="baseline"/>
              </w:rPr>
            </w:pPr>
          </w:p>
        </w:tc>
        <w:tc>
          <w:tcPr>
            <w:tcW w:w="1025" w:type="dxa"/>
            <w:gridSpan w:val="2"/>
          </w:tcPr>
          <w:p>
            <w:pPr>
              <w:numPr>
                <w:ilvl w:val="0"/>
                <w:numId w:val="0"/>
              </w:numPr>
              <w:jc w:val="center"/>
              <w:rPr>
                <w:rFonts w:hint="default" w:eastAsia="宋体"/>
                <w:sz w:val="18"/>
                <w:szCs w:val="18"/>
                <w:vertAlign w:val="baseline"/>
                <w:lang w:val="en-US" w:eastAsia="zh-CN"/>
              </w:rPr>
            </w:pPr>
            <w:r>
              <w:rPr>
                <w:rFonts w:hint="eastAsia"/>
                <w:sz w:val="18"/>
                <w:szCs w:val="18"/>
                <w:vertAlign w:val="baseline"/>
                <w:lang w:val="en-US" w:eastAsia="zh-CN"/>
              </w:rPr>
              <w:t>固话</w:t>
            </w:r>
          </w:p>
        </w:tc>
        <w:tc>
          <w:tcPr>
            <w:tcW w:w="2643" w:type="dxa"/>
          </w:tcPr>
          <w:p>
            <w:pPr>
              <w:numPr>
                <w:ilvl w:val="0"/>
                <w:numId w:val="0"/>
              </w:numPr>
              <w:jc w:val="center"/>
              <w:rPr>
                <w:sz w:val="18"/>
                <w:szCs w:val="18"/>
                <w:vertAlign w:val="baseline"/>
              </w:rPr>
            </w:pPr>
          </w:p>
        </w:tc>
      </w:tr>
    </w:tbl>
    <w:p>
      <w:pPr>
        <w:pStyle w:val="9"/>
        <w:bidi w:val="0"/>
        <w:rPr>
          <w:rFonts w:hint="eastAsia"/>
          <w:sz w:val="18"/>
          <w:szCs w:val="18"/>
        </w:rPr>
      </w:pPr>
      <w:r>
        <w:rPr>
          <w:rFonts w:hint="eastAsia"/>
          <w:sz w:val="18"/>
          <w:szCs w:val="18"/>
        </w:rPr>
        <w:t>备注：请仔细阅读备注内容，以上内容请务必用正楷填写（可以机打），签章必须使用鲜章，其他任何形式签章无效（开户银行联行号必填）。</w:t>
      </w:r>
    </w:p>
    <w:p>
      <w:pPr>
        <w:pStyle w:val="9"/>
        <w:bidi w:val="0"/>
        <w:rPr>
          <w:rFonts w:hint="eastAsia"/>
          <w:sz w:val="18"/>
          <w:szCs w:val="18"/>
        </w:rPr>
      </w:pPr>
      <w:r>
        <w:rPr>
          <w:rFonts w:hint="eastAsia"/>
          <w:sz w:val="18"/>
          <w:szCs w:val="18"/>
          <w:lang w:val="en-US" w:eastAsia="zh-CN"/>
        </w:rPr>
        <w:t>1、</w:t>
      </w:r>
      <w:r>
        <w:rPr>
          <w:rFonts w:hint="eastAsia"/>
          <w:sz w:val="18"/>
          <w:szCs w:val="18"/>
        </w:rPr>
        <w:t>投标单位应提供缴纳投标保证金账户的开户许可证或银行印鉴卡复印件加盖公章(2019年之后新成立公司提供基本存款账户信息表)。</w:t>
      </w:r>
    </w:p>
    <w:p>
      <w:pPr>
        <w:pStyle w:val="9"/>
        <w:bidi w:val="0"/>
        <w:rPr>
          <w:sz w:val="18"/>
          <w:szCs w:val="18"/>
        </w:rPr>
      </w:pPr>
      <w:r>
        <w:rPr>
          <w:rFonts w:hint="eastAsia"/>
          <w:sz w:val="18"/>
          <w:szCs w:val="18"/>
          <w:lang w:val="en-US" w:eastAsia="zh-CN"/>
        </w:rPr>
        <w:t>2、</w:t>
      </w:r>
      <w:r>
        <w:rPr>
          <w:rFonts w:hint="eastAsia"/>
          <w:sz w:val="18"/>
          <w:szCs w:val="18"/>
        </w:rPr>
        <w:t>投标单位以现金存款方式到银行柜台或自动设备缴纳投标保证金的，请提供进账单原件或复印件加盖鲜章；</w:t>
      </w:r>
    </w:p>
    <w:p>
      <w:pPr>
        <w:pStyle w:val="9"/>
        <w:bidi w:val="0"/>
        <w:rPr>
          <w:rFonts w:hint="eastAsia"/>
          <w:sz w:val="18"/>
          <w:szCs w:val="18"/>
        </w:rPr>
      </w:pPr>
      <w:r>
        <w:rPr>
          <w:rFonts w:hint="eastAsia"/>
          <w:sz w:val="18"/>
          <w:szCs w:val="18"/>
          <w:lang w:val="en-US" w:eastAsia="zh-CN"/>
        </w:rPr>
        <w:t>3、</w:t>
      </w:r>
      <w:r>
        <w:rPr>
          <w:rFonts w:hint="eastAsia"/>
          <w:sz w:val="18"/>
          <w:szCs w:val="18"/>
        </w:rPr>
        <w:t>投标单位以公对公转账缴纳投标保证金的，请提供转账单复印件加盖鲜章；</w:t>
      </w:r>
    </w:p>
    <w:p>
      <w:pPr>
        <w:pStyle w:val="9"/>
        <w:bidi w:val="0"/>
        <w:rPr>
          <w:sz w:val="18"/>
          <w:szCs w:val="18"/>
        </w:rPr>
      </w:pPr>
      <w:r>
        <w:rPr>
          <w:rFonts w:hint="eastAsia"/>
          <w:sz w:val="18"/>
          <w:szCs w:val="18"/>
          <w:lang w:val="en-US" w:eastAsia="zh-CN"/>
        </w:rPr>
        <w:t>4、</w:t>
      </w:r>
      <w:r>
        <w:rPr>
          <w:rFonts w:hint="eastAsia"/>
          <w:sz w:val="18"/>
          <w:szCs w:val="18"/>
        </w:rPr>
        <w:t>中标单位应在合同签订后5日内到招标公司办理保证金退还手续，同时向招标公司提供中标通知书及项目合同原件各贰份；</w:t>
      </w:r>
    </w:p>
    <w:p>
      <w:pPr>
        <w:pStyle w:val="9"/>
        <w:bidi w:val="0"/>
        <w:rPr>
          <w:sz w:val="18"/>
          <w:szCs w:val="18"/>
        </w:rPr>
      </w:pPr>
      <w:r>
        <w:rPr>
          <w:rFonts w:hint="eastAsia"/>
          <w:sz w:val="18"/>
          <w:szCs w:val="18"/>
          <w:lang w:val="en-US" w:eastAsia="zh-CN"/>
        </w:rPr>
        <w:t>5、</w:t>
      </w:r>
      <w:r>
        <w:rPr>
          <w:rFonts w:hint="eastAsia"/>
          <w:sz w:val="18"/>
          <w:szCs w:val="18"/>
        </w:rPr>
        <w:t>中标单位应在保证金退还资料提交的同时，应提供缴纳招标代理服务费用凭证（以招标代理机构出具的收据或发票复印件加盖鲜章为准）：</w:t>
      </w:r>
    </w:p>
    <w:p>
      <w:pPr>
        <w:pStyle w:val="9"/>
        <w:bidi w:val="0"/>
        <w:rPr>
          <w:rFonts w:hint="eastAsia"/>
          <w:sz w:val="16"/>
          <w:szCs w:val="15"/>
          <w:lang w:val="en-US" w:eastAsia="zh-CN"/>
        </w:rPr>
      </w:pPr>
      <w:r>
        <w:rPr>
          <w:rFonts w:hint="eastAsia"/>
          <w:sz w:val="18"/>
          <w:szCs w:val="18"/>
          <w:lang w:val="en-US" w:eastAsia="zh-CN"/>
        </w:rPr>
        <w:t>6、带“*”为必填内容（因其他特殊原因现金缴纳保证金单位可不填写退还账户信息，但需向招标代理机构提供缴纳保证金凭证原件及收款收据。</w:t>
      </w:r>
    </w:p>
    <w:p>
      <w:pPr>
        <w:pStyle w:val="12"/>
      </w:pPr>
    </w:p>
    <w:p/>
    <w:p>
      <w:pPr>
        <w:spacing w:line="360" w:lineRule="auto"/>
        <w:ind w:firstLine="600" w:firstLineChars="200"/>
        <w:rPr>
          <w:rFonts w:ascii="仿宋" w:hAnsi="仿宋" w:eastAsia="仿宋" w:cs="仿宋"/>
          <w:sz w:val="30"/>
          <w:szCs w:val="30"/>
        </w:rPr>
      </w:pPr>
      <w:bookmarkStart w:id="233" w:name="_GoBack"/>
      <w:bookmarkEnd w:id="233"/>
    </w:p>
    <w:sectPr>
      <w:pgSz w:w="16838" w:h="11906" w:orient="landscape"/>
      <w:pgMar w:top="1684" w:right="1191" w:bottom="168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1"/>
      <w:rPr>
        <w:rFonts w:hint="eastAsia" w:eastAsia="宋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１</w:t>
                    </w:r>
                    <w:r>
                      <w:fldChar w:fldCharType="end"/>
                    </w:r>
                  </w:p>
                </w:txbxContent>
              </v:textbox>
            </v:shape>
          </w:pict>
        </mc:Fallback>
      </mc:AlternateContent>
    </w:r>
    <w:r>
      <w:rPr>
        <w:rFonts w:hint="eastAsia"/>
        <w:sz w:val="18"/>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２９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２９</w:t>
                    </w:r>
                    <w:r>
                      <w:fldChar w:fldCharType="end"/>
                    </w:r>
                  </w:p>
                </w:txbxContent>
              </v:textbox>
            </v:shape>
          </w:pict>
        </mc:Fallback>
      </mc:AlternateContent>
    </w:r>
  </w:p>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eastAsia="华文楷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４９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４９</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１１８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１１８</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0C349"/>
    <w:multiLevelType w:val="singleLevel"/>
    <w:tmpl w:val="8540C349"/>
    <w:lvl w:ilvl="0" w:tentative="0">
      <w:start w:val="1"/>
      <w:numFmt w:val="chineseCounting"/>
      <w:suff w:val="nothing"/>
      <w:lvlText w:val="%1、"/>
      <w:lvlJc w:val="left"/>
      <w:rPr>
        <w:rFonts w:hint="eastAsia"/>
      </w:rPr>
    </w:lvl>
  </w:abstractNum>
  <w:abstractNum w:abstractNumId="1">
    <w:nsid w:val="94F0A1F1"/>
    <w:multiLevelType w:val="singleLevel"/>
    <w:tmpl w:val="94F0A1F1"/>
    <w:lvl w:ilvl="0" w:tentative="0">
      <w:start w:val="1"/>
      <w:numFmt w:val="decimal"/>
      <w:suff w:val="nothing"/>
      <w:lvlText w:val="（%1）"/>
      <w:lvlJc w:val="left"/>
    </w:lvl>
  </w:abstractNum>
  <w:abstractNum w:abstractNumId="2">
    <w:nsid w:val="BC332943"/>
    <w:multiLevelType w:val="singleLevel"/>
    <w:tmpl w:val="BC332943"/>
    <w:lvl w:ilvl="0" w:tentative="0">
      <w:start w:val="1"/>
      <w:numFmt w:val="decimal"/>
      <w:suff w:val="nothing"/>
      <w:lvlText w:val="（%1）"/>
      <w:lvlJc w:val="left"/>
    </w:lvl>
  </w:abstractNum>
  <w:abstractNum w:abstractNumId="3">
    <w:nsid w:val="D7891E6F"/>
    <w:multiLevelType w:val="singleLevel"/>
    <w:tmpl w:val="D7891E6F"/>
    <w:lvl w:ilvl="0" w:tentative="0">
      <w:start w:val="10"/>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第%1章、"/>
      <w:lvlJc w:val="left"/>
      <w:pPr>
        <w:ind w:left="420" w:hanging="420"/>
      </w:pPr>
      <w:rPr>
        <w:rFonts w:hint="eastAsia" w:ascii="黑体" w:hAnsi="黑体" w:eastAsia="黑体"/>
        <w:b w:val="0"/>
        <w:bCs w:val="0"/>
        <w:i w:val="0"/>
        <w:iCs w:val="0"/>
        <w:caps w:val="0"/>
        <w:smallCaps w:val="0"/>
        <w:strike w:val="0"/>
        <w:dstrike w:val="0"/>
        <w:vanish w:val="0"/>
        <w:spacing w:val="0"/>
        <w:position w:val="0"/>
        <w:sz w:val="32"/>
        <w:szCs w:val="32"/>
        <w:u w:val="none"/>
        <w:vertAlign w:val="baseline"/>
      </w:rPr>
    </w:lvl>
    <w:lvl w:ilvl="1" w:tentative="0">
      <w:start w:val="1"/>
      <w:numFmt w:val="decimal"/>
      <w:isLgl/>
      <w:suff w:val="space"/>
      <w:lvlText w:val="%1.%2、"/>
      <w:lvlJc w:val="left"/>
      <w:pPr>
        <w:ind w:left="113" w:firstLine="0"/>
      </w:pPr>
      <w:rPr>
        <w:rFonts w:hint="eastAsia" w:ascii="黑体" w:hAnsi="黑体" w:eastAsia="黑体" w:cs="Times New Roman"/>
        <w:b w:val="0"/>
        <w:bCs w:val="0"/>
        <w:i w:val="0"/>
        <w:iCs w:val="0"/>
        <w:caps w:val="0"/>
        <w:smallCaps w:val="0"/>
        <w:strike w:val="0"/>
        <w:dstrike w:val="0"/>
        <w:vanish w:val="0"/>
        <w:color w:val="auto"/>
        <w:spacing w:val="0"/>
        <w:w w:val="100"/>
        <w:kern w:val="2"/>
        <w:position w:val="0"/>
        <w:sz w:val="30"/>
        <w:szCs w:val="30"/>
        <w:u w:val="none"/>
        <w:shd w:val="clear" w:color="auto" w:fill="auto"/>
        <w:vertAlign w:val="baseline"/>
        <w:lang w:val="en-US"/>
      </w:rPr>
    </w:lvl>
    <w:lvl w:ilvl="2" w:tentative="0">
      <w:start w:val="1"/>
      <w:numFmt w:val="decimal"/>
      <w:isLgl/>
      <w:suff w:val="space"/>
      <w:lvlText w:val="%1.%2.%3、"/>
      <w:lvlJc w:val="left"/>
      <w:pPr>
        <w:ind w:left="227" w:firstLine="0"/>
      </w:pPr>
      <w:rPr>
        <w:rFonts w:hint="eastAsia" w:ascii="黑体" w:hAnsi="黑体" w:eastAsia="黑体" w:cs="Times New Roman"/>
        <w:b w:val="0"/>
        <w:bCs w:val="0"/>
        <w:i w:val="0"/>
        <w:iCs w:val="0"/>
        <w:caps w:val="0"/>
        <w:smallCaps w:val="0"/>
        <w:strike w:val="0"/>
        <w:dstrike w:val="0"/>
        <w:vanish w:val="0"/>
        <w:spacing w:val="0"/>
        <w:kern w:val="0"/>
        <w:position w:val="0"/>
        <w:sz w:val="30"/>
        <w:szCs w:val="30"/>
        <w:u w:val="none"/>
        <w:vertAlign w:val="baseline"/>
      </w:rPr>
    </w:lvl>
    <w:lvl w:ilvl="3" w:tentative="0">
      <w:start w:val="1"/>
      <w:numFmt w:val="decimal"/>
      <w:isLgl/>
      <w:suff w:val="space"/>
      <w:lvlText w:val="%1.%2.%3.%4、"/>
      <w:lvlJc w:val="left"/>
      <w:pPr>
        <w:ind w:left="454" w:firstLine="0"/>
      </w:pPr>
      <w:rPr>
        <w:rFonts w:hint="default" w:ascii="黑体" w:hAnsi="黑体" w:eastAsia="黑体"/>
        <w:b w:val="0"/>
        <w:i w:val="0"/>
        <w:sz w:val="30"/>
      </w:rPr>
    </w:lvl>
    <w:lvl w:ilvl="4" w:tentative="0">
      <w:start w:val="1"/>
      <w:numFmt w:val="decimal"/>
      <w:pStyle w:val="7"/>
      <w:isLgl/>
      <w:suff w:val="space"/>
      <w:lvlText w:val="%1.%2.%3.%4.%5、"/>
      <w:lvlJc w:val="left"/>
      <w:pPr>
        <w:ind w:left="0" w:firstLine="0"/>
      </w:pPr>
      <w:rPr>
        <w:rFonts w:hint="default" w:ascii="黑体" w:hAnsi="黑体"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spacing w:val="0"/>
        <w:position w:val="0"/>
        <w:u w:val="none"/>
        <w:vertAlign w:val="baseline"/>
      </w:rPr>
    </w:lvl>
  </w:abstractNum>
  <w:abstractNum w:abstractNumId="5">
    <w:nsid w:val="00000013"/>
    <w:multiLevelType w:val="multilevel"/>
    <w:tmpl w:val="00000013"/>
    <w:lvl w:ilvl="0" w:tentative="0">
      <w:start w:val="1"/>
      <w:numFmt w:val="decimal"/>
      <w:pStyle w:val="10"/>
      <w:suff w:val="space"/>
      <w:lvlText w:val="图%1"/>
      <w:lvlJc w:val="left"/>
      <w:pPr>
        <w:ind w:left="2263" w:hanging="420"/>
      </w:pPr>
      <w:rPr>
        <w:rFonts w:hint="eastAsia"/>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42AA4675"/>
    <w:multiLevelType w:val="multilevel"/>
    <w:tmpl w:val="42AA467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CD2C62"/>
    <w:multiLevelType w:val="multilevel"/>
    <w:tmpl w:val="48CD2C62"/>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4A0D29"/>
    <w:multiLevelType w:val="multilevel"/>
    <w:tmpl w:val="4B4A0D2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3BB771"/>
    <w:multiLevelType w:val="singleLevel"/>
    <w:tmpl w:val="543BB771"/>
    <w:lvl w:ilvl="0" w:tentative="0">
      <w:start w:val="2"/>
      <w:numFmt w:val="chineseCounting"/>
      <w:suff w:val="space"/>
      <w:lvlText w:val="%1、"/>
      <w:lvlJc w:val="left"/>
      <w:rPr>
        <w:rFonts w:hint="eastAsia"/>
      </w:rPr>
    </w:lvl>
  </w:abstractNum>
  <w:abstractNum w:abstractNumId="10">
    <w:nsid w:val="5A241D34"/>
    <w:multiLevelType w:val="multilevel"/>
    <w:tmpl w:val="5A241D34"/>
    <w:lvl w:ilvl="0" w:tentative="0">
      <w:start w:val="2"/>
      <w:numFmt w:val="decimal"/>
      <w:lvlText w:val="%1."/>
      <w:lvlJc w:val="left"/>
      <w:pPr>
        <w:ind w:left="36" w:hanging="241"/>
      </w:pPr>
      <w:rPr>
        <w:rFonts w:hint="default" w:ascii="宋体" w:hAnsi="宋体" w:eastAsia="宋体" w:cs="宋体"/>
        <w:spacing w:val="-15"/>
        <w:w w:val="100"/>
        <w:sz w:val="22"/>
        <w:szCs w:val="22"/>
        <w:lang w:val="zh-CN" w:eastAsia="zh-CN" w:bidi="zh-CN"/>
      </w:rPr>
    </w:lvl>
    <w:lvl w:ilvl="1" w:tentative="0">
      <w:start w:val="1"/>
      <w:numFmt w:val="decimal"/>
      <w:lvlText w:val="%1.%2"/>
      <w:lvlJc w:val="left"/>
      <w:pPr>
        <w:ind w:left="36" w:hanging="423"/>
      </w:pPr>
      <w:rPr>
        <w:rFonts w:hint="default"/>
        <w:w w:val="100"/>
        <w:lang w:val="zh-CN" w:eastAsia="zh-CN" w:bidi="zh-CN"/>
      </w:rPr>
    </w:lvl>
    <w:lvl w:ilvl="2" w:tentative="0">
      <w:start w:val="0"/>
      <w:numFmt w:val="bullet"/>
      <w:lvlText w:val="•"/>
      <w:lvlJc w:val="left"/>
      <w:pPr>
        <w:ind w:left="1428" w:hanging="423"/>
      </w:pPr>
      <w:rPr>
        <w:rFonts w:hint="default"/>
        <w:lang w:val="zh-CN" w:eastAsia="zh-CN" w:bidi="zh-CN"/>
      </w:rPr>
    </w:lvl>
    <w:lvl w:ilvl="3" w:tentative="0">
      <w:start w:val="0"/>
      <w:numFmt w:val="bullet"/>
      <w:lvlText w:val="•"/>
      <w:lvlJc w:val="left"/>
      <w:pPr>
        <w:ind w:left="2122" w:hanging="423"/>
      </w:pPr>
      <w:rPr>
        <w:rFonts w:hint="default"/>
        <w:lang w:val="zh-CN" w:eastAsia="zh-CN" w:bidi="zh-CN"/>
      </w:rPr>
    </w:lvl>
    <w:lvl w:ilvl="4" w:tentative="0">
      <w:start w:val="0"/>
      <w:numFmt w:val="bullet"/>
      <w:lvlText w:val="•"/>
      <w:lvlJc w:val="left"/>
      <w:pPr>
        <w:ind w:left="2816" w:hanging="423"/>
      </w:pPr>
      <w:rPr>
        <w:rFonts w:hint="default"/>
        <w:lang w:val="zh-CN" w:eastAsia="zh-CN" w:bidi="zh-CN"/>
      </w:rPr>
    </w:lvl>
    <w:lvl w:ilvl="5" w:tentative="0">
      <w:start w:val="0"/>
      <w:numFmt w:val="bullet"/>
      <w:lvlText w:val="•"/>
      <w:lvlJc w:val="left"/>
      <w:pPr>
        <w:ind w:left="3510" w:hanging="423"/>
      </w:pPr>
      <w:rPr>
        <w:rFonts w:hint="default"/>
        <w:lang w:val="zh-CN" w:eastAsia="zh-CN" w:bidi="zh-CN"/>
      </w:rPr>
    </w:lvl>
    <w:lvl w:ilvl="6" w:tentative="0">
      <w:start w:val="0"/>
      <w:numFmt w:val="bullet"/>
      <w:lvlText w:val="•"/>
      <w:lvlJc w:val="left"/>
      <w:pPr>
        <w:ind w:left="4204" w:hanging="423"/>
      </w:pPr>
      <w:rPr>
        <w:rFonts w:hint="default"/>
        <w:lang w:val="zh-CN" w:eastAsia="zh-CN" w:bidi="zh-CN"/>
      </w:rPr>
    </w:lvl>
    <w:lvl w:ilvl="7" w:tentative="0">
      <w:start w:val="0"/>
      <w:numFmt w:val="bullet"/>
      <w:lvlText w:val="•"/>
      <w:lvlJc w:val="left"/>
      <w:pPr>
        <w:ind w:left="4898" w:hanging="423"/>
      </w:pPr>
      <w:rPr>
        <w:rFonts w:hint="default"/>
        <w:lang w:val="zh-CN" w:eastAsia="zh-CN" w:bidi="zh-CN"/>
      </w:rPr>
    </w:lvl>
    <w:lvl w:ilvl="8" w:tentative="0">
      <w:start w:val="0"/>
      <w:numFmt w:val="bullet"/>
      <w:lvlText w:val="•"/>
      <w:lvlJc w:val="left"/>
      <w:pPr>
        <w:ind w:left="5592" w:hanging="423"/>
      </w:pPr>
      <w:rPr>
        <w:rFonts w:hint="default"/>
        <w:lang w:val="zh-CN" w:eastAsia="zh-CN" w:bidi="zh-CN"/>
      </w:rPr>
    </w:lvl>
  </w:abstractNum>
  <w:abstractNum w:abstractNumId="11">
    <w:nsid w:val="5D683966"/>
    <w:multiLevelType w:val="multilevel"/>
    <w:tmpl w:val="5D683966"/>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F1F38AD"/>
    <w:multiLevelType w:val="singleLevel"/>
    <w:tmpl w:val="6F1F38AD"/>
    <w:lvl w:ilvl="0" w:tentative="0">
      <w:start w:val="15"/>
      <w:numFmt w:val="chineseCounting"/>
      <w:suff w:val="nothing"/>
      <w:lvlText w:val="%1、"/>
      <w:lvlJc w:val="left"/>
      <w:rPr>
        <w:rFonts w:hint="eastAsia"/>
      </w:rPr>
    </w:lvl>
  </w:abstractNum>
  <w:num w:numId="1">
    <w:abstractNumId w:val="4"/>
  </w:num>
  <w:num w:numId="2">
    <w:abstractNumId w:val="5"/>
  </w:num>
  <w:num w:numId="3">
    <w:abstractNumId w:val="0"/>
  </w:num>
  <w:num w:numId="4">
    <w:abstractNumId w:val="10"/>
  </w:num>
  <w:num w:numId="5">
    <w:abstractNumId w:val="9"/>
  </w:num>
  <w:num w:numId="6">
    <w:abstractNumId w:val="2"/>
  </w:num>
  <w:num w:numId="7">
    <w:abstractNumId w:val="1"/>
  </w:num>
  <w:num w:numId="8">
    <w:abstractNumId w:val="12"/>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YjM4YTMzN2UwZTZhNThlYzMxNzVkODExMjFiNDkifQ=="/>
  </w:docVars>
  <w:rsids>
    <w:rsidRoot w:val="00254F82"/>
    <w:rsid w:val="00026187"/>
    <w:rsid w:val="00033436"/>
    <w:rsid w:val="000335AE"/>
    <w:rsid w:val="00051ABE"/>
    <w:rsid w:val="00077F34"/>
    <w:rsid w:val="000804E8"/>
    <w:rsid w:val="000A5EBA"/>
    <w:rsid w:val="000A72FE"/>
    <w:rsid w:val="000B0E2E"/>
    <w:rsid w:val="000E0139"/>
    <w:rsid w:val="00101985"/>
    <w:rsid w:val="00111440"/>
    <w:rsid w:val="0013551F"/>
    <w:rsid w:val="001462C6"/>
    <w:rsid w:val="00150AC0"/>
    <w:rsid w:val="00154416"/>
    <w:rsid w:val="00154493"/>
    <w:rsid w:val="001664B3"/>
    <w:rsid w:val="001A5167"/>
    <w:rsid w:val="001A6AC5"/>
    <w:rsid w:val="001B24D4"/>
    <w:rsid w:val="001C61F1"/>
    <w:rsid w:val="002012D3"/>
    <w:rsid w:val="002161F6"/>
    <w:rsid w:val="00254F82"/>
    <w:rsid w:val="00255A07"/>
    <w:rsid w:val="00264452"/>
    <w:rsid w:val="00296E1A"/>
    <w:rsid w:val="00310160"/>
    <w:rsid w:val="00332D0D"/>
    <w:rsid w:val="00355E96"/>
    <w:rsid w:val="00382B2E"/>
    <w:rsid w:val="003A645C"/>
    <w:rsid w:val="003B28C0"/>
    <w:rsid w:val="003E71BD"/>
    <w:rsid w:val="004312B0"/>
    <w:rsid w:val="0045734F"/>
    <w:rsid w:val="00471B80"/>
    <w:rsid w:val="004A64E4"/>
    <w:rsid w:val="004E575F"/>
    <w:rsid w:val="004F5763"/>
    <w:rsid w:val="00514771"/>
    <w:rsid w:val="00534565"/>
    <w:rsid w:val="00541D72"/>
    <w:rsid w:val="005863EB"/>
    <w:rsid w:val="00594AEE"/>
    <w:rsid w:val="00595D77"/>
    <w:rsid w:val="005F71AD"/>
    <w:rsid w:val="006204F7"/>
    <w:rsid w:val="0062369E"/>
    <w:rsid w:val="00626623"/>
    <w:rsid w:val="0063295E"/>
    <w:rsid w:val="00632B19"/>
    <w:rsid w:val="00647E59"/>
    <w:rsid w:val="00670CD9"/>
    <w:rsid w:val="006853D4"/>
    <w:rsid w:val="00694DFD"/>
    <w:rsid w:val="006C6673"/>
    <w:rsid w:val="007228B5"/>
    <w:rsid w:val="00736A45"/>
    <w:rsid w:val="0076500D"/>
    <w:rsid w:val="007673E5"/>
    <w:rsid w:val="007754D7"/>
    <w:rsid w:val="007C1B52"/>
    <w:rsid w:val="007C3608"/>
    <w:rsid w:val="00876726"/>
    <w:rsid w:val="00880554"/>
    <w:rsid w:val="00886207"/>
    <w:rsid w:val="008B470A"/>
    <w:rsid w:val="008F401F"/>
    <w:rsid w:val="009102ED"/>
    <w:rsid w:val="009116A3"/>
    <w:rsid w:val="00946370"/>
    <w:rsid w:val="009655F3"/>
    <w:rsid w:val="00977595"/>
    <w:rsid w:val="00990ECA"/>
    <w:rsid w:val="00A0678C"/>
    <w:rsid w:val="00A20686"/>
    <w:rsid w:val="00A83A58"/>
    <w:rsid w:val="00A84837"/>
    <w:rsid w:val="00AC22FF"/>
    <w:rsid w:val="00AE43F7"/>
    <w:rsid w:val="00B07711"/>
    <w:rsid w:val="00B133A2"/>
    <w:rsid w:val="00B71949"/>
    <w:rsid w:val="00BA2D4A"/>
    <w:rsid w:val="00BA438C"/>
    <w:rsid w:val="00BD4752"/>
    <w:rsid w:val="00BE27B3"/>
    <w:rsid w:val="00BF0CF6"/>
    <w:rsid w:val="00C21727"/>
    <w:rsid w:val="00C62363"/>
    <w:rsid w:val="00C633AE"/>
    <w:rsid w:val="00C73C4E"/>
    <w:rsid w:val="00C81999"/>
    <w:rsid w:val="00C84D62"/>
    <w:rsid w:val="00C95F84"/>
    <w:rsid w:val="00CD7363"/>
    <w:rsid w:val="00CF3044"/>
    <w:rsid w:val="00D015E8"/>
    <w:rsid w:val="00D16CD8"/>
    <w:rsid w:val="00D40256"/>
    <w:rsid w:val="00D41DEE"/>
    <w:rsid w:val="00D535CA"/>
    <w:rsid w:val="00DA236E"/>
    <w:rsid w:val="00DC7A0E"/>
    <w:rsid w:val="00DD0682"/>
    <w:rsid w:val="00DE58BE"/>
    <w:rsid w:val="00DE5AB3"/>
    <w:rsid w:val="00DF36A4"/>
    <w:rsid w:val="00E00D7E"/>
    <w:rsid w:val="00E16D05"/>
    <w:rsid w:val="00E173BD"/>
    <w:rsid w:val="00E504BE"/>
    <w:rsid w:val="00E90520"/>
    <w:rsid w:val="00EA2A1F"/>
    <w:rsid w:val="00ED463E"/>
    <w:rsid w:val="00F00FEC"/>
    <w:rsid w:val="00F04832"/>
    <w:rsid w:val="00F146CD"/>
    <w:rsid w:val="00F1522F"/>
    <w:rsid w:val="00F307CC"/>
    <w:rsid w:val="00F32C95"/>
    <w:rsid w:val="00FA5917"/>
    <w:rsid w:val="00FB6676"/>
    <w:rsid w:val="00FF7A58"/>
    <w:rsid w:val="010069B8"/>
    <w:rsid w:val="010837F9"/>
    <w:rsid w:val="010C03FC"/>
    <w:rsid w:val="01101CB4"/>
    <w:rsid w:val="0112745B"/>
    <w:rsid w:val="01176102"/>
    <w:rsid w:val="01242FB6"/>
    <w:rsid w:val="012C0A51"/>
    <w:rsid w:val="012E02E5"/>
    <w:rsid w:val="012F0948"/>
    <w:rsid w:val="012F1189"/>
    <w:rsid w:val="01320DE8"/>
    <w:rsid w:val="0134558C"/>
    <w:rsid w:val="013B4738"/>
    <w:rsid w:val="013C26B7"/>
    <w:rsid w:val="013F50D0"/>
    <w:rsid w:val="014A4498"/>
    <w:rsid w:val="014C179C"/>
    <w:rsid w:val="014F0860"/>
    <w:rsid w:val="01542572"/>
    <w:rsid w:val="01557D1E"/>
    <w:rsid w:val="015D2456"/>
    <w:rsid w:val="016108E2"/>
    <w:rsid w:val="01675112"/>
    <w:rsid w:val="0169037B"/>
    <w:rsid w:val="016A7C6B"/>
    <w:rsid w:val="01733094"/>
    <w:rsid w:val="017C75AF"/>
    <w:rsid w:val="01857865"/>
    <w:rsid w:val="018D0142"/>
    <w:rsid w:val="0193199B"/>
    <w:rsid w:val="019572B9"/>
    <w:rsid w:val="019B58EA"/>
    <w:rsid w:val="01A007DF"/>
    <w:rsid w:val="01AD457D"/>
    <w:rsid w:val="01AE3A07"/>
    <w:rsid w:val="01AE3DDE"/>
    <w:rsid w:val="01AF7276"/>
    <w:rsid w:val="01B25FB7"/>
    <w:rsid w:val="01B363FD"/>
    <w:rsid w:val="01B85538"/>
    <w:rsid w:val="01BA1BA2"/>
    <w:rsid w:val="01BC021E"/>
    <w:rsid w:val="01BC653E"/>
    <w:rsid w:val="01C06FD1"/>
    <w:rsid w:val="01C07993"/>
    <w:rsid w:val="01CF64E3"/>
    <w:rsid w:val="01D13A60"/>
    <w:rsid w:val="01D924EA"/>
    <w:rsid w:val="01DB55E6"/>
    <w:rsid w:val="01DD239D"/>
    <w:rsid w:val="01EA45B2"/>
    <w:rsid w:val="01EA4DE5"/>
    <w:rsid w:val="01F24773"/>
    <w:rsid w:val="01F3001C"/>
    <w:rsid w:val="01F46EBF"/>
    <w:rsid w:val="020159F8"/>
    <w:rsid w:val="0207331E"/>
    <w:rsid w:val="020B096B"/>
    <w:rsid w:val="020B14BB"/>
    <w:rsid w:val="020B4864"/>
    <w:rsid w:val="020D762A"/>
    <w:rsid w:val="020E5F22"/>
    <w:rsid w:val="020E75D8"/>
    <w:rsid w:val="02172148"/>
    <w:rsid w:val="021A5F77"/>
    <w:rsid w:val="022106E3"/>
    <w:rsid w:val="0228513F"/>
    <w:rsid w:val="023520CC"/>
    <w:rsid w:val="0235349C"/>
    <w:rsid w:val="023A2E19"/>
    <w:rsid w:val="023E24E6"/>
    <w:rsid w:val="02442821"/>
    <w:rsid w:val="02464815"/>
    <w:rsid w:val="0249352C"/>
    <w:rsid w:val="024A686C"/>
    <w:rsid w:val="024F2DD9"/>
    <w:rsid w:val="024F4E52"/>
    <w:rsid w:val="02554521"/>
    <w:rsid w:val="0260322D"/>
    <w:rsid w:val="02622442"/>
    <w:rsid w:val="026C26B4"/>
    <w:rsid w:val="026E5BEF"/>
    <w:rsid w:val="02716E93"/>
    <w:rsid w:val="02733646"/>
    <w:rsid w:val="027846C8"/>
    <w:rsid w:val="027A48CB"/>
    <w:rsid w:val="027B5FCD"/>
    <w:rsid w:val="027E0644"/>
    <w:rsid w:val="028635C0"/>
    <w:rsid w:val="028D0E47"/>
    <w:rsid w:val="028D68E8"/>
    <w:rsid w:val="029112E2"/>
    <w:rsid w:val="02925958"/>
    <w:rsid w:val="02954668"/>
    <w:rsid w:val="029903BA"/>
    <w:rsid w:val="029C717E"/>
    <w:rsid w:val="029E54E7"/>
    <w:rsid w:val="02A05033"/>
    <w:rsid w:val="02A92329"/>
    <w:rsid w:val="02A96EEE"/>
    <w:rsid w:val="02AA3828"/>
    <w:rsid w:val="02AB3D9D"/>
    <w:rsid w:val="02AC500B"/>
    <w:rsid w:val="02AC6062"/>
    <w:rsid w:val="02AF1145"/>
    <w:rsid w:val="02BF1BF9"/>
    <w:rsid w:val="02BF5BA4"/>
    <w:rsid w:val="02C502E0"/>
    <w:rsid w:val="02C53F49"/>
    <w:rsid w:val="02C67445"/>
    <w:rsid w:val="02C85B78"/>
    <w:rsid w:val="02CA0737"/>
    <w:rsid w:val="02CE0E5E"/>
    <w:rsid w:val="02CE376B"/>
    <w:rsid w:val="02D1393E"/>
    <w:rsid w:val="02D1706C"/>
    <w:rsid w:val="02E15F22"/>
    <w:rsid w:val="02E215CE"/>
    <w:rsid w:val="02E50DBC"/>
    <w:rsid w:val="02E811FF"/>
    <w:rsid w:val="02E8147D"/>
    <w:rsid w:val="02EB398D"/>
    <w:rsid w:val="02EC2D55"/>
    <w:rsid w:val="02F01231"/>
    <w:rsid w:val="02F03ECC"/>
    <w:rsid w:val="02F04870"/>
    <w:rsid w:val="03024333"/>
    <w:rsid w:val="03077199"/>
    <w:rsid w:val="031C30BF"/>
    <w:rsid w:val="031C58AF"/>
    <w:rsid w:val="0323019B"/>
    <w:rsid w:val="03241842"/>
    <w:rsid w:val="03281DE4"/>
    <w:rsid w:val="03292D83"/>
    <w:rsid w:val="032A6BD2"/>
    <w:rsid w:val="032B0191"/>
    <w:rsid w:val="032D38C5"/>
    <w:rsid w:val="032E2A6D"/>
    <w:rsid w:val="0334206C"/>
    <w:rsid w:val="03363257"/>
    <w:rsid w:val="03391E61"/>
    <w:rsid w:val="033931A1"/>
    <w:rsid w:val="03447378"/>
    <w:rsid w:val="03477B2B"/>
    <w:rsid w:val="034828CC"/>
    <w:rsid w:val="034B06D4"/>
    <w:rsid w:val="034E6562"/>
    <w:rsid w:val="03521798"/>
    <w:rsid w:val="03537EA2"/>
    <w:rsid w:val="0354753B"/>
    <w:rsid w:val="0356543B"/>
    <w:rsid w:val="035955FE"/>
    <w:rsid w:val="035B15B8"/>
    <w:rsid w:val="035C4BA9"/>
    <w:rsid w:val="036A42F4"/>
    <w:rsid w:val="036D1036"/>
    <w:rsid w:val="03706990"/>
    <w:rsid w:val="0376267C"/>
    <w:rsid w:val="037A2DE8"/>
    <w:rsid w:val="038750F1"/>
    <w:rsid w:val="038B4167"/>
    <w:rsid w:val="03903D75"/>
    <w:rsid w:val="039A7683"/>
    <w:rsid w:val="039E2332"/>
    <w:rsid w:val="03A62C92"/>
    <w:rsid w:val="03AE15F4"/>
    <w:rsid w:val="03AE742E"/>
    <w:rsid w:val="03B14CB0"/>
    <w:rsid w:val="03B15263"/>
    <w:rsid w:val="03B324EA"/>
    <w:rsid w:val="03B854C9"/>
    <w:rsid w:val="03C21431"/>
    <w:rsid w:val="03C3329B"/>
    <w:rsid w:val="03C348DE"/>
    <w:rsid w:val="03C67F48"/>
    <w:rsid w:val="03C76D5E"/>
    <w:rsid w:val="03CA33CB"/>
    <w:rsid w:val="03CA466D"/>
    <w:rsid w:val="03CC5880"/>
    <w:rsid w:val="03D42635"/>
    <w:rsid w:val="03D44EA3"/>
    <w:rsid w:val="03DA47B9"/>
    <w:rsid w:val="03DE5D91"/>
    <w:rsid w:val="03E01FA4"/>
    <w:rsid w:val="03E0532E"/>
    <w:rsid w:val="03E13A21"/>
    <w:rsid w:val="03E41926"/>
    <w:rsid w:val="03E55787"/>
    <w:rsid w:val="03E84F36"/>
    <w:rsid w:val="03EF67C3"/>
    <w:rsid w:val="03F40E09"/>
    <w:rsid w:val="03F96865"/>
    <w:rsid w:val="03FC724D"/>
    <w:rsid w:val="040161AB"/>
    <w:rsid w:val="04052F3E"/>
    <w:rsid w:val="0408307B"/>
    <w:rsid w:val="040C32B4"/>
    <w:rsid w:val="041518EB"/>
    <w:rsid w:val="04165596"/>
    <w:rsid w:val="0418319E"/>
    <w:rsid w:val="04184C46"/>
    <w:rsid w:val="0419217A"/>
    <w:rsid w:val="0423165E"/>
    <w:rsid w:val="04231AE8"/>
    <w:rsid w:val="0424660E"/>
    <w:rsid w:val="04306F92"/>
    <w:rsid w:val="043224D7"/>
    <w:rsid w:val="04330A84"/>
    <w:rsid w:val="043F6A1D"/>
    <w:rsid w:val="04403647"/>
    <w:rsid w:val="0441592B"/>
    <w:rsid w:val="0449755D"/>
    <w:rsid w:val="04502E18"/>
    <w:rsid w:val="04537AB1"/>
    <w:rsid w:val="04546CAB"/>
    <w:rsid w:val="04576CA4"/>
    <w:rsid w:val="045D0AC8"/>
    <w:rsid w:val="04645B8E"/>
    <w:rsid w:val="046A0208"/>
    <w:rsid w:val="046D1033"/>
    <w:rsid w:val="046D1F82"/>
    <w:rsid w:val="04767FCB"/>
    <w:rsid w:val="047B0364"/>
    <w:rsid w:val="047C1072"/>
    <w:rsid w:val="047F618D"/>
    <w:rsid w:val="04844C02"/>
    <w:rsid w:val="048E4AA4"/>
    <w:rsid w:val="048F6754"/>
    <w:rsid w:val="049443D3"/>
    <w:rsid w:val="04971952"/>
    <w:rsid w:val="049A2388"/>
    <w:rsid w:val="04A21938"/>
    <w:rsid w:val="04A44319"/>
    <w:rsid w:val="04A650E4"/>
    <w:rsid w:val="04A96714"/>
    <w:rsid w:val="04AB54EC"/>
    <w:rsid w:val="04B41450"/>
    <w:rsid w:val="04B54C13"/>
    <w:rsid w:val="04BF323B"/>
    <w:rsid w:val="04C8023C"/>
    <w:rsid w:val="04CD1798"/>
    <w:rsid w:val="04CF1D7D"/>
    <w:rsid w:val="04D34A23"/>
    <w:rsid w:val="04D56983"/>
    <w:rsid w:val="04D95D2A"/>
    <w:rsid w:val="04DC64AC"/>
    <w:rsid w:val="04E927DB"/>
    <w:rsid w:val="04EC1E54"/>
    <w:rsid w:val="04ED15F9"/>
    <w:rsid w:val="04EE2649"/>
    <w:rsid w:val="050630F9"/>
    <w:rsid w:val="05091B00"/>
    <w:rsid w:val="050C6C57"/>
    <w:rsid w:val="05186AFD"/>
    <w:rsid w:val="051C0C53"/>
    <w:rsid w:val="052B7400"/>
    <w:rsid w:val="052C3830"/>
    <w:rsid w:val="053A5099"/>
    <w:rsid w:val="053B448E"/>
    <w:rsid w:val="054648D7"/>
    <w:rsid w:val="0546613C"/>
    <w:rsid w:val="054A485D"/>
    <w:rsid w:val="054A55AF"/>
    <w:rsid w:val="054B7A11"/>
    <w:rsid w:val="054D1D40"/>
    <w:rsid w:val="054F6FCC"/>
    <w:rsid w:val="05504FC7"/>
    <w:rsid w:val="05536E72"/>
    <w:rsid w:val="05552CE7"/>
    <w:rsid w:val="0556263B"/>
    <w:rsid w:val="05590F2D"/>
    <w:rsid w:val="055929C9"/>
    <w:rsid w:val="055F0688"/>
    <w:rsid w:val="05630BD8"/>
    <w:rsid w:val="05730EF6"/>
    <w:rsid w:val="05785930"/>
    <w:rsid w:val="057A1BC3"/>
    <w:rsid w:val="057D03BD"/>
    <w:rsid w:val="05822210"/>
    <w:rsid w:val="058423E8"/>
    <w:rsid w:val="05874F64"/>
    <w:rsid w:val="058B3586"/>
    <w:rsid w:val="058C6FFD"/>
    <w:rsid w:val="058F52B1"/>
    <w:rsid w:val="05946325"/>
    <w:rsid w:val="0598451F"/>
    <w:rsid w:val="059B5339"/>
    <w:rsid w:val="059D539E"/>
    <w:rsid w:val="05A166BE"/>
    <w:rsid w:val="05A2632C"/>
    <w:rsid w:val="05A46905"/>
    <w:rsid w:val="05AA29AF"/>
    <w:rsid w:val="05BC3244"/>
    <w:rsid w:val="05C11A71"/>
    <w:rsid w:val="05C24CEE"/>
    <w:rsid w:val="05CB4C2D"/>
    <w:rsid w:val="05D65A6C"/>
    <w:rsid w:val="05DA43E3"/>
    <w:rsid w:val="05DC14BD"/>
    <w:rsid w:val="05DF560F"/>
    <w:rsid w:val="05E31EDB"/>
    <w:rsid w:val="05ED5E2D"/>
    <w:rsid w:val="05ED7D2F"/>
    <w:rsid w:val="05F34492"/>
    <w:rsid w:val="05F359B7"/>
    <w:rsid w:val="05F878BD"/>
    <w:rsid w:val="05FA0721"/>
    <w:rsid w:val="05FB092B"/>
    <w:rsid w:val="05FE2F0B"/>
    <w:rsid w:val="05FF2678"/>
    <w:rsid w:val="06000E30"/>
    <w:rsid w:val="0600435A"/>
    <w:rsid w:val="060A0D84"/>
    <w:rsid w:val="060D55BC"/>
    <w:rsid w:val="06190BF5"/>
    <w:rsid w:val="062965F5"/>
    <w:rsid w:val="062A33B4"/>
    <w:rsid w:val="062D66FE"/>
    <w:rsid w:val="06323777"/>
    <w:rsid w:val="06340289"/>
    <w:rsid w:val="063B13AC"/>
    <w:rsid w:val="063E2947"/>
    <w:rsid w:val="063E32D3"/>
    <w:rsid w:val="0640200E"/>
    <w:rsid w:val="06427D57"/>
    <w:rsid w:val="064A6C68"/>
    <w:rsid w:val="064B6066"/>
    <w:rsid w:val="06532FA3"/>
    <w:rsid w:val="06551BB0"/>
    <w:rsid w:val="06595D3A"/>
    <w:rsid w:val="065A0005"/>
    <w:rsid w:val="065C3508"/>
    <w:rsid w:val="065E6006"/>
    <w:rsid w:val="065F293B"/>
    <w:rsid w:val="065F32F1"/>
    <w:rsid w:val="0665743C"/>
    <w:rsid w:val="066811D0"/>
    <w:rsid w:val="06686F8C"/>
    <w:rsid w:val="0669355F"/>
    <w:rsid w:val="066C0268"/>
    <w:rsid w:val="066F4FDF"/>
    <w:rsid w:val="06744625"/>
    <w:rsid w:val="068105BC"/>
    <w:rsid w:val="0681558D"/>
    <w:rsid w:val="068A2148"/>
    <w:rsid w:val="068A5DE9"/>
    <w:rsid w:val="06982383"/>
    <w:rsid w:val="069C6E0D"/>
    <w:rsid w:val="06A612D9"/>
    <w:rsid w:val="06A81AAC"/>
    <w:rsid w:val="06BA6F6A"/>
    <w:rsid w:val="06BC0EA7"/>
    <w:rsid w:val="06C04363"/>
    <w:rsid w:val="06C32C24"/>
    <w:rsid w:val="06CA6D13"/>
    <w:rsid w:val="06CD2067"/>
    <w:rsid w:val="06CF08DF"/>
    <w:rsid w:val="06D10875"/>
    <w:rsid w:val="06D13AD0"/>
    <w:rsid w:val="06D2734A"/>
    <w:rsid w:val="06D52625"/>
    <w:rsid w:val="06E054C2"/>
    <w:rsid w:val="06E94E55"/>
    <w:rsid w:val="06F73E8A"/>
    <w:rsid w:val="06F87B3C"/>
    <w:rsid w:val="06F97899"/>
    <w:rsid w:val="06FE4536"/>
    <w:rsid w:val="070511A1"/>
    <w:rsid w:val="070B2712"/>
    <w:rsid w:val="071A2683"/>
    <w:rsid w:val="072C35D0"/>
    <w:rsid w:val="072E65C0"/>
    <w:rsid w:val="07306E51"/>
    <w:rsid w:val="07345C7E"/>
    <w:rsid w:val="07355F98"/>
    <w:rsid w:val="07362BD4"/>
    <w:rsid w:val="07392C20"/>
    <w:rsid w:val="07415A88"/>
    <w:rsid w:val="074E5A8B"/>
    <w:rsid w:val="074F6C40"/>
    <w:rsid w:val="075F2EC5"/>
    <w:rsid w:val="07600EDC"/>
    <w:rsid w:val="076619CF"/>
    <w:rsid w:val="076912A7"/>
    <w:rsid w:val="07696193"/>
    <w:rsid w:val="077508B8"/>
    <w:rsid w:val="07770CD2"/>
    <w:rsid w:val="077E032C"/>
    <w:rsid w:val="077E5996"/>
    <w:rsid w:val="07804C84"/>
    <w:rsid w:val="078A4809"/>
    <w:rsid w:val="079623DE"/>
    <w:rsid w:val="07971883"/>
    <w:rsid w:val="07974FD4"/>
    <w:rsid w:val="07A27F4D"/>
    <w:rsid w:val="07A70841"/>
    <w:rsid w:val="07A938C6"/>
    <w:rsid w:val="07AF0A7C"/>
    <w:rsid w:val="07B00114"/>
    <w:rsid w:val="07B273F9"/>
    <w:rsid w:val="07BC08C4"/>
    <w:rsid w:val="07BC4A59"/>
    <w:rsid w:val="07C86FB1"/>
    <w:rsid w:val="07CA6DD5"/>
    <w:rsid w:val="07CC4509"/>
    <w:rsid w:val="07D92D57"/>
    <w:rsid w:val="07E31043"/>
    <w:rsid w:val="07E34792"/>
    <w:rsid w:val="07EA1D23"/>
    <w:rsid w:val="07EB2706"/>
    <w:rsid w:val="07F32318"/>
    <w:rsid w:val="07F42CC6"/>
    <w:rsid w:val="07F5745A"/>
    <w:rsid w:val="07F63475"/>
    <w:rsid w:val="07F76D8A"/>
    <w:rsid w:val="08050E33"/>
    <w:rsid w:val="080800C6"/>
    <w:rsid w:val="080B547D"/>
    <w:rsid w:val="080F1DFF"/>
    <w:rsid w:val="08157668"/>
    <w:rsid w:val="08193C5B"/>
    <w:rsid w:val="08204313"/>
    <w:rsid w:val="082A73AD"/>
    <w:rsid w:val="082D3502"/>
    <w:rsid w:val="08301066"/>
    <w:rsid w:val="08323F43"/>
    <w:rsid w:val="084458DB"/>
    <w:rsid w:val="08504BDC"/>
    <w:rsid w:val="08590D30"/>
    <w:rsid w:val="085D5D1D"/>
    <w:rsid w:val="08655458"/>
    <w:rsid w:val="08672477"/>
    <w:rsid w:val="086A2F29"/>
    <w:rsid w:val="086F2220"/>
    <w:rsid w:val="087837A2"/>
    <w:rsid w:val="087C14A1"/>
    <w:rsid w:val="087D5D30"/>
    <w:rsid w:val="0884773C"/>
    <w:rsid w:val="0888477D"/>
    <w:rsid w:val="089B0EAA"/>
    <w:rsid w:val="089B6890"/>
    <w:rsid w:val="089E5237"/>
    <w:rsid w:val="08A24B5B"/>
    <w:rsid w:val="08A52710"/>
    <w:rsid w:val="08A96D70"/>
    <w:rsid w:val="08AA1B5C"/>
    <w:rsid w:val="08AC07DD"/>
    <w:rsid w:val="08AC513E"/>
    <w:rsid w:val="08B938B9"/>
    <w:rsid w:val="08BE1B92"/>
    <w:rsid w:val="08BF09C1"/>
    <w:rsid w:val="08C37480"/>
    <w:rsid w:val="08C37703"/>
    <w:rsid w:val="08C52252"/>
    <w:rsid w:val="08CA1BD7"/>
    <w:rsid w:val="08CD037C"/>
    <w:rsid w:val="08DD31DC"/>
    <w:rsid w:val="08E17832"/>
    <w:rsid w:val="08E577AB"/>
    <w:rsid w:val="08E97A17"/>
    <w:rsid w:val="08ED6D36"/>
    <w:rsid w:val="08F13C74"/>
    <w:rsid w:val="09012105"/>
    <w:rsid w:val="09031A59"/>
    <w:rsid w:val="09047BEA"/>
    <w:rsid w:val="09094943"/>
    <w:rsid w:val="090E7003"/>
    <w:rsid w:val="09191BC0"/>
    <w:rsid w:val="091B7BA8"/>
    <w:rsid w:val="09272736"/>
    <w:rsid w:val="092747D5"/>
    <w:rsid w:val="092A2B31"/>
    <w:rsid w:val="092D149B"/>
    <w:rsid w:val="092D73C6"/>
    <w:rsid w:val="09415BFE"/>
    <w:rsid w:val="094401AE"/>
    <w:rsid w:val="09482AB9"/>
    <w:rsid w:val="094B318C"/>
    <w:rsid w:val="094D30E9"/>
    <w:rsid w:val="094D355D"/>
    <w:rsid w:val="095020BB"/>
    <w:rsid w:val="0951132C"/>
    <w:rsid w:val="095170CF"/>
    <w:rsid w:val="0955490E"/>
    <w:rsid w:val="09565B1F"/>
    <w:rsid w:val="09580A7E"/>
    <w:rsid w:val="095E424C"/>
    <w:rsid w:val="096152F6"/>
    <w:rsid w:val="09633EB3"/>
    <w:rsid w:val="096C443A"/>
    <w:rsid w:val="096D6A37"/>
    <w:rsid w:val="097426C1"/>
    <w:rsid w:val="09793550"/>
    <w:rsid w:val="097A1F0C"/>
    <w:rsid w:val="09835F07"/>
    <w:rsid w:val="09861541"/>
    <w:rsid w:val="09873A4B"/>
    <w:rsid w:val="098E5817"/>
    <w:rsid w:val="09907847"/>
    <w:rsid w:val="09963DF7"/>
    <w:rsid w:val="0999729B"/>
    <w:rsid w:val="09A65F56"/>
    <w:rsid w:val="09AF02F4"/>
    <w:rsid w:val="09AF7A7D"/>
    <w:rsid w:val="09B5527F"/>
    <w:rsid w:val="09B56C07"/>
    <w:rsid w:val="09B600C5"/>
    <w:rsid w:val="09B64AF2"/>
    <w:rsid w:val="09BA27EA"/>
    <w:rsid w:val="09BF3C95"/>
    <w:rsid w:val="09C335F9"/>
    <w:rsid w:val="09C40330"/>
    <w:rsid w:val="09C67805"/>
    <w:rsid w:val="09D4275C"/>
    <w:rsid w:val="09D612EC"/>
    <w:rsid w:val="09DB3384"/>
    <w:rsid w:val="09DF50F0"/>
    <w:rsid w:val="09E463D6"/>
    <w:rsid w:val="09E71B99"/>
    <w:rsid w:val="09E811C2"/>
    <w:rsid w:val="09E90C16"/>
    <w:rsid w:val="09ED75B5"/>
    <w:rsid w:val="09F11B95"/>
    <w:rsid w:val="09F1427D"/>
    <w:rsid w:val="09F402EB"/>
    <w:rsid w:val="09F912A2"/>
    <w:rsid w:val="09FA0182"/>
    <w:rsid w:val="09FA3959"/>
    <w:rsid w:val="09FF028E"/>
    <w:rsid w:val="0A002F47"/>
    <w:rsid w:val="0A01427C"/>
    <w:rsid w:val="0A027061"/>
    <w:rsid w:val="0A0A7F99"/>
    <w:rsid w:val="0A1427DF"/>
    <w:rsid w:val="0A183F31"/>
    <w:rsid w:val="0A205EF7"/>
    <w:rsid w:val="0A212D67"/>
    <w:rsid w:val="0A2C3D15"/>
    <w:rsid w:val="0A327ED5"/>
    <w:rsid w:val="0A362E4B"/>
    <w:rsid w:val="0A393764"/>
    <w:rsid w:val="0A3A1C2D"/>
    <w:rsid w:val="0A3B635E"/>
    <w:rsid w:val="0A3D502A"/>
    <w:rsid w:val="0A43332E"/>
    <w:rsid w:val="0A45570D"/>
    <w:rsid w:val="0A4D0187"/>
    <w:rsid w:val="0A4E274F"/>
    <w:rsid w:val="0A5A15D6"/>
    <w:rsid w:val="0A626EAE"/>
    <w:rsid w:val="0A6C4B73"/>
    <w:rsid w:val="0A7714A1"/>
    <w:rsid w:val="0A795B4D"/>
    <w:rsid w:val="0A85515D"/>
    <w:rsid w:val="0A8E30D5"/>
    <w:rsid w:val="0A926955"/>
    <w:rsid w:val="0A9325A2"/>
    <w:rsid w:val="0A9B4C1C"/>
    <w:rsid w:val="0A9D0298"/>
    <w:rsid w:val="0A9F0A11"/>
    <w:rsid w:val="0A9F5283"/>
    <w:rsid w:val="0AA242F0"/>
    <w:rsid w:val="0AA530B9"/>
    <w:rsid w:val="0AAA2AD1"/>
    <w:rsid w:val="0AB343DE"/>
    <w:rsid w:val="0AB44C99"/>
    <w:rsid w:val="0AB5030A"/>
    <w:rsid w:val="0AB74A2D"/>
    <w:rsid w:val="0AC301CB"/>
    <w:rsid w:val="0AC315D1"/>
    <w:rsid w:val="0AC34497"/>
    <w:rsid w:val="0AC810E6"/>
    <w:rsid w:val="0ACA38C2"/>
    <w:rsid w:val="0ACE2EA2"/>
    <w:rsid w:val="0AD64D8D"/>
    <w:rsid w:val="0AD806D4"/>
    <w:rsid w:val="0ADF00C8"/>
    <w:rsid w:val="0AE05B81"/>
    <w:rsid w:val="0AE327F5"/>
    <w:rsid w:val="0AE655E7"/>
    <w:rsid w:val="0AE66ADE"/>
    <w:rsid w:val="0AEA6DA2"/>
    <w:rsid w:val="0AEB2B71"/>
    <w:rsid w:val="0AEB54A5"/>
    <w:rsid w:val="0AEC45B7"/>
    <w:rsid w:val="0AF5038D"/>
    <w:rsid w:val="0AF9483F"/>
    <w:rsid w:val="0AFA3623"/>
    <w:rsid w:val="0B0147BF"/>
    <w:rsid w:val="0B0425DF"/>
    <w:rsid w:val="0B070BAE"/>
    <w:rsid w:val="0B157865"/>
    <w:rsid w:val="0B165655"/>
    <w:rsid w:val="0B1D73D7"/>
    <w:rsid w:val="0B210655"/>
    <w:rsid w:val="0B215D87"/>
    <w:rsid w:val="0B2333D7"/>
    <w:rsid w:val="0B2C62D9"/>
    <w:rsid w:val="0B2E62C7"/>
    <w:rsid w:val="0B326064"/>
    <w:rsid w:val="0B3466D0"/>
    <w:rsid w:val="0B350AEE"/>
    <w:rsid w:val="0B367A1C"/>
    <w:rsid w:val="0B3C7D52"/>
    <w:rsid w:val="0B415265"/>
    <w:rsid w:val="0B425F2D"/>
    <w:rsid w:val="0B441DF4"/>
    <w:rsid w:val="0B4644C9"/>
    <w:rsid w:val="0B572A6E"/>
    <w:rsid w:val="0B5E0A1D"/>
    <w:rsid w:val="0B60089A"/>
    <w:rsid w:val="0B6277FE"/>
    <w:rsid w:val="0B692F70"/>
    <w:rsid w:val="0B6C797B"/>
    <w:rsid w:val="0B923087"/>
    <w:rsid w:val="0B9B4B2A"/>
    <w:rsid w:val="0BA04F32"/>
    <w:rsid w:val="0BA64152"/>
    <w:rsid w:val="0BAA53F7"/>
    <w:rsid w:val="0BB327FF"/>
    <w:rsid w:val="0BB4114C"/>
    <w:rsid w:val="0BB621CF"/>
    <w:rsid w:val="0BBC750D"/>
    <w:rsid w:val="0BBD3DCC"/>
    <w:rsid w:val="0BBE3E39"/>
    <w:rsid w:val="0BBF39DE"/>
    <w:rsid w:val="0BC069E1"/>
    <w:rsid w:val="0BC70BEB"/>
    <w:rsid w:val="0BC71839"/>
    <w:rsid w:val="0BC77141"/>
    <w:rsid w:val="0BCC3E6E"/>
    <w:rsid w:val="0BD31142"/>
    <w:rsid w:val="0BD335EB"/>
    <w:rsid w:val="0BDA4041"/>
    <w:rsid w:val="0BDC133C"/>
    <w:rsid w:val="0BDE413E"/>
    <w:rsid w:val="0BDF0C44"/>
    <w:rsid w:val="0BDF33E9"/>
    <w:rsid w:val="0BE04A5E"/>
    <w:rsid w:val="0BF05241"/>
    <w:rsid w:val="0BF37228"/>
    <w:rsid w:val="0BF71F86"/>
    <w:rsid w:val="0BF72A27"/>
    <w:rsid w:val="0BF8399E"/>
    <w:rsid w:val="0BFC467A"/>
    <w:rsid w:val="0C085215"/>
    <w:rsid w:val="0C0C2548"/>
    <w:rsid w:val="0C0F0879"/>
    <w:rsid w:val="0C10147C"/>
    <w:rsid w:val="0C133FC2"/>
    <w:rsid w:val="0C1D4D42"/>
    <w:rsid w:val="0C215E4F"/>
    <w:rsid w:val="0C247916"/>
    <w:rsid w:val="0C252D21"/>
    <w:rsid w:val="0C2D2A8D"/>
    <w:rsid w:val="0C3A7EEB"/>
    <w:rsid w:val="0C3C22D7"/>
    <w:rsid w:val="0C417778"/>
    <w:rsid w:val="0C4901C0"/>
    <w:rsid w:val="0C51662D"/>
    <w:rsid w:val="0C646F83"/>
    <w:rsid w:val="0C661758"/>
    <w:rsid w:val="0C664921"/>
    <w:rsid w:val="0C672D43"/>
    <w:rsid w:val="0C6D7F07"/>
    <w:rsid w:val="0C710612"/>
    <w:rsid w:val="0C7A0078"/>
    <w:rsid w:val="0C7D6E6B"/>
    <w:rsid w:val="0C7E26A3"/>
    <w:rsid w:val="0C8151C4"/>
    <w:rsid w:val="0C8278CB"/>
    <w:rsid w:val="0C8428E2"/>
    <w:rsid w:val="0C850095"/>
    <w:rsid w:val="0C8A147B"/>
    <w:rsid w:val="0C8E3808"/>
    <w:rsid w:val="0C906A44"/>
    <w:rsid w:val="0C936177"/>
    <w:rsid w:val="0C9C1E60"/>
    <w:rsid w:val="0CA14978"/>
    <w:rsid w:val="0CA32849"/>
    <w:rsid w:val="0CA35544"/>
    <w:rsid w:val="0CA35A25"/>
    <w:rsid w:val="0CA543D5"/>
    <w:rsid w:val="0CAB2C49"/>
    <w:rsid w:val="0CAD5C2F"/>
    <w:rsid w:val="0CB2710B"/>
    <w:rsid w:val="0CB317C2"/>
    <w:rsid w:val="0CBB1393"/>
    <w:rsid w:val="0CBD6D0F"/>
    <w:rsid w:val="0CC04DC8"/>
    <w:rsid w:val="0CC65EE9"/>
    <w:rsid w:val="0CC86219"/>
    <w:rsid w:val="0CCD052D"/>
    <w:rsid w:val="0CCD1261"/>
    <w:rsid w:val="0CCD45C8"/>
    <w:rsid w:val="0CCD78E8"/>
    <w:rsid w:val="0CDA3FD0"/>
    <w:rsid w:val="0CDB52DF"/>
    <w:rsid w:val="0CE04ADA"/>
    <w:rsid w:val="0CE9268A"/>
    <w:rsid w:val="0CEA19F1"/>
    <w:rsid w:val="0CEB0F32"/>
    <w:rsid w:val="0CEC2437"/>
    <w:rsid w:val="0CEE4918"/>
    <w:rsid w:val="0CF33F5B"/>
    <w:rsid w:val="0CF43712"/>
    <w:rsid w:val="0CF644CD"/>
    <w:rsid w:val="0CFC0958"/>
    <w:rsid w:val="0CFF1E13"/>
    <w:rsid w:val="0D01507A"/>
    <w:rsid w:val="0D041E78"/>
    <w:rsid w:val="0D051E32"/>
    <w:rsid w:val="0D05741F"/>
    <w:rsid w:val="0D0623DF"/>
    <w:rsid w:val="0D2110C6"/>
    <w:rsid w:val="0D211FEE"/>
    <w:rsid w:val="0D2527F8"/>
    <w:rsid w:val="0D2623E3"/>
    <w:rsid w:val="0D26391C"/>
    <w:rsid w:val="0D3148A8"/>
    <w:rsid w:val="0D3360C5"/>
    <w:rsid w:val="0D3618F9"/>
    <w:rsid w:val="0D370DE7"/>
    <w:rsid w:val="0D40592B"/>
    <w:rsid w:val="0D466109"/>
    <w:rsid w:val="0D477AB9"/>
    <w:rsid w:val="0D4B4881"/>
    <w:rsid w:val="0D5971C5"/>
    <w:rsid w:val="0D5A5457"/>
    <w:rsid w:val="0D5C4D60"/>
    <w:rsid w:val="0D63049A"/>
    <w:rsid w:val="0D6365CC"/>
    <w:rsid w:val="0D6917E5"/>
    <w:rsid w:val="0D6A6992"/>
    <w:rsid w:val="0D6F3C2C"/>
    <w:rsid w:val="0D713FED"/>
    <w:rsid w:val="0D752772"/>
    <w:rsid w:val="0D7C2AEA"/>
    <w:rsid w:val="0D7D53EA"/>
    <w:rsid w:val="0D7E251C"/>
    <w:rsid w:val="0D7E5109"/>
    <w:rsid w:val="0D7E622B"/>
    <w:rsid w:val="0D8031AD"/>
    <w:rsid w:val="0D81564B"/>
    <w:rsid w:val="0D861EB0"/>
    <w:rsid w:val="0D862848"/>
    <w:rsid w:val="0D9034D6"/>
    <w:rsid w:val="0D911ABA"/>
    <w:rsid w:val="0D9135C0"/>
    <w:rsid w:val="0D91478C"/>
    <w:rsid w:val="0D917EBB"/>
    <w:rsid w:val="0D940C4E"/>
    <w:rsid w:val="0D94321A"/>
    <w:rsid w:val="0D980882"/>
    <w:rsid w:val="0D9945E5"/>
    <w:rsid w:val="0DA01718"/>
    <w:rsid w:val="0DA1683C"/>
    <w:rsid w:val="0DA530F3"/>
    <w:rsid w:val="0DAA4B52"/>
    <w:rsid w:val="0DAE1145"/>
    <w:rsid w:val="0DB65CA8"/>
    <w:rsid w:val="0DB66817"/>
    <w:rsid w:val="0DBA3FC0"/>
    <w:rsid w:val="0DBF278C"/>
    <w:rsid w:val="0DC22C7B"/>
    <w:rsid w:val="0DC45CF2"/>
    <w:rsid w:val="0DC77D78"/>
    <w:rsid w:val="0DD51600"/>
    <w:rsid w:val="0DD53CF4"/>
    <w:rsid w:val="0DDA7A35"/>
    <w:rsid w:val="0DDE5040"/>
    <w:rsid w:val="0DDE7EFE"/>
    <w:rsid w:val="0DE23AA1"/>
    <w:rsid w:val="0DEB3A29"/>
    <w:rsid w:val="0DEB6295"/>
    <w:rsid w:val="0DED5B48"/>
    <w:rsid w:val="0DF22B0B"/>
    <w:rsid w:val="0DF4280B"/>
    <w:rsid w:val="0DF5660E"/>
    <w:rsid w:val="0DF96863"/>
    <w:rsid w:val="0E0403AF"/>
    <w:rsid w:val="0E0430AE"/>
    <w:rsid w:val="0E0E1B14"/>
    <w:rsid w:val="0E121FE3"/>
    <w:rsid w:val="0E180970"/>
    <w:rsid w:val="0E1A081C"/>
    <w:rsid w:val="0E1D0DEE"/>
    <w:rsid w:val="0E1D63D5"/>
    <w:rsid w:val="0E1D6749"/>
    <w:rsid w:val="0E1F1C65"/>
    <w:rsid w:val="0E2B547A"/>
    <w:rsid w:val="0E356D22"/>
    <w:rsid w:val="0E395163"/>
    <w:rsid w:val="0E39720C"/>
    <w:rsid w:val="0E400DB2"/>
    <w:rsid w:val="0E4164D7"/>
    <w:rsid w:val="0E440E9D"/>
    <w:rsid w:val="0E451817"/>
    <w:rsid w:val="0E4C7095"/>
    <w:rsid w:val="0E511F02"/>
    <w:rsid w:val="0E53301C"/>
    <w:rsid w:val="0E5500C2"/>
    <w:rsid w:val="0E587FD6"/>
    <w:rsid w:val="0E5D24AF"/>
    <w:rsid w:val="0E5E25FC"/>
    <w:rsid w:val="0E643DE6"/>
    <w:rsid w:val="0E6905EA"/>
    <w:rsid w:val="0E70535C"/>
    <w:rsid w:val="0E7C539D"/>
    <w:rsid w:val="0E7C6443"/>
    <w:rsid w:val="0E7D0175"/>
    <w:rsid w:val="0E8236DE"/>
    <w:rsid w:val="0E844F62"/>
    <w:rsid w:val="0E870EFB"/>
    <w:rsid w:val="0E897807"/>
    <w:rsid w:val="0E903E1D"/>
    <w:rsid w:val="0E9315B1"/>
    <w:rsid w:val="0E977585"/>
    <w:rsid w:val="0E9A5D7B"/>
    <w:rsid w:val="0E9D2717"/>
    <w:rsid w:val="0E9F098F"/>
    <w:rsid w:val="0EA143C0"/>
    <w:rsid w:val="0EA16DA8"/>
    <w:rsid w:val="0EA713BC"/>
    <w:rsid w:val="0EAB323B"/>
    <w:rsid w:val="0EB337F1"/>
    <w:rsid w:val="0EB34463"/>
    <w:rsid w:val="0EC57D81"/>
    <w:rsid w:val="0ECB6904"/>
    <w:rsid w:val="0ECC0E1C"/>
    <w:rsid w:val="0ECC7608"/>
    <w:rsid w:val="0ED41A8D"/>
    <w:rsid w:val="0EDE1930"/>
    <w:rsid w:val="0EE3242A"/>
    <w:rsid w:val="0EE716B9"/>
    <w:rsid w:val="0EE75C81"/>
    <w:rsid w:val="0EE83808"/>
    <w:rsid w:val="0EE958C9"/>
    <w:rsid w:val="0EEA1DB2"/>
    <w:rsid w:val="0EF15576"/>
    <w:rsid w:val="0EF22A68"/>
    <w:rsid w:val="0EF3192A"/>
    <w:rsid w:val="0EF413BE"/>
    <w:rsid w:val="0EF9028C"/>
    <w:rsid w:val="0EFC1A47"/>
    <w:rsid w:val="0EFE0534"/>
    <w:rsid w:val="0EFE0D50"/>
    <w:rsid w:val="0EFF5F22"/>
    <w:rsid w:val="0F0012D7"/>
    <w:rsid w:val="0F01737D"/>
    <w:rsid w:val="0F0665A0"/>
    <w:rsid w:val="0F0809CA"/>
    <w:rsid w:val="0F0B6D5C"/>
    <w:rsid w:val="0F0C7B35"/>
    <w:rsid w:val="0F12603A"/>
    <w:rsid w:val="0F12772A"/>
    <w:rsid w:val="0F162DCC"/>
    <w:rsid w:val="0F192217"/>
    <w:rsid w:val="0F1F6A0C"/>
    <w:rsid w:val="0F202F79"/>
    <w:rsid w:val="0F22136A"/>
    <w:rsid w:val="0F2721C7"/>
    <w:rsid w:val="0F3B2D55"/>
    <w:rsid w:val="0F3C222B"/>
    <w:rsid w:val="0F3C31C2"/>
    <w:rsid w:val="0F3D629D"/>
    <w:rsid w:val="0F415AC6"/>
    <w:rsid w:val="0F416907"/>
    <w:rsid w:val="0F4249CC"/>
    <w:rsid w:val="0F4714C1"/>
    <w:rsid w:val="0F566AEF"/>
    <w:rsid w:val="0F5F76DC"/>
    <w:rsid w:val="0F610E98"/>
    <w:rsid w:val="0F620E74"/>
    <w:rsid w:val="0F664017"/>
    <w:rsid w:val="0F6B3DB4"/>
    <w:rsid w:val="0F7227F1"/>
    <w:rsid w:val="0F7375DF"/>
    <w:rsid w:val="0F7B2178"/>
    <w:rsid w:val="0F8229CC"/>
    <w:rsid w:val="0F862F2F"/>
    <w:rsid w:val="0F871215"/>
    <w:rsid w:val="0F880AC5"/>
    <w:rsid w:val="0F9271E5"/>
    <w:rsid w:val="0F9439EF"/>
    <w:rsid w:val="0FAF16B0"/>
    <w:rsid w:val="0FAF72E8"/>
    <w:rsid w:val="0FB001DC"/>
    <w:rsid w:val="0FB45CF0"/>
    <w:rsid w:val="0FB82E22"/>
    <w:rsid w:val="0FBE6FEE"/>
    <w:rsid w:val="0FC57507"/>
    <w:rsid w:val="0FC72332"/>
    <w:rsid w:val="0FC76BC3"/>
    <w:rsid w:val="0FCD79B2"/>
    <w:rsid w:val="0FD03FBD"/>
    <w:rsid w:val="0FD17A18"/>
    <w:rsid w:val="0FDC67F8"/>
    <w:rsid w:val="0FDD3CC3"/>
    <w:rsid w:val="0FE40673"/>
    <w:rsid w:val="0FE53AC3"/>
    <w:rsid w:val="0FE72A07"/>
    <w:rsid w:val="0FE81D5C"/>
    <w:rsid w:val="0FE95E82"/>
    <w:rsid w:val="0FED16CC"/>
    <w:rsid w:val="0FF37E9C"/>
    <w:rsid w:val="0FF4062F"/>
    <w:rsid w:val="0FF91292"/>
    <w:rsid w:val="10015CBA"/>
    <w:rsid w:val="10025E58"/>
    <w:rsid w:val="10034B20"/>
    <w:rsid w:val="101D573D"/>
    <w:rsid w:val="101F67DC"/>
    <w:rsid w:val="102429C6"/>
    <w:rsid w:val="102741EF"/>
    <w:rsid w:val="1028121F"/>
    <w:rsid w:val="1029793F"/>
    <w:rsid w:val="102D5CB9"/>
    <w:rsid w:val="10302EA4"/>
    <w:rsid w:val="103F7EE1"/>
    <w:rsid w:val="104545F8"/>
    <w:rsid w:val="104611EF"/>
    <w:rsid w:val="10493B84"/>
    <w:rsid w:val="10556861"/>
    <w:rsid w:val="1059521C"/>
    <w:rsid w:val="105B366B"/>
    <w:rsid w:val="10610BA9"/>
    <w:rsid w:val="10642EA4"/>
    <w:rsid w:val="10654AF2"/>
    <w:rsid w:val="10690AF3"/>
    <w:rsid w:val="106B634F"/>
    <w:rsid w:val="106B72C4"/>
    <w:rsid w:val="106E7774"/>
    <w:rsid w:val="10737D84"/>
    <w:rsid w:val="10826DDC"/>
    <w:rsid w:val="10861F65"/>
    <w:rsid w:val="108801F4"/>
    <w:rsid w:val="108824DE"/>
    <w:rsid w:val="10894A91"/>
    <w:rsid w:val="108E3261"/>
    <w:rsid w:val="109448B7"/>
    <w:rsid w:val="109E6009"/>
    <w:rsid w:val="10A121DD"/>
    <w:rsid w:val="10B41232"/>
    <w:rsid w:val="10C15B85"/>
    <w:rsid w:val="10C840EC"/>
    <w:rsid w:val="10C93FB3"/>
    <w:rsid w:val="10CA53B8"/>
    <w:rsid w:val="10D44951"/>
    <w:rsid w:val="10F65F8E"/>
    <w:rsid w:val="10FA37CC"/>
    <w:rsid w:val="10FC21CE"/>
    <w:rsid w:val="10FF60F2"/>
    <w:rsid w:val="11004134"/>
    <w:rsid w:val="11007FE9"/>
    <w:rsid w:val="11013D06"/>
    <w:rsid w:val="11023E81"/>
    <w:rsid w:val="1104404A"/>
    <w:rsid w:val="11065BD7"/>
    <w:rsid w:val="11083181"/>
    <w:rsid w:val="110B4B62"/>
    <w:rsid w:val="110F06BC"/>
    <w:rsid w:val="111120F9"/>
    <w:rsid w:val="11191EFE"/>
    <w:rsid w:val="111F2234"/>
    <w:rsid w:val="112C276D"/>
    <w:rsid w:val="11313921"/>
    <w:rsid w:val="1133474F"/>
    <w:rsid w:val="11350806"/>
    <w:rsid w:val="113A68A6"/>
    <w:rsid w:val="113F786E"/>
    <w:rsid w:val="11406F5E"/>
    <w:rsid w:val="114A0581"/>
    <w:rsid w:val="114C524E"/>
    <w:rsid w:val="114D669E"/>
    <w:rsid w:val="114E073D"/>
    <w:rsid w:val="1153454A"/>
    <w:rsid w:val="11540862"/>
    <w:rsid w:val="115F7C44"/>
    <w:rsid w:val="116357DA"/>
    <w:rsid w:val="11663C73"/>
    <w:rsid w:val="1171309F"/>
    <w:rsid w:val="11736FC3"/>
    <w:rsid w:val="11757869"/>
    <w:rsid w:val="117A23A7"/>
    <w:rsid w:val="11815836"/>
    <w:rsid w:val="118239FD"/>
    <w:rsid w:val="118A1137"/>
    <w:rsid w:val="118C0474"/>
    <w:rsid w:val="118D575C"/>
    <w:rsid w:val="119114FA"/>
    <w:rsid w:val="11922E08"/>
    <w:rsid w:val="11AF6062"/>
    <w:rsid w:val="11B41338"/>
    <w:rsid w:val="11B50C3C"/>
    <w:rsid w:val="11B87187"/>
    <w:rsid w:val="11BB7A84"/>
    <w:rsid w:val="11C371BF"/>
    <w:rsid w:val="11C4070E"/>
    <w:rsid w:val="11CF1B18"/>
    <w:rsid w:val="11D1196C"/>
    <w:rsid w:val="11DC2934"/>
    <w:rsid w:val="11E02F03"/>
    <w:rsid w:val="11E329E4"/>
    <w:rsid w:val="11E51345"/>
    <w:rsid w:val="11E74FF2"/>
    <w:rsid w:val="11E92A1D"/>
    <w:rsid w:val="11F10AD9"/>
    <w:rsid w:val="11F7198E"/>
    <w:rsid w:val="11F77001"/>
    <w:rsid w:val="11F95A83"/>
    <w:rsid w:val="11FA34E2"/>
    <w:rsid w:val="11FC142B"/>
    <w:rsid w:val="1206747E"/>
    <w:rsid w:val="12072EEF"/>
    <w:rsid w:val="120A2B2D"/>
    <w:rsid w:val="120B044A"/>
    <w:rsid w:val="120D7069"/>
    <w:rsid w:val="121D798A"/>
    <w:rsid w:val="121F4671"/>
    <w:rsid w:val="122357B4"/>
    <w:rsid w:val="12263F0C"/>
    <w:rsid w:val="122740BD"/>
    <w:rsid w:val="122830BF"/>
    <w:rsid w:val="122A4D66"/>
    <w:rsid w:val="123000FF"/>
    <w:rsid w:val="12330959"/>
    <w:rsid w:val="123F3235"/>
    <w:rsid w:val="12491044"/>
    <w:rsid w:val="124A4BE5"/>
    <w:rsid w:val="124F6047"/>
    <w:rsid w:val="12517119"/>
    <w:rsid w:val="125D1601"/>
    <w:rsid w:val="12612CE2"/>
    <w:rsid w:val="126268F3"/>
    <w:rsid w:val="12684F48"/>
    <w:rsid w:val="126D0082"/>
    <w:rsid w:val="127D08CF"/>
    <w:rsid w:val="12836D64"/>
    <w:rsid w:val="12863F94"/>
    <w:rsid w:val="12864806"/>
    <w:rsid w:val="12872485"/>
    <w:rsid w:val="12881D04"/>
    <w:rsid w:val="128A6F3F"/>
    <w:rsid w:val="128C2010"/>
    <w:rsid w:val="129B33B8"/>
    <w:rsid w:val="129F0AD0"/>
    <w:rsid w:val="12A5621A"/>
    <w:rsid w:val="12A875E8"/>
    <w:rsid w:val="12AB30F7"/>
    <w:rsid w:val="12AB5E69"/>
    <w:rsid w:val="12B609E7"/>
    <w:rsid w:val="12B738D6"/>
    <w:rsid w:val="12B95FB3"/>
    <w:rsid w:val="12C5214D"/>
    <w:rsid w:val="12C618A5"/>
    <w:rsid w:val="12D10FB5"/>
    <w:rsid w:val="12D237DC"/>
    <w:rsid w:val="12D33C58"/>
    <w:rsid w:val="12D91F67"/>
    <w:rsid w:val="12DD61D2"/>
    <w:rsid w:val="12E40F18"/>
    <w:rsid w:val="12E45033"/>
    <w:rsid w:val="12F50978"/>
    <w:rsid w:val="12F65C82"/>
    <w:rsid w:val="12FC7760"/>
    <w:rsid w:val="12FF1690"/>
    <w:rsid w:val="130431F9"/>
    <w:rsid w:val="131069B2"/>
    <w:rsid w:val="131126E7"/>
    <w:rsid w:val="13237FD9"/>
    <w:rsid w:val="132A182A"/>
    <w:rsid w:val="132C2AD4"/>
    <w:rsid w:val="132D5444"/>
    <w:rsid w:val="13306748"/>
    <w:rsid w:val="1330786F"/>
    <w:rsid w:val="133131F8"/>
    <w:rsid w:val="133324A7"/>
    <w:rsid w:val="13332BBB"/>
    <w:rsid w:val="133733C7"/>
    <w:rsid w:val="133E4C0E"/>
    <w:rsid w:val="13433B6A"/>
    <w:rsid w:val="134753BA"/>
    <w:rsid w:val="1354541F"/>
    <w:rsid w:val="13575766"/>
    <w:rsid w:val="13603F61"/>
    <w:rsid w:val="13613861"/>
    <w:rsid w:val="13622D5F"/>
    <w:rsid w:val="13646C61"/>
    <w:rsid w:val="136A2D88"/>
    <w:rsid w:val="136B2A19"/>
    <w:rsid w:val="136F0B2D"/>
    <w:rsid w:val="136F3807"/>
    <w:rsid w:val="13734146"/>
    <w:rsid w:val="13740C90"/>
    <w:rsid w:val="13761253"/>
    <w:rsid w:val="13774D3C"/>
    <w:rsid w:val="138257B0"/>
    <w:rsid w:val="138559EF"/>
    <w:rsid w:val="138B33F2"/>
    <w:rsid w:val="13900E7C"/>
    <w:rsid w:val="13946302"/>
    <w:rsid w:val="13955664"/>
    <w:rsid w:val="139821F4"/>
    <w:rsid w:val="13987CE0"/>
    <w:rsid w:val="139D19A7"/>
    <w:rsid w:val="13A630E0"/>
    <w:rsid w:val="13A64A2C"/>
    <w:rsid w:val="13A85633"/>
    <w:rsid w:val="13AA3823"/>
    <w:rsid w:val="13B07F85"/>
    <w:rsid w:val="13B619FD"/>
    <w:rsid w:val="13C36A52"/>
    <w:rsid w:val="13C644AA"/>
    <w:rsid w:val="13D018A0"/>
    <w:rsid w:val="13D32649"/>
    <w:rsid w:val="13D423DC"/>
    <w:rsid w:val="13D53873"/>
    <w:rsid w:val="13D82BE5"/>
    <w:rsid w:val="13DA364C"/>
    <w:rsid w:val="13DB6666"/>
    <w:rsid w:val="13E1502A"/>
    <w:rsid w:val="13E367E5"/>
    <w:rsid w:val="13E479CC"/>
    <w:rsid w:val="13E53FA5"/>
    <w:rsid w:val="13E61272"/>
    <w:rsid w:val="13F303C0"/>
    <w:rsid w:val="13F61CC2"/>
    <w:rsid w:val="13FD47C3"/>
    <w:rsid w:val="14050395"/>
    <w:rsid w:val="14064DAB"/>
    <w:rsid w:val="14094829"/>
    <w:rsid w:val="140A05B4"/>
    <w:rsid w:val="140B307E"/>
    <w:rsid w:val="140D6402"/>
    <w:rsid w:val="140E0EE9"/>
    <w:rsid w:val="140E5B60"/>
    <w:rsid w:val="141140A2"/>
    <w:rsid w:val="1413537C"/>
    <w:rsid w:val="141E283B"/>
    <w:rsid w:val="141E6BB9"/>
    <w:rsid w:val="14204FD6"/>
    <w:rsid w:val="142248BB"/>
    <w:rsid w:val="142530BA"/>
    <w:rsid w:val="142B647E"/>
    <w:rsid w:val="142C36A1"/>
    <w:rsid w:val="142C7198"/>
    <w:rsid w:val="142D2282"/>
    <w:rsid w:val="142D7AFC"/>
    <w:rsid w:val="142E2E6A"/>
    <w:rsid w:val="1432775B"/>
    <w:rsid w:val="14327852"/>
    <w:rsid w:val="14367A23"/>
    <w:rsid w:val="143757D0"/>
    <w:rsid w:val="14376F86"/>
    <w:rsid w:val="14405990"/>
    <w:rsid w:val="1444794C"/>
    <w:rsid w:val="14496A8F"/>
    <w:rsid w:val="144A5137"/>
    <w:rsid w:val="144B592D"/>
    <w:rsid w:val="144E6FDD"/>
    <w:rsid w:val="144F1528"/>
    <w:rsid w:val="1453553D"/>
    <w:rsid w:val="14555710"/>
    <w:rsid w:val="14597504"/>
    <w:rsid w:val="146063B6"/>
    <w:rsid w:val="1462689D"/>
    <w:rsid w:val="146838E0"/>
    <w:rsid w:val="14702E2E"/>
    <w:rsid w:val="14772FA0"/>
    <w:rsid w:val="14786DE4"/>
    <w:rsid w:val="147A5F33"/>
    <w:rsid w:val="148237D7"/>
    <w:rsid w:val="14837918"/>
    <w:rsid w:val="14842647"/>
    <w:rsid w:val="14861E5E"/>
    <w:rsid w:val="148B3828"/>
    <w:rsid w:val="148C05F5"/>
    <w:rsid w:val="14920865"/>
    <w:rsid w:val="14921CB7"/>
    <w:rsid w:val="149572CD"/>
    <w:rsid w:val="149619E6"/>
    <w:rsid w:val="14981315"/>
    <w:rsid w:val="149D5549"/>
    <w:rsid w:val="14AD7B32"/>
    <w:rsid w:val="14B1276E"/>
    <w:rsid w:val="14B948AE"/>
    <w:rsid w:val="14BE4A15"/>
    <w:rsid w:val="14C43732"/>
    <w:rsid w:val="14C66CA9"/>
    <w:rsid w:val="14CC3301"/>
    <w:rsid w:val="14CC6C53"/>
    <w:rsid w:val="14D0624F"/>
    <w:rsid w:val="14D13617"/>
    <w:rsid w:val="14D17A1C"/>
    <w:rsid w:val="14D279DE"/>
    <w:rsid w:val="14D46B49"/>
    <w:rsid w:val="14D72900"/>
    <w:rsid w:val="14D736A9"/>
    <w:rsid w:val="14DD6654"/>
    <w:rsid w:val="14DE1C81"/>
    <w:rsid w:val="14DE563E"/>
    <w:rsid w:val="14F40482"/>
    <w:rsid w:val="14F56DDE"/>
    <w:rsid w:val="150017F7"/>
    <w:rsid w:val="15016325"/>
    <w:rsid w:val="150225CD"/>
    <w:rsid w:val="15092EF8"/>
    <w:rsid w:val="150B1B0E"/>
    <w:rsid w:val="150F0458"/>
    <w:rsid w:val="1510187D"/>
    <w:rsid w:val="15121876"/>
    <w:rsid w:val="151B36CA"/>
    <w:rsid w:val="152511B9"/>
    <w:rsid w:val="15254E64"/>
    <w:rsid w:val="15266635"/>
    <w:rsid w:val="153112A4"/>
    <w:rsid w:val="15313CAF"/>
    <w:rsid w:val="15397098"/>
    <w:rsid w:val="153E5FCF"/>
    <w:rsid w:val="15421E1F"/>
    <w:rsid w:val="1542680C"/>
    <w:rsid w:val="15462B0A"/>
    <w:rsid w:val="154701EB"/>
    <w:rsid w:val="154C796A"/>
    <w:rsid w:val="154E47B4"/>
    <w:rsid w:val="155418B7"/>
    <w:rsid w:val="155518D2"/>
    <w:rsid w:val="15573497"/>
    <w:rsid w:val="155B6275"/>
    <w:rsid w:val="15607B94"/>
    <w:rsid w:val="1569024F"/>
    <w:rsid w:val="156E75EC"/>
    <w:rsid w:val="157671DB"/>
    <w:rsid w:val="15795812"/>
    <w:rsid w:val="157C0654"/>
    <w:rsid w:val="157C72A7"/>
    <w:rsid w:val="1584475F"/>
    <w:rsid w:val="1587731A"/>
    <w:rsid w:val="158A1D75"/>
    <w:rsid w:val="15955A58"/>
    <w:rsid w:val="159944BA"/>
    <w:rsid w:val="159B7457"/>
    <w:rsid w:val="15A05955"/>
    <w:rsid w:val="15A23702"/>
    <w:rsid w:val="15A80DE8"/>
    <w:rsid w:val="15A81809"/>
    <w:rsid w:val="15B25247"/>
    <w:rsid w:val="15B37049"/>
    <w:rsid w:val="15B418CA"/>
    <w:rsid w:val="15B44BC0"/>
    <w:rsid w:val="15B553C2"/>
    <w:rsid w:val="15BF1395"/>
    <w:rsid w:val="15D31918"/>
    <w:rsid w:val="15D35CA9"/>
    <w:rsid w:val="15D6282E"/>
    <w:rsid w:val="15D67CB2"/>
    <w:rsid w:val="15DE0CC4"/>
    <w:rsid w:val="15DF08DC"/>
    <w:rsid w:val="15E55D3F"/>
    <w:rsid w:val="15E76A66"/>
    <w:rsid w:val="15EC097D"/>
    <w:rsid w:val="15EE05B3"/>
    <w:rsid w:val="15FB2FDF"/>
    <w:rsid w:val="15FC3847"/>
    <w:rsid w:val="15FD00E0"/>
    <w:rsid w:val="15FF1B5D"/>
    <w:rsid w:val="16011C43"/>
    <w:rsid w:val="16023ADB"/>
    <w:rsid w:val="16081322"/>
    <w:rsid w:val="1610692F"/>
    <w:rsid w:val="161729B8"/>
    <w:rsid w:val="1621593F"/>
    <w:rsid w:val="16282AC6"/>
    <w:rsid w:val="1629246E"/>
    <w:rsid w:val="162C32A0"/>
    <w:rsid w:val="163318D9"/>
    <w:rsid w:val="163A47A0"/>
    <w:rsid w:val="164013DF"/>
    <w:rsid w:val="164841CE"/>
    <w:rsid w:val="1649202A"/>
    <w:rsid w:val="164A3B6C"/>
    <w:rsid w:val="164C384C"/>
    <w:rsid w:val="164F249D"/>
    <w:rsid w:val="16533E97"/>
    <w:rsid w:val="16566F7A"/>
    <w:rsid w:val="16594814"/>
    <w:rsid w:val="16610464"/>
    <w:rsid w:val="166F2019"/>
    <w:rsid w:val="166F529B"/>
    <w:rsid w:val="16763438"/>
    <w:rsid w:val="167E616D"/>
    <w:rsid w:val="16814850"/>
    <w:rsid w:val="1682366B"/>
    <w:rsid w:val="16854209"/>
    <w:rsid w:val="16922336"/>
    <w:rsid w:val="16984A67"/>
    <w:rsid w:val="169B3C36"/>
    <w:rsid w:val="169F70DE"/>
    <w:rsid w:val="16A67C6D"/>
    <w:rsid w:val="16A81D67"/>
    <w:rsid w:val="16AD4B08"/>
    <w:rsid w:val="16B27881"/>
    <w:rsid w:val="16B52E7B"/>
    <w:rsid w:val="16B956E4"/>
    <w:rsid w:val="16CE2092"/>
    <w:rsid w:val="16D27819"/>
    <w:rsid w:val="16D44E46"/>
    <w:rsid w:val="16E263E2"/>
    <w:rsid w:val="16E94940"/>
    <w:rsid w:val="16EC6498"/>
    <w:rsid w:val="16EF2246"/>
    <w:rsid w:val="16F21853"/>
    <w:rsid w:val="16FA589C"/>
    <w:rsid w:val="16FB1F69"/>
    <w:rsid w:val="16FC37C1"/>
    <w:rsid w:val="16FD1837"/>
    <w:rsid w:val="17040FD3"/>
    <w:rsid w:val="17047A31"/>
    <w:rsid w:val="170D651C"/>
    <w:rsid w:val="17141A9B"/>
    <w:rsid w:val="1717730B"/>
    <w:rsid w:val="171839FE"/>
    <w:rsid w:val="171961EB"/>
    <w:rsid w:val="17260BE9"/>
    <w:rsid w:val="172A1557"/>
    <w:rsid w:val="172A1571"/>
    <w:rsid w:val="17353680"/>
    <w:rsid w:val="173C5015"/>
    <w:rsid w:val="173C6268"/>
    <w:rsid w:val="174E1F25"/>
    <w:rsid w:val="174F2039"/>
    <w:rsid w:val="17501BAA"/>
    <w:rsid w:val="17502B0B"/>
    <w:rsid w:val="175D2502"/>
    <w:rsid w:val="17667961"/>
    <w:rsid w:val="17685067"/>
    <w:rsid w:val="1769729B"/>
    <w:rsid w:val="176E662B"/>
    <w:rsid w:val="17736D5F"/>
    <w:rsid w:val="177927CD"/>
    <w:rsid w:val="17860F56"/>
    <w:rsid w:val="178959CD"/>
    <w:rsid w:val="178B57C3"/>
    <w:rsid w:val="179260E6"/>
    <w:rsid w:val="179724E8"/>
    <w:rsid w:val="179B5766"/>
    <w:rsid w:val="179C2C8C"/>
    <w:rsid w:val="179F41F1"/>
    <w:rsid w:val="17A63A08"/>
    <w:rsid w:val="17AA4126"/>
    <w:rsid w:val="17AC2B63"/>
    <w:rsid w:val="17AE41D8"/>
    <w:rsid w:val="17B01239"/>
    <w:rsid w:val="17B831DE"/>
    <w:rsid w:val="17B930AC"/>
    <w:rsid w:val="17C36EA6"/>
    <w:rsid w:val="17C41DD0"/>
    <w:rsid w:val="17C45A9E"/>
    <w:rsid w:val="17C56805"/>
    <w:rsid w:val="17C74595"/>
    <w:rsid w:val="17C86A07"/>
    <w:rsid w:val="17CC2FC8"/>
    <w:rsid w:val="17D00F4C"/>
    <w:rsid w:val="17D3551D"/>
    <w:rsid w:val="17D502C0"/>
    <w:rsid w:val="17D633E9"/>
    <w:rsid w:val="17D72F0C"/>
    <w:rsid w:val="17DF3A6E"/>
    <w:rsid w:val="17E544EB"/>
    <w:rsid w:val="17EF5399"/>
    <w:rsid w:val="17F041BE"/>
    <w:rsid w:val="17F1085D"/>
    <w:rsid w:val="17F51AAD"/>
    <w:rsid w:val="17FC5368"/>
    <w:rsid w:val="17FF14D5"/>
    <w:rsid w:val="17FF743F"/>
    <w:rsid w:val="18011444"/>
    <w:rsid w:val="180420CB"/>
    <w:rsid w:val="180D53DA"/>
    <w:rsid w:val="180E2332"/>
    <w:rsid w:val="180F1FAE"/>
    <w:rsid w:val="18101AF4"/>
    <w:rsid w:val="1813564D"/>
    <w:rsid w:val="181B067C"/>
    <w:rsid w:val="181C732C"/>
    <w:rsid w:val="181F7CCD"/>
    <w:rsid w:val="181F7FC2"/>
    <w:rsid w:val="18280213"/>
    <w:rsid w:val="18283A72"/>
    <w:rsid w:val="182D5DCF"/>
    <w:rsid w:val="18324593"/>
    <w:rsid w:val="1836062A"/>
    <w:rsid w:val="183E0EC7"/>
    <w:rsid w:val="183F7100"/>
    <w:rsid w:val="184052FC"/>
    <w:rsid w:val="18445E0E"/>
    <w:rsid w:val="184B29E8"/>
    <w:rsid w:val="18505527"/>
    <w:rsid w:val="18517EE1"/>
    <w:rsid w:val="18525AB8"/>
    <w:rsid w:val="18592F75"/>
    <w:rsid w:val="186125F1"/>
    <w:rsid w:val="18635199"/>
    <w:rsid w:val="186367BD"/>
    <w:rsid w:val="186A1200"/>
    <w:rsid w:val="1870272D"/>
    <w:rsid w:val="187C7987"/>
    <w:rsid w:val="187D2658"/>
    <w:rsid w:val="187F487B"/>
    <w:rsid w:val="188052FA"/>
    <w:rsid w:val="18823568"/>
    <w:rsid w:val="18951826"/>
    <w:rsid w:val="1896375F"/>
    <w:rsid w:val="18970F43"/>
    <w:rsid w:val="18982BDA"/>
    <w:rsid w:val="189A3E09"/>
    <w:rsid w:val="189B0A0F"/>
    <w:rsid w:val="189F4EC2"/>
    <w:rsid w:val="18B01F43"/>
    <w:rsid w:val="18B10EAB"/>
    <w:rsid w:val="18B4636B"/>
    <w:rsid w:val="18B66BE5"/>
    <w:rsid w:val="18B86E76"/>
    <w:rsid w:val="18BE43B1"/>
    <w:rsid w:val="18C102D1"/>
    <w:rsid w:val="18C47CA7"/>
    <w:rsid w:val="18C51AFF"/>
    <w:rsid w:val="18DB4FAF"/>
    <w:rsid w:val="18DB697E"/>
    <w:rsid w:val="18DC2A6F"/>
    <w:rsid w:val="18DC2F73"/>
    <w:rsid w:val="18E15AA4"/>
    <w:rsid w:val="18E57E6C"/>
    <w:rsid w:val="18E61431"/>
    <w:rsid w:val="18F17FB8"/>
    <w:rsid w:val="18F54EEC"/>
    <w:rsid w:val="18F94E36"/>
    <w:rsid w:val="18FC3D08"/>
    <w:rsid w:val="18FF4BF7"/>
    <w:rsid w:val="190158DB"/>
    <w:rsid w:val="19037DD1"/>
    <w:rsid w:val="19044D38"/>
    <w:rsid w:val="19072B36"/>
    <w:rsid w:val="190A2521"/>
    <w:rsid w:val="19115726"/>
    <w:rsid w:val="19132531"/>
    <w:rsid w:val="19183D9A"/>
    <w:rsid w:val="191D7DDA"/>
    <w:rsid w:val="191E6B2A"/>
    <w:rsid w:val="19277AB2"/>
    <w:rsid w:val="19325A6B"/>
    <w:rsid w:val="193C3265"/>
    <w:rsid w:val="193D5726"/>
    <w:rsid w:val="194747B4"/>
    <w:rsid w:val="19476DD8"/>
    <w:rsid w:val="1949570E"/>
    <w:rsid w:val="194C4908"/>
    <w:rsid w:val="19523D67"/>
    <w:rsid w:val="195506F3"/>
    <w:rsid w:val="195943BC"/>
    <w:rsid w:val="19596ED2"/>
    <w:rsid w:val="195D0A7A"/>
    <w:rsid w:val="195D67E3"/>
    <w:rsid w:val="195F6E93"/>
    <w:rsid w:val="19650B50"/>
    <w:rsid w:val="19666B01"/>
    <w:rsid w:val="1969071C"/>
    <w:rsid w:val="196B232F"/>
    <w:rsid w:val="19757220"/>
    <w:rsid w:val="197E0710"/>
    <w:rsid w:val="197E1BCD"/>
    <w:rsid w:val="197F55AC"/>
    <w:rsid w:val="19826B02"/>
    <w:rsid w:val="198332EC"/>
    <w:rsid w:val="19852408"/>
    <w:rsid w:val="198F7910"/>
    <w:rsid w:val="19A3468F"/>
    <w:rsid w:val="19A3471C"/>
    <w:rsid w:val="19A472BA"/>
    <w:rsid w:val="19A7688C"/>
    <w:rsid w:val="19A76EBF"/>
    <w:rsid w:val="19AA3A8F"/>
    <w:rsid w:val="19AD4F81"/>
    <w:rsid w:val="19B1453E"/>
    <w:rsid w:val="19B56AC4"/>
    <w:rsid w:val="19BC17EF"/>
    <w:rsid w:val="19BE2AC3"/>
    <w:rsid w:val="19BE7E54"/>
    <w:rsid w:val="19C10D93"/>
    <w:rsid w:val="19C60682"/>
    <w:rsid w:val="19CD7864"/>
    <w:rsid w:val="19D06011"/>
    <w:rsid w:val="19D40B4E"/>
    <w:rsid w:val="19E15951"/>
    <w:rsid w:val="19E31FEB"/>
    <w:rsid w:val="19E96528"/>
    <w:rsid w:val="19EC1099"/>
    <w:rsid w:val="19F10233"/>
    <w:rsid w:val="19F52594"/>
    <w:rsid w:val="1A081A3F"/>
    <w:rsid w:val="1A084630"/>
    <w:rsid w:val="1A094410"/>
    <w:rsid w:val="1A0A72DC"/>
    <w:rsid w:val="1A0C7B77"/>
    <w:rsid w:val="1A0E5572"/>
    <w:rsid w:val="1A18619B"/>
    <w:rsid w:val="1A1C22A8"/>
    <w:rsid w:val="1A1F6D27"/>
    <w:rsid w:val="1A235038"/>
    <w:rsid w:val="1A256013"/>
    <w:rsid w:val="1A2A20A0"/>
    <w:rsid w:val="1A2C28F1"/>
    <w:rsid w:val="1A2D5E74"/>
    <w:rsid w:val="1A304E30"/>
    <w:rsid w:val="1A33353D"/>
    <w:rsid w:val="1A42512C"/>
    <w:rsid w:val="1A5721C5"/>
    <w:rsid w:val="1A5E4710"/>
    <w:rsid w:val="1A600983"/>
    <w:rsid w:val="1A610ACD"/>
    <w:rsid w:val="1A6221E8"/>
    <w:rsid w:val="1A647031"/>
    <w:rsid w:val="1A6A4517"/>
    <w:rsid w:val="1A6A60A1"/>
    <w:rsid w:val="1A6E45E6"/>
    <w:rsid w:val="1A6F0EF8"/>
    <w:rsid w:val="1A6F5FFF"/>
    <w:rsid w:val="1A746703"/>
    <w:rsid w:val="1A797A01"/>
    <w:rsid w:val="1A7D2038"/>
    <w:rsid w:val="1A7D731F"/>
    <w:rsid w:val="1A7F172C"/>
    <w:rsid w:val="1A8B1271"/>
    <w:rsid w:val="1A931330"/>
    <w:rsid w:val="1AA90F1F"/>
    <w:rsid w:val="1AAB428C"/>
    <w:rsid w:val="1AAC756B"/>
    <w:rsid w:val="1AAD3F4D"/>
    <w:rsid w:val="1AB056D5"/>
    <w:rsid w:val="1ABB5C9A"/>
    <w:rsid w:val="1ABC4309"/>
    <w:rsid w:val="1AC75892"/>
    <w:rsid w:val="1AC92CA7"/>
    <w:rsid w:val="1ACA128F"/>
    <w:rsid w:val="1AD36543"/>
    <w:rsid w:val="1AD6226A"/>
    <w:rsid w:val="1AD766B4"/>
    <w:rsid w:val="1AD97A9E"/>
    <w:rsid w:val="1ADA25E2"/>
    <w:rsid w:val="1ADD18B1"/>
    <w:rsid w:val="1ADD3181"/>
    <w:rsid w:val="1ADE437B"/>
    <w:rsid w:val="1ADF1132"/>
    <w:rsid w:val="1AE21B4D"/>
    <w:rsid w:val="1AE43885"/>
    <w:rsid w:val="1AE73628"/>
    <w:rsid w:val="1AE85287"/>
    <w:rsid w:val="1AEB7286"/>
    <w:rsid w:val="1AF176F7"/>
    <w:rsid w:val="1AFE5B64"/>
    <w:rsid w:val="1B021CE0"/>
    <w:rsid w:val="1B02531D"/>
    <w:rsid w:val="1B05439C"/>
    <w:rsid w:val="1B057344"/>
    <w:rsid w:val="1B1259BC"/>
    <w:rsid w:val="1B133291"/>
    <w:rsid w:val="1B1E31B1"/>
    <w:rsid w:val="1B202382"/>
    <w:rsid w:val="1B203C62"/>
    <w:rsid w:val="1B294908"/>
    <w:rsid w:val="1B3263BF"/>
    <w:rsid w:val="1B332711"/>
    <w:rsid w:val="1B4D606C"/>
    <w:rsid w:val="1B542F21"/>
    <w:rsid w:val="1B5B24F3"/>
    <w:rsid w:val="1B5E1CAC"/>
    <w:rsid w:val="1B62203E"/>
    <w:rsid w:val="1B656F94"/>
    <w:rsid w:val="1B68523F"/>
    <w:rsid w:val="1B686E67"/>
    <w:rsid w:val="1B6A7530"/>
    <w:rsid w:val="1B77209C"/>
    <w:rsid w:val="1B7B5142"/>
    <w:rsid w:val="1B7C05FE"/>
    <w:rsid w:val="1B7F6565"/>
    <w:rsid w:val="1B853EDE"/>
    <w:rsid w:val="1B8619F6"/>
    <w:rsid w:val="1B8E7243"/>
    <w:rsid w:val="1B9657F2"/>
    <w:rsid w:val="1B986B42"/>
    <w:rsid w:val="1B9B3A27"/>
    <w:rsid w:val="1BA0378A"/>
    <w:rsid w:val="1BA1372B"/>
    <w:rsid w:val="1BA3402B"/>
    <w:rsid w:val="1BA47FAB"/>
    <w:rsid w:val="1BA9395F"/>
    <w:rsid w:val="1BB43462"/>
    <w:rsid w:val="1BB7628E"/>
    <w:rsid w:val="1BB820CB"/>
    <w:rsid w:val="1BBC5753"/>
    <w:rsid w:val="1BBE3C27"/>
    <w:rsid w:val="1BC77199"/>
    <w:rsid w:val="1BCE5837"/>
    <w:rsid w:val="1BDD3116"/>
    <w:rsid w:val="1BE1288A"/>
    <w:rsid w:val="1BE26124"/>
    <w:rsid w:val="1BE35092"/>
    <w:rsid w:val="1BE9599B"/>
    <w:rsid w:val="1BED2678"/>
    <w:rsid w:val="1BF273CC"/>
    <w:rsid w:val="1BF8610C"/>
    <w:rsid w:val="1BFD7275"/>
    <w:rsid w:val="1C0E7627"/>
    <w:rsid w:val="1C123467"/>
    <w:rsid w:val="1C12531C"/>
    <w:rsid w:val="1C1C49E7"/>
    <w:rsid w:val="1C2753A3"/>
    <w:rsid w:val="1C2D232C"/>
    <w:rsid w:val="1C315D7D"/>
    <w:rsid w:val="1C324DB7"/>
    <w:rsid w:val="1C363A6D"/>
    <w:rsid w:val="1C452513"/>
    <w:rsid w:val="1C482425"/>
    <w:rsid w:val="1C4B14E1"/>
    <w:rsid w:val="1C4B25E6"/>
    <w:rsid w:val="1C507472"/>
    <w:rsid w:val="1C540186"/>
    <w:rsid w:val="1C5947B6"/>
    <w:rsid w:val="1C5C659A"/>
    <w:rsid w:val="1C5E1A30"/>
    <w:rsid w:val="1C610AD7"/>
    <w:rsid w:val="1C653BD8"/>
    <w:rsid w:val="1C6B0704"/>
    <w:rsid w:val="1C6C00FE"/>
    <w:rsid w:val="1C6F17F9"/>
    <w:rsid w:val="1C6F68FE"/>
    <w:rsid w:val="1C726509"/>
    <w:rsid w:val="1C727D7E"/>
    <w:rsid w:val="1C7C32E6"/>
    <w:rsid w:val="1C7E4578"/>
    <w:rsid w:val="1C88225C"/>
    <w:rsid w:val="1C8C0800"/>
    <w:rsid w:val="1C8C59E0"/>
    <w:rsid w:val="1C8D3433"/>
    <w:rsid w:val="1C8E346F"/>
    <w:rsid w:val="1C8E7496"/>
    <w:rsid w:val="1C904151"/>
    <w:rsid w:val="1C9A6D94"/>
    <w:rsid w:val="1CA05A82"/>
    <w:rsid w:val="1CA509D5"/>
    <w:rsid w:val="1CA64C0C"/>
    <w:rsid w:val="1CAD5F1D"/>
    <w:rsid w:val="1CB22C3F"/>
    <w:rsid w:val="1CBA2217"/>
    <w:rsid w:val="1CBE0D52"/>
    <w:rsid w:val="1CBF7C7B"/>
    <w:rsid w:val="1CC22986"/>
    <w:rsid w:val="1CCD5EB6"/>
    <w:rsid w:val="1CD03335"/>
    <w:rsid w:val="1CD37BC3"/>
    <w:rsid w:val="1CD409B5"/>
    <w:rsid w:val="1CDC7D24"/>
    <w:rsid w:val="1CDD50A9"/>
    <w:rsid w:val="1CE32733"/>
    <w:rsid w:val="1CE42B96"/>
    <w:rsid w:val="1CEC02CA"/>
    <w:rsid w:val="1CED616E"/>
    <w:rsid w:val="1CF11601"/>
    <w:rsid w:val="1CF30938"/>
    <w:rsid w:val="1CF35282"/>
    <w:rsid w:val="1D0304A1"/>
    <w:rsid w:val="1D08170F"/>
    <w:rsid w:val="1D0A0589"/>
    <w:rsid w:val="1D177698"/>
    <w:rsid w:val="1D1A4508"/>
    <w:rsid w:val="1D1D2764"/>
    <w:rsid w:val="1D253E19"/>
    <w:rsid w:val="1D274D64"/>
    <w:rsid w:val="1D292956"/>
    <w:rsid w:val="1D2E0A2B"/>
    <w:rsid w:val="1D340807"/>
    <w:rsid w:val="1D366C05"/>
    <w:rsid w:val="1D3A0813"/>
    <w:rsid w:val="1D3E3B89"/>
    <w:rsid w:val="1D4044B4"/>
    <w:rsid w:val="1D453535"/>
    <w:rsid w:val="1D492D11"/>
    <w:rsid w:val="1D4A1B02"/>
    <w:rsid w:val="1D540153"/>
    <w:rsid w:val="1D5C3449"/>
    <w:rsid w:val="1D5D578C"/>
    <w:rsid w:val="1D5F3F6F"/>
    <w:rsid w:val="1D6D40DC"/>
    <w:rsid w:val="1D6E19C0"/>
    <w:rsid w:val="1D733F28"/>
    <w:rsid w:val="1D7435DC"/>
    <w:rsid w:val="1D7947BC"/>
    <w:rsid w:val="1D7A1674"/>
    <w:rsid w:val="1D810AC8"/>
    <w:rsid w:val="1D810CCF"/>
    <w:rsid w:val="1D827D13"/>
    <w:rsid w:val="1D9651CF"/>
    <w:rsid w:val="1DA46305"/>
    <w:rsid w:val="1DAB7B3D"/>
    <w:rsid w:val="1DB6073C"/>
    <w:rsid w:val="1DBA268D"/>
    <w:rsid w:val="1DBB093A"/>
    <w:rsid w:val="1DBB25FD"/>
    <w:rsid w:val="1DC10CB7"/>
    <w:rsid w:val="1DC334AD"/>
    <w:rsid w:val="1DC3646F"/>
    <w:rsid w:val="1DC70167"/>
    <w:rsid w:val="1DCB7A14"/>
    <w:rsid w:val="1DD15D4F"/>
    <w:rsid w:val="1DD443AD"/>
    <w:rsid w:val="1DD443E4"/>
    <w:rsid w:val="1DD85965"/>
    <w:rsid w:val="1DDD1260"/>
    <w:rsid w:val="1DDE7E6F"/>
    <w:rsid w:val="1DE20129"/>
    <w:rsid w:val="1DE267C3"/>
    <w:rsid w:val="1DE46129"/>
    <w:rsid w:val="1DE9463F"/>
    <w:rsid w:val="1DEF53A6"/>
    <w:rsid w:val="1DF715D3"/>
    <w:rsid w:val="1DF8116E"/>
    <w:rsid w:val="1DF830CB"/>
    <w:rsid w:val="1DFD09F2"/>
    <w:rsid w:val="1E0828B6"/>
    <w:rsid w:val="1E096102"/>
    <w:rsid w:val="1E0B053F"/>
    <w:rsid w:val="1E0D1502"/>
    <w:rsid w:val="1E0F5D84"/>
    <w:rsid w:val="1E175B9F"/>
    <w:rsid w:val="1E1A0959"/>
    <w:rsid w:val="1E1A3E61"/>
    <w:rsid w:val="1E1C5EF9"/>
    <w:rsid w:val="1E1C6C9F"/>
    <w:rsid w:val="1E211C3D"/>
    <w:rsid w:val="1E225805"/>
    <w:rsid w:val="1E2A2967"/>
    <w:rsid w:val="1E322011"/>
    <w:rsid w:val="1E396E9C"/>
    <w:rsid w:val="1E4A5FFF"/>
    <w:rsid w:val="1E5B7FFD"/>
    <w:rsid w:val="1E655228"/>
    <w:rsid w:val="1E664809"/>
    <w:rsid w:val="1E683C94"/>
    <w:rsid w:val="1E684014"/>
    <w:rsid w:val="1E6F719B"/>
    <w:rsid w:val="1E737C5E"/>
    <w:rsid w:val="1E780215"/>
    <w:rsid w:val="1E7D6D42"/>
    <w:rsid w:val="1E8176F0"/>
    <w:rsid w:val="1E8A6F48"/>
    <w:rsid w:val="1E8B7671"/>
    <w:rsid w:val="1E8D5ABA"/>
    <w:rsid w:val="1E8E3AD1"/>
    <w:rsid w:val="1E911FD0"/>
    <w:rsid w:val="1E9120E0"/>
    <w:rsid w:val="1E966DA1"/>
    <w:rsid w:val="1E974E2C"/>
    <w:rsid w:val="1E9C7B2F"/>
    <w:rsid w:val="1EA224E5"/>
    <w:rsid w:val="1EA41E5E"/>
    <w:rsid w:val="1EA74950"/>
    <w:rsid w:val="1EAF6F79"/>
    <w:rsid w:val="1EB0419D"/>
    <w:rsid w:val="1EB45B73"/>
    <w:rsid w:val="1EB56FA7"/>
    <w:rsid w:val="1EB60E2C"/>
    <w:rsid w:val="1EB641E5"/>
    <w:rsid w:val="1EB7125E"/>
    <w:rsid w:val="1EC04C80"/>
    <w:rsid w:val="1EC160C6"/>
    <w:rsid w:val="1EC17C6B"/>
    <w:rsid w:val="1EC2456C"/>
    <w:rsid w:val="1EC860BE"/>
    <w:rsid w:val="1ECB3E4E"/>
    <w:rsid w:val="1ED27021"/>
    <w:rsid w:val="1EDB7C80"/>
    <w:rsid w:val="1EDC49FF"/>
    <w:rsid w:val="1EE01E66"/>
    <w:rsid w:val="1EE024C4"/>
    <w:rsid w:val="1EE06EC5"/>
    <w:rsid w:val="1EE212B1"/>
    <w:rsid w:val="1EE22331"/>
    <w:rsid w:val="1EE54A97"/>
    <w:rsid w:val="1EE866CE"/>
    <w:rsid w:val="1EEE7468"/>
    <w:rsid w:val="1EF53B37"/>
    <w:rsid w:val="1EF8333E"/>
    <w:rsid w:val="1EFC48CB"/>
    <w:rsid w:val="1EFD18DE"/>
    <w:rsid w:val="1F022DCD"/>
    <w:rsid w:val="1F0C27D0"/>
    <w:rsid w:val="1F1155F9"/>
    <w:rsid w:val="1F1972AE"/>
    <w:rsid w:val="1F21539B"/>
    <w:rsid w:val="1F23488E"/>
    <w:rsid w:val="1F2627F9"/>
    <w:rsid w:val="1F2664A5"/>
    <w:rsid w:val="1F274072"/>
    <w:rsid w:val="1F29756C"/>
    <w:rsid w:val="1F2F04BA"/>
    <w:rsid w:val="1F39192C"/>
    <w:rsid w:val="1F407873"/>
    <w:rsid w:val="1F4236C1"/>
    <w:rsid w:val="1F4518EA"/>
    <w:rsid w:val="1F4937F1"/>
    <w:rsid w:val="1F4A2420"/>
    <w:rsid w:val="1F4F57FD"/>
    <w:rsid w:val="1F546878"/>
    <w:rsid w:val="1F5E4277"/>
    <w:rsid w:val="1F5F0629"/>
    <w:rsid w:val="1F687D10"/>
    <w:rsid w:val="1F6A7CA7"/>
    <w:rsid w:val="1F6E7B73"/>
    <w:rsid w:val="1F7309C4"/>
    <w:rsid w:val="1F750444"/>
    <w:rsid w:val="1F797E08"/>
    <w:rsid w:val="1F81129D"/>
    <w:rsid w:val="1F837FB2"/>
    <w:rsid w:val="1F84438F"/>
    <w:rsid w:val="1F8A1F20"/>
    <w:rsid w:val="1F8D2575"/>
    <w:rsid w:val="1F91031B"/>
    <w:rsid w:val="1F9E66C7"/>
    <w:rsid w:val="1FA327E7"/>
    <w:rsid w:val="1FA4553C"/>
    <w:rsid w:val="1FA870DD"/>
    <w:rsid w:val="1FA92D26"/>
    <w:rsid w:val="1FAF0A71"/>
    <w:rsid w:val="1FB135BF"/>
    <w:rsid w:val="1FB366B4"/>
    <w:rsid w:val="1FB408D1"/>
    <w:rsid w:val="1FB452BE"/>
    <w:rsid w:val="1FB60074"/>
    <w:rsid w:val="1FBD5AEA"/>
    <w:rsid w:val="1FC23050"/>
    <w:rsid w:val="1FC235E3"/>
    <w:rsid w:val="1FC356DC"/>
    <w:rsid w:val="1FC37093"/>
    <w:rsid w:val="1FC622BC"/>
    <w:rsid w:val="1FCA0A38"/>
    <w:rsid w:val="1FCB3F00"/>
    <w:rsid w:val="1FCB6F81"/>
    <w:rsid w:val="1FD85A22"/>
    <w:rsid w:val="1FDB5FE0"/>
    <w:rsid w:val="1FDD0016"/>
    <w:rsid w:val="1FE157EC"/>
    <w:rsid w:val="1FE2194A"/>
    <w:rsid w:val="1FE37224"/>
    <w:rsid w:val="1FE75708"/>
    <w:rsid w:val="1FEC2E6C"/>
    <w:rsid w:val="1FEF0E99"/>
    <w:rsid w:val="1FEF3B8E"/>
    <w:rsid w:val="1FF053B1"/>
    <w:rsid w:val="1FF069C1"/>
    <w:rsid w:val="1FF156B1"/>
    <w:rsid w:val="1FF64A6B"/>
    <w:rsid w:val="1FF90C92"/>
    <w:rsid w:val="1FFB29E7"/>
    <w:rsid w:val="1FFE2E82"/>
    <w:rsid w:val="20032EDE"/>
    <w:rsid w:val="200409ED"/>
    <w:rsid w:val="200465F3"/>
    <w:rsid w:val="20066836"/>
    <w:rsid w:val="20074CD3"/>
    <w:rsid w:val="201216EF"/>
    <w:rsid w:val="201A5507"/>
    <w:rsid w:val="201C4601"/>
    <w:rsid w:val="201D2A54"/>
    <w:rsid w:val="20255AAA"/>
    <w:rsid w:val="20273378"/>
    <w:rsid w:val="202C0F3B"/>
    <w:rsid w:val="203C5F84"/>
    <w:rsid w:val="203D3E77"/>
    <w:rsid w:val="2045494C"/>
    <w:rsid w:val="2046140B"/>
    <w:rsid w:val="204D5EAF"/>
    <w:rsid w:val="20524BD2"/>
    <w:rsid w:val="205B217E"/>
    <w:rsid w:val="205C1808"/>
    <w:rsid w:val="205F3A15"/>
    <w:rsid w:val="20691A1A"/>
    <w:rsid w:val="206B4740"/>
    <w:rsid w:val="206F3C5C"/>
    <w:rsid w:val="207348C0"/>
    <w:rsid w:val="207D3B2C"/>
    <w:rsid w:val="20800B27"/>
    <w:rsid w:val="20955C59"/>
    <w:rsid w:val="20963B56"/>
    <w:rsid w:val="209D0ABD"/>
    <w:rsid w:val="209D46AD"/>
    <w:rsid w:val="209E0411"/>
    <w:rsid w:val="20A12676"/>
    <w:rsid w:val="20A13BAA"/>
    <w:rsid w:val="20A32B2F"/>
    <w:rsid w:val="20AE6B27"/>
    <w:rsid w:val="20AF1FDC"/>
    <w:rsid w:val="20B270A4"/>
    <w:rsid w:val="20B73F2C"/>
    <w:rsid w:val="20BC39A7"/>
    <w:rsid w:val="20C602FC"/>
    <w:rsid w:val="20C61A61"/>
    <w:rsid w:val="20CD5157"/>
    <w:rsid w:val="20CD6164"/>
    <w:rsid w:val="20CF67F1"/>
    <w:rsid w:val="20D26370"/>
    <w:rsid w:val="20D8418D"/>
    <w:rsid w:val="20DF0EB4"/>
    <w:rsid w:val="20E143BA"/>
    <w:rsid w:val="20E45174"/>
    <w:rsid w:val="20EA296C"/>
    <w:rsid w:val="20EC571D"/>
    <w:rsid w:val="20F138DD"/>
    <w:rsid w:val="20F25D5E"/>
    <w:rsid w:val="20F51117"/>
    <w:rsid w:val="20F67128"/>
    <w:rsid w:val="20F76998"/>
    <w:rsid w:val="20F865CC"/>
    <w:rsid w:val="20F9323B"/>
    <w:rsid w:val="2104381C"/>
    <w:rsid w:val="210B5645"/>
    <w:rsid w:val="21107B25"/>
    <w:rsid w:val="211175F8"/>
    <w:rsid w:val="21163138"/>
    <w:rsid w:val="2121150A"/>
    <w:rsid w:val="21275D86"/>
    <w:rsid w:val="212F57FD"/>
    <w:rsid w:val="213311B2"/>
    <w:rsid w:val="213359DD"/>
    <w:rsid w:val="21350662"/>
    <w:rsid w:val="213A486A"/>
    <w:rsid w:val="213B6C89"/>
    <w:rsid w:val="21400562"/>
    <w:rsid w:val="21414FC7"/>
    <w:rsid w:val="2145041B"/>
    <w:rsid w:val="21456EDE"/>
    <w:rsid w:val="2147071E"/>
    <w:rsid w:val="214A712E"/>
    <w:rsid w:val="214B0E8D"/>
    <w:rsid w:val="214F211D"/>
    <w:rsid w:val="21500C09"/>
    <w:rsid w:val="21525A55"/>
    <w:rsid w:val="21553F86"/>
    <w:rsid w:val="215B5C81"/>
    <w:rsid w:val="215B62B9"/>
    <w:rsid w:val="21600953"/>
    <w:rsid w:val="21674DB5"/>
    <w:rsid w:val="21686AAB"/>
    <w:rsid w:val="216B4604"/>
    <w:rsid w:val="216F1594"/>
    <w:rsid w:val="21782B83"/>
    <w:rsid w:val="21897073"/>
    <w:rsid w:val="218B1406"/>
    <w:rsid w:val="21923E20"/>
    <w:rsid w:val="21940B72"/>
    <w:rsid w:val="219900E0"/>
    <w:rsid w:val="21996FAC"/>
    <w:rsid w:val="219A03A0"/>
    <w:rsid w:val="21A4513B"/>
    <w:rsid w:val="21A60759"/>
    <w:rsid w:val="21BB6C32"/>
    <w:rsid w:val="21BF5262"/>
    <w:rsid w:val="21C01B2E"/>
    <w:rsid w:val="21C10802"/>
    <w:rsid w:val="21C37301"/>
    <w:rsid w:val="21C951D7"/>
    <w:rsid w:val="21CA16F5"/>
    <w:rsid w:val="21CD4745"/>
    <w:rsid w:val="21CE711C"/>
    <w:rsid w:val="21D175F9"/>
    <w:rsid w:val="21D23E10"/>
    <w:rsid w:val="21D40B05"/>
    <w:rsid w:val="21E77A51"/>
    <w:rsid w:val="21F33D8E"/>
    <w:rsid w:val="21F4002E"/>
    <w:rsid w:val="21F504F7"/>
    <w:rsid w:val="21F74138"/>
    <w:rsid w:val="21F972EC"/>
    <w:rsid w:val="21FA6152"/>
    <w:rsid w:val="21FE5C9B"/>
    <w:rsid w:val="220246CF"/>
    <w:rsid w:val="220756B7"/>
    <w:rsid w:val="220E4727"/>
    <w:rsid w:val="220F20E2"/>
    <w:rsid w:val="22136891"/>
    <w:rsid w:val="221A464E"/>
    <w:rsid w:val="2220339B"/>
    <w:rsid w:val="2223055D"/>
    <w:rsid w:val="22332205"/>
    <w:rsid w:val="223461B9"/>
    <w:rsid w:val="223D3BD8"/>
    <w:rsid w:val="22453CF0"/>
    <w:rsid w:val="22472E45"/>
    <w:rsid w:val="224A1152"/>
    <w:rsid w:val="224C4086"/>
    <w:rsid w:val="224C64AB"/>
    <w:rsid w:val="225444B0"/>
    <w:rsid w:val="225F4CA3"/>
    <w:rsid w:val="226007E6"/>
    <w:rsid w:val="226273C7"/>
    <w:rsid w:val="226578BA"/>
    <w:rsid w:val="22660710"/>
    <w:rsid w:val="226F71E2"/>
    <w:rsid w:val="227D7055"/>
    <w:rsid w:val="22827E08"/>
    <w:rsid w:val="22864A3B"/>
    <w:rsid w:val="228E3AF9"/>
    <w:rsid w:val="229202F2"/>
    <w:rsid w:val="22963333"/>
    <w:rsid w:val="22976BC7"/>
    <w:rsid w:val="229B1DB7"/>
    <w:rsid w:val="229C7B49"/>
    <w:rsid w:val="229E0227"/>
    <w:rsid w:val="22A153D1"/>
    <w:rsid w:val="22A34562"/>
    <w:rsid w:val="22A63386"/>
    <w:rsid w:val="22AB5794"/>
    <w:rsid w:val="22B339B9"/>
    <w:rsid w:val="22B62D1B"/>
    <w:rsid w:val="22B716BD"/>
    <w:rsid w:val="22C35304"/>
    <w:rsid w:val="22C66D21"/>
    <w:rsid w:val="22CA5A1C"/>
    <w:rsid w:val="22CE3C11"/>
    <w:rsid w:val="22CE4237"/>
    <w:rsid w:val="22D52D96"/>
    <w:rsid w:val="22D80759"/>
    <w:rsid w:val="22DA16E3"/>
    <w:rsid w:val="22DB18BE"/>
    <w:rsid w:val="22DC2C65"/>
    <w:rsid w:val="22DE6F25"/>
    <w:rsid w:val="22E0075C"/>
    <w:rsid w:val="22E12AEE"/>
    <w:rsid w:val="22E23104"/>
    <w:rsid w:val="22E26654"/>
    <w:rsid w:val="22EE1EA1"/>
    <w:rsid w:val="22F549EB"/>
    <w:rsid w:val="22FD473B"/>
    <w:rsid w:val="23006B0C"/>
    <w:rsid w:val="23071D34"/>
    <w:rsid w:val="23082FEF"/>
    <w:rsid w:val="230A24E0"/>
    <w:rsid w:val="230F4F52"/>
    <w:rsid w:val="23175082"/>
    <w:rsid w:val="231A41F1"/>
    <w:rsid w:val="231D67DC"/>
    <w:rsid w:val="2328240B"/>
    <w:rsid w:val="232D06FA"/>
    <w:rsid w:val="232D1D87"/>
    <w:rsid w:val="232E4F71"/>
    <w:rsid w:val="23320B95"/>
    <w:rsid w:val="233511F6"/>
    <w:rsid w:val="23352211"/>
    <w:rsid w:val="2344462E"/>
    <w:rsid w:val="234C2140"/>
    <w:rsid w:val="234C2722"/>
    <w:rsid w:val="234D3136"/>
    <w:rsid w:val="234D5882"/>
    <w:rsid w:val="234D6A49"/>
    <w:rsid w:val="23531AA8"/>
    <w:rsid w:val="23540208"/>
    <w:rsid w:val="2356400A"/>
    <w:rsid w:val="235D529E"/>
    <w:rsid w:val="235E58D3"/>
    <w:rsid w:val="23615577"/>
    <w:rsid w:val="23633F17"/>
    <w:rsid w:val="236E6A06"/>
    <w:rsid w:val="236F5ABE"/>
    <w:rsid w:val="237268C3"/>
    <w:rsid w:val="237300FE"/>
    <w:rsid w:val="237A102E"/>
    <w:rsid w:val="23807BEA"/>
    <w:rsid w:val="23810156"/>
    <w:rsid w:val="23815467"/>
    <w:rsid w:val="23933E86"/>
    <w:rsid w:val="239B1052"/>
    <w:rsid w:val="239C1929"/>
    <w:rsid w:val="23A661A1"/>
    <w:rsid w:val="23AA6D34"/>
    <w:rsid w:val="23AD4963"/>
    <w:rsid w:val="23B03FDC"/>
    <w:rsid w:val="23B36C83"/>
    <w:rsid w:val="23BB598D"/>
    <w:rsid w:val="23C152A7"/>
    <w:rsid w:val="23C5500C"/>
    <w:rsid w:val="23C63543"/>
    <w:rsid w:val="23C70313"/>
    <w:rsid w:val="23C739C6"/>
    <w:rsid w:val="23CB77F4"/>
    <w:rsid w:val="23CE14BA"/>
    <w:rsid w:val="23CF2B53"/>
    <w:rsid w:val="23CF64C0"/>
    <w:rsid w:val="23D82B24"/>
    <w:rsid w:val="23DC3305"/>
    <w:rsid w:val="23E01030"/>
    <w:rsid w:val="23E2779D"/>
    <w:rsid w:val="23E40C53"/>
    <w:rsid w:val="23EC3039"/>
    <w:rsid w:val="23EE3C02"/>
    <w:rsid w:val="23EE5E9F"/>
    <w:rsid w:val="23F016F9"/>
    <w:rsid w:val="23F029D2"/>
    <w:rsid w:val="23F669E4"/>
    <w:rsid w:val="23F71F42"/>
    <w:rsid w:val="23F834A3"/>
    <w:rsid w:val="23FB3714"/>
    <w:rsid w:val="24010A44"/>
    <w:rsid w:val="240252C6"/>
    <w:rsid w:val="24071EB7"/>
    <w:rsid w:val="24101C13"/>
    <w:rsid w:val="24125FFF"/>
    <w:rsid w:val="241805FD"/>
    <w:rsid w:val="242228C5"/>
    <w:rsid w:val="24226B2E"/>
    <w:rsid w:val="242526EB"/>
    <w:rsid w:val="24292B49"/>
    <w:rsid w:val="242C3939"/>
    <w:rsid w:val="242D6E5F"/>
    <w:rsid w:val="24324562"/>
    <w:rsid w:val="24365B42"/>
    <w:rsid w:val="243A07C8"/>
    <w:rsid w:val="243A671B"/>
    <w:rsid w:val="24477570"/>
    <w:rsid w:val="24487ABE"/>
    <w:rsid w:val="245533C2"/>
    <w:rsid w:val="24572A3F"/>
    <w:rsid w:val="245F5B58"/>
    <w:rsid w:val="24614E25"/>
    <w:rsid w:val="246436CD"/>
    <w:rsid w:val="246659C2"/>
    <w:rsid w:val="24671DB2"/>
    <w:rsid w:val="24726446"/>
    <w:rsid w:val="24733A0E"/>
    <w:rsid w:val="247602BE"/>
    <w:rsid w:val="24804025"/>
    <w:rsid w:val="24822F12"/>
    <w:rsid w:val="248634F2"/>
    <w:rsid w:val="24914384"/>
    <w:rsid w:val="2495346E"/>
    <w:rsid w:val="24986D6E"/>
    <w:rsid w:val="249C0E06"/>
    <w:rsid w:val="24A35671"/>
    <w:rsid w:val="24A45504"/>
    <w:rsid w:val="24A46021"/>
    <w:rsid w:val="24A57F36"/>
    <w:rsid w:val="24A65DB9"/>
    <w:rsid w:val="24A73788"/>
    <w:rsid w:val="24A82210"/>
    <w:rsid w:val="24AA396B"/>
    <w:rsid w:val="24AC3410"/>
    <w:rsid w:val="24C357B5"/>
    <w:rsid w:val="24C416A4"/>
    <w:rsid w:val="24C42C23"/>
    <w:rsid w:val="24CA671A"/>
    <w:rsid w:val="24CB438D"/>
    <w:rsid w:val="24D13357"/>
    <w:rsid w:val="24DD78D6"/>
    <w:rsid w:val="24E00B03"/>
    <w:rsid w:val="24E65F57"/>
    <w:rsid w:val="24EF0859"/>
    <w:rsid w:val="24F745C2"/>
    <w:rsid w:val="24FA4FD6"/>
    <w:rsid w:val="24FB5874"/>
    <w:rsid w:val="25032183"/>
    <w:rsid w:val="25053DC6"/>
    <w:rsid w:val="250C19ED"/>
    <w:rsid w:val="250F6710"/>
    <w:rsid w:val="25107D45"/>
    <w:rsid w:val="251E290B"/>
    <w:rsid w:val="251F4D8C"/>
    <w:rsid w:val="25241669"/>
    <w:rsid w:val="25283E1A"/>
    <w:rsid w:val="25291701"/>
    <w:rsid w:val="252D073B"/>
    <w:rsid w:val="25316474"/>
    <w:rsid w:val="253C587A"/>
    <w:rsid w:val="25410C7E"/>
    <w:rsid w:val="25486AF0"/>
    <w:rsid w:val="254C4FC0"/>
    <w:rsid w:val="254E6896"/>
    <w:rsid w:val="255704B5"/>
    <w:rsid w:val="25583467"/>
    <w:rsid w:val="25630480"/>
    <w:rsid w:val="256340EA"/>
    <w:rsid w:val="256459BF"/>
    <w:rsid w:val="25671AEA"/>
    <w:rsid w:val="256B42A2"/>
    <w:rsid w:val="256C4DC5"/>
    <w:rsid w:val="256D5A37"/>
    <w:rsid w:val="256F02F7"/>
    <w:rsid w:val="256F34AA"/>
    <w:rsid w:val="257043CD"/>
    <w:rsid w:val="25726BB9"/>
    <w:rsid w:val="25750F1E"/>
    <w:rsid w:val="257E60EC"/>
    <w:rsid w:val="257E6B8C"/>
    <w:rsid w:val="25827061"/>
    <w:rsid w:val="258566B6"/>
    <w:rsid w:val="258613C5"/>
    <w:rsid w:val="2586218E"/>
    <w:rsid w:val="25871A61"/>
    <w:rsid w:val="258764BC"/>
    <w:rsid w:val="25894891"/>
    <w:rsid w:val="258A6BDA"/>
    <w:rsid w:val="258C64C1"/>
    <w:rsid w:val="25913EAC"/>
    <w:rsid w:val="2591453D"/>
    <w:rsid w:val="25934305"/>
    <w:rsid w:val="25966309"/>
    <w:rsid w:val="25980D98"/>
    <w:rsid w:val="259A04E8"/>
    <w:rsid w:val="259F3A87"/>
    <w:rsid w:val="25A240CC"/>
    <w:rsid w:val="25A34B50"/>
    <w:rsid w:val="25AC3C4C"/>
    <w:rsid w:val="25B31C94"/>
    <w:rsid w:val="25BC2108"/>
    <w:rsid w:val="25BC7462"/>
    <w:rsid w:val="25C00E9F"/>
    <w:rsid w:val="25C30D25"/>
    <w:rsid w:val="25CE5CC3"/>
    <w:rsid w:val="25D32F6A"/>
    <w:rsid w:val="25D5379F"/>
    <w:rsid w:val="25D84541"/>
    <w:rsid w:val="25DD4A86"/>
    <w:rsid w:val="25E13F3F"/>
    <w:rsid w:val="25E24C13"/>
    <w:rsid w:val="25E43E4B"/>
    <w:rsid w:val="25E5211D"/>
    <w:rsid w:val="25E54D14"/>
    <w:rsid w:val="25E56BBB"/>
    <w:rsid w:val="25E77DDE"/>
    <w:rsid w:val="25EB5E72"/>
    <w:rsid w:val="25EE22E1"/>
    <w:rsid w:val="25F00DD5"/>
    <w:rsid w:val="25F224EE"/>
    <w:rsid w:val="25F663DD"/>
    <w:rsid w:val="26071262"/>
    <w:rsid w:val="260A4A10"/>
    <w:rsid w:val="26100B63"/>
    <w:rsid w:val="261524A9"/>
    <w:rsid w:val="26164B07"/>
    <w:rsid w:val="26164EDF"/>
    <w:rsid w:val="261A054E"/>
    <w:rsid w:val="261E0A21"/>
    <w:rsid w:val="2621376C"/>
    <w:rsid w:val="26251869"/>
    <w:rsid w:val="262C0ABA"/>
    <w:rsid w:val="263314F5"/>
    <w:rsid w:val="26351EEB"/>
    <w:rsid w:val="26383A2E"/>
    <w:rsid w:val="263C2AD8"/>
    <w:rsid w:val="263F1FA5"/>
    <w:rsid w:val="2642464C"/>
    <w:rsid w:val="2642558D"/>
    <w:rsid w:val="26476C07"/>
    <w:rsid w:val="26506EA2"/>
    <w:rsid w:val="26554116"/>
    <w:rsid w:val="265753D0"/>
    <w:rsid w:val="26577FE5"/>
    <w:rsid w:val="265D0FA8"/>
    <w:rsid w:val="2660598F"/>
    <w:rsid w:val="26632349"/>
    <w:rsid w:val="26641BA4"/>
    <w:rsid w:val="26641F4E"/>
    <w:rsid w:val="266B1F24"/>
    <w:rsid w:val="266B73A7"/>
    <w:rsid w:val="266E1684"/>
    <w:rsid w:val="266E68FB"/>
    <w:rsid w:val="26710161"/>
    <w:rsid w:val="26733454"/>
    <w:rsid w:val="2675768C"/>
    <w:rsid w:val="267813DE"/>
    <w:rsid w:val="26803B46"/>
    <w:rsid w:val="268132E6"/>
    <w:rsid w:val="268973A2"/>
    <w:rsid w:val="26950F9B"/>
    <w:rsid w:val="26994C79"/>
    <w:rsid w:val="26A2583B"/>
    <w:rsid w:val="26AB1F7F"/>
    <w:rsid w:val="26AE2774"/>
    <w:rsid w:val="26B949EF"/>
    <w:rsid w:val="26B96FB1"/>
    <w:rsid w:val="26BC3111"/>
    <w:rsid w:val="26BC6A24"/>
    <w:rsid w:val="26CC08CA"/>
    <w:rsid w:val="26CD12A4"/>
    <w:rsid w:val="26D34F6A"/>
    <w:rsid w:val="26D55786"/>
    <w:rsid w:val="26DC231F"/>
    <w:rsid w:val="26DC4648"/>
    <w:rsid w:val="26E83DC7"/>
    <w:rsid w:val="26EF78C1"/>
    <w:rsid w:val="26F20B32"/>
    <w:rsid w:val="26F83C76"/>
    <w:rsid w:val="2711185A"/>
    <w:rsid w:val="271526B7"/>
    <w:rsid w:val="27167AE8"/>
    <w:rsid w:val="27176421"/>
    <w:rsid w:val="27182FE6"/>
    <w:rsid w:val="27216C08"/>
    <w:rsid w:val="272A735E"/>
    <w:rsid w:val="272F16A3"/>
    <w:rsid w:val="272F3AD6"/>
    <w:rsid w:val="2730795E"/>
    <w:rsid w:val="27361570"/>
    <w:rsid w:val="273F484A"/>
    <w:rsid w:val="274061A5"/>
    <w:rsid w:val="274246D2"/>
    <w:rsid w:val="275120C9"/>
    <w:rsid w:val="27556637"/>
    <w:rsid w:val="27582F08"/>
    <w:rsid w:val="27584918"/>
    <w:rsid w:val="27691682"/>
    <w:rsid w:val="276F1D07"/>
    <w:rsid w:val="2771079D"/>
    <w:rsid w:val="27713577"/>
    <w:rsid w:val="277179E9"/>
    <w:rsid w:val="27767636"/>
    <w:rsid w:val="27792BD7"/>
    <w:rsid w:val="27836F1A"/>
    <w:rsid w:val="279362B6"/>
    <w:rsid w:val="2795327F"/>
    <w:rsid w:val="279E2344"/>
    <w:rsid w:val="27A04CDC"/>
    <w:rsid w:val="27A06252"/>
    <w:rsid w:val="27A12487"/>
    <w:rsid w:val="27A32EA1"/>
    <w:rsid w:val="27A34B41"/>
    <w:rsid w:val="27A706A3"/>
    <w:rsid w:val="27AE21B5"/>
    <w:rsid w:val="27B30038"/>
    <w:rsid w:val="27B46174"/>
    <w:rsid w:val="27BB1716"/>
    <w:rsid w:val="27C044D5"/>
    <w:rsid w:val="27C431F3"/>
    <w:rsid w:val="27CB1808"/>
    <w:rsid w:val="27CC5E9C"/>
    <w:rsid w:val="27CE4754"/>
    <w:rsid w:val="27CE532B"/>
    <w:rsid w:val="27D028D6"/>
    <w:rsid w:val="27D02EFD"/>
    <w:rsid w:val="27D03B06"/>
    <w:rsid w:val="27DE1074"/>
    <w:rsid w:val="27E829A5"/>
    <w:rsid w:val="27E92A1D"/>
    <w:rsid w:val="27EB04C0"/>
    <w:rsid w:val="27EB4BAE"/>
    <w:rsid w:val="27F343B9"/>
    <w:rsid w:val="27FA1463"/>
    <w:rsid w:val="27FB26D8"/>
    <w:rsid w:val="27FD3EAE"/>
    <w:rsid w:val="280B62E0"/>
    <w:rsid w:val="280F58E6"/>
    <w:rsid w:val="28175B01"/>
    <w:rsid w:val="281918C7"/>
    <w:rsid w:val="281B491A"/>
    <w:rsid w:val="281E7628"/>
    <w:rsid w:val="281F2417"/>
    <w:rsid w:val="28206D4D"/>
    <w:rsid w:val="2823568E"/>
    <w:rsid w:val="282957D6"/>
    <w:rsid w:val="282A042C"/>
    <w:rsid w:val="282D66DC"/>
    <w:rsid w:val="28301120"/>
    <w:rsid w:val="2831630F"/>
    <w:rsid w:val="28317353"/>
    <w:rsid w:val="2835758D"/>
    <w:rsid w:val="28414FD2"/>
    <w:rsid w:val="28477E7F"/>
    <w:rsid w:val="28480612"/>
    <w:rsid w:val="28480AB9"/>
    <w:rsid w:val="284A23DB"/>
    <w:rsid w:val="28506677"/>
    <w:rsid w:val="28515F82"/>
    <w:rsid w:val="28541290"/>
    <w:rsid w:val="28554E75"/>
    <w:rsid w:val="28563A3F"/>
    <w:rsid w:val="285D1AE8"/>
    <w:rsid w:val="28604BA4"/>
    <w:rsid w:val="286064E7"/>
    <w:rsid w:val="28622328"/>
    <w:rsid w:val="28691689"/>
    <w:rsid w:val="287867A1"/>
    <w:rsid w:val="287D0D35"/>
    <w:rsid w:val="287F3F6F"/>
    <w:rsid w:val="28833381"/>
    <w:rsid w:val="2885594B"/>
    <w:rsid w:val="288641FA"/>
    <w:rsid w:val="28870024"/>
    <w:rsid w:val="28874213"/>
    <w:rsid w:val="28876B57"/>
    <w:rsid w:val="288B5F47"/>
    <w:rsid w:val="288F1F52"/>
    <w:rsid w:val="289334D2"/>
    <w:rsid w:val="28943403"/>
    <w:rsid w:val="28995C8D"/>
    <w:rsid w:val="289B0E86"/>
    <w:rsid w:val="289D3220"/>
    <w:rsid w:val="289D6E19"/>
    <w:rsid w:val="28A00777"/>
    <w:rsid w:val="28A13BCD"/>
    <w:rsid w:val="28A31A85"/>
    <w:rsid w:val="28A87BD8"/>
    <w:rsid w:val="28AA4B38"/>
    <w:rsid w:val="28AD1573"/>
    <w:rsid w:val="28B027D3"/>
    <w:rsid w:val="28B4301B"/>
    <w:rsid w:val="28B8598A"/>
    <w:rsid w:val="28C038E7"/>
    <w:rsid w:val="28C13ED8"/>
    <w:rsid w:val="28C15CFE"/>
    <w:rsid w:val="28C511AC"/>
    <w:rsid w:val="28CA07FC"/>
    <w:rsid w:val="28CF6040"/>
    <w:rsid w:val="28D331D9"/>
    <w:rsid w:val="28DA2134"/>
    <w:rsid w:val="28DC445D"/>
    <w:rsid w:val="28E0549D"/>
    <w:rsid w:val="28E91681"/>
    <w:rsid w:val="28F04445"/>
    <w:rsid w:val="28F716B1"/>
    <w:rsid w:val="28FF0204"/>
    <w:rsid w:val="28FF7EB7"/>
    <w:rsid w:val="29005AF5"/>
    <w:rsid w:val="2904378D"/>
    <w:rsid w:val="29043EC5"/>
    <w:rsid w:val="2906434F"/>
    <w:rsid w:val="290F1C2C"/>
    <w:rsid w:val="29122115"/>
    <w:rsid w:val="29152529"/>
    <w:rsid w:val="2917341B"/>
    <w:rsid w:val="291A15F1"/>
    <w:rsid w:val="291A378D"/>
    <w:rsid w:val="292347E7"/>
    <w:rsid w:val="29266FFB"/>
    <w:rsid w:val="292711F3"/>
    <w:rsid w:val="29281DAB"/>
    <w:rsid w:val="292A1B89"/>
    <w:rsid w:val="29343206"/>
    <w:rsid w:val="29352732"/>
    <w:rsid w:val="29356EBF"/>
    <w:rsid w:val="294211D9"/>
    <w:rsid w:val="29434961"/>
    <w:rsid w:val="29435AB0"/>
    <w:rsid w:val="29463570"/>
    <w:rsid w:val="294905F1"/>
    <w:rsid w:val="294F5A87"/>
    <w:rsid w:val="295A0386"/>
    <w:rsid w:val="295A334A"/>
    <w:rsid w:val="296474BC"/>
    <w:rsid w:val="296C28EC"/>
    <w:rsid w:val="29700A80"/>
    <w:rsid w:val="297D6E7A"/>
    <w:rsid w:val="298348BE"/>
    <w:rsid w:val="29862193"/>
    <w:rsid w:val="298767C6"/>
    <w:rsid w:val="298846B0"/>
    <w:rsid w:val="29891A60"/>
    <w:rsid w:val="298B4C4E"/>
    <w:rsid w:val="298C0527"/>
    <w:rsid w:val="299339E2"/>
    <w:rsid w:val="29962285"/>
    <w:rsid w:val="299C2B3A"/>
    <w:rsid w:val="29A80744"/>
    <w:rsid w:val="29AE65A6"/>
    <w:rsid w:val="29B035AA"/>
    <w:rsid w:val="29B56714"/>
    <w:rsid w:val="29B662B1"/>
    <w:rsid w:val="29B7167F"/>
    <w:rsid w:val="29C3123A"/>
    <w:rsid w:val="29C67193"/>
    <w:rsid w:val="29D061EB"/>
    <w:rsid w:val="29D572FE"/>
    <w:rsid w:val="29DA2AC9"/>
    <w:rsid w:val="29DB140C"/>
    <w:rsid w:val="29E53BEF"/>
    <w:rsid w:val="29E60D18"/>
    <w:rsid w:val="29EB777F"/>
    <w:rsid w:val="29EC6E03"/>
    <w:rsid w:val="29F03A22"/>
    <w:rsid w:val="29F11B84"/>
    <w:rsid w:val="29F86CAA"/>
    <w:rsid w:val="29FC7DA4"/>
    <w:rsid w:val="29FF29C2"/>
    <w:rsid w:val="2A0E2291"/>
    <w:rsid w:val="2A1447AE"/>
    <w:rsid w:val="2A161357"/>
    <w:rsid w:val="2A2E4D56"/>
    <w:rsid w:val="2A315D99"/>
    <w:rsid w:val="2A315F41"/>
    <w:rsid w:val="2A3448D8"/>
    <w:rsid w:val="2A354783"/>
    <w:rsid w:val="2A420C63"/>
    <w:rsid w:val="2A442410"/>
    <w:rsid w:val="2A443E7F"/>
    <w:rsid w:val="2A5A15F7"/>
    <w:rsid w:val="2A5C2867"/>
    <w:rsid w:val="2A5F393D"/>
    <w:rsid w:val="2A606359"/>
    <w:rsid w:val="2A67251E"/>
    <w:rsid w:val="2A6C0371"/>
    <w:rsid w:val="2A6C078F"/>
    <w:rsid w:val="2A6C49A2"/>
    <w:rsid w:val="2A6E42DD"/>
    <w:rsid w:val="2A6F6A92"/>
    <w:rsid w:val="2A72418C"/>
    <w:rsid w:val="2A7304E6"/>
    <w:rsid w:val="2A8575E7"/>
    <w:rsid w:val="2A875AF3"/>
    <w:rsid w:val="2A9558CB"/>
    <w:rsid w:val="2A967B4B"/>
    <w:rsid w:val="2A992D06"/>
    <w:rsid w:val="2A9B4777"/>
    <w:rsid w:val="2AA13776"/>
    <w:rsid w:val="2AA23AEC"/>
    <w:rsid w:val="2AAB1E71"/>
    <w:rsid w:val="2AAF693D"/>
    <w:rsid w:val="2AB362A2"/>
    <w:rsid w:val="2AB37F77"/>
    <w:rsid w:val="2AB74F17"/>
    <w:rsid w:val="2ABD5FE3"/>
    <w:rsid w:val="2ACB53E5"/>
    <w:rsid w:val="2AD0191F"/>
    <w:rsid w:val="2AD43C87"/>
    <w:rsid w:val="2AD65BC2"/>
    <w:rsid w:val="2ADC24CA"/>
    <w:rsid w:val="2ADC5BE1"/>
    <w:rsid w:val="2ADD0532"/>
    <w:rsid w:val="2AE432D5"/>
    <w:rsid w:val="2AE74462"/>
    <w:rsid w:val="2AF21674"/>
    <w:rsid w:val="2AF65F6F"/>
    <w:rsid w:val="2AF7261E"/>
    <w:rsid w:val="2B063692"/>
    <w:rsid w:val="2B0D3CAE"/>
    <w:rsid w:val="2B1430F9"/>
    <w:rsid w:val="2B22785A"/>
    <w:rsid w:val="2B23441F"/>
    <w:rsid w:val="2B234C3B"/>
    <w:rsid w:val="2B2C13EB"/>
    <w:rsid w:val="2B3F6AAF"/>
    <w:rsid w:val="2B4966F0"/>
    <w:rsid w:val="2B5D26DD"/>
    <w:rsid w:val="2B5E4BF0"/>
    <w:rsid w:val="2B606807"/>
    <w:rsid w:val="2B613EA1"/>
    <w:rsid w:val="2B622C8C"/>
    <w:rsid w:val="2B640585"/>
    <w:rsid w:val="2B644F68"/>
    <w:rsid w:val="2B66687C"/>
    <w:rsid w:val="2B6D0CC0"/>
    <w:rsid w:val="2B7066A6"/>
    <w:rsid w:val="2B720E25"/>
    <w:rsid w:val="2B7C346E"/>
    <w:rsid w:val="2B7C4FBB"/>
    <w:rsid w:val="2B856C93"/>
    <w:rsid w:val="2B876197"/>
    <w:rsid w:val="2B9002DC"/>
    <w:rsid w:val="2B97360A"/>
    <w:rsid w:val="2B9C1AD4"/>
    <w:rsid w:val="2B9E056B"/>
    <w:rsid w:val="2BA34EEF"/>
    <w:rsid w:val="2BA83696"/>
    <w:rsid w:val="2BA84118"/>
    <w:rsid w:val="2BA940F3"/>
    <w:rsid w:val="2BAA6086"/>
    <w:rsid w:val="2BAC61BD"/>
    <w:rsid w:val="2BAD345F"/>
    <w:rsid w:val="2BB035D2"/>
    <w:rsid w:val="2BB37933"/>
    <w:rsid w:val="2BB511DB"/>
    <w:rsid w:val="2BB6253F"/>
    <w:rsid w:val="2BB65BD3"/>
    <w:rsid w:val="2BB71EBA"/>
    <w:rsid w:val="2BBE4799"/>
    <w:rsid w:val="2BBE6FB2"/>
    <w:rsid w:val="2BBF0657"/>
    <w:rsid w:val="2BC4244C"/>
    <w:rsid w:val="2BC67DC9"/>
    <w:rsid w:val="2BCB16CB"/>
    <w:rsid w:val="2BCB432F"/>
    <w:rsid w:val="2BCF1BB2"/>
    <w:rsid w:val="2BDA3FD5"/>
    <w:rsid w:val="2BDA58B6"/>
    <w:rsid w:val="2BDC42B7"/>
    <w:rsid w:val="2BDD208E"/>
    <w:rsid w:val="2BE00111"/>
    <w:rsid w:val="2BE128B5"/>
    <w:rsid w:val="2BE7212B"/>
    <w:rsid w:val="2BE80BFB"/>
    <w:rsid w:val="2BEA5208"/>
    <w:rsid w:val="2BF7032E"/>
    <w:rsid w:val="2C093A51"/>
    <w:rsid w:val="2C1525DA"/>
    <w:rsid w:val="2C180DB3"/>
    <w:rsid w:val="2C1A2B62"/>
    <w:rsid w:val="2C1B14B1"/>
    <w:rsid w:val="2C1B46DB"/>
    <w:rsid w:val="2C1C62FA"/>
    <w:rsid w:val="2C1E6F25"/>
    <w:rsid w:val="2C1E771C"/>
    <w:rsid w:val="2C235EB0"/>
    <w:rsid w:val="2C2854B8"/>
    <w:rsid w:val="2C320560"/>
    <w:rsid w:val="2C356A02"/>
    <w:rsid w:val="2C3862C8"/>
    <w:rsid w:val="2C3E288D"/>
    <w:rsid w:val="2C406686"/>
    <w:rsid w:val="2C4314EC"/>
    <w:rsid w:val="2C4627E1"/>
    <w:rsid w:val="2C521545"/>
    <w:rsid w:val="2C581A7B"/>
    <w:rsid w:val="2C5E2D20"/>
    <w:rsid w:val="2C664178"/>
    <w:rsid w:val="2C747A45"/>
    <w:rsid w:val="2C7C6025"/>
    <w:rsid w:val="2C7C663A"/>
    <w:rsid w:val="2C7D4EAA"/>
    <w:rsid w:val="2C7D4F4F"/>
    <w:rsid w:val="2C804A70"/>
    <w:rsid w:val="2C88541D"/>
    <w:rsid w:val="2C8873F6"/>
    <w:rsid w:val="2C930C7F"/>
    <w:rsid w:val="2CA221AF"/>
    <w:rsid w:val="2CA8009E"/>
    <w:rsid w:val="2CAA797A"/>
    <w:rsid w:val="2CAD59FD"/>
    <w:rsid w:val="2CB23CF4"/>
    <w:rsid w:val="2CC01156"/>
    <w:rsid w:val="2CC606B5"/>
    <w:rsid w:val="2CC77D5C"/>
    <w:rsid w:val="2CCE48CA"/>
    <w:rsid w:val="2CD03DF6"/>
    <w:rsid w:val="2CD543D0"/>
    <w:rsid w:val="2CDD477D"/>
    <w:rsid w:val="2CDE2893"/>
    <w:rsid w:val="2CE163FF"/>
    <w:rsid w:val="2CE62673"/>
    <w:rsid w:val="2CE95F70"/>
    <w:rsid w:val="2CEB2268"/>
    <w:rsid w:val="2CEB4148"/>
    <w:rsid w:val="2CF23FFA"/>
    <w:rsid w:val="2CF469F2"/>
    <w:rsid w:val="2CF67FE9"/>
    <w:rsid w:val="2CFD0537"/>
    <w:rsid w:val="2CFE499F"/>
    <w:rsid w:val="2D000237"/>
    <w:rsid w:val="2D0005B6"/>
    <w:rsid w:val="2D055720"/>
    <w:rsid w:val="2D064849"/>
    <w:rsid w:val="2D080181"/>
    <w:rsid w:val="2D0A7998"/>
    <w:rsid w:val="2D0C1A1C"/>
    <w:rsid w:val="2D0E3363"/>
    <w:rsid w:val="2D0E71C8"/>
    <w:rsid w:val="2D193C9B"/>
    <w:rsid w:val="2D1B165A"/>
    <w:rsid w:val="2D215C98"/>
    <w:rsid w:val="2D22296C"/>
    <w:rsid w:val="2D224D93"/>
    <w:rsid w:val="2D235967"/>
    <w:rsid w:val="2D33233B"/>
    <w:rsid w:val="2D401909"/>
    <w:rsid w:val="2D463C51"/>
    <w:rsid w:val="2D5279E0"/>
    <w:rsid w:val="2D547CEB"/>
    <w:rsid w:val="2D615265"/>
    <w:rsid w:val="2D6171E7"/>
    <w:rsid w:val="2D6215D7"/>
    <w:rsid w:val="2D666027"/>
    <w:rsid w:val="2D7B03D9"/>
    <w:rsid w:val="2D7E2DE6"/>
    <w:rsid w:val="2D8061B5"/>
    <w:rsid w:val="2D833F76"/>
    <w:rsid w:val="2D847808"/>
    <w:rsid w:val="2D8C4E90"/>
    <w:rsid w:val="2D8D53BB"/>
    <w:rsid w:val="2D8E67FF"/>
    <w:rsid w:val="2D902EB1"/>
    <w:rsid w:val="2D906A8B"/>
    <w:rsid w:val="2D925C8D"/>
    <w:rsid w:val="2DA16B84"/>
    <w:rsid w:val="2DA228DC"/>
    <w:rsid w:val="2DA34974"/>
    <w:rsid w:val="2DAD2688"/>
    <w:rsid w:val="2DB4468E"/>
    <w:rsid w:val="2DB45970"/>
    <w:rsid w:val="2DB51A79"/>
    <w:rsid w:val="2DB63A36"/>
    <w:rsid w:val="2DB93D17"/>
    <w:rsid w:val="2DC33DD2"/>
    <w:rsid w:val="2DC34CFE"/>
    <w:rsid w:val="2DC81C2B"/>
    <w:rsid w:val="2DC8574F"/>
    <w:rsid w:val="2DCB55D0"/>
    <w:rsid w:val="2DCD38BD"/>
    <w:rsid w:val="2DCD7324"/>
    <w:rsid w:val="2DD01174"/>
    <w:rsid w:val="2DD64903"/>
    <w:rsid w:val="2DD70695"/>
    <w:rsid w:val="2DE078C8"/>
    <w:rsid w:val="2DE218A3"/>
    <w:rsid w:val="2DE41E99"/>
    <w:rsid w:val="2DE450E1"/>
    <w:rsid w:val="2DE93A3A"/>
    <w:rsid w:val="2DEB395B"/>
    <w:rsid w:val="2DEC62DB"/>
    <w:rsid w:val="2DEF6789"/>
    <w:rsid w:val="2DF348C9"/>
    <w:rsid w:val="2DF37C35"/>
    <w:rsid w:val="2DF53491"/>
    <w:rsid w:val="2DF7693B"/>
    <w:rsid w:val="2DF876C9"/>
    <w:rsid w:val="2E020299"/>
    <w:rsid w:val="2E10236C"/>
    <w:rsid w:val="2E127115"/>
    <w:rsid w:val="2E141EF5"/>
    <w:rsid w:val="2E15199A"/>
    <w:rsid w:val="2E160DD9"/>
    <w:rsid w:val="2E274E22"/>
    <w:rsid w:val="2E2A5B5A"/>
    <w:rsid w:val="2E2B615B"/>
    <w:rsid w:val="2E2C5870"/>
    <w:rsid w:val="2E3105B6"/>
    <w:rsid w:val="2E325E4B"/>
    <w:rsid w:val="2E340170"/>
    <w:rsid w:val="2E36146C"/>
    <w:rsid w:val="2E367A9C"/>
    <w:rsid w:val="2E385DE6"/>
    <w:rsid w:val="2E386BC1"/>
    <w:rsid w:val="2E3F0BED"/>
    <w:rsid w:val="2E4515F5"/>
    <w:rsid w:val="2E4A25A0"/>
    <w:rsid w:val="2E4D6618"/>
    <w:rsid w:val="2E4F24D3"/>
    <w:rsid w:val="2E532CF7"/>
    <w:rsid w:val="2E570E83"/>
    <w:rsid w:val="2E5A39F3"/>
    <w:rsid w:val="2E5C4B3F"/>
    <w:rsid w:val="2E5F64BF"/>
    <w:rsid w:val="2E652828"/>
    <w:rsid w:val="2E67406D"/>
    <w:rsid w:val="2E784AFA"/>
    <w:rsid w:val="2E801D4C"/>
    <w:rsid w:val="2E8434AC"/>
    <w:rsid w:val="2E86608A"/>
    <w:rsid w:val="2E891B5C"/>
    <w:rsid w:val="2E8922F9"/>
    <w:rsid w:val="2E8D0074"/>
    <w:rsid w:val="2E9042DC"/>
    <w:rsid w:val="2E907BEA"/>
    <w:rsid w:val="2E950B2A"/>
    <w:rsid w:val="2E980084"/>
    <w:rsid w:val="2E982ED6"/>
    <w:rsid w:val="2EA07E0B"/>
    <w:rsid w:val="2EA53A92"/>
    <w:rsid w:val="2EA655C2"/>
    <w:rsid w:val="2EB76E21"/>
    <w:rsid w:val="2EB86754"/>
    <w:rsid w:val="2EBD5685"/>
    <w:rsid w:val="2EBF4E2E"/>
    <w:rsid w:val="2EC33481"/>
    <w:rsid w:val="2EC845F2"/>
    <w:rsid w:val="2ED04BBD"/>
    <w:rsid w:val="2ED51068"/>
    <w:rsid w:val="2EDB134B"/>
    <w:rsid w:val="2EDE6F98"/>
    <w:rsid w:val="2EE03AB5"/>
    <w:rsid w:val="2EE55729"/>
    <w:rsid w:val="2EE73A28"/>
    <w:rsid w:val="2EE77AB0"/>
    <w:rsid w:val="2EE81E5A"/>
    <w:rsid w:val="2EE869B2"/>
    <w:rsid w:val="2EE976FB"/>
    <w:rsid w:val="2EEB37AB"/>
    <w:rsid w:val="2EED03BB"/>
    <w:rsid w:val="2EEE78CF"/>
    <w:rsid w:val="2EFF3AC7"/>
    <w:rsid w:val="2F0032BB"/>
    <w:rsid w:val="2F050C56"/>
    <w:rsid w:val="2F1353B1"/>
    <w:rsid w:val="2F18349E"/>
    <w:rsid w:val="2F1F1D45"/>
    <w:rsid w:val="2F24452E"/>
    <w:rsid w:val="2F246290"/>
    <w:rsid w:val="2F27425B"/>
    <w:rsid w:val="2F2B0D50"/>
    <w:rsid w:val="2F325583"/>
    <w:rsid w:val="2F3D1F9A"/>
    <w:rsid w:val="2F43547D"/>
    <w:rsid w:val="2F4375AE"/>
    <w:rsid w:val="2F475556"/>
    <w:rsid w:val="2F4E0124"/>
    <w:rsid w:val="2F5111CA"/>
    <w:rsid w:val="2F511E9C"/>
    <w:rsid w:val="2F547372"/>
    <w:rsid w:val="2F5748F4"/>
    <w:rsid w:val="2F582F29"/>
    <w:rsid w:val="2F5A358E"/>
    <w:rsid w:val="2F5E61A3"/>
    <w:rsid w:val="2F686FB8"/>
    <w:rsid w:val="2F6B63D6"/>
    <w:rsid w:val="2F766043"/>
    <w:rsid w:val="2F7910FE"/>
    <w:rsid w:val="2F7B3FCA"/>
    <w:rsid w:val="2F7B4641"/>
    <w:rsid w:val="2F7F2B37"/>
    <w:rsid w:val="2F82191F"/>
    <w:rsid w:val="2F8219A5"/>
    <w:rsid w:val="2F874479"/>
    <w:rsid w:val="2F964A6A"/>
    <w:rsid w:val="2F9B62DF"/>
    <w:rsid w:val="2F9F01C5"/>
    <w:rsid w:val="2FA45E62"/>
    <w:rsid w:val="2FA73948"/>
    <w:rsid w:val="2FAC7DC0"/>
    <w:rsid w:val="2FC61385"/>
    <w:rsid w:val="2FCE5C39"/>
    <w:rsid w:val="2FCE6353"/>
    <w:rsid w:val="2FCF4B97"/>
    <w:rsid w:val="2FD04CA7"/>
    <w:rsid w:val="2FD07C56"/>
    <w:rsid w:val="2FD20838"/>
    <w:rsid w:val="2FD52C47"/>
    <w:rsid w:val="2FD53C99"/>
    <w:rsid w:val="2FDF5202"/>
    <w:rsid w:val="2FE050F3"/>
    <w:rsid w:val="2FE465C6"/>
    <w:rsid w:val="2FEB69D7"/>
    <w:rsid w:val="2FEF415F"/>
    <w:rsid w:val="2FF056B3"/>
    <w:rsid w:val="2FF248B9"/>
    <w:rsid w:val="2FF31DF5"/>
    <w:rsid w:val="2FF46584"/>
    <w:rsid w:val="2FF972DC"/>
    <w:rsid w:val="2FFB2F0C"/>
    <w:rsid w:val="2FFB67CB"/>
    <w:rsid w:val="300878BC"/>
    <w:rsid w:val="30115856"/>
    <w:rsid w:val="30191619"/>
    <w:rsid w:val="30193A56"/>
    <w:rsid w:val="301B5340"/>
    <w:rsid w:val="30200973"/>
    <w:rsid w:val="302D7662"/>
    <w:rsid w:val="3030364D"/>
    <w:rsid w:val="3038326F"/>
    <w:rsid w:val="303A0B79"/>
    <w:rsid w:val="30407CA8"/>
    <w:rsid w:val="30472896"/>
    <w:rsid w:val="30504332"/>
    <w:rsid w:val="305354E0"/>
    <w:rsid w:val="3054050C"/>
    <w:rsid w:val="305C229A"/>
    <w:rsid w:val="306B7957"/>
    <w:rsid w:val="306D360A"/>
    <w:rsid w:val="306F78B6"/>
    <w:rsid w:val="3077491F"/>
    <w:rsid w:val="30792858"/>
    <w:rsid w:val="30856AFC"/>
    <w:rsid w:val="308F549B"/>
    <w:rsid w:val="309007F0"/>
    <w:rsid w:val="30915A03"/>
    <w:rsid w:val="30935C00"/>
    <w:rsid w:val="30962C57"/>
    <w:rsid w:val="30991391"/>
    <w:rsid w:val="309A0299"/>
    <w:rsid w:val="309D3D8C"/>
    <w:rsid w:val="30AD5D62"/>
    <w:rsid w:val="30AE1527"/>
    <w:rsid w:val="30B51F83"/>
    <w:rsid w:val="30C84941"/>
    <w:rsid w:val="30CA460A"/>
    <w:rsid w:val="30D01A9B"/>
    <w:rsid w:val="30DA7607"/>
    <w:rsid w:val="30DB2C37"/>
    <w:rsid w:val="30E60162"/>
    <w:rsid w:val="30E935EA"/>
    <w:rsid w:val="3102512D"/>
    <w:rsid w:val="31044145"/>
    <w:rsid w:val="31074665"/>
    <w:rsid w:val="311100B5"/>
    <w:rsid w:val="311451EB"/>
    <w:rsid w:val="31204FF8"/>
    <w:rsid w:val="31224170"/>
    <w:rsid w:val="312E2D67"/>
    <w:rsid w:val="3131124C"/>
    <w:rsid w:val="313240E2"/>
    <w:rsid w:val="313255AD"/>
    <w:rsid w:val="313D2587"/>
    <w:rsid w:val="313D5AF8"/>
    <w:rsid w:val="313E2D86"/>
    <w:rsid w:val="31447A22"/>
    <w:rsid w:val="316053D9"/>
    <w:rsid w:val="316406F7"/>
    <w:rsid w:val="31696E47"/>
    <w:rsid w:val="316C728C"/>
    <w:rsid w:val="31704F34"/>
    <w:rsid w:val="3178017D"/>
    <w:rsid w:val="31793B4A"/>
    <w:rsid w:val="317E44C6"/>
    <w:rsid w:val="318853D7"/>
    <w:rsid w:val="319634F2"/>
    <w:rsid w:val="31966435"/>
    <w:rsid w:val="319D408A"/>
    <w:rsid w:val="319E3308"/>
    <w:rsid w:val="31AA657B"/>
    <w:rsid w:val="31AB49AA"/>
    <w:rsid w:val="31B16689"/>
    <w:rsid w:val="31B74293"/>
    <w:rsid w:val="31BE6C80"/>
    <w:rsid w:val="31C121C9"/>
    <w:rsid w:val="31C41A0A"/>
    <w:rsid w:val="31C77EDD"/>
    <w:rsid w:val="31CE73E0"/>
    <w:rsid w:val="31D25F7D"/>
    <w:rsid w:val="31D44A06"/>
    <w:rsid w:val="31D82B51"/>
    <w:rsid w:val="31DC2255"/>
    <w:rsid w:val="31DF01D2"/>
    <w:rsid w:val="31DF0A1E"/>
    <w:rsid w:val="31DF2BB5"/>
    <w:rsid w:val="31E162ED"/>
    <w:rsid w:val="31E20DC0"/>
    <w:rsid w:val="31E2491C"/>
    <w:rsid w:val="31E27D36"/>
    <w:rsid w:val="31E61568"/>
    <w:rsid w:val="31E63693"/>
    <w:rsid w:val="31E84D0A"/>
    <w:rsid w:val="31EF15B6"/>
    <w:rsid w:val="31F1108F"/>
    <w:rsid w:val="31F47535"/>
    <w:rsid w:val="31F8596B"/>
    <w:rsid w:val="31F97112"/>
    <w:rsid w:val="320300C6"/>
    <w:rsid w:val="320D2FBD"/>
    <w:rsid w:val="32100965"/>
    <w:rsid w:val="321A1CEC"/>
    <w:rsid w:val="321F5831"/>
    <w:rsid w:val="32214F97"/>
    <w:rsid w:val="32256EB9"/>
    <w:rsid w:val="32281479"/>
    <w:rsid w:val="32285803"/>
    <w:rsid w:val="322A1AB5"/>
    <w:rsid w:val="322B181E"/>
    <w:rsid w:val="323252A8"/>
    <w:rsid w:val="324040CA"/>
    <w:rsid w:val="32407534"/>
    <w:rsid w:val="32466FBB"/>
    <w:rsid w:val="324847B3"/>
    <w:rsid w:val="324A581D"/>
    <w:rsid w:val="324E4B08"/>
    <w:rsid w:val="3251456A"/>
    <w:rsid w:val="325506D0"/>
    <w:rsid w:val="32577244"/>
    <w:rsid w:val="325922BB"/>
    <w:rsid w:val="32594571"/>
    <w:rsid w:val="325E0760"/>
    <w:rsid w:val="326407E0"/>
    <w:rsid w:val="32665E62"/>
    <w:rsid w:val="326D5834"/>
    <w:rsid w:val="32704C04"/>
    <w:rsid w:val="327540C0"/>
    <w:rsid w:val="32780BCF"/>
    <w:rsid w:val="327914C1"/>
    <w:rsid w:val="32802FFF"/>
    <w:rsid w:val="32805A1F"/>
    <w:rsid w:val="328076AC"/>
    <w:rsid w:val="328168EA"/>
    <w:rsid w:val="328D564C"/>
    <w:rsid w:val="329415A5"/>
    <w:rsid w:val="329A0413"/>
    <w:rsid w:val="329E2477"/>
    <w:rsid w:val="32A745DB"/>
    <w:rsid w:val="32A754A8"/>
    <w:rsid w:val="32AF6532"/>
    <w:rsid w:val="32B15D25"/>
    <w:rsid w:val="32B1687E"/>
    <w:rsid w:val="32BC210D"/>
    <w:rsid w:val="32BC72BE"/>
    <w:rsid w:val="32C25B64"/>
    <w:rsid w:val="32D36324"/>
    <w:rsid w:val="32D94189"/>
    <w:rsid w:val="32DA7C9F"/>
    <w:rsid w:val="32E94EB5"/>
    <w:rsid w:val="32F31A4F"/>
    <w:rsid w:val="32F705D4"/>
    <w:rsid w:val="32F95CC7"/>
    <w:rsid w:val="32FA3501"/>
    <w:rsid w:val="33022842"/>
    <w:rsid w:val="33091533"/>
    <w:rsid w:val="330934F3"/>
    <w:rsid w:val="33095AD9"/>
    <w:rsid w:val="330B5D4E"/>
    <w:rsid w:val="330E5794"/>
    <w:rsid w:val="33137747"/>
    <w:rsid w:val="33191C37"/>
    <w:rsid w:val="33207A6F"/>
    <w:rsid w:val="33223EFC"/>
    <w:rsid w:val="33230C57"/>
    <w:rsid w:val="332968A6"/>
    <w:rsid w:val="332A0DE8"/>
    <w:rsid w:val="332C1AF5"/>
    <w:rsid w:val="332C2CE3"/>
    <w:rsid w:val="332D5FC1"/>
    <w:rsid w:val="33336308"/>
    <w:rsid w:val="3344464E"/>
    <w:rsid w:val="334557F1"/>
    <w:rsid w:val="334B37E9"/>
    <w:rsid w:val="334E3C6C"/>
    <w:rsid w:val="33525911"/>
    <w:rsid w:val="335778D8"/>
    <w:rsid w:val="335E37B2"/>
    <w:rsid w:val="336331B0"/>
    <w:rsid w:val="33657933"/>
    <w:rsid w:val="336D4214"/>
    <w:rsid w:val="337341AB"/>
    <w:rsid w:val="337B6A77"/>
    <w:rsid w:val="33840484"/>
    <w:rsid w:val="3387749C"/>
    <w:rsid w:val="338A3C04"/>
    <w:rsid w:val="338D6148"/>
    <w:rsid w:val="338E62A6"/>
    <w:rsid w:val="33902A58"/>
    <w:rsid w:val="33942E7F"/>
    <w:rsid w:val="339B3FE5"/>
    <w:rsid w:val="33A30BAC"/>
    <w:rsid w:val="33A5024E"/>
    <w:rsid w:val="33A83A43"/>
    <w:rsid w:val="33AD6F31"/>
    <w:rsid w:val="33B55473"/>
    <w:rsid w:val="33BD22F3"/>
    <w:rsid w:val="33C0756C"/>
    <w:rsid w:val="33C56654"/>
    <w:rsid w:val="33C9705C"/>
    <w:rsid w:val="33CC35C2"/>
    <w:rsid w:val="33D62A14"/>
    <w:rsid w:val="33D73507"/>
    <w:rsid w:val="33DA2243"/>
    <w:rsid w:val="33DB07B6"/>
    <w:rsid w:val="33DB7C68"/>
    <w:rsid w:val="33DE1977"/>
    <w:rsid w:val="33DE7265"/>
    <w:rsid w:val="33E018EE"/>
    <w:rsid w:val="33EA3637"/>
    <w:rsid w:val="33EB1C1C"/>
    <w:rsid w:val="33EC0136"/>
    <w:rsid w:val="33EF4929"/>
    <w:rsid w:val="33F110E9"/>
    <w:rsid w:val="33F25AED"/>
    <w:rsid w:val="33F4497F"/>
    <w:rsid w:val="33F77ACF"/>
    <w:rsid w:val="33FE4246"/>
    <w:rsid w:val="340A1B21"/>
    <w:rsid w:val="340F4F0B"/>
    <w:rsid w:val="341943C5"/>
    <w:rsid w:val="34203195"/>
    <w:rsid w:val="34211E0E"/>
    <w:rsid w:val="342210E3"/>
    <w:rsid w:val="34266758"/>
    <w:rsid w:val="3428127C"/>
    <w:rsid w:val="342A6FB5"/>
    <w:rsid w:val="342C1B7E"/>
    <w:rsid w:val="34376A54"/>
    <w:rsid w:val="343A3459"/>
    <w:rsid w:val="343F2E83"/>
    <w:rsid w:val="34407355"/>
    <w:rsid w:val="34467DB4"/>
    <w:rsid w:val="344867CB"/>
    <w:rsid w:val="34503B0F"/>
    <w:rsid w:val="34546CA9"/>
    <w:rsid w:val="34580600"/>
    <w:rsid w:val="34583CD0"/>
    <w:rsid w:val="34593F65"/>
    <w:rsid w:val="345C1BBC"/>
    <w:rsid w:val="345E0F9C"/>
    <w:rsid w:val="346311C2"/>
    <w:rsid w:val="346375AD"/>
    <w:rsid w:val="3464005B"/>
    <w:rsid w:val="346F6617"/>
    <w:rsid w:val="347722E0"/>
    <w:rsid w:val="347B7702"/>
    <w:rsid w:val="347D4FFC"/>
    <w:rsid w:val="347F6B4E"/>
    <w:rsid w:val="348025D9"/>
    <w:rsid w:val="34825944"/>
    <w:rsid w:val="348419E0"/>
    <w:rsid w:val="348C3959"/>
    <w:rsid w:val="348F62B1"/>
    <w:rsid w:val="34900566"/>
    <w:rsid w:val="34900CFE"/>
    <w:rsid w:val="34907325"/>
    <w:rsid w:val="34965C21"/>
    <w:rsid w:val="349709E8"/>
    <w:rsid w:val="349B5139"/>
    <w:rsid w:val="349D5197"/>
    <w:rsid w:val="34A33D70"/>
    <w:rsid w:val="34A932E1"/>
    <w:rsid w:val="34AD7F74"/>
    <w:rsid w:val="34B04123"/>
    <w:rsid w:val="34B828E5"/>
    <w:rsid w:val="34C52F1A"/>
    <w:rsid w:val="34CA3995"/>
    <w:rsid w:val="34D4794A"/>
    <w:rsid w:val="34DA4A06"/>
    <w:rsid w:val="34DF6E59"/>
    <w:rsid w:val="34E9586D"/>
    <w:rsid w:val="34F32EAC"/>
    <w:rsid w:val="34F77F62"/>
    <w:rsid w:val="35006177"/>
    <w:rsid w:val="35063988"/>
    <w:rsid w:val="35093F3F"/>
    <w:rsid w:val="35096FE4"/>
    <w:rsid w:val="350C197B"/>
    <w:rsid w:val="35245C32"/>
    <w:rsid w:val="35275F80"/>
    <w:rsid w:val="35290181"/>
    <w:rsid w:val="35315F26"/>
    <w:rsid w:val="35325DFD"/>
    <w:rsid w:val="35367E9E"/>
    <w:rsid w:val="353B141D"/>
    <w:rsid w:val="354259B7"/>
    <w:rsid w:val="354504E8"/>
    <w:rsid w:val="354904D2"/>
    <w:rsid w:val="354B7E36"/>
    <w:rsid w:val="354E7597"/>
    <w:rsid w:val="35516769"/>
    <w:rsid w:val="35572690"/>
    <w:rsid w:val="355C7550"/>
    <w:rsid w:val="355D0142"/>
    <w:rsid w:val="355F3111"/>
    <w:rsid w:val="35612271"/>
    <w:rsid w:val="35627B7A"/>
    <w:rsid w:val="35692C1F"/>
    <w:rsid w:val="356D03B0"/>
    <w:rsid w:val="357B1939"/>
    <w:rsid w:val="357E4BC8"/>
    <w:rsid w:val="358744FA"/>
    <w:rsid w:val="35897968"/>
    <w:rsid w:val="358A5626"/>
    <w:rsid w:val="358C7B4F"/>
    <w:rsid w:val="358D7161"/>
    <w:rsid w:val="35917620"/>
    <w:rsid w:val="3596567A"/>
    <w:rsid w:val="35996532"/>
    <w:rsid w:val="359B1BDE"/>
    <w:rsid w:val="359E45D7"/>
    <w:rsid w:val="35A05A9F"/>
    <w:rsid w:val="35A33441"/>
    <w:rsid w:val="35A51A58"/>
    <w:rsid w:val="35A62712"/>
    <w:rsid w:val="35AA0D33"/>
    <w:rsid w:val="35AD5205"/>
    <w:rsid w:val="35AE58F3"/>
    <w:rsid w:val="35B500FD"/>
    <w:rsid w:val="35B97988"/>
    <w:rsid w:val="35BC7386"/>
    <w:rsid w:val="35BF2942"/>
    <w:rsid w:val="35BF6DE5"/>
    <w:rsid w:val="35C5384D"/>
    <w:rsid w:val="35CC0B1E"/>
    <w:rsid w:val="35D21C88"/>
    <w:rsid w:val="35D27A1E"/>
    <w:rsid w:val="35D42C12"/>
    <w:rsid w:val="35DB3D11"/>
    <w:rsid w:val="35DE138C"/>
    <w:rsid w:val="35E60C19"/>
    <w:rsid w:val="35E95F31"/>
    <w:rsid w:val="35EF6C2C"/>
    <w:rsid w:val="35F23239"/>
    <w:rsid w:val="35FA2944"/>
    <w:rsid w:val="360A0AE8"/>
    <w:rsid w:val="360A4CD3"/>
    <w:rsid w:val="3612674A"/>
    <w:rsid w:val="361534CD"/>
    <w:rsid w:val="36170453"/>
    <w:rsid w:val="36201E1D"/>
    <w:rsid w:val="36236AA1"/>
    <w:rsid w:val="3627338E"/>
    <w:rsid w:val="36282B02"/>
    <w:rsid w:val="3630245F"/>
    <w:rsid w:val="36315601"/>
    <w:rsid w:val="363227D7"/>
    <w:rsid w:val="363240DC"/>
    <w:rsid w:val="363652DB"/>
    <w:rsid w:val="363B20E6"/>
    <w:rsid w:val="363B3B63"/>
    <w:rsid w:val="363F1F6C"/>
    <w:rsid w:val="36400B27"/>
    <w:rsid w:val="36495BF9"/>
    <w:rsid w:val="364A0BA6"/>
    <w:rsid w:val="365302AE"/>
    <w:rsid w:val="36580B17"/>
    <w:rsid w:val="365A640C"/>
    <w:rsid w:val="36650EFB"/>
    <w:rsid w:val="366562E9"/>
    <w:rsid w:val="366722E3"/>
    <w:rsid w:val="366B33BD"/>
    <w:rsid w:val="366C73A8"/>
    <w:rsid w:val="3671470D"/>
    <w:rsid w:val="3674778F"/>
    <w:rsid w:val="367C0D75"/>
    <w:rsid w:val="36846212"/>
    <w:rsid w:val="36903B50"/>
    <w:rsid w:val="369549BF"/>
    <w:rsid w:val="36962E89"/>
    <w:rsid w:val="36976A3E"/>
    <w:rsid w:val="3698262C"/>
    <w:rsid w:val="369B24EB"/>
    <w:rsid w:val="369F540C"/>
    <w:rsid w:val="36A264A6"/>
    <w:rsid w:val="36A5755A"/>
    <w:rsid w:val="36AC64D2"/>
    <w:rsid w:val="36AE6792"/>
    <w:rsid w:val="36B1241E"/>
    <w:rsid w:val="36B3376C"/>
    <w:rsid w:val="36BA6D7C"/>
    <w:rsid w:val="36BF140D"/>
    <w:rsid w:val="36C00D71"/>
    <w:rsid w:val="36C718A2"/>
    <w:rsid w:val="36C71C32"/>
    <w:rsid w:val="36C87B75"/>
    <w:rsid w:val="36D60F45"/>
    <w:rsid w:val="36DA1FF9"/>
    <w:rsid w:val="36DE757B"/>
    <w:rsid w:val="36E14E65"/>
    <w:rsid w:val="36E45F9B"/>
    <w:rsid w:val="36EB3C9C"/>
    <w:rsid w:val="36EB6414"/>
    <w:rsid w:val="36EB6672"/>
    <w:rsid w:val="36EE2A38"/>
    <w:rsid w:val="36F32B55"/>
    <w:rsid w:val="36F363A5"/>
    <w:rsid w:val="36F61E05"/>
    <w:rsid w:val="36FE16C6"/>
    <w:rsid w:val="37102528"/>
    <w:rsid w:val="371676FC"/>
    <w:rsid w:val="37182A01"/>
    <w:rsid w:val="371C3EBC"/>
    <w:rsid w:val="372045BA"/>
    <w:rsid w:val="37272A1D"/>
    <w:rsid w:val="372E5F83"/>
    <w:rsid w:val="372F48C1"/>
    <w:rsid w:val="37335703"/>
    <w:rsid w:val="37361C2C"/>
    <w:rsid w:val="3736449D"/>
    <w:rsid w:val="373F6115"/>
    <w:rsid w:val="37416887"/>
    <w:rsid w:val="37487FB9"/>
    <w:rsid w:val="374C0219"/>
    <w:rsid w:val="374C3339"/>
    <w:rsid w:val="375153E6"/>
    <w:rsid w:val="37572847"/>
    <w:rsid w:val="375D6A98"/>
    <w:rsid w:val="375E376F"/>
    <w:rsid w:val="375F03C6"/>
    <w:rsid w:val="376037F9"/>
    <w:rsid w:val="37712DFF"/>
    <w:rsid w:val="3780657F"/>
    <w:rsid w:val="378557CE"/>
    <w:rsid w:val="37861385"/>
    <w:rsid w:val="378749AC"/>
    <w:rsid w:val="378D471E"/>
    <w:rsid w:val="37910A37"/>
    <w:rsid w:val="37966EB6"/>
    <w:rsid w:val="379D1799"/>
    <w:rsid w:val="379E1767"/>
    <w:rsid w:val="37A571CE"/>
    <w:rsid w:val="37B151DE"/>
    <w:rsid w:val="37B65FC5"/>
    <w:rsid w:val="37C05068"/>
    <w:rsid w:val="37C34D38"/>
    <w:rsid w:val="37C34FD4"/>
    <w:rsid w:val="37C4086B"/>
    <w:rsid w:val="37CC15B3"/>
    <w:rsid w:val="37CD6519"/>
    <w:rsid w:val="37CF7BA3"/>
    <w:rsid w:val="37D029EA"/>
    <w:rsid w:val="37D60245"/>
    <w:rsid w:val="37DC4A16"/>
    <w:rsid w:val="37E03F4B"/>
    <w:rsid w:val="37E343E2"/>
    <w:rsid w:val="37F04531"/>
    <w:rsid w:val="37F255A3"/>
    <w:rsid w:val="37F45935"/>
    <w:rsid w:val="37FA459F"/>
    <w:rsid w:val="37FF658A"/>
    <w:rsid w:val="38015C9E"/>
    <w:rsid w:val="38055934"/>
    <w:rsid w:val="380621FE"/>
    <w:rsid w:val="380E2ED9"/>
    <w:rsid w:val="381204B7"/>
    <w:rsid w:val="381274DB"/>
    <w:rsid w:val="381B2D14"/>
    <w:rsid w:val="381C4E6D"/>
    <w:rsid w:val="381F3029"/>
    <w:rsid w:val="38257983"/>
    <w:rsid w:val="3826522A"/>
    <w:rsid w:val="382C2A4A"/>
    <w:rsid w:val="382E71C2"/>
    <w:rsid w:val="382F5FB1"/>
    <w:rsid w:val="38301CB5"/>
    <w:rsid w:val="38305A91"/>
    <w:rsid w:val="38363EEB"/>
    <w:rsid w:val="383B15D8"/>
    <w:rsid w:val="383D780F"/>
    <w:rsid w:val="383E090B"/>
    <w:rsid w:val="38412CDD"/>
    <w:rsid w:val="38421835"/>
    <w:rsid w:val="38421B4A"/>
    <w:rsid w:val="38424709"/>
    <w:rsid w:val="3845225B"/>
    <w:rsid w:val="38490D8A"/>
    <w:rsid w:val="3851030F"/>
    <w:rsid w:val="38520F12"/>
    <w:rsid w:val="385724AA"/>
    <w:rsid w:val="385A15A7"/>
    <w:rsid w:val="385A6AD2"/>
    <w:rsid w:val="385D0B5D"/>
    <w:rsid w:val="386935DC"/>
    <w:rsid w:val="386C2611"/>
    <w:rsid w:val="38756E77"/>
    <w:rsid w:val="38786A46"/>
    <w:rsid w:val="387F21A7"/>
    <w:rsid w:val="387F4BAD"/>
    <w:rsid w:val="38800539"/>
    <w:rsid w:val="3882678C"/>
    <w:rsid w:val="38862599"/>
    <w:rsid w:val="38891DE5"/>
    <w:rsid w:val="38917E41"/>
    <w:rsid w:val="3894168A"/>
    <w:rsid w:val="38A23DA3"/>
    <w:rsid w:val="38A26424"/>
    <w:rsid w:val="38AF21EE"/>
    <w:rsid w:val="38B01C1A"/>
    <w:rsid w:val="38B20547"/>
    <w:rsid w:val="38B22FEF"/>
    <w:rsid w:val="38B327BE"/>
    <w:rsid w:val="38BA0E29"/>
    <w:rsid w:val="38BB46FF"/>
    <w:rsid w:val="38BD1713"/>
    <w:rsid w:val="38BE0209"/>
    <w:rsid w:val="38BE1323"/>
    <w:rsid w:val="38BE17C6"/>
    <w:rsid w:val="38C52A80"/>
    <w:rsid w:val="38C83E11"/>
    <w:rsid w:val="38C9246E"/>
    <w:rsid w:val="38C9793A"/>
    <w:rsid w:val="38CD3771"/>
    <w:rsid w:val="38CD4641"/>
    <w:rsid w:val="38D007B7"/>
    <w:rsid w:val="38D40E41"/>
    <w:rsid w:val="38D851D9"/>
    <w:rsid w:val="38D9634C"/>
    <w:rsid w:val="38E1575B"/>
    <w:rsid w:val="38E62592"/>
    <w:rsid w:val="38E7055A"/>
    <w:rsid w:val="38E71E77"/>
    <w:rsid w:val="38E83976"/>
    <w:rsid w:val="38E87D9E"/>
    <w:rsid w:val="38EC4749"/>
    <w:rsid w:val="38EE0E18"/>
    <w:rsid w:val="38EE0F52"/>
    <w:rsid w:val="38EF12FB"/>
    <w:rsid w:val="38F26805"/>
    <w:rsid w:val="38F61F6D"/>
    <w:rsid w:val="38FA5334"/>
    <w:rsid w:val="38FB0669"/>
    <w:rsid w:val="38FB30A2"/>
    <w:rsid w:val="38FB64A8"/>
    <w:rsid w:val="38FB67A3"/>
    <w:rsid w:val="38FF67A9"/>
    <w:rsid w:val="39065A22"/>
    <w:rsid w:val="390E1E9D"/>
    <w:rsid w:val="3917375C"/>
    <w:rsid w:val="391B3234"/>
    <w:rsid w:val="391D76CE"/>
    <w:rsid w:val="39210E7C"/>
    <w:rsid w:val="392A4E7C"/>
    <w:rsid w:val="3938774F"/>
    <w:rsid w:val="393F6703"/>
    <w:rsid w:val="39400C5C"/>
    <w:rsid w:val="3941542E"/>
    <w:rsid w:val="39441D03"/>
    <w:rsid w:val="39454880"/>
    <w:rsid w:val="39464828"/>
    <w:rsid w:val="39490CC7"/>
    <w:rsid w:val="39527DBC"/>
    <w:rsid w:val="395C59A2"/>
    <w:rsid w:val="395F43AD"/>
    <w:rsid w:val="39602F15"/>
    <w:rsid w:val="39610FDF"/>
    <w:rsid w:val="39625093"/>
    <w:rsid w:val="396457B0"/>
    <w:rsid w:val="396A330C"/>
    <w:rsid w:val="396C797A"/>
    <w:rsid w:val="3972034C"/>
    <w:rsid w:val="397631F9"/>
    <w:rsid w:val="397B0490"/>
    <w:rsid w:val="39832CE6"/>
    <w:rsid w:val="3989058E"/>
    <w:rsid w:val="39892F90"/>
    <w:rsid w:val="398B0621"/>
    <w:rsid w:val="3990083C"/>
    <w:rsid w:val="39917AEC"/>
    <w:rsid w:val="39933283"/>
    <w:rsid w:val="39941F48"/>
    <w:rsid w:val="39997D06"/>
    <w:rsid w:val="399A5AC1"/>
    <w:rsid w:val="399F4D2B"/>
    <w:rsid w:val="39A03E85"/>
    <w:rsid w:val="39A50C4A"/>
    <w:rsid w:val="39A85A66"/>
    <w:rsid w:val="39AD61C3"/>
    <w:rsid w:val="39AE45B0"/>
    <w:rsid w:val="39AE7C5A"/>
    <w:rsid w:val="39BB0472"/>
    <w:rsid w:val="39BB78C5"/>
    <w:rsid w:val="39BC3C2B"/>
    <w:rsid w:val="39BD5ADF"/>
    <w:rsid w:val="39C21F5E"/>
    <w:rsid w:val="39C25EDF"/>
    <w:rsid w:val="39C84101"/>
    <w:rsid w:val="39CD3792"/>
    <w:rsid w:val="39D16C0D"/>
    <w:rsid w:val="39D72CE6"/>
    <w:rsid w:val="39DD5144"/>
    <w:rsid w:val="39DE6534"/>
    <w:rsid w:val="39E063BF"/>
    <w:rsid w:val="39E1733F"/>
    <w:rsid w:val="39E2055C"/>
    <w:rsid w:val="39E256D7"/>
    <w:rsid w:val="39E7450E"/>
    <w:rsid w:val="39E9387A"/>
    <w:rsid w:val="39E93B25"/>
    <w:rsid w:val="39EE77AC"/>
    <w:rsid w:val="39F25882"/>
    <w:rsid w:val="39FE2F05"/>
    <w:rsid w:val="39FE4E6A"/>
    <w:rsid w:val="39FE7513"/>
    <w:rsid w:val="3A0A0542"/>
    <w:rsid w:val="3A0C7B93"/>
    <w:rsid w:val="3A0D33B4"/>
    <w:rsid w:val="3A0E140A"/>
    <w:rsid w:val="3A197713"/>
    <w:rsid w:val="3A230E66"/>
    <w:rsid w:val="3A2357B4"/>
    <w:rsid w:val="3A264209"/>
    <w:rsid w:val="3A2F06B9"/>
    <w:rsid w:val="3A310908"/>
    <w:rsid w:val="3A311C7D"/>
    <w:rsid w:val="3A336F07"/>
    <w:rsid w:val="3A361F29"/>
    <w:rsid w:val="3A3772E9"/>
    <w:rsid w:val="3A3B5E1C"/>
    <w:rsid w:val="3A3E3DF6"/>
    <w:rsid w:val="3A4759EB"/>
    <w:rsid w:val="3A49152D"/>
    <w:rsid w:val="3A4B1976"/>
    <w:rsid w:val="3A504396"/>
    <w:rsid w:val="3A5360C3"/>
    <w:rsid w:val="3A551B52"/>
    <w:rsid w:val="3A5D353B"/>
    <w:rsid w:val="3A5D784E"/>
    <w:rsid w:val="3A655A0A"/>
    <w:rsid w:val="3A765161"/>
    <w:rsid w:val="3A875789"/>
    <w:rsid w:val="3A8A2E96"/>
    <w:rsid w:val="3A8D1A6E"/>
    <w:rsid w:val="3A9859EE"/>
    <w:rsid w:val="3A9F04D6"/>
    <w:rsid w:val="3AA0583F"/>
    <w:rsid w:val="3AA11B70"/>
    <w:rsid w:val="3AA2485F"/>
    <w:rsid w:val="3AA413A1"/>
    <w:rsid w:val="3AA9107C"/>
    <w:rsid w:val="3AAC4D25"/>
    <w:rsid w:val="3AB029A4"/>
    <w:rsid w:val="3AB7567C"/>
    <w:rsid w:val="3AC13F46"/>
    <w:rsid w:val="3AC41168"/>
    <w:rsid w:val="3AC91F7E"/>
    <w:rsid w:val="3ACC5010"/>
    <w:rsid w:val="3ACC5B82"/>
    <w:rsid w:val="3AD25830"/>
    <w:rsid w:val="3AD552DB"/>
    <w:rsid w:val="3AD9448E"/>
    <w:rsid w:val="3ADA5306"/>
    <w:rsid w:val="3ADD2010"/>
    <w:rsid w:val="3AE41D86"/>
    <w:rsid w:val="3AE87145"/>
    <w:rsid w:val="3AEE0483"/>
    <w:rsid w:val="3AF177C7"/>
    <w:rsid w:val="3AF459CD"/>
    <w:rsid w:val="3B0122FD"/>
    <w:rsid w:val="3B042F54"/>
    <w:rsid w:val="3B0A62F6"/>
    <w:rsid w:val="3B0B7ACB"/>
    <w:rsid w:val="3B0E2A52"/>
    <w:rsid w:val="3B0E6547"/>
    <w:rsid w:val="3B0F20CD"/>
    <w:rsid w:val="3B144F90"/>
    <w:rsid w:val="3B1A23B4"/>
    <w:rsid w:val="3B200E16"/>
    <w:rsid w:val="3B216AC1"/>
    <w:rsid w:val="3B2447FA"/>
    <w:rsid w:val="3B266D59"/>
    <w:rsid w:val="3B2A1C5C"/>
    <w:rsid w:val="3B2D3D69"/>
    <w:rsid w:val="3B3419CB"/>
    <w:rsid w:val="3B375213"/>
    <w:rsid w:val="3B38064C"/>
    <w:rsid w:val="3B395D9C"/>
    <w:rsid w:val="3B520137"/>
    <w:rsid w:val="3B551D70"/>
    <w:rsid w:val="3B557380"/>
    <w:rsid w:val="3B596BAC"/>
    <w:rsid w:val="3B654A7C"/>
    <w:rsid w:val="3B67226D"/>
    <w:rsid w:val="3B69485A"/>
    <w:rsid w:val="3B6D4300"/>
    <w:rsid w:val="3B756960"/>
    <w:rsid w:val="3B7D1127"/>
    <w:rsid w:val="3B935169"/>
    <w:rsid w:val="3B9575F0"/>
    <w:rsid w:val="3B985D70"/>
    <w:rsid w:val="3B997E88"/>
    <w:rsid w:val="3B9A3EDD"/>
    <w:rsid w:val="3BA1343B"/>
    <w:rsid w:val="3BA57405"/>
    <w:rsid w:val="3BA86668"/>
    <w:rsid w:val="3BAC73E9"/>
    <w:rsid w:val="3BAD79D2"/>
    <w:rsid w:val="3BB25F6E"/>
    <w:rsid w:val="3BC339E9"/>
    <w:rsid w:val="3BC522DF"/>
    <w:rsid w:val="3BC566DD"/>
    <w:rsid w:val="3BD25596"/>
    <w:rsid w:val="3BE82EA5"/>
    <w:rsid w:val="3BE90477"/>
    <w:rsid w:val="3BF23275"/>
    <w:rsid w:val="3BF759E4"/>
    <w:rsid w:val="3C0260DA"/>
    <w:rsid w:val="3C044CD2"/>
    <w:rsid w:val="3C074DA2"/>
    <w:rsid w:val="3C1633F0"/>
    <w:rsid w:val="3C180885"/>
    <w:rsid w:val="3C1B18F9"/>
    <w:rsid w:val="3C1C7B6E"/>
    <w:rsid w:val="3C220562"/>
    <w:rsid w:val="3C234ADF"/>
    <w:rsid w:val="3C254662"/>
    <w:rsid w:val="3C263601"/>
    <w:rsid w:val="3C3767D3"/>
    <w:rsid w:val="3C396F14"/>
    <w:rsid w:val="3C3A0C00"/>
    <w:rsid w:val="3C3C122D"/>
    <w:rsid w:val="3C3F5439"/>
    <w:rsid w:val="3C41554F"/>
    <w:rsid w:val="3C431681"/>
    <w:rsid w:val="3C441C58"/>
    <w:rsid w:val="3C4628AF"/>
    <w:rsid w:val="3C4B005B"/>
    <w:rsid w:val="3C4B4B6D"/>
    <w:rsid w:val="3C4C6AC7"/>
    <w:rsid w:val="3C4D196D"/>
    <w:rsid w:val="3C516D75"/>
    <w:rsid w:val="3C594DCF"/>
    <w:rsid w:val="3C5C7305"/>
    <w:rsid w:val="3C637BD5"/>
    <w:rsid w:val="3C674DD1"/>
    <w:rsid w:val="3C692A84"/>
    <w:rsid w:val="3C6A09E9"/>
    <w:rsid w:val="3C6A717E"/>
    <w:rsid w:val="3C6B6A5D"/>
    <w:rsid w:val="3C7032A8"/>
    <w:rsid w:val="3C742A1F"/>
    <w:rsid w:val="3C823CA6"/>
    <w:rsid w:val="3C833114"/>
    <w:rsid w:val="3C8829C5"/>
    <w:rsid w:val="3C8B3913"/>
    <w:rsid w:val="3C8F13DD"/>
    <w:rsid w:val="3C94222C"/>
    <w:rsid w:val="3CA24941"/>
    <w:rsid w:val="3CA379A1"/>
    <w:rsid w:val="3CAA45D0"/>
    <w:rsid w:val="3CAC751D"/>
    <w:rsid w:val="3CAD4E6F"/>
    <w:rsid w:val="3CAF3C32"/>
    <w:rsid w:val="3CB1172F"/>
    <w:rsid w:val="3CB4788C"/>
    <w:rsid w:val="3CBC01C8"/>
    <w:rsid w:val="3CC07978"/>
    <w:rsid w:val="3CC2670D"/>
    <w:rsid w:val="3CC350F7"/>
    <w:rsid w:val="3CC70B71"/>
    <w:rsid w:val="3CD34D4F"/>
    <w:rsid w:val="3CD76461"/>
    <w:rsid w:val="3CDA6BAB"/>
    <w:rsid w:val="3CE30545"/>
    <w:rsid w:val="3CE65DA8"/>
    <w:rsid w:val="3CE6743E"/>
    <w:rsid w:val="3CF2306E"/>
    <w:rsid w:val="3CF96A8C"/>
    <w:rsid w:val="3D051B05"/>
    <w:rsid w:val="3D073EA0"/>
    <w:rsid w:val="3D0A41B9"/>
    <w:rsid w:val="3D0B528C"/>
    <w:rsid w:val="3D0F3D68"/>
    <w:rsid w:val="3D1978A9"/>
    <w:rsid w:val="3D1D0E73"/>
    <w:rsid w:val="3D22706A"/>
    <w:rsid w:val="3D232134"/>
    <w:rsid w:val="3D247B2E"/>
    <w:rsid w:val="3D264AA9"/>
    <w:rsid w:val="3D370765"/>
    <w:rsid w:val="3D3F0069"/>
    <w:rsid w:val="3D4330D2"/>
    <w:rsid w:val="3D436EB7"/>
    <w:rsid w:val="3D484C36"/>
    <w:rsid w:val="3D4D7F6C"/>
    <w:rsid w:val="3D4F5299"/>
    <w:rsid w:val="3D584F25"/>
    <w:rsid w:val="3D5968B0"/>
    <w:rsid w:val="3D5C7689"/>
    <w:rsid w:val="3D5D3261"/>
    <w:rsid w:val="3D617FFA"/>
    <w:rsid w:val="3D6A4DA7"/>
    <w:rsid w:val="3D6C088E"/>
    <w:rsid w:val="3D75719C"/>
    <w:rsid w:val="3D774D4C"/>
    <w:rsid w:val="3D782EA8"/>
    <w:rsid w:val="3D79502C"/>
    <w:rsid w:val="3D7A4776"/>
    <w:rsid w:val="3D7B7F46"/>
    <w:rsid w:val="3D7D36B7"/>
    <w:rsid w:val="3D864C5C"/>
    <w:rsid w:val="3D92772C"/>
    <w:rsid w:val="3D937F32"/>
    <w:rsid w:val="3D990B99"/>
    <w:rsid w:val="3DA96F6E"/>
    <w:rsid w:val="3DAD4D42"/>
    <w:rsid w:val="3DB31389"/>
    <w:rsid w:val="3DB34F2A"/>
    <w:rsid w:val="3DB62400"/>
    <w:rsid w:val="3DBB418A"/>
    <w:rsid w:val="3DBC41EA"/>
    <w:rsid w:val="3DBC5682"/>
    <w:rsid w:val="3DBE083C"/>
    <w:rsid w:val="3DC639EB"/>
    <w:rsid w:val="3DCB2DDB"/>
    <w:rsid w:val="3DCB401B"/>
    <w:rsid w:val="3DCC0261"/>
    <w:rsid w:val="3DCD0066"/>
    <w:rsid w:val="3DD032BD"/>
    <w:rsid w:val="3DD223B2"/>
    <w:rsid w:val="3DE3408D"/>
    <w:rsid w:val="3DE82928"/>
    <w:rsid w:val="3DEE6EA1"/>
    <w:rsid w:val="3DF34C3D"/>
    <w:rsid w:val="3DF36F36"/>
    <w:rsid w:val="3DF435E3"/>
    <w:rsid w:val="3DF46C35"/>
    <w:rsid w:val="3E001BED"/>
    <w:rsid w:val="3E021B62"/>
    <w:rsid w:val="3E02423C"/>
    <w:rsid w:val="3E0E6AEE"/>
    <w:rsid w:val="3E112FEE"/>
    <w:rsid w:val="3E181E33"/>
    <w:rsid w:val="3E1E5DB1"/>
    <w:rsid w:val="3E244392"/>
    <w:rsid w:val="3E2B41C5"/>
    <w:rsid w:val="3E2F6B3C"/>
    <w:rsid w:val="3E350738"/>
    <w:rsid w:val="3E3A4F6D"/>
    <w:rsid w:val="3E3D29B0"/>
    <w:rsid w:val="3E40139A"/>
    <w:rsid w:val="3E423DD8"/>
    <w:rsid w:val="3E4404F1"/>
    <w:rsid w:val="3E446374"/>
    <w:rsid w:val="3E447D55"/>
    <w:rsid w:val="3E47738B"/>
    <w:rsid w:val="3E4911B0"/>
    <w:rsid w:val="3E4A3646"/>
    <w:rsid w:val="3E4A7B77"/>
    <w:rsid w:val="3E571268"/>
    <w:rsid w:val="3E594F2B"/>
    <w:rsid w:val="3E6D3C8A"/>
    <w:rsid w:val="3E79283D"/>
    <w:rsid w:val="3E8024A0"/>
    <w:rsid w:val="3E8C55AB"/>
    <w:rsid w:val="3E8F474D"/>
    <w:rsid w:val="3E9738EE"/>
    <w:rsid w:val="3E9F29E2"/>
    <w:rsid w:val="3EAB6EDC"/>
    <w:rsid w:val="3EB233D0"/>
    <w:rsid w:val="3EB36884"/>
    <w:rsid w:val="3EB75D1A"/>
    <w:rsid w:val="3EBB63A3"/>
    <w:rsid w:val="3EC076E6"/>
    <w:rsid w:val="3EC51F02"/>
    <w:rsid w:val="3ECF35A5"/>
    <w:rsid w:val="3ED106E4"/>
    <w:rsid w:val="3ED5233A"/>
    <w:rsid w:val="3ED61619"/>
    <w:rsid w:val="3ED73764"/>
    <w:rsid w:val="3EDA4D93"/>
    <w:rsid w:val="3EDE75C2"/>
    <w:rsid w:val="3EE20689"/>
    <w:rsid w:val="3EE63F8F"/>
    <w:rsid w:val="3EF93B09"/>
    <w:rsid w:val="3EFB323C"/>
    <w:rsid w:val="3F021161"/>
    <w:rsid w:val="3F07594D"/>
    <w:rsid w:val="3F084656"/>
    <w:rsid w:val="3F0A6678"/>
    <w:rsid w:val="3F1013E9"/>
    <w:rsid w:val="3F1E5404"/>
    <w:rsid w:val="3F1F3D62"/>
    <w:rsid w:val="3F2549DC"/>
    <w:rsid w:val="3F2F50FD"/>
    <w:rsid w:val="3F3452B5"/>
    <w:rsid w:val="3F3527EC"/>
    <w:rsid w:val="3F3D4D75"/>
    <w:rsid w:val="3F3D7399"/>
    <w:rsid w:val="3F412DC0"/>
    <w:rsid w:val="3F455B63"/>
    <w:rsid w:val="3F465700"/>
    <w:rsid w:val="3F4B2FC3"/>
    <w:rsid w:val="3F506A96"/>
    <w:rsid w:val="3F516B05"/>
    <w:rsid w:val="3F5A30F7"/>
    <w:rsid w:val="3F5C0637"/>
    <w:rsid w:val="3F5D3782"/>
    <w:rsid w:val="3F62408A"/>
    <w:rsid w:val="3F674685"/>
    <w:rsid w:val="3F691B34"/>
    <w:rsid w:val="3F6B426F"/>
    <w:rsid w:val="3F6E4D95"/>
    <w:rsid w:val="3F713B25"/>
    <w:rsid w:val="3F733A08"/>
    <w:rsid w:val="3F793F84"/>
    <w:rsid w:val="3F796048"/>
    <w:rsid w:val="3F7B0D47"/>
    <w:rsid w:val="3F7E1465"/>
    <w:rsid w:val="3F7F7802"/>
    <w:rsid w:val="3F82092C"/>
    <w:rsid w:val="3F8423F9"/>
    <w:rsid w:val="3F851888"/>
    <w:rsid w:val="3F854F50"/>
    <w:rsid w:val="3F894ADD"/>
    <w:rsid w:val="3F8E1081"/>
    <w:rsid w:val="3F907FA6"/>
    <w:rsid w:val="3F922AAB"/>
    <w:rsid w:val="3F96036A"/>
    <w:rsid w:val="3F962CAF"/>
    <w:rsid w:val="3F9935E8"/>
    <w:rsid w:val="3F9E4CC9"/>
    <w:rsid w:val="3FA12CFD"/>
    <w:rsid w:val="3FA32D3B"/>
    <w:rsid w:val="3FA74E65"/>
    <w:rsid w:val="3FA850FA"/>
    <w:rsid w:val="3FB12F36"/>
    <w:rsid w:val="3FB42E58"/>
    <w:rsid w:val="3FB71195"/>
    <w:rsid w:val="3FB76DDC"/>
    <w:rsid w:val="3FBA52DE"/>
    <w:rsid w:val="3FBA5B2B"/>
    <w:rsid w:val="3FBF5475"/>
    <w:rsid w:val="3FC00310"/>
    <w:rsid w:val="3FC16B70"/>
    <w:rsid w:val="3FC373D3"/>
    <w:rsid w:val="3FC454A4"/>
    <w:rsid w:val="3FCA3C66"/>
    <w:rsid w:val="3FCB19C1"/>
    <w:rsid w:val="3FCE5E87"/>
    <w:rsid w:val="3FD4518A"/>
    <w:rsid w:val="3FDB233D"/>
    <w:rsid w:val="3FDF383C"/>
    <w:rsid w:val="3FE1511A"/>
    <w:rsid w:val="3FE36416"/>
    <w:rsid w:val="3FE72770"/>
    <w:rsid w:val="3FED49CF"/>
    <w:rsid w:val="3FFD7DD7"/>
    <w:rsid w:val="40022149"/>
    <w:rsid w:val="40086AD2"/>
    <w:rsid w:val="40087083"/>
    <w:rsid w:val="400D20E9"/>
    <w:rsid w:val="401B5629"/>
    <w:rsid w:val="40230895"/>
    <w:rsid w:val="40251D57"/>
    <w:rsid w:val="40256951"/>
    <w:rsid w:val="40392304"/>
    <w:rsid w:val="40396B27"/>
    <w:rsid w:val="403D406B"/>
    <w:rsid w:val="40433EB2"/>
    <w:rsid w:val="40443941"/>
    <w:rsid w:val="40457769"/>
    <w:rsid w:val="404B63AF"/>
    <w:rsid w:val="4056729E"/>
    <w:rsid w:val="4058645F"/>
    <w:rsid w:val="4061625A"/>
    <w:rsid w:val="4062171D"/>
    <w:rsid w:val="4064072A"/>
    <w:rsid w:val="40656E65"/>
    <w:rsid w:val="40664FEC"/>
    <w:rsid w:val="40675830"/>
    <w:rsid w:val="406A53DB"/>
    <w:rsid w:val="406C6979"/>
    <w:rsid w:val="40711F80"/>
    <w:rsid w:val="40726A1F"/>
    <w:rsid w:val="407477B7"/>
    <w:rsid w:val="407C3C9A"/>
    <w:rsid w:val="407E4EA1"/>
    <w:rsid w:val="407F2C3E"/>
    <w:rsid w:val="40845DAD"/>
    <w:rsid w:val="408C7F51"/>
    <w:rsid w:val="40961855"/>
    <w:rsid w:val="409A4CD2"/>
    <w:rsid w:val="409B60C4"/>
    <w:rsid w:val="409D0BD3"/>
    <w:rsid w:val="40A129B4"/>
    <w:rsid w:val="40A33CD4"/>
    <w:rsid w:val="40A52857"/>
    <w:rsid w:val="40A76386"/>
    <w:rsid w:val="40AF2764"/>
    <w:rsid w:val="40BB31C4"/>
    <w:rsid w:val="40C86498"/>
    <w:rsid w:val="40CB3124"/>
    <w:rsid w:val="40CC3415"/>
    <w:rsid w:val="40D04116"/>
    <w:rsid w:val="40D356B3"/>
    <w:rsid w:val="40DA2A32"/>
    <w:rsid w:val="40DC3985"/>
    <w:rsid w:val="40DE53A3"/>
    <w:rsid w:val="40E4431C"/>
    <w:rsid w:val="40EC35BE"/>
    <w:rsid w:val="40F24F5C"/>
    <w:rsid w:val="40F57E8F"/>
    <w:rsid w:val="40FB2537"/>
    <w:rsid w:val="40FC29B8"/>
    <w:rsid w:val="40FE2156"/>
    <w:rsid w:val="40FE7E7F"/>
    <w:rsid w:val="410153A5"/>
    <w:rsid w:val="410E5840"/>
    <w:rsid w:val="41122776"/>
    <w:rsid w:val="4113185A"/>
    <w:rsid w:val="411511C9"/>
    <w:rsid w:val="41162D0A"/>
    <w:rsid w:val="411C39CA"/>
    <w:rsid w:val="411D2510"/>
    <w:rsid w:val="41247393"/>
    <w:rsid w:val="41262DA2"/>
    <w:rsid w:val="4128138D"/>
    <w:rsid w:val="412A3409"/>
    <w:rsid w:val="41314462"/>
    <w:rsid w:val="41376D3C"/>
    <w:rsid w:val="413D5AF4"/>
    <w:rsid w:val="414A43BC"/>
    <w:rsid w:val="414B2B59"/>
    <w:rsid w:val="414E6384"/>
    <w:rsid w:val="414F4750"/>
    <w:rsid w:val="41507695"/>
    <w:rsid w:val="4153790B"/>
    <w:rsid w:val="415615FF"/>
    <w:rsid w:val="41573585"/>
    <w:rsid w:val="41611303"/>
    <w:rsid w:val="41617A66"/>
    <w:rsid w:val="416A7A05"/>
    <w:rsid w:val="416D582F"/>
    <w:rsid w:val="4170489A"/>
    <w:rsid w:val="417302E2"/>
    <w:rsid w:val="41755580"/>
    <w:rsid w:val="41771F39"/>
    <w:rsid w:val="41773C8D"/>
    <w:rsid w:val="41782B3B"/>
    <w:rsid w:val="418033C1"/>
    <w:rsid w:val="418A6FD6"/>
    <w:rsid w:val="418E355D"/>
    <w:rsid w:val="419372C9"/>
    <w:rsid w:val="41941678"/>
    <w:rsid w:val="4196681F"/>
    <w:rsid w:val="41A226D4"/>
    <w:rsid w:val="41A35918"/>
    <w:rsid w:val="41AE51A9"/>
    <w:rsid w:val="41BC1B03"/>
    <w:rsid w:val="41BE70FD"/>
    <w:rsid w:val="41C370EF"/>
    <w:rsid w:val="41C530E8"/>
    <w:rsid w:val="41CF291E"/>
    <w:rsid w:val="41D25851"/>
    <w:rsid w:val="41D51B0B"/>
    <w:rsid w:val="41DA6248"/>
    <w:rsid w:val="41E006C2"/>
    <w:rsid w:val="41EF0ED5"/>
    <w:rsid w:val="41F053D7"/>
    <w:rsid w:val="41F97AC4"/>
    <w:rsid w:val="41FA19A8"/>
    <w:rsid w:val="42001F8B"/>
    <w:rsid w:val="42022F62"/>
    <w:rsid w:val="4209180D"/>
    <w:rsid w:val="420F234A"/>
    <w:rsid w:val="42126989"/>
    <w:rsid w:val="42132531"/>
    <w:rsid w:val="42135FD5"/>
    <w:rsid w:val="42176BF6"/>
    <w:rsid w:val="421C155F"/>
    <w:rsid w:val="421E01AA"/>
    <w:rsid w:val="421F4711"/>
    <w:rsid w:val="4220167F"/>
    <w:rsid w:val="42247D90"/>
    <w:rsid w:val="42272922"/>
    <w:rsid w:val="422D0D27"/>
    <w:rsid w:val="423975BD"/>
    <w:rsid w:val="423B734C"/>
    <w:rsid w:val="42421993"/>
    <w:rsid w:val="4249264F"/>
    <w:rsid w:val="424A468F"/>
    <w:rsid w:val="424C73A2"/>
    <w:rsid w:val="425251CD"/>
    <w:rsid w:val="42533005"/>
    <w:rsid w:val="425812A7"/>
    <w:rsid w:val="425B76A9"/>
    <w:rsid w:val="425E3AD3"/>
    <w:rsid w:val="42612A16"/>
    <w:rsid w:val="42636045"/>
    <w:rsid w:val="42636119"/>
    <w:rsid w:val="42636FDE"/>
    <w:rsid w:val="42641E52"/>
    <w:rsid w:val="4266540F"/>
    <w:rsid w:val="426834A5"/>
    <w:rsid w:val="427B51D1"/>
    <w:rsid w:val="42881434"/>
    <w:rsid w:val="428F2037"/>
    <w:rsid w:val="428F75C1"/>
    <w:rsid w:val="429425E0"/>
    <w:rsid w:val="42A11FFB"/>
    <w:rsid w:val="42A30BE2"/>
    <w:rsid w:val="42A364A1"/>
    <w:rsid w:val="42A465EE"/>
    <w:rsid w:val="42A50A3D"/>
    <w:rsid w:val="42AA1596"/>
    <w:rsid w:val="42AE0803"/>
    <w:rsid w:val="42BA68AE"/>
    <w:rsid w:val="42BD50C7"/>
    <w:rsid w:val="42BE6A14"/>
    <w:rsid w:val="42C03545"/>
    <w:rsid w:val="42C173CF"/>
    <w:rsid w:val="42C836B4"/>
    <w:rsid w:val="42CA54A4"/>
    <w:rsid w:val="42CB09E2"/>
    <w:rsid w:val="42CB57A4"/>
    <w:rsid w:val="42CD0F8E"/>
    <w:rsid w:val="42CE2F6F"/>
    <w:rsid w:val="42CF6D96"/>
    <w:rsid w:val="42D165A0"/>
    <w:rsid w:val="42D57195"/>
    <w:rsid w:val="42D80934"/>
    <w:rsid w:val="42D94C1E"/>
    <w:rsid w:val="42DC3643"/>
    <w:rsid w:val="42E225F7"/>
    <w:rsid w:val="42E43C3A"/>
    <w:rsid w:val="42E96982"/>
    <w:rsid w:val="42F37AB0"/>
    <w:rsid w:val="42F65E40"/>
    <w:rsid w:val="42FF489B"/>
    <w:rsid w:val="43070288"/>
    <w:rsid w:val="430958DC"/>
    <w:rsid w:val="430A1F06"/>
    <w:rsid w:val="430E4702"/>
    <w:rsid w:val="430E4CC0"/>
    <w:rsid w:val="43184114"/>
    <w:rsid w:val="431D2F3B"/>
    <w:rsid w:val="431D6293"/>
    <w:rsid w:val="43207E2C"/>
    <w:rsid w:val="43245A43"/>
    <w:rsid w:val="43261FAB"/>
    <w:rsid w:val="43272B17"/>
    <w:rsid w:val="43296097"/>
    <w:rsid w:val="433C0843"/>
    <w:rsid w:val="43416DB6"/>
    <w:rsid w:val="43423319"/>
    <w:rsid w:val="43493782"/>
    <w:rsid w:val="434F4244"/>
    <w:rsid w:val="434F6D75"/>
    <w:rsid w:val="43537369"/>
    <w:rsid w:val="435377A4"/>
    <w:rsid w:val="435628EA"/>
    <w:rsid w:val="435673D2"/>
    <w:rsid w:val="43570A5F"/>
    <w:rsid w:val="435771E7"/>
    <w:rsid w:val="435873BF"/>
    <w:rsid w:val="435B739A"/>
    <w:rsid w:val="435F07D8"/>
    <w:rsid w:val="436001D1"/>
    <w:rsid w:val="43605BFB"/>
    <w:rsid w:val="436153A8"/>
    <w:rsid w:val="436625C3"/>
    <w:rsid w:val="436D3E55"/>
    <w:rsid w:val="436E52DF"/>
    <w:rsid w:val="4378179A"/>
    <w:rsid w:val="437B52A2"/>
    <w:rsid w:val="437C3438"/>
    <w:rsid w:val="43824952"/>
    <w:rsid w:val="438475F6"/>
    <w:rsid w:val="4386514F"/>
    <w:rsid w:val="438D2BEF"/>
    <w:rsid w:val="438D31C8"/>
    <w:rsid w:val="43962A43"/>
    <w:rsid w:val="4398215F"/>
    <w:rsid w:val="439C02FA"/>
    <w:rsid w:val="43A16066"/>
    <w:rsid w:val="43A1775D"/>
    <w:rsid w:val="43A8246F"/>
    <w:rsid w:val="43AA1FED"/>
    <w:rsid w:val="43AD4377"/>
    <w:rsid w:val="43AE2253"/>
    <w:rsid w:val="43BC2061"/>
    <w:rsid w:val="43BD3426"/>
    <w:rsid w:val="43C97A48"/>
    <w:rsid w:val="43CC5136"/>
    <w:rsid w:val="43CD145C"/>
    <w:rsid w:val="43CD7000"/>
    <w:rsid w:val="43CE785B"/>
    <w:rsid w:val="43CF496F"/>
    <w:rsid w:val="43D24778"/>
    <w:rsid w:val="43D7162C"/>
    <w:rsid w:val="43D826C6"/>
    <w:rsid w:val="43DC3A19"/>
    <w:rsid w:val="43E02AE5"/>
    <w:rsid w:val="43E0398E"/>
    <w:rsid w:val="43E07158"/>
    <w:rsid w:val="43E40BA7"/>
    <w:rsid w:val="43E70BAE"/>
    <w:rsid w:val="43EC3C01"/>
    <w:rsid w:val="43ED7DE1"/>
    <w:rsid w:val="43EF48F3"/>
    <w:rsid w:val="43F6632F"/>
    <w:rsid w:val="43F83469"/>
    <w:rsid w:val="43FA2A93"/>
    <w:rsid w:val="44041227"/>
    <w:rsid w:val="44071D33"/>
    <w:rsid w:val="440B2275"/>
    <w:rsid w:val="440D6BA3"/>
    <w:rsid w:val="44177AE0"/>
    <w:rsid w:val="4419616C"/>
    <w:rsid w:val="441A1DEB"/>
    <w:rsid w:val="441B31E3"/>
    <w:rsid w:val="4420391D"/>
    <w:rsid w:val="44256581"/>
    <w:rsid w:val="44281274"/>
    <w:rsid w:val="442A34BA"/>
    <w:rsid w:val="442E1907"/>
    <w:rsid w:val="443554E5"/>
    <w:rsid w:val="443A1044"/>
    <w:rsid w:val="44421837"/>
    <w:rsid w:val="44426897"/>
    <w:rsid w:val="444375FF"/>
    <w:rsid w:val="4444476D"/>
    <w:rsid w:val="44470029"/>
    <w:rsid w:val="444D29B0"/>
    <w:rsid w:val="444F448D"/>
    <w:rsid w:val="444F4BC1"/>
    <w:rsid w:val="44540062"/>
    <w:rsid w:val="445C24F0"/>
    <w:rsid w:val="445D3D78"/>
    <w:rsid w:val="446257A1"/>
    <w:rsid w:val="44627700"/>
    <w:rsid w:val="44684897"/>
    <w:rsid w:val="4468769F"/>
    <w:rsid w:val="446A71E2"/>
    <w:rsid w:val="44775F82"/>
    <w:rsid w:val="447929D0"/>
    <w:rsid w:val="447A0DB9"/>
    <w:rsid w:val="44866CDA"/>
    <w:rsid w:val="44887380"/>
    <w:rsid w:val="44897D31"/>
    <w:rsid w:val="448C7455"/>
    <w:rsid w:val="448F4E2D"/>
    <w:rsid w:val="44992869"/>
    <w:rsid w:val="449C6045"/>
    <w:rsid w:val="449D6CCE"/>
    <w:rsid w:val="44A274D9"/>
    <w:rsid w:val="44A84ABD"/>
    <w:rsid w:val="44B46F84"/>
    <w:rsid w:val="44BA0ADE"/>
    <w:rsid w:val="44BA59EB"/>
    <w:rsid w:val="44BB2FB2"/>
    <w:rsid w:val="44BC5AEB"/>
    <w:rsid w:val="44BD2307"/>
    <w:rsid w:val="44C3631C"/>
    <w:rsid w:val="44CC5017"/>
    <w:rsid w:val="44D4472D"/>
    <w:rsid w:val="44DC3C28"/>
    <w:rsid w:val="44DD56AA"/>
    <w:rsid w:val="44DF144E"/>
    <w:rsid w:val="44E97830"/>
    <w:rsid w:val="44EB5976"/>
    <w:rsid w:val="44F34103"/>
    <w:rsid w:val="44F36D83"/>
    <w:rsid w:val="44F42118"/>
    <w:rsid w:val="44FD05A8"/>
    <w:rsid w:val="45002BED"/>
    <w:rsid w:val="45005590"/>
    <w:rsid w:val="450440EF"/>
    <w:rsid w:val="451354E2"/>
    <w:rsid w:val="451F35F6"/>
    <w:rsid w:val="45204EA1"/>
    <w:rsid w:val="452715DB"/>
    <w:rsid w:val="4529584F"/>
    <w:rsid w:val="452B3032"/>
    <w:rsid w:val="452C301B"/>
    <w:rsid w:val="45301709"/>
    <w:rsid w:val="4534430F"/>
    <w:rsid w:val="453B3461"/>
    <w:rsid w:val="453C34AE"/>
    <w:rsid w:val="45431FB3"/>
    <w:rsid w:val="454C4BA7"/>
    <w:rsid w:val="4558684B"/>
    <w:rsid w:val="456113BC"/>
    <w:rsid w:val="45616D6A"/>
    <w:rsid w:val="45633D73"/>
    <w:rsid w:val="456964DE"/>
    <w:rsid w:val="456B53F6"/>
    <w:rsid w:val="45755BB7"/>
    <w:rsid w:val="45770BB1"/>
    <w:rsid w:val="45774F1E"/>
    <w:rsid w:val="457B3FEF"/>
    <w:rsid w:val="457E2850"/>
    <w:rsid w:val="457E3B47"/>
    <w:rsid w:val="458C2E64"/>
    <w:rsid w:val="458D5F29"/>
    <w:rsid w:val="458D62F2"/>
    <w:rsid w:val="458F522D"/>
    <w:rsid w:val="45911B62"/>
    <w:rsid w:val="459775EA"/>
    <w:rsid w:val="459C0827"/>
    <w:rsid w:val="459C2B17"/>
    <w:rsid w:val="459F4C99"/>
    <w:rsid w:val="45A40D82"/>
    <w:rsid w:val="45A64C0B"/>
    <w:rsid w:val="45AA184B"/>
    <w:rsid w:val="45AE2211"/>
    <w:rsid w:val="45B138EF"/>
    <w:rsid w:val="45B923CA"/>
    <w:rsid w:val="45BC5476"/>
    <w:rsid w:val="45C00FDF"/>
    <w:rsid w:val="45D82EAC"/>
    <w:rsid w:val="45D97055"/>
    <w:rsid w:val="45DA56AD"/>
    <w:rsid w:val="45DA589B"/>
    <w:rsid w:val="45DC2941"/>
    <w:rsid w:val="45E03B7D"/>
    <w:rsid w:val="45E335E4"/>
    <w:rsid w:val="45E40C78"/>
    <w:rsid w:val="45E47C59"/>
    <w:rsid w:val="45EB792A"/>
    <w:rsid w:val="45EC55CB"/>
    <w:rsid w:val="45ED3820"/>
    <w:rsid w:val="45F04163"/>
    <w:rsid w:val="45F55338"/>
    <w:rsid w:val="460030E8"/>
    <w:rsid w:val="4602772F"/>
    <w:rsid w:val="4603592D"/>
    <w:rsid w:val="46072512"/>
    <w:rsid w:val="46074B4C"/>
    <w:rsid w:val="46090755"/>
    <w:rsid w:val="46091989"/>
    <w:rsid w:val="460978E2"/>
    <w:rsid w:val="460A21F7"/>
    <w:rsid w:val="460F0828"/>
    <w:rsid w:val="46117573"/>
    <w:rsid w:val="46152C49"/>
    <w:rsid w:val="4617491A"/>
    <w:rsid w:val="461A07F3"/>
    <w:rsid w:val="46233C26"/>
    <w:rsid w:val="462508B8"/>
    <w:rsid w:val="462A12F6"/>
    <w:rsid w:val="462C1C9D"/>
    <w:rsid w:val="462C57EE"/>
    <w:rsid w:val="462D21B1"/>
    <w:rsid w:val="46365E83"/>
    <w:rsid w:val="463A0BF5"/>
    <w:rsid w:val="463E76F9"/>
    <w:rsid w:val="46446538"/>
    <w:rsid w:val="46451222"/>
    <w:rsid w:val="46462402"/>
    <w:rsid w:val="464722B1"/>
    <w:rsid w:val="464C13E0"/>
    <w:rsid w:val="46560D19"/>
    <w:rsid w:val="46570C13"/>
    <w:rsid w:val="46574C0D"/>
    <w:rsid w:val="465A392F"/>
    <w:rsid w:val="465C767B"/>
    <w:rsid w:val="4660278F"/>
    <w:rsid w:val="466A2514"/>
    <w:rsid w:val="466B73A3"/>
    <w:rsid w:val="46731DE1"/>
    <w:rsid w:val="46762B76"/>
    <w:rsid w:val="46764CE8"/>
    <w:rsid w:val="46791728"/>
    <w:rsid w:val="46797425"/>
    <w:rsid w:val="46822CAF"/>
    <w:rsid w:val="468A40D8"/>
    <w:rsid w:val="468A69BB"/>
    <w:rsid w:val="468C170C"/>
    <w:rsid w:val="468E08FD"/>
    <w:rsid w:val="468E51A1"/>
    <w:rsid w:val="46955C80"/>
    <w:rsid w:val="469A091C"/>
    <w:rsid w:val="46A1028D"/>
    <w:rsid w:val="46A3674C"/>
    <w:rsid w:val="46A759E8"/>
    <w:rsid w:val="46AC660C"/>
    <w:rsid w:val="46B06ED0"/>
    <w:rsid w:val="46B40F33"/>
    <w:rsid w:val="46B80C0F"/>
    <w:rsid w:val="46B9795F"/>
    <w:rsid w:val="46C26484"/>
    <w:rsid w:val="46CE6AAD"/>
    <w:rsid w:val="46D80654"/>
    <w:rsid w:val="46E32FE5"/>
    <w:rsid w:val="46E73EC5"/>
    <w:rsid w:val="46E77832"/>
    <w:rsid w:val="46ED1C62"/>
    <w:rsid w:val="46F323F7"/>
    <w:rsid w:val="46F46F66"/>
    <w:rsid w:val="46F7063F"/>
    <w:rsid w:val="46F813A9"/>
    <w:rsid w:val="46FA469A"/>
    <w:rsid w:val="46FD620B"/>
    <w:rsid w:val="46FE1FBD"/>
    <w:rsid w:val="47031EA9"/>
    <w:rsid w:val="470E7779"/>
    <w:rsid w:val="470F0555"/>
    <w:rsid w:val="47112E6E"/>
    <w:rsid w:val="47180A27"/>
    <w:rsid w:val="47190CD8"/>
    <w:rsid w:val="471C0561"/>
    <w:rsid w:val="471D63CB"/>
    <w:rsid w:val="472E5E69"/>
    <w:rsid w:val="47302857"/>
    <w:rsid w:val="47311ED5"/>
    <w:rsid w:val="473C1F6E"/>
    <w:rsid w:val="473D6F08"/>
    <w:rsid w:val="47472C01"/>
    <w:rsid w:val="47523A5B"/>
    <w:rsid w:val="47581275"/>
    <w:rsid w:val="475A59BF"/>
    <w:rsid w:val="4763419F"/>
    <w:rsid w:val="47646C4D"/>
    <w:rsid w:val="47654C83"/>
    <w:rsid w:val="47696391"/>
    <w:rsid w:val="47712AC3"/>
    <w:rsid w:val="4772487B"/>
    <w:rsid w:val="4774386C"/>
    <w:rsid w:val="47763CE3"/>
    <w:rsid w:val="47764972"/>
    <w:rsid w:val="477F3591"/>
    <w:rsid w:val="47835737"/>
    <w:rsid w:val="4784410D"/>
    <w:rsid w:val="479134B0"/>
    <w:rsid w:val="479B0B75"/>
    <w:rsid w:val="479B64EA"/>
    <w:rsid w:val="47A2305F"/>
    <w:rsid w:val="47AA0295"/>
    <w:rsid w:val="47B175E3"/>
    <w:rsid w:val="47B5240B"/>
    <w:rsid w:val="47B66D7F"/>
    <w:rsid w:val="47B7472F"/>
    <w:rsid w:val="47BD6B3F"/>
    <w:rsid w:val="47C04A1D"/>
    <w:rsid w:val="47C73261"/>
    <w:rsid w:val="47C83CDF"/>
    <w:rsid w:val="47CC48C9"/>
    <w:rsid w:val="47CD1B0F"/>
    <w:rsid w:val="47D62C72"/>
    <w:rsid w:val="47DC3ADC"/>
    <w:rsid w:val="47EC0ECA"/>
    <w:rsid w:val="47ED6574"/>
    <w:rsid w:val="47EE5EB6"/>
    <w:rsid w:val="47EF15B1"/>
    <w:rsid w:val="47F51C3F"/>
    <w:rsid w:val="47F7387A"/>
    <w:rsid w:val="47F81161"/>
    <w:rsid w:val="47FC7FA0"/>
    <w:rsid w:val="47FD3122"/>
    <w:rsid w:val="47FF45E9"/>
    <w:rsid w:val="4809759B"/>
    <w:rsid w:val="480A533D"/>
    <w:rsid w:val="481F298D"/>
    <w:rsid w:val="482D5F7C"/>
    <w:rsid w:val="482E34CA"/>
    <w:rsid w:val="4832084C"/>
    <w:rsid w:val="483C4ECF"/>
    <w:rsid w:val="483D2E5D"/>
    <w:rsid w:val="484117B7"/>
    <w:rsid w:val="48442930"/>
    <w:rsid w:val="48470A2B"/>
    <w:rsid w:val="484B43A1"/>
    <w:rsid w:val="48534871"/>
    <w:rsid w:val="485924DE"/>
    <w:rsid w:val="485A6C31"/>
    <w:rsid w:val="48605947"/>
    <w:rsid w:val="48696C73"/>
    <w:rsid w:val="486B4177"/>
    <w:rsid w:val="486D086A"/>
    <w:rsid w:val="486D5D69"/>
    <w:rsid w:val="486E6187"/>
    <w:rsid w:val="48712115"/>
    <w:rsid w:val="487245E5"/>
    <w:rsid w:val="48731304"/>
    <w:rsid w:val="48736661"/>
    <w:rsid w:val="48742E0E"/>
    <w:rsid w:val="487657A1"/>
    <w:rsid w:val="487C3377"/>
    <w:rsid w:val="487E3921"/>
    <w:rsid w:val="487E47B5"/>
    <w:rsid w:val="4888409B"/>
    <w:rsid w:val="488A2B32"/>
    <w:rsid w:val="488E5DCB"/>
    <w:rsid w:val="48972FD0"/>
    <w:rsid w:val="48A532AE"/>
    <w:rsid w:val="48AA5A4A"/>
    <w:rsid w:val="48AC6CD1"/>
    <w:rsid w:val="48AE1C4A"/>
    <w:rsid w:val="48B019EF"/>
    <w:rsid w:val="48B13451"/>
    <w:rsid w:val="48B63198"/>
    <w:rsid w:val="48B6780E"/>
    <w:rsid w:val="48B76E33"/>
    <w:rsid w:val="48B927A8"/>
    <w:rsid w:val="48BE7D5B"/>
    <w:rsid w:val="48C44BB7"/>
    <w:rsid w:val="48C97AF2"/>
    <w:rsid w:val="48D14088"/>
    <w:rsid w:val="48D36EE3"/>
    <w:rsid w:val="48D830A8"/>
    <w:rsid w:val="48D95074"/>
    <w:rsid w:val="48DC57FF"/>
    <w:rsid w:val="48E179D2"/>
    <w:rsid w:val="48E66D52"/>
    <w:rsid w:val="48E8693E"/>
    <w:rsid w:val="48E96BE7"/>
    <w:rsid w:val="48EB766B"/>
    <w:rsid w:val="48ED12DE"/>
    <w:rsid w:val="48ED41C5"/>
    <w:rsid w:val="48F24B48"/>
    <w:rsid w:val="48F34D67"/>
    <w:rsid w:val="48F73C25"/>
    <w:rsid w:val="48F76ABB"/>
    <w:rsid w:val="48F96E2A"/>
    <w:rsid w:val="48FA198B"/>
    <w:rsid w:val="48FD257E"/>
    <w:rsid w:val="48FD5FE8"/>
    <w:rsid w:val="48FE15C6"/>
    <w:rsid w:val="49005909"/>
    <w:rsid w:val="49117BE4"/>
    <w:rsid w:val="49163FA0"/>
    <w:rsid w:val="49172F6C"/>
    <w:rsid w:val="492A3946"/>
    <w:rsid w:val="492C317B"/>
    <w:rsid w:val="492F5B27"/>
    <w:rsid w:val="49365D40"/>
    <w:rsid w:val="493A67DA"/>
    <w:rsid w:val="493C62FC"/>
    <w:rsid w:val="493E51FC"/>
    <w:rsid w:val="494641AD"/>
    <w:rsid w:val="494E124D"/>
    <w:rsid w:val="494F01E9"/>
    <w:rsid w:val="494F69B0"/>
    <w:rsid w:val="49520973"/>
    <w:rsid w:val="495777E9"/>
    <w:rsid w:val="49587BF6"/>
    <w:rsid w:val="495904F5"/>
    <w:rsid w:val="495A52B8"/>
    <w:rsid w:val="495E7F99"/>
    <w:rsid w:val="4966377B"/>
    <w:rsid w:val="49672CC9"/>
    <w:rsid w:val="49677562"/>
    <w:rsid w:val="496F290B"/>
    <w:rsid w:val="49754054"/>
    <w:rsid w:val="497A02CE"/>
    <w:rsid w:val="497A7F41"/>
    <w:rsid w:val="498070F6"/>
    <w:rsid w:val="498400C4"/>
    <w:rsid w:val="49863A4D"/>
    <w:rsid w:val="498F37D9"/>
    <w:rsid w:val="49945D7D"/>
    <w:rsid w:val="49967B59"/>
    <w:rsid w:val="499A444C"/>
    <w:rsid w:val="499D4218"/>
    <w:rsid w:val="49A2406E"/>
    <w:rsid w:val="49A4768E"/>
    <w:rsid w:val="49A9070E"/>
    <w:rsid w:val="49AA15DD"/>
    <w:rsid w:val="49AA166D"/>
    <w:rsid w:val="49BC2CE8"/>
    <w:rsid w:val="49BC5B33"/>
    <w:rsid w:val="49BE39D4"/>
    <w:rsid w:val="49C20442"/>
    <w:rsid w:val="49C6668C"/>
    <w:rsid w:val="49C67AAD"/>
    <w:rsid w:val="49C83D3F"/>
    <w:rsid w:val="49CA250E"/>
    <w:rsid w:val="49CC3D0F"/>
    <w:rsid w:val="49D12F8F"/>
    <w:rsid w:val="49D17285"/>
    <w:rsid w:val="49D53CF4"/>
    <w:rsid w:val="49D77A84"/>
    <w:rsid w:val="49E27806"/>
    <w:rsid w:val="49E72C0B"/>
    <w:rsid w:val="49ED0C50"/>
    <w:rsid w:val="49ED29C5"/>
    <w:rsid w:val="49F15D0A"/>
    <w:rsid w:val="49F4686C"/>
    <w:rsid w:val="49FB63E1"/>
    <w:rsid w:val="4A0458EC"/>
    <w:rsid w:val="4A0B1FA4"/>
    <w:rsid w:val="4A103696"/>
    <w:rsid w:val="4A12390F"/>
    <w:rsid w:val="4A170A40"/>
    <w:rsid w:val="4A1A56CB"/>
    <w:rsid w:val="4A1C2519"/>
    <w:rsid w:val="4A20449E"/>
    <w:rsid w:val="4A2273CA"/>
    <w:rsid w:val="4A256863"/>
    <w:rsid w:val="4A2867E5"/>
    <w:rsid w:val="4A373A78"/>
    <w:rsid w:val="4A417667"/>
    <w:rsid w:val="4A443BBC"/>
    <w:rsid w:val="4A51190D"/>
    <w:rsid w:val="4A553ECD"/>
    <w:rsid w:val="4A590630"/>
    <w:rsid w:val="4A5A0948"/>
    <w:rsid w:val="4A5A399B"/>
    <w:rsid w:val="4A5F4B99"/>
    <w:rsid w:val="4A642855"/>
    <w:rsid w:val="4A6A630D"/>
    <w:rsid w:val="4A6B0C29"/>
    <w:rsid w:val="4A6C4759"/>
    <w:rsid w:val="4A72233D"/>
    <w:rsid w:val="4A7469E1"/>
    <w:rsid w:val="4A7719EF"/>
    <w:rsid w:val="4A790F3B"/>
    <w:rsid w:val="4A7A43E7"/>
    <w:rsid w:val="4A7E5290"/>
    <w:rsid w:val="4A813C10"/>
    <w:rsid w:val="4A842D1C"/>
    <w:rsid w:val="4A8A79EE"/>
    <w:rsid w:val="4A90784C"/>
    <w:rsid w:val="4A9216DA"/>
    <w:rsid w:val="4A926545"/>
    <w:rsid w:val="4A963618"/>
    <w:rsid w:val="4A99795F"/>
    <w:rsid w:val="4A9C4791"/>
    <w:rsid w:val="4A9D4293"/>
    <w:rsid w:val="4AA109B6"/>
    <w:rsid w:val="4AA1491F"/>
    <w:rsid w:val="4AA248F3"/>
    <w:rsid w:val="4AA91C10"/>
    <w:rsid w:val="4AAC6F9C"/>
    <w:rsid w:val="4AAD1F05"/>
    <w:rsid w:val="4AB73125"/>
    <w:rsid w:val="4ABA61BB"/>
    <w:rsid w:val="4ABE1ED2"/>
    <w:rsid w:val="4AC43397"/>
    <w:rsid w:val="4AC90F34"/>
    <w:rsid w:val="4AE0467A"/>
    <w:rsid w:val="4AEB2794"/>
    <w:rsid w:val="4AEB7F8C"/>
    <w:rsid w:val="4AF07FBB"/>
    <w:rsid w:val="4AF124B5"/>
    <w:rsid w:val="4AF30305"/>
    <w:rsid w:val="4B0046C4"/>
    <w:rsid w:val="4B0050F3"/>
    <w:rsid w:val="4B014E85"/>
    <w:rsid w:val="4B042853"/>
    <w:rsid w:val="4B0769C8"/>
    <w:rsid w:val="4B0C327F"/>
    <w:rsid w:val="4B0C6213"/>
    <w:rsid w:val="4B0F4BEC"/>
    <w:rsid w:val="4B1216CD"/>
    <w:rsid w:val="4B1A6105"/>
    <w:rsid w:val="4B1C0F89"/>
    <w:rsid w:val="4B206EF1"/>
    <w:rsid w:val="4B313D02"/>
    <w:rsid w:val="4B331EC2"/>
    <w:rsid w:val="4B3623D9"/>
    <w:rsid w:val="4B410255"/>
    <w:rsid w:val="4B414541"/>
    <w:rsid w:val="4B4A003A"/>
    <w:rsid w:val="4B506416"/>
    <w:rsid w:val="4B5545FF"/>
    <w:rsid w:val="4B597750"/>
    <w:rsid w:val="4B625684"/>
    <w:rsid w:val="4B631F01"/>
    <w:rsid w:val="4B6901E2"/>
    <w:rsid w:val="4B69617A"/>
    <w:rsid w:val="4B6E3DAF"/>
    <w:rsid w:val="4B715119"/>
    <w:rsid w:val="4B7442E9"/>
    <w:rsid w:val="4B7818E8"/>
    <w:rsid w:val="4B7B1E55"/>
    <w:rsid w:val="4B7D4C3C"/>
    <w:rsid w:val="4B813305"/>
    <w:rsid w:val="4B8235CA"/>
    <w:rsid w:val="4B8B5F4A"/>
    <w:rsid w:val="4B8B68D8"/>
    <w:rsid w:val="4BAF538E"/>
    <w:rsid w:val="4BAF7BFC"/>
    <w:rsid w:val="4BB370A4"/>
    <w:rsid w:val="4BB457B6"/>
    <w:rsid w:val="4BB54B90"/>
    <w:rsid w:val="4BB56F28"/>
    <w:rsid w:val="4BBB0EB3"/>
    <w:rsid w:val="4BBF02F9"/>
    <w:rsid w:val="4BC010DC"/>
    <w:rsid w:val="4BC5351D"/>
    <w:rsid w:val="4BC72119"/>
    <w:rsid w:val="4BC813A9"/>
    <w:rsid w:val="4BCB2FB5"/>
    <w:rsid w:val="4BCE315C"/>
    <w:rsid w:val="4BD67A61"/>
    <w:rsid w:val="4BD9120A"/>
    <w:rsid w:val="4BDA0026"/>
    <w:rsid w:val="4BDB002D"/>
    <w:rsid w:val="4BE31958"/>
    <w:rsid w:val="4BE6146C"/>
    <w:rsid w:val="4BE63B06"/>
    <w:rsid w:val="4BE67C21"/>
    <w:rsid w:val="4BE84A8B"/>
    <w:rsid w:val="4BEF53F5"/>
    <w:rsid w:val="4BF026B1"/>
    <w:rsid w:val="4BF31FCE"/>
    <w:rsid w:val="4BF73DA2"/>
    <w:rsid w:val="4BF757B3"/>
    <w:rsid w:val="4BFA2176"/>
    <w:rsid w:val="4C025C12"/>
    <w:rsid w:val="4C0667E6"/>
    <w:rsid w:val="4C0770D6"/>
    <w:rsid w:val="4C083D2A"/>
    <w:rsid w:val="4C0F4709"/>
    <w:rsid w:val="4C1D7B9D"/>
    <w:rsid w:val="4C2803C8"/>
    <w:rsid w:val="4C2B2CBC"/>
    <w:rsid w:val="4C2E0E5C"/>
    <w:rsid w:val="4C344F77"/>
    <w:rsid w:val="4C3E513D"/>
    <w:rsid w:val="4C3F0E79"/>
    <w:rsid w:val="4C403C17"/>
    <w:rsid w:val="4C493C82"/>
    <w:rsid w:val="4C4D1D06"/>
    <w:rsid w:val="4C5859D9"/>
    <w:rsid w:val="4C5B08A5"/>
    <w:rsid w:val="4C5C25BC"/>
    <w:rsid w:val="4C6130D5"/>
    <w:rsid w:val="4C634892"/>
    <w:rsid w:val="4C6448CD"/>
    <w:rsid w:val="4C6B1AFA"/>
    <w:rsid w:val="4C717BCC"/>
    <w:rsid w:val="4C7571C9"/>
    <w:rsid w:val="4C767D3C"/>
    <w:rsid w:val="4C850952"/>
    <w:rsid w:val="4C8F0CD5"/>
    <w:rsid w:val="4C992B7D"/>
    <w:rsid w:val="4C9A6901"/>
    <w:rsid w:val="4C9B44D5"/>
    <w:rsid w:val="4C9B742A"/>
    <w:rsid w:val="4C9C46AB"/>
    <w:rsid w:val="4CA1301F"/>
    <w:rsid w:val="4CA32217"/>
    <w:rsid w:val="4CA90544"/>
    <w:rsid w:val="4CA97898"/>
    <w:rsid w:val="4CAE0911"/>
    <w:rsid w:val="4CAF09D5"/>
    <w:rsid w:val="4CB417ED"/>
    <w:rsid w:val="4CB4612E"/>
    <w:rsid w:val="4CB8210B"/>
    <w:rsid w:val="4CB96D75"/>
    <w:rsid w:val="4CC35610"/>
    <w:rsid w:val="4CC52797"/>
    <w:rsid w:val="4CCD038C"/>
    <w:rsid w:val="4CD05970"/>
    <w:rsid w:val="4CD25325"/>
    <w:rsid w:val="4CD8273D"/>
    <w:rsid w:val="4CDC73F4"/>
    <w:rsid w:val="4CDF3800"/>
    <w:rsid w:val="4CDF603D"/>
    <w:rsid w:val="4CE104D2"/>
    <w:rsid w:val="4CE5131E"/>
    <w:rsid w:val="4CE74C3C"/>
    <w:rsid w:val="4CEB69B0"/>
    <w:rsid w:val="4CEF72CB"/>
    <w:rsid w:val="4CF22081"/>
    <w:rsid w:val="4CF47BB2"/>
    <w:rsid w:val="4D00227C"/>
    <w:rsid w:val="4D0D7988"/>
    <w:rsid w:val="4D0E6856"/>
    <w:rsid w:val="4D0F01AC"/>
    <w:rsid w:val="4D102839"/>
    <w:rsid w:val="4D1B05DF"/>
    <w:rsid w:val="4D1B3B00"/>
    <w:rsid w:val="4D1B73E7"/>
    <w:rsid w:val="4D1C6302"/>
    <w:rsid w:val="4D1D4640"/>
    <w:rsid w:val="4D28373F"/>
    <w:rsid w:val="4D285362"/>
    <w:rsid w:val="4D2B04E0"/>
    <w:rsid w:val="4D330353"/>
    <w:rsid w:val="4D380DA8"/>
    <w:rsid w:val="4D3E66A5"/>
    <w:rsid w:val="4D407C8C"/>
    <w:rsid w:val="4D411BEF"/>
    <w:rsid w:val="4D4241C5"/>
    <w:rsid w:val="4D4571AD"/>
    <w:rsid w:val="4D503028"/>
    <w:rsid w:val="4D5301E5"/>
    <w:rsid w:val="4D5E44BA"/>
    <w:rsid w:val="4D603FA3"/>
    <w:rsid w:val="4D6150E3"/>
    <w:rsid w:val="4D6829EF"/>
    <w:rsid w:val="4D6909C8"/>
    <w:rsid w:val="4D6926D7"/>
    <w:rsid w:val="4D6C0368"/>
    <w:rsid w:val="4D6E381D"/>
    <w:rsid w:val="4D705F8F"/>
    <w:rsid w:val="4D7153A3"/>
    <w:rsid w:val="4D7B577B"/>
    <w:rsid w:val="4D7C685D"/>
    <w:rsid w:val="4D7E67FA"/>
    <w:rsid w:val="4D813B70"/>
    <w:rsid w:val="4D8E12AB"/>
    <w:rsid w:val="4D8E56A1"/>
    <w:rsid w:val="4D8F14E9"/>
    <w:rsid w:val="4D920463"/>
    <w:rsid w:val="4D922867"/>
    <w:rsid w:val="4D925358"/>
    <w:rsid w:val="4D986DA7"/>
    <w:rsid w:val="4D9E78F2"/>
    <w:rsid w:val="4DA328DC"/>
    <w:rsid w:val="4DA51F89"/>
    <w:rsid w:val="4DB00016"/>
    <w:rsid w:val="4DB070F3"/>
    <w:rsid w:val="4DB2198D"/>
    <w:rsid w:val="4DB6415B"/>
    <w:rsid w:val="4DBC41E0"/>
    <w:rsid w:val="4DC41A6F"/>
    <w:rsid w:val="4DC53269"/>
    <w:rsid w:val="4DC53C86"/>
    <w:rsid w:val="4DCB7C15"/>
    <w:rsid w:val="4DCC13C2"/>
    <w:rsid w:val="4DCE3D9A"/>
    <w:rsid w:val="4DD662DB"/>
    <w:rsid w:val="4DDD3D3D"/>
    <w:rsid w:val="4DDE671A"/>
    <w:rsid w:val="4DE31D33"/>
    <w:rsid w:val="4DE73B49"/>
    <w:rsid w:val="4DF970DB"/>
    <w:rsid w:val="4E023F86"/>
    <w:rsid w:val="4E03611F"/>
    <w:rsid w:val="4E130CCC"/>
    <w:rsid w:val="4E13650B"/>
    <w:rsid w:val="4E141768"/>
    <w:rsid w:val="4E17179A"/>
    <w:rsid w:val="4E19364C"/>
    <w:rsid w:val="4E1A4E3E"/>
    <w:rsid w:val="4E1F4BFC"/>
    <w:rsid w:val="4E2273BC"/>
    <w:rsid w:val="4E2B3B40"/>
    <w:rsid w:val="4E2D0B1C"/>
    <w:rsid w:val="4E2E6000"/>
    <w:rsid w:val="4E305888"/>
    <w:rsid w:val="4E3A0346"/>
    <w:rsid w:val="4E3F3155"/>
    <w:rsid w:val="4E4030B9"/>
    <w:rsid w:val="4E4146E1"/>
    <w:rsid w:val="4E46088A"/>
    <w:rsid w:val="4E480857"/>
    <w:rsid w:val="4E5534D6"/>
    <w:rsid w:val="4E5A4D6F"/>
    <w:rsid w:val="4E5E55DD"/>
    <w:rsid w:val="4E61038A"/>
    <w:rsid w:val="4E7260D6"/>
    <w:rsid w:val="4E7539E7"/>
    <w:rsid w:val="4E7D0FE3"/>
    <w:rsid w:val="4E85203D"/>
    <w:rsid w:val="4E8E22AC"/>
    <w:rsid w:val="4E916D01"/>
    <w:rsid w:val="4E9812F8"/>
    <w:rsid w:val="4E98410C"/>
    <w:rsid w:val="4EA3522D"/>
    <w:rsid w:val="4EA40836"/>
    <w:rsid w:val="4EA91333"/>
    <w:rsid w:val="4EAC6CE4"/>
    <w:rsid w:val="4EB75CAD"/>
    <w:rsid w:val="4EB96F0B"/>
    <w:rsid w:val="4EC77FB7"/>
    <w:rsid w:val="4ECC331F"/>
    <w:rsid w:val="4ECE4199"/>
    <w:rsid w:val="4ED92824"/>
    <w:rsid w:val="4EE27591"/>
    <w:rsid w:val="4EF211DC"/>
    <w:rsid w:val="4EF26C40"/>
    <w:rsid w:val="4EF372AC"/>
    <w:rsid w:val="4EF42840"/>
    <w:rsid w:val="4EFC7661"/>
    <w:rsid w:val="4EFD5EAC"/>
    <w:rsid w:val="4F007508"/>
    <w:rsid w:val="4F0A5E30"/>
    <w:rsid w:val="4F0D1020"/>
    <w:rsid w:val="4F102FC3"/>
    <w:rsid w:val="4F1735A4"/>
    <w:rsid w:val="4F1E0491"/>
    <w:rsid w:val="4F244239"/>
    <w:rsid w:val="4F2A2C97"/>
    <w:rsid w:val="4F2C6DB3"/>
    <w:rsid w:val="4F302E7D"/>
    <w:rsid w:val="4F305A88"/>
    <w:rsid w:val="4F350A4E"/>
    <w:rsid w:val="4F3546D9"/>
    <w:rsid w:val="4F372BF9"/>
    <w:rsid w:val="4F440933"/>
    <w:rsid w:val="4F4560BE"/>
    <w:rsid w:val="4F4E7FEE"/>
    <w:rsid w:val="4F4F4F2A"/>
    <w:rsid w:val="4F543434"/>
    <w:rsid w:val="4F6268A1"/>
    <w:rsid w:val="4F640A93"/>
    <w:rsid w:val="4F6532B0"/>
    <w:rsid w:val="4F67342D"/>
    <w:rsid w:val="4F726A47"/>
    <w:rsid w:val="4F7C7C13"/>
    <w:rsid w:val="4F827CE7"/>
    <w:rsid w:val="4F864B9F"/>
    <w:rsid w:val="4F872261"/>
    <w:rsid w:val="4F8D5BAC"/>
    <w:rsid w:val="4F8F584E"/>
    <w:rsid w:val="4F975CE3"/>
    <w:rsid w:val="4FA26611"/>
    <w:rsid w:val="4FA3777A"/>
    <w:rsid w:val="4FA679FB"/>
    <w:rsid w:val="4FA9542A"/>
    <w:rsid w:val="4FAC2F46"/>
    <w:rsid w:val="4FB44D55"/>
    <w:rsid w:val="4FB7067B"/>
    <w:rsid w:val="4FB953D5"/>
    <w:rsid w:val="4FBC0F41"/>
    <w:rsid w:val="4FBE0DDD"/>
    <w:rsid w:val="4FC0343C"/>
    <w:rsid w:val="4FC41FD3"/>
    <w:rsid w:val="4FCA6681"/>
    <w:rsid w:val="4FCD35DF"/>
    <w:rsid w:val="4FD16B93"/>
    <w:rsid w:val="4FD253EC"/>
    <w:rsid w:val="4FD414D4"/>
    <w:rsid w:val="4FD57FE1"/>
    <w:rsid w:val="4FD650CE"/>
    <w:rsid w:val="4FD8090D"/>
    <w:rsid w:val="4FDB70F9"/>
    <w:rsid w:val="4FDC5095"/>
    <w:rsid w:val="4FDF71F3"/>
    <w:rsid w:val="4FE42B23"/>
    <w:rsid w:val="4FE769F2"/>
    <w:rsid w:val="500462DF"/>
    <w:rsid w:val="50075F3B"/>
    <w:rsid w:val="50094C66"/>
    <w:rsid w:val="500D744D"/>
    <w:rsid w:val="501169A8"/>
    <w:rsid w:val="50211EF9"/>
    <w:rsid w:val="50255D5D"/>
    <w:rsid w:val="50267B3A"/>
    <w:rsid w:val="502F3644"/>
    <w:rsid w:val="5032264A"/>
    <w:rsid w:val="50327F2D"/>
    <w:rsid w:val="50357528"/>
    <w:rsid w:val="503876BB"/>
    <w:rsid w:val="50397FEA"/>
    <w:rsid w:val="5042337D"/>
    <w:rsid w:val="50481534"/>
    <w:rsid w:val="504B595F"/>
    <w:rsid w:val="504C08C1"/>
    <w:rsid w:val="504F46F8"/>
    <w:rsid w:val="505346EF"/>
    <w:rsid w:val="505454C5"/>
    <w:rsid w:val="505A3B1C"/>
    <w:rsid w:val="505A4B46"/>
    <w:rsid w:val="505D1C87"/>
    <w:rsid w:val="505D460C"/>
    <w:rsid w:val="505F4AF3"/>
    <w:rsid w:val="50631041"/>
    <w:rsid w:val="50633EAE"/>
    <w:rsid w:val="50643C80"/>
    <w:rsid w:val="5068054D"/>
    <w:rsid w:val="506B545A"/>
    <w:rsid w:val="506E3EAE"/>
    <w:rsid w:val="50700F10"/>
    <w:rsid w:val="50806D82"/>
    <w:rsid w:val="50814384"/>
    <w:rsid w:val="50826A57"/>
    <w:rsid w:val="508D237C"/>
    <w:rsid w:val="50933292"/>
    <w:rsid w:val="50996554"/>
    <w:rsid w:val="509A66B3"/>
    <w:rsid w:val="50A419E0"/>
    <w:rsid w:val="50A523AA"/>
    <w:rsid w:val="50A6065E"/>
    <w:rsid w:val="50A7433B"/>
    <w:rsid w:val="50AC3367"/>
    <w:rsid w:val="50B305F7"/>
    <w:rsid w:val="50B33F7E"/>
    <w:rsid w:val="50B36F22"/>
    <w:rsid w:val="50BB4E80"/>
    <w:rsid w:val="50C55A2A"/>
    <w:rsid w:val="50C65243"/>
    <w:rsid w:val="50E00F3A"/>
    <w:rsid w:val="50E06AD9"/>
    <w:rsid w:val="50E31E69"/>
    <w:rsid w:val="50E745F9"/>
    <w:rsid w:val="50E74DC8"/>
    <w:rsid w:val="50EC6117"/>
    <w:rsid w:val="50F56085"/>
    <w:rsid w:val="50F70E77"/>
    <w:rsid w:val="50FA7EE1"/>
    <w:rsid w:val="51090E9E"/>
    <w:rsid w:val="510C458C"/>
    <w:rsid w:val="51146D65"/>
    <w:rsid w:val="511D4390"/>
    <w:rsid w:val="51217D10"/>
    <w:rsid w:val="51223F8E"/>
    <w:rsid w:val="51337D7F"/>
    <w:rsid w:val="51361B53"/>
    <w:rsid w:val="513A334E"/>
    <w:rsid w:val="513C0C50"/>
    <w:rsid w:val="513F3138"/>
    <w:rsid w:val="51404529"/>
    <w:rsid w:val="51414DBE"/>
    <w:rsid w:val="51422C1A"/>
    <w:rsid w:val="514C4848"/>
    <w:rsid w:val="515A6385"/>
    <w:rsid w:val="515E7D8C"/>
    <w:rsid w:val="51602DE0"/>
    <w:rsid w:val="51634033"/>
    <w:rsid w:val="517555E4"/>
    <w:rsid w:val="51824444"/>
    <w:rsid w:val="51894067"/>
    <w:rsid w:val="518D0566"/>
    <w:rsid w:val="518D6FE6"/>
    <w:rsid w:val="519113D2"/>
    <w:rsid w:val="51954054"/>
    <w:rsid w:val="519D79F6"/>
    <w:rsid w:val="519F585A"/>
    <w:rsid w:val="51A20CEE"/>
    <w:rsid w:val="51A312C2"/>
    <w:rsid w:val="51A31A6E"/>
    <w:rsid w:val="51A345AD"/>
    <w:rsid w:val="51AB032D"/>
    <w:rsid w:val="51AE2DB7"/>
    <w:rsid w:val="51AF511B"/>
    <w:rsid w:val="51B84D6C"/>
    <w:rsid w:val="51BD126A"/>
    <w:rsid w:val="51BE2C7F"/>
    <w:rsid w:val="51BE55A9"/>
    <w:rsid w:val="51BE7EBB"/>
    <w:rsid w:val="51C54736"/>
    <w:rsid w:val="51C602C2"/>
    <w:rsid w:val="51C75B37"/>
    <w:rsid w:val="51CC1951"/>
    <w:rsid w:val="51CE7F54"/>
    <w:rsid w:val="51DB5752"/>
    <w:rsid w:val="51DC36CD"/>
    <w:rsid w:val="51E0179B"/>
    <w:rsid w:val="51E01C7C"/>
    <w:rsid w:val="51F66B1E"/>
    <w:rsid w:val="51F91317"/>
    <w:rsid w:val="51FD41C3"/>
    <w:rsid w:val="51FD552B"/>
    <w:rsid w:val="52005917"/>
    <w:rsid w:val="52103DFD"/>
    <w:rsid w:val="52182F0A"/>
    <w:rsid w:val="521938AC"/>
    <w:rsid w:val="521A326D"/>
    <w:rsid w:val="521C4652"/>
    <w:rsid w:val="522448FB"/>
    <w:rsid w:val="522549FD"/>
    <w:rsid w:val="52387975"/>
    <w:rsid w:val="523B1C8B"/>
    <w:rsid w:val="52433D85"/>
    <w:rsid w:val="52440E47"/>
    <w:rsid w:val="52496482"/>
    <w:rsid w:val="52501E84"/>
    <w:rsid w:val="52516743"/>
    <w:rsid w:val="525420AD"/>
    <w:rsid w:val="52544FDD"/>
    <w:rsid w:val="526577D9"/>
    <w:rsid w:val="526B7DAA"/>
    <w:rsid w:val="52703B05"/>
    <w:rsid w:val="5273311B"/>
    <w:rsid w:val="52790A05"/>
    <w:rsid w:val="527D1B11"/>
    <w:rsid w:val="528052DA"/>
    <w:rsid w:val="52853BE2"/>
    <w:rsid w:val="52872E22"/>
    <w:rsid w:val="52875048"/>
    <w:rsid w:val="52897F9B"/>
    <w:rsid w:val="528E3C4B"/>
    <w:rsid w:val="52962BD6"/>
    <w:rsid w:val="52AB1584"/>
    <w:rsid w:val="52B10ED0"/>
    <w:rsid w:val="52B2503F"/>
    <w:rsid w:val="52B4075C"/>
    <w:rsid w:val="52B7049E"/>
    <w:rsid w:val="52B726F7"/>
    <w:rsid w:val="52BF7F64"/>
    <w:rsid w:val="52C100C7"/>
    <w:rsid w:val="52CB5C79"/>
    <w:rsid w:val="52CE360D"/>
    <w:rsid w:val="52D66365"/>
    <w:rsid w:val="52E5085A"/>
    <w:rsid w:val="52E97563"/>
    <w:rsid w:val="52EA3446"/>
    <w:rsid w:val="52EB204A"/>
    <w:rsid w:val="52EB373B"/>
    <w:rsid w:val="52EC79BA"/>
    <w:rsid w:val="52F7300C"/>
    <w:rsid w:val="52FE1CCB"/>
    <w:rsid w:val="52FE47C3"/>
    <w:rsid w:val="53136638"/>
    <w:rsid w:val="53192784"/>
    <w:rsid w:val="531C3531"/>
    <w:rsid w:val="531C4524"/>
    <w:rsid w:val="531D18BE"/>
    <w:rsid w:val="53216839"/>
    <w:rsid w:val="53281E84"/>
    <w:rsid w:val="53282E73"/>
    <w:rsid w:val="532907EE"/>
    <w:rsid w:val="53297A75"/>
    <w:rsid w:val="532B5E42"/>
    <w:rsid w:val="532E16F5"/>
    <w:rsid w:val="532F1B2D"/>
    <w:rsid w:val="532F56CC"/>
    <w:rsid w:val="53310999"/>
    <w:rsid w:val="53314FDE"/>
    <w:rsid w:val="5332068B"/>
    <w:rsid w:val="5336608B"/>
    <w:rsid w:val="533873AD"/>
    <w:rsid w:val="533C43AB"/>
    <w:rsid w:val="53447313"/>
    <w:rsid w:val="534B548C"/>
    <w:rsid w:val="534C0C42"/>
    <w:rsid w:val="534D3200"/>
    <w:rsid w:val="534E5946"/>
    <w:rsid w:val="53502A31"/>
    <w:rsid w:val="53521491"/>
    <w:rsid w:val="5353606A"/>
    <w:rsid w:val="5357673D"/>
    <w:rsid w:val="53586AC6"/>
    <w:rsid w:val="535D4F7F"/>
    <w:rsid w:val="535E211A"/>
    <w:rsid w:val="536E5995"/>
    <w:rsid w:val="53703A38"/>
    <w:rsid w:val="5371562F"/>
    <w:rsid w:val="537B343D"/>
    <w:rsid w:val="537D4DE3"/>
    <w:rsid w:val="537E5AD3"/>
    <w:rsid w:val="53816C7E"/>
    <w:rsid w:val="5384430D"/>
    <w:rsid w:val="538C2BEF"/>
    <w:rsid w:val="538F3D15"/>
    <w:rsid w:val="538F4016"/>
    <w:rsid w:val="53926305"/>
    <w:rsid w:val="539741DA"/>
    <w:rsid w:val="539E005B"/>
    <w:rsid w:val="53A627F0"/>
    <w:rsid w:val="53A932F8"/>
    <w:rsid w:val="53AD4A04"/>
    <w:rsid w:val="53B044FE"/>
    <w:rsid w:val="53B705E7"/>
    <w:rsid w:val="53B87AB5"/>
    <w:rsid w:val="53BA59C8"/>
    <w:rsid w:val="53BD7A28"/>
    <w:rsid w:val="53C24036"/>
    <w:rsid w:val="53C5377B"/>
    <w:rsid w:val="53CC4552"/>
    <w:rsid w:val="53D4618F"/>
    <w:rsid w:val="53E06FCA"/>
    <w:rsid w:val="53E263B2"/>
    <w:rsid w:val="53E7187E"/>
    <w:rsid w:val="53EA14EB"/>
    <w:rsid w:val="53EA1AD3"/>
    <w:rsid w:val="53EB7795"/>
    <w:rsid w:val="53EC5DEB"/>
    <w:rsid w:val="53EE06A6"/>
    <w:rsid w:val="53EE3C74"/>
    <w:rsid w:val="53EF4435"/>
    <w:rsid w:val="53F009BA"/>
    <w:rsid w:val="53F03671"/>
    <w:rsid w:val="53F32F86"/>
    <w:rsid w:val="53FC3140"/>
    <w:rsid w:val="53FE4C48"/>
    <w:rsid w:val="53FF37FE"/>
    <w:rsid w:val="540814CC"/>
    <w:rsid w:val="54125579"/>
    <w:rsid w:val="54153C18"/>
    <w:rsid w:val="54187286"/>
    <w:rsid w:val="542212F4"/>
    <w:rsid w:val="542501B8"/>
    <w:rsid w:val="54252A6E"/>
    <w:rsid w:val="542F20ED"/>
    <w:rsid w:val="5431422B"/>
    <w:rsid w:val="5434170A"/>
    <w:rsid w:val="54350D1C"/>
    <w:rsid w:val="543745C2"/>
    <w:rsid w:val="5439467A"/>
    <w:rsid w:val="543B2B56"/>
    <w:rsid w:val="5442304E"/>
    <w:rsid w:val="544260F0"/>
    <w:rsid w:val="544A0F09"/>
    <w:rsid w:val="544C31D0"/>
    <w:rsid w:val="544E2945"/>
    <w:rsid w:val="544F742C"/>
    <w:rsid w:val="5450213E"/>
    <w:rsid w:val="54633E8C"/>
    <w:rsid w:val="54654E53"/>
    <w:rsid w:val="54695D7E"/>
    <w:rsid w:val="54737AB7"/>
    <w:rsid w:val="54785145"/>
    <w:rsid w:val="547B63BC"/>
    <w:rsid w:val="54801836"/>
    <w:rsid w:val="54851607"/>
    <w:rsid w:val="54886567"/>
    <w:rsid w:val="548B0767"/>
    <w:rsid w:val="548D3448"/>
    <w:rsid w:val="548F1A18"/>
    <w:rsid w:val="549451E2"/>
    <w:rsid w:val="5498117A"/>
    <w:rsid w:val="549A2FBB"/>
    <w:rsid w:val="549B0AD7"/>
    <w:rsid w:val="54A6162C"/>
    <w:rsid w:val="54AE61E9"/>
    <w:rsid w:val="54AF6AED"/>
    <w:rsid w:val="54B96953"/>
    <w:rsid w:val="54BE5B9E"/>
    <w:rsid w:val="54C02A98"/>
    <w:rsid w:val="54C34354"/>
    <w:rsid w:val="54C4043D"/>
    <w:rsid w:val="54C55AD4"/>
    <w:rsid w:val="54C755AC"/>
    <w:rsid w:val="54DD6845"/>
    <w:rsid w:val="54E0252B"/>
    <w:rsid w:val="54E039B2"/>
    <w:rsid w:val="54E2115C"/>
    <w:rsid w:val="54EB0976"/>
    <w:rsid w:val="54EB516A"/>
    <w:rsid w:val="54EF0542"/>
    <w:rsid w:val="54F20202"/>
    <w:rsid w:val="54F36BC3"/>
    <w:rsid w:val="54F65E8F"/>
    <w:rsid w:val="54F75298"/>
    <w:rsid w:val="54F869E5"/>
    <w:rsid w:val="54FD00D5"/>
    <w:rsid w:val="54FE3D77"/>
    <w:rsid w:val="550072E5"/>
    <w:rsid w:val="551005A1"/>
    <w:rsid w:val="55132E48"/>
    <w:rsid w:val="5513416D"/>
    <w:rsid w:val="55135658"/>
    <w:rsid w:val="5516464B"/>
    <w:rsid w:val="55166E18"/>
    <w:rsid w:val="551A4ECE"/>
    <w:rsid w:val="551C67A3"/>
    <w:rsid w:val="551E5123"/>
    <w:rsid w:val="551F1219"/>
    <w:rsid w:val="55213AA1"/>
    <w:rsid w:val="55232470"/>
    <w:rsid w:val="55257908"/>
    <w:rsid w:val="5527616D"/>
    <w:rsid w:val="552C2CF8"/>
    <w:rsid w:val="552F38E4"/>
    <w:rsid w:val="553457FA"/>
    <w:rsid w:val="55394914"/>
    <w:rsid w:val="554252F1"/>
    <w:rsid w:val="55456AAA"/>
    <w:rsid w:val="554967BD"/>
    <w:rsid w:val="554C1D4E"/>
    <w:rsid w:val="554E193B"/>
    <w:rsid w:val="554F712A"/>
    <w:rsid w:val="55505A78"/>
    <w:rsid w:val="55550522"/>
    <w:rsid w:val="55576BE2"/>
    <w:rsid w:val="5559335A"/>
    <w:rsid w:val="55597BD9"/>
    <w:rsid w:val="556160B6"/>
    <w:rsid w:val="55621C06"/>
    <w:rsid w:val="55643B00"/>
    <w:rsid w:val="55653DCF"/>
    <w:rsid w:val="556553BB"/>
    <w:rsid w:val="5565744E"/>
    <w:rsid w:val="55671B60"/>
    <w:rsid w:val="556C7F1F"/>
    <w:rsid w:val="556E3468"/>
    <w:rsid w:val="55746CBF"/>
    <w:rsid w:val="5579482F"/>
    <w:rsid w:val="558115E4"/>
    <w:rsid w:val="558141AB"/>
    <w:rsid w:val="558763C7"/>
    <w:rsid w:val="558859F2"/>
    <w:rsid w:val="55965380"/>
    <w:rsid w:val="559967ED"/>
    <w:rsid w:val="559A2E14"/>
    <w:rsid w:val="55A7089C"/>
    <w:rsid w:val="55A80192"/>
    <w:rsid w:val="55AA790C"/>
    <w:rsid w:val="55AC5445"/>
    <w:rsid w:val="55AE5918"/>
    <w:rsid w:val="55B83912"/>
    <w:rsid w:val="55BA5C4C"/>
    <w:rsid w:val="55BD760E"/>
    <w:rsid w:val="55BE1D35"/>
    <w:rsid w:val="55C268AF"/>
    <w:rsid w:val="55C5268F"/>
    <w:rsid w:val="55DB5EDB"/>
    <w:rsid w:val="55DE5920"/>
    <w:rsid w:val="55E553CF"/>
    <w:rsid w:val="55E864ED"/>
    <w:rsid w:val="55E94B2F"/>
    <w:rsid w:val="55EE3083"/>
    <w:rsid w:val="55EF4AA8"/>
    <w:rsid w:val="55F0626A"/>
    <w:rsid w:val="55F45BA5"/>
    <w:rsid w:val="55F64F7F"/>
    <w:rsid w:val="560427E7"/>
    <w:rsid w:val="56046800"/>
    <w:rsid w:val="56051032"/>
    <w:rsid w:val="56056232"/>
    <w:rsid w:val="560D4DCF"/>
    <w:rsid w:val="560F3ACE"/>
    <w:rsid w:val="56134884"/>
    <w:rsid w:val="56156116"/>
    <w:rsid w:val="56167766"/>
    <w:rsid w:val="561C17A2"/>
    <w:rsid w:val="561F492A"/>
    <w:rsid w:val="56240560"/>
    <w:rsid w:val="562C40A9"/>
    <w:rsid w:val="562D3E8B"/>
    <w:rsid w:val="5633305E"/>
    <w:rsid w:val="563413C0"/>
    <w:rsid w:val="5634320C"/>
    <w:rsid w:val="56386661"/>
    <w:rsid w:val="563A0C0E"/>
    <w:rsid w:val="563F51D4"/>
    <w:rsid w:val="564C722D"/>
    <w:rsid w:val="565072B9"/>
    <w:rsid w:val="56553926"/>
    <w:rsid w:val="565E4D37"/>
    <w:rsid w:val="56604ADB"/>
    <w:rsid w:val="56665432"/>
    <w:rsid w:val="566710C6"/>
    <w:rsid w:val="56787823"/>
    <w:rsid w:val="567B0845"/>
    <w:rsid w:val="567B13BC"/>
    <w:rsid w:val="567B1D67"/>
    <w:rsid w:val="567D42D4"/>
    <w:rsid w:val="568141BD"/>
    <w:rsid w:val="5682344C"/>
    <w:rsid w:val="56825443"/>
    <w:rsid w:val="56873A7E"/>
    <w:rsid w:val="5689096D"/>
    <w:rsid w:val="5698411C"/>
    <w:rsid w:val="569C28E8"/>
    <w:rsid w:val="569E3B7A"/>
    <w:rsid w:val="56A216D2"/>
    <w:rsid w:val="56A800CB"/>
    <w:rsid w:val="56A8259E"/>
    <w:rsid w:val="56AB00E0"/>
    <w:rsid w:val="56B032AE"/>
    <w:rsid w:val="56B16EAD"/>
    <w:rsid w:val="56B21B5F"/>
    <w:rsid w:val="56C65686"/>
    <w:rsid w:val="56CD12CC"/>
    <w:rsid w:val="56E15CDB"/>
    <w:rsid w:val="56E726D5"/>
    <w:rsid w:val="56EB2741"/>
    <w:rsid w:val="56EB3547"/>
    <w:rsid w:val="56EC4D13"/>
    <w:rsid w:val="56F23BCB"/>
    <w:rsid w:val="56FA1420"/>
    <w:rsid w:val="56FB16B9"/>
    <w:rsid w:val="56FB5636"/>
    <w:rsid w:val="56FC74F2"/>
    <w:rsid w:val="56FF2E32"/>
    <w:rsid w:val="57003C5E"/>
    <w:rsid w:val="570415C7"/>
    <w:rsid w:val="570A324E"/>
    <w:rsid w:val="570B0C47"/>
    <w:rsid w:val="57140350"/>
    <w:rsid w:val="571A5823"/>
    <w:rsid w:val="571F3C08"/>
    <w:rsid w:val="572716C7"/>
    <w:rsid w:val="57283E68"/>
    <w:rsid w:val="572A5191"/>
    <w:rsid w:val="57310240"/>
    <w:rsid w:val="573A4BD2"/>
    <w:rsid w:val="574276D1"/>
    <w:rsid w:val="574440D2"/>
    <w:rsid w:val="574446AC"/>
    <w:rsid w:val="574B459F"/>
    <w:rsid w:val="574C0C05"/>
    <w:rsid w:val="575154D2"/>
    <w:rsid w:val="57561438"/>
    <w:rsid w:val="576B3646"/>
    <w:rsid w:val="57723BD0"/>
    <w:rsid w:val="5777458D"/>
    <w:rsid w:val="577D117E"/>
    <w:rsid w:val="577E097C"/>
    <w:rsid w:val="578154F9"/>
    <w:rsid w:val="57864B5F"/>
    <w:rsid w:val="578C5920"/>
    <w:rsid w:val="5797256A"/>
    <w:rsid w:val="5797329F"/>
    <w:rsid w:val="579839F0"/>
    <w:rsid w:val="579A7937"/>
    <w:rsid w:val="57A10A21"/>
    <w:rsid w:val="57A22115"/>
    <w:rsid w:val="57A55542"/>
    <w:rsid w:val="57A5617F"/>
    <w:rsid w:val="57AD423C"/>
    <w:rsid w:val="57AF406A"/>
    <w:rsid w:val="57B35C63"/>
    <w:rsid w:val="57B46DC4"/>
    <w:rsid w:val="57B6428C"/>
    <w:rsid w:val="57B76B0C"/>
    <w:rsid w:val="57B77C79"/>
    <w:rsid w:val="57C277BF"/>
    <w:rsid w:val="57CB3FF2"/>
    <w:rsid w:val="57D230A0"/>
    <w:rsid w:val="57E02684"/>
    <w:rsid w:val="57E17604"/>
    <w:rsid w:val="57E176B6"/>
    <w:rsid w:val="57E47C88"/>
    <w:rsid w:val="57E50421"/>
    <w:rsid w:val="57E60524"/>
    <w:rsid w:val="57E7225E"/>
    <w:rsid w:val="57E9469D"/>
    <w:rsid w:val="57F062D0"/>
    <w:rsid w:val="57F66BDB"/>
    <w:rsid w:val="57F973BB"/>
    <w:rsid w:val="57FA17D0"/>
    <w:rsid w:val="57FD118D"/>
    <w:rsid w:val="58017356"/>
    <w:rsid w:val="580374DE"/>
    <w:rsid w:val="580A353B"/>
    <w:rsid w:val="580B4D5F"/>
    <w:rsid w:val="580C5A23"/>
    <w:rsid w:val="5815356A"/>
    <w:rsid w:val="58172911"/>
    <w:rsid w:val="58182518"/>
    <w:rsid w:val="581F3A06"/>
    <w:rsid w:val="58217FBD"/>
    <w:rsid w:val="58236596"/>
    <w:rsid w:val="58365010"/>
    <w:rsid w:val="58375C64"/>
    <w:rsid w:val="5838389A"/>
    <w:rsid w:val="5843414F"/>
    <w:rsid w:val="5845583F"/>
    <w:rsid w:val="585022A6"/>
    <w:rsid w:val="585A468B"/>
    <w:rsid w:val="585B7ACD"/>
    <w:rsid w:val="585D2D96"/>
    <w:rsid w:val="585D379A"/>
    <w:rsid w:val="586462A5"/>
    <w:rsid w:val="586F45C0"/>
    <w:rsid w:val="5870227F"/>
    <w:rsid w:val="5875695F"/>
    <w:rsid w:val="58773BFB"/>
    <w:rsid w:val="587F5FA3"/>
    <w:rsid w:val="588B6336"/>
    <w:rsid w:val="588D7F0F"/>
    <w:rsid w:val="58920A8A"/>
    <w:rsid w:val="5892213A"/>
    <w:rsid w:val="5896633C"/>
    <w:rsid w:val="5899042B"/>
    <w:rsid w:val="589E627C"/>
    <w:rsid w:val="589F5212"/>
    <w:rsid w:val="58A11B84"/>
    <w:rsid w:val="58A6307C"/>
    <w:rsid w:val="58AA5EFB"/>
    <w:rsid w:val="58B00A29"/>
    <w:rsid w:val="58B50112"/>
    <w:rsid w:val="58C213F7"/>
    <w:rsid w:val="58C37655"/>
    <w:rsid w:val="58C4357E"/>
    <w:rsid w:val="58C5396F"/>
    <w:rsid w:val="58C675C4"/>
    <w:rsid w:val="58D5623B"/>
    <w:rsid w:val="58D60E06"/>
    <w:rsid w:val="58D75948"/>
    <w:rsid w:val="58D90F28"/>
    <w:rsid w:val="58DB2C11"/>
    <w:rsid w:val="58E22CAA"/>
    <w:rsid w:val="58E6547C"/>
    <w:rsid w:val="58E8551D"/>
    <w:rsid w:val="58EA3D79"/>
    <w:rsid w:val="58EC7A2C"/>
    <w:rsid w:val="58F70435"/>
    <w:rsid w:val="58FB7FFF"/>
    <w:rsid w:val="58FC5BAD"/>
    <w:rsid w:val="590B2EC8"/>
    <w:rsid w:val="59170A4B"/>
    <w:rsid w:val="591B64A3"/>
    <w:rsid w:val="591B7A0A"/>
    <w:rsid w:val="591D4561"/>
    <w:rsid w:val="59224508"/>
    <w:rsid w:val="59237B2C"/>
    <w:rsid w:val="59283FE7"/>
    <w:rsid w:val="592D16B5"/>
    <w:rsid w:val="59304E5C"/>
    <w:rsid w:val="5937797C"/>
    <w:rsid w:val="593847F6"/>
    <w:rsid w:val="593F1CA3"/>
    <w:rsid w:val="59410EE4"/>
    <w:rsid w:val="59465916"/>
    <w:rsid w:val="5948228E"/>
    <w:rsid w:val="594D5629"/>
    <w:rsid w:val="59517B95"/>
    <w:rsid w:val="595476CD"/>
    <w:rsid w:val="5955253F"/>
    <w:rsid w:val="595750FC"/>
    <w:rsid w:val="59591D62"/>
    <w:rsid w:val="59671118"/>
    <w:rsid w:val="596E3ADF"/>
    <w:rsid w:val="597020C9"/>
    <w:rsid w:val="59720280"/>
    <w:rsid w:val="5973503C"/>
    <w:rsid w:val="59740BBF"/>
    <w:rsid w:val="59755EFE"/>
    <w:rsid w:val="597E0BA3"/>
    <w:rsid w:val="598254FB"/>
    <w:rsid w:val="598741BD"/>
    <w:rsid w:val="59906F87"/>
    <w:rsid w:val="5998439E"/>
    <w:rsid w:val="599860DC"/>
    <w:rsid w:val="599A4C6F"/>
    <w:rsid w:val="59AE32CF"/>
    <w:rsid w:val="59AF5C73"/>
    <w:rsid w:val="59B1584C"/>
    <w:rsid w:val="59B61FBB"/>
    <w:rsid w:val="59B662D8"/>
    <w:rsid w:val="59B828BC"/>
    <w:rsid w:val="59BA7B57"/>
    <w:rsid w:val="59BC1313"/>
    <w:rsid w:val="59C21066"/>
    <w:rsid w:val="59C52E84"/>
    <w:rsid w:val="59CC791D"/>
    <w:rsid w:val="59CE7772"/>
    <w:rsid w:val="59D17742"/>
    <w:rsid w:val="59DA3078"/>
    <w:rsid w:val="59DD7709"/>
    <w:rsid w:val="59E04FAE"/>
    <w:rsid w:val="59F1656B"/>
    <w:rsid w:val="59F520D9"/>
    <w:rsid w:val="59F55BAA"/>
    <w:rsid w:val="59F8484D"/>
    <w:rsid w:val="59F901A1"/>
    <w:rsid w:val="59F963F9"/>
    <w:rsid w:val="59FF03CE"/>
    <w:rsid w:val="5A0154E0"/>
    <w:rsid w:val="5A065530"/>
    <w:rsid w:val="5A077A0A"/>
    <w:rsid w:val="5A0C0983"/>
    <w:rsid w:val="5A0C5B80"/>
    <w:rsid w:val="5A1208A9"/>
    <w:rsid w:val="5A172003"/>
    <w:rsid w:val="5A1A4C0A"/>
    <w:rsid w:val="5A1D73E3"/>
    <w:rsid w:val="5A223DE5"/>
    <w:rsid w:val="5A292708"/>
    <w:rsid w:val="5A293706"/>
    <w:rsid w:val="5A2A3DB9"/>
    <w:rsid w:val="5A3F57B9"/>
    <w:rsid w:val="5A441FD8"/>
    <w:rsid w:val="5A444742"/>
    <w:rsid w:val="5A45570F"/>
    <w:rsid w:val="5A482EF9"/>
    <w:rsid w:val="5A4A5F40"/>
    <w:rsid w:val="5A4B639E"/>
    <w:rsid w:val="5A4C11EB"/>
    <w:rsid w:val="5A4C49B5"/>
    <w:rsid w:val="5A4C4F85"/>
    <w:rsid w:val="5A4E6C16"/>
    <w:rsid w:val="5A565D1F"/>
    <w:rsid w:val="5A5765CC"/>
    <w:rsid w:val="5A593256"/>
    <w:rsid w:val="5A5A159C"/>
    <w:rsid w:val="5A5C0EA6"/>
    <w:rsid w:val="5A645E66"/>
    <w:rsid w:val="5A651398"/>
    <w:rsid w:val="5A6762AE"/>
    <w:rsid w:val="5A676B3C"/>
    <w:rsid w:val="5A686CAA"/>
    <w:rsid w:val="5A6E73FE"/>
    <w:rsid w:val="5A73678C"/>
    <w:rsid w:val="5A757F5F"/>
    <w:rsid w:val="5A775028"/>
    <w:rsid w:val="5A782554"/>
    <w:rsid w:val="5A7911D1"/>
    <w:rsid w:val="5A7A7DFE"/>
    <w:rsid w:val="5A80499D"/>
    <w:rsid w:val="5A8D7EC5"/>
    <w:rsid w:val="5A900705"/>
    <w:rsid w:val="5A934050"/>
    <w:rsid w:val="5A9D717A"/>
    <w:rsid w:val="5AA053CF"/>
    <w:rsid w:val="5AA5244F"/>
    <w:rsid w:val="5AA57450"/>
    <w:rsid w:val="5AA606AB"/>
    <w:rsid w:val="5AA86410"/>
    <w:rsid w:val="5AAA675B"/>
    <w:rsid w:val="5AAC7BCE"/>
    <w:rsid w:val="5AAF58D8"/>
    <w:rsid w:val="5AB20264"/>
    <w:rsid w:val="5AB36C5A"/>
    <w:rsid w:val="5ABE7799"/>
    <w:rsid w:val="5AC10486"/>
    <w:rsid w:val="5AC645F8"/>
    <w:rsid w:val="5AC97A86"/>
    <w:rsid w:val="5ADF7B19"/>
    <w:rsid w:val="5AEA6697"/>
    <w:rsid w:val="5AED4438"/>
    <w:rsid w:val="5AED608E"/>
    <w:rsid w:val="5AFB371F"/>
    <w:rsid w:val="5AFE280E"/>
    <w:rsid w:val="5AFF7CF5"/>
    <w:rsid w:val="5B005485"/>
    <w:rsid w:val="5B105F4A"/>
    <w:rsid w:val="5B147141"/>
    <w:rsid w:val="5B1C0516"/>
    <w:rsid w:val="5B221D26"/>
    <w:rsid w:val="5B222167"/>
    <w:rsid w:val="5B230015"/>
    <w:rsid w:val="5B265484"/>
    <w:rsid w:val="5B277CB3"/>
    <w:rsid w:val="5B283F8A"/>
    <w:rsid w:val="5B2D142F"/>
    <w:rsid w:val="5B2F4308"/>
    <w:rsid w:val="5B3416E4"/>
    <w:rsid w:val="5B356C60"/>
    <w:rsid w:val="5B384833"/>
    <w:rsid w:val="5B394459"/>
    <w:rsid w:val="5B3A6CB3"/>
    <w:rsid w:val="5B4545D2"/>
    <w:rsid w:val="5B4A5BEF"/>
    <w:rsid w:val="5B4A6DDE"/>
    <w:rsid w:val="5B4B1FEA"/>
    <w:rsid w:val="5B562F15"/>
    <w:rsid w:val="5B563013"/>
    <w:rsid w:val="5B5C5680"/>
    <w:rsid w:val="5B5E102C"/>
    <w:rsid w:val="5B612E52"/>
    <w:rsid w:val="5B62109A"/>
    <w:rsid w:val="5B6A0991"/>
    <w:rsid w:val="5B754506"/>
    <w:rsid w:val="5B780862"/>
    <w:rsid w:val="5B7D094C"/>
    <w:rsid w:val="5B7F23B3"/>
    <w:rsid w:val="5B876C4D"/>
    <w:rsid w:val="5B8D07A5"/>
    <w:rsid w:val="5B8F4C27"/>
    <w:rsid w:val="5B910762"/>
    <w:rsid w:val="5B980E85"/>
    <w:rsid w:val="5BA023DF"/>
    <w:rsid w:val="5BA91AAB"/>
    <w:rsid w:val="5BB4534B"/>
    <w:rsid w:val="5BB518AF"/>
    <w:rsid w:val="5BB82EB1"/>
    <w:rsid w:val="5BBE2822"/>
    <w:rsid w:val="5BC000CD"/>
    <w:rsid w:val="5BC36A28"/>
    <w:rsid w:val="5BCB2CD0"/>
    <w:rsid w:val="5BD21759"/>
    <w:rsid w:val="5BDE34F3"/>
    <w:rsid w:val="5BE45863"/>
    <w:rsid w:val="5BE47604"/>
    <w:rsid w:val="5BE60D66"/>
    <w:rsid w:val="5BE91D97"/>
    <w:rsid w:val="5BF677D6"/>
    <w:rsid w:val="5BF96077"/>
    <w:rsid w:val="5BFC37CB"/>
    <w:rsid w:val="5C023ED1"/>
    <w:rsid w:val="5C0A0844"/>
    <w:rsid w:val="5C104D78"/>
    <w:rsid w:val="5C16472C"/>
    <w:rsid w:val="5C167467"/>
    <w:rsid w:val="5C176483"/>
    <w:rsid w:val="5C1B341E"/>
    <w:rsid w:val="5C1F7152"/>
    <w:rsid w:val="5C2C24F4"/>
    <w:rsid w:val="5C327938"/>
    <w:rsid w:val="5C336087"/>
    <w:rsid w:val="5C390EC3"/>
    <w:rsid w:val="5C39670D"/>
    <w:rsid w:val="5C3A2011"/>
    <w:rsid w:val="5C3F1761"/>
    <w:rsid w:val="5C43228A"/>
    <w:rsid w:val="5C450F8F"/>
    <w:rsid w:val="5C4E7760"/>
    <w:rsid w:val="5C525EE9"/>
    <w:rsid w:val="5C551AE4"/>
    <w:rsid w:val="5C5A489C"/>
    <w:rsid w:val="5C606CBA"/>
    <w:rsid w:val="5C6A013A"/>
    <w:rsid w:val="5C6A4F50"/>
    <w:rsid w:val="5C6E1A81"/>
    <w:rsid w:val="5C827C79"/>
    <w:rsid w:val="5C862113"/>
    <w:rsid w:val="5C8C072A"/>
    <w:rsid w:val="5C9354F5"/>
    <w:rsid w:val="5C945193"/>
    <w:rsid w:val="5C963254"/>
    <w:rsid w:val="5C997D68"/>
    <w:rsid w:val="5C9B3C9B"/>
    <w:rsid w:val="5CA51BA1"/>
    <w:rsid w:val="5CA76175"/>
    <w:rsid w:val="5CA848F7"/>
    <w:rsid w:val="5CA90D2F"/>
    <w:rsid w:val="5CB41540"/>
    <w:rsid w:val="5CB561D0"/>
    <w:rsid w:val="5CBC77DA"/>
    <w:rsid w:val="5CBE0FFF"/>
    <w:rsid w:val="5CBF1F57"/>
    <w:rsid w:val="5CBF749B"/>
    <w:rsid w:val="5CC50E3B"/>
    <w:rsid w:val="5CCC1B53"/>
    <w:rsid w:val="5CCF49A7"/>
    <w:rsid w:val="5CD06DD7"/>
    <w:rsid w:val="5CD627D2"/>
    <w:rsid w:val="5CD87DE0"/>
    <w:rsid w:val="5CDC47A4"/>
    <w:rsid w:val="5CDE3409"/>
    <w:rsid w:val="5CEA0417"/>
    <w:rsid w:val="5CEA2311"/>
    <w:rsid w:val="5CED0D62"/>
    <w:rsid w:val="5CF3378F"/>
    <w:rsid w:val="5CF6419E"/>
    <w:rsid w:val="5CF8432D"/>
    <w:rsid w:val="5CF905FD"/>
    <w:rsid w:val="5D0209C0"/>
    <w:rsid w:val="5D025F84"/>
    <w:rsid w:val="5D051E06"/>
    <w:rsid w:val="5D076DED"/>
    <w:rsid w:val="5D16067E"/>
    <w:rsid w:val="5D1670EB"/>
    <w:rsid w:val="5D1A2A21"/>
    <w:rsid w:val="5D1A30BD"/>
    <w:rsid w:val="5D2111AE"/>
    <w:rsid w:val="5D222ACA"/>
    <w:rsid w:val="5D2607E9"/>
    <w:rsid w:val="5D294F6E"/>
    <w:rsid w:val="5D2B0F38"/>
    <w:rsid w:val="5D2C36D8"/>
    <w:rsid w:val="5D3649E2"/>
    <w:rsid w:val="5D3A1B8C"/>
    <w:rsid w:val="5D3B5347"/>
    <w:rsid w:val="5D3C4A06"/>
    <w:rsid w:val="5D454D43"/>
    <w:rsid w:val="5D49537D"/>
    <w:rsid w:val="5D4E433B"/>
    <w:rsid w:val="5D505D7B"/>
    <w:rsid w:val="5D580D0D"/>
    <w:rsid w:val="5D610475"/>
    <w:rsid w:val="5D6267E7"/>
    <w:rsid w:val="5D65634E"/>
    <w:rsid w:val="5D677011"/>
    <w:rsid w:val="5D6A3969"/>
    <w:rsid w:val="5D752627"/>
    <w:rsid w:val="5D7C6508"/>
    <w:rsid w:val="5D8E1962"/>
    <w:rsid w:val="5D8F30B0"/>
    <w:rsid w:val="5D916174"/>
    <w:rsid w:val="5D93336F"/>
    <w:rsid w:val="5D940D4D"/>
    <w:rsid w:val="5D975CCC"/>
    <w:rsid w:val="5D995592"/>
    <w:rsid w:val="5DA25374"/>
    <w:rsid w:val="5DA62D3B"/>
    <w:rsid w:val="5DAE4632"/>
    <w:rsid w:val="5DAE6BC4"/>
    <w:rsid w:val="5DB51193"/>
    <w:rsid w:val="5DB76BE9"/>
    <w:rsid w:val="5DB8450B"/>
    <w:rsid w:val="5DBF7317"/>
    <w:rsid w:val="5DBF797B"/>
    <w:rsid w:val="5DC457B1"/>
    <w:rsid w:val="5DC73CD0"/>
    <w:rsid w:val="5DD13591"/>
    <w:rsid w:val="5DD2291A"/>
    <w:rsid w:val="5DD44B89"/>
    <w:rsid w:val="5DD922F0"/>
    <w:rsid w:val="5DE574B7"/>
    <w:rsid w:val="5DE63030"/>
    <w:rsid w:val="5DE9753D"/>
    <w:rsid w:val="5DEB64B2"/>
    <w:rsid w:val="5DED78B0"/>
    <w:rsid w:val="5DF51491"/>
    <w:rsid w:val="5DF82C0E"/>
    <w:rsid w:val="5DFC6A5F"/>
    <w:rsid w:val="5DFD1A82"/>
    <w:rsid w:val="5DFF5755"/>
    <w:rsid w:val="5E016E29"/>
    <w:rsid w:val="5E087E2F"/>
    <w:rsid w:val="5E0F602C"/>
    <w:rsid w:val="5E1F2036"/>
    <w:rsid w:val="5E232C5C"/>
    <w:rsid w:val="5E28022D"/>
    <w:rsid w:val="5E2A0550"/>
    <w:rsid w:val="5E2A5EEC"/>
    <w:rsid w:val="5E2C66CD"/>
    <w:rsid w:val="5E2E0775"/>
    <w:rsid w:val="5E3030AC"/>
    <w:rsid w:val="5E325137"/>
    <w:rsid w:val="5E3E67F1"/>
    <w:rsid w:val="5E4128CF"/>
    <w:rsid w:val="5E4629F6"/>
    <w:rsid w:val="5E477266"/>
    <w:rsid w:val="5E4A375E"/>
    <w:rsid w:val="5E55095C"/>
    <w:rsid w:val="5E597902"/>
    <w:rsid w:val="5E5E7551"/>
    <w:rsid w:val="5E735735"/>
    <w:rsid w:val="5E76000C"/>
    <w:rsid w:val="5E760BAB"/>
    <w:rsid w:val="5E7956BC"/>
    <w:rsid w:val="5E7C770C"/>
    <w:rsid w:val="5E897155"/>
    <w:rsid w:val="5E8C0604"/>
    <w:rsid w:val="5E8E13A4"/>
    <w:rsid w:val="5E903A6B"/>
    <w:rsid w:val="5E916112"/>
    <w:rsid w:val="5E96110A"/>
    <w:rsid w:val="5EA30643"/>
    <w:rsid w:val="5EA6191A"/>
    <w:rsid w:val="5EB26E46"/>
    <w:rsid w:val="5EB52C6E"/>
    <w:rsid w:val="5EB57C37"/>
    <w:rsid w:val="5EC50E6F"/>
    <w:rsid w:val="5ECE42B5"/>
    <w:rsid w:val="5EDE5523"/>
    <w:rsid w:val="5EDF400F"/>
    <w:rsid w:val="5EDF5DCB"/>
    <w:rsid w:val="5EE637F4"/>
    <w:rsid w:val="5EEA2AED"/>
    <w:rsid w:val="5EF940F2"/>
    <w:rsid w:val="5EFA76D9"/>
    <w:rsid w:val="5EFE51DF"/>
    <w:rsid w:val="5F050710"/>
    <w:rsid w:val="5F0667ED"/>
    <w:rsid w:val="5F067E00"/>
    <w:rsid w:val="5F0B1C5F"/>
    <w:rsid w:val="5F0D6C23"/>
    <w:rsid w:val="5F0F44BF"/>
    <w:rsid w:val="5F171976"/>
    <w:rsid w:val="5F1933CF"/>
    <w:rsid w:val="5F215AAC"/>
    <w:rsid w:val="5F2E20C7"/>
    <w:rsid w:val="5F32197A"/>
    <w:rsid w:val="5F396AD1"/>
    <w:rsid w:val="5F3A2E99"/>
    <w:rsid w:val="5F3B7A89"/>
    <w:rsid w:val="5F3C2B4B"/>
    <w:rsid w:val="5F3E247C"/>
    <w:rsid w:val="5F405C5A"/>
    <w:rsid w:val="5F415909"/>
    <w:rsid w:val="5F504A0A"/>
    <w:rsid w:val="5F5E0E8F"/>
    <w:rsid w:val="5F5F4778"/>
    <w:rsid w:val="5F640D9E"/>
    <w:rsid w:val="5F6671A4"/>
    <w:rsid w:val="5F6B041F"/>
    <w:rsid w:val="5F6E4BEE"/>
    <w:rsid w:val="5F723E25"/>
    <w:rsid w:val="5F7303FD"/>
    <w:rsid w:val="5F76238E"/>
    <w:rsid w:val="5F7F2393"/>
    <w:rsid w:val="5F8348D6"/>
    <w:rsid w:val="5F882528"/>
    <w:rsid w:val="5F885024"/>
    <w:rsid w:val="5F8A57BD"/>
    <w:rsid w:val="5F8D06E2"/>
    <w:rsid w:val="5F8D1CD4"/>
    <w:rsid w:val="5F923F1A"/>
    <w:rsid w:val="5F937032"/>
    <w:rsid w:val="5F966DA0"/>
    <w:rsid w:val="5F991E23"/>
    <w:rsid w:val="5F9E1C27"/>
    <w:rsid w:val="5F9E26C2"/>
    <w:rsid w:val="5F9F7EAC"/>
    <w:rsid w:val="5FA64ACB"/>
    <w:rsid w:val="5FA752F1"/>
    <w:rsid w:val="5FB00443"/>
    <w:rsid w:val="5FB10E5A"/>
    <w:rsid w:val="5FB3037B"/>
    <w:rsid w:val="5FB4261A"/>
    <w:rsid w:val="5FB731FB"/>
    <w:rsid w:val="5FB913AC"/>
    <w:rsid w:val="5FC1530C"/>
    <w:rsid w:val="5FC318BB"/>
    <w:rsid w:val="5FC459EA"/>
    <w:rsid w:val="5FC76CAC"/>
    <w:rsid w:val="5FCE03D5"/>
    <w:rsid w:val="5FCF7AD7"/>
    <w:rsid w:val="5FD4365A"/>
    <w:rsid w:val="5FDB08AF"/>
    <w:rsid w:val="5FDF3697"/>
    <w:rsid w:val="5FE04336"/>
    <w:rsid w:val="5FE94A9E"/>
    <w:rsid w:val="5FF24EFF"/>
    <w:rsid w:val="5FF63323"/>
    <w:rsid w:val="5FFC73F2"/>
    <w:rsid w:val="5FFE3605"/>
    <w:rsid w:val="601563DB"/>
    <w:rsid w:val="601628BF"/>
    <w:rsid w:val="601B0BF0"/>
    <w:rsid w:val="601D492B"/>
    <w:rsid w:val="602418E5"/>
    <w:rsid w:val="602B227A"/>
    <w:rsid w:val="602B4B14"/>
    <w:rsid w:val="602C5887"/>
    <w:rsid w:val="603D2656"/>
    <w:rsid w:val="603D3993"/>
    <w:rsid w:val="603D4A08"/>
    <w:rsid w:val="603D621D"/>
    <w:rsid w:val="603E550C"/>
    <w:rsid w:val="60430F9A"/>
    <w:rsid w:val="60462AE2"/>
    <w:rsid w:val="60467A0A"/>
    <w:rsid w:val="604761D6"/>
    <w:rsid w:val="60480882"/>
    <w:rsid w:val="605158AA"/>
    <w:rsid w:val="60517FD9"/>
    <w:rsid w:val="6055048F"/>
    <w:rsid w:val="60573B6D"/>
    <w:rsid w:val="60594F04"/>
    <w:rsid w:val="6063108E"/>
    <w:rsid w:val="606A514B"/>
    <w:rsid w:val="6070239C"/>
    <w:rsid w:val="60793EB8"/>
    <w:rsid w:val="607A4F61"/>
    <w:rsid w:val="607C66FA"/>
    <w:rsid w:val="607D3C7B"/>
    <w:rsid w:val="60831CA2"/>
    <w:rsid w:val="60855468"/>
    <w:rsid w:val="60870EB8"/>
    <w:rsid w:val="608A3C58"/>
    <w:rsid w:val="60902F1F"/>
    <w:rsid w:val="60927A9A"/>
    <w:rsid w:val="60987FB0"/>
    <w:rsid w:val="60994E96"/>
    <w:rsid w:val="609E0E50"/>
    <w:rsid w:val="609F5B42"/>
    <w:rsid w:val="60A0626E"/>
    <w:rsid w:val="60A319E6"/>
    <w:rsid w:val="60A769AB"/>
    <w:rsid w:val="60A81392"/>
    <w:rsid w:val="60AC713B"/>
    <w:rsid w:val="60B413BA"/>
    <w:rsid w:val="60B45AD5"/>
    <w:rsid w:val="60B571D6"/>
    <w:rsid w:val="60B645AD"/>
    <w:rsid w:val="60B744A5"/>
    <w:rsid w:val="60B76707"/>
    <w:rsid w:val="60BE53B9"/>
    <w:rsid w:val="60C22C58"/>
    <w:rsid w:val="60CA17C8"/>
    <w:rsid w:val="60CC2D73"/>
    <w:rsid w:val="60CF7F41"/>
    <w:rsid w:val="60D61A63"/>
    <w:rsid w:val="60D82CFD"/>
    <w:rsid w:val="60D84EEC"/>
    <w:rsid w:val="60DA151B"/>
    <w:rsid w:val="60DA633C"/>
    <w:rsid w:val="60DE6426"/>
    <w:rsid w:val="60E412E3"/>
    <w:rsid w:val="60EE1BF8"/>
    <w:rsid w:val="60F607FC"/>
    <w:rsid w:val="60F75450"/>
    <w:rsid w:val="60F762F6"/>
    <w:rsid w:val="60F917AE"/>
    <w:rsid w:val="60FA051F"/>
    <w:rsid w:val="60FB701C"/>
    <w:rsid w:val="60FE4956"/>
    <w:rsid w:val="60FF2AA2"/>
    <w:rsid w:val="61030CFC"/>
    <w:rsid w:val="61037267"/>
    <w:rsid w:val="610633AF"/>
    <w:rsid w:val="61175E10"/>
    <w:rsid w:val="61176DF4"/>
    <w:rsid w:val="611A4916"/>
    <w:rsid w:val="611E19EB"/>
    <w:rsid w:val="6124070A"/>
    <w:rsid w:val="612D79B4"/>
    <w:rsid w:val="6132113E"/>
    <w:rsid w:val="61395924"/>
    <w:rsid w:val="613A4469"/>
    <w:rsid w:val="613B7571"/>
    <w:rsid w:val="613D30FA"/>
    <w:rsid w:val="613D3BCE"/>
    <w:rsid w:val="61427C39"/>
    <w:rsid w:val="6148346B"/>
    <w:rsid w:val="61494B66"/>
    <w:rsid w:val="614D7134"/>
    <w:rsid w:val="614E79AB"/>
    <w:rsid w:val="61504657"/>
    <w:rsid w:val="61550AED"/>
    <w:rsid w:val="615C336D"/>
    <w:rsid w:val="616731B1"/>
    <w:rsid w:val="616F6CF7"/>
    <w:rsid w:val="61704D68"/>
    <w:rsid w:val="6172119D"/>
    <w:rsid w:val="617509F2"/>
    <w:rsid w:val="617B51A0"/>
    <w:rsid w:val="617C59AF"/>
    <w:rsid w:val="617D626E"/>
    <w:rsid w:val="617F41BE"/>
    <w:rsid w:val="618324FC"/>
    <w:rsid w:val="618747A5"/>
    <w:rsid w:val="61890CAE"/>
    <w:rsid w:val="619D4867"/>
    <w:rsid w:val="61A24839"/>
    <w:rsid w:val="61A42634"/>
    <w:rsid w:val="61AC5D93"/>
    <w:rsid w:val="61AD2D0C"/>
    <w:rsid w:val="61AD70BB"/>
    <w:rsid w:val="61B43EDB"/>
    <w:rsid w:val="61B45FED"/>
    <w:rsid w:val="61BD15F3"/>
    <w:rsid w:val="61BD38E2"/>
    <w:rsid w:val="61C20AB5"/>
    <w:rsid w:val="61CE211C"/>
    <w:rsid w:val="61D126C2"/>
    <w:rsid w:val="61D16B4D"/>
    <w:rsid w:val="61F93CFC"/>
    <w:rsid w:val="61FC7856"/>
    <w:rsid w:val="61FF0268"/>
    <w:rsid w:val="61FF61DD"/>
    <w:rsid w:val="62063E82"/>
    <w:rsid w:val="620C6319"/>
    <w:rsid w:val="62164433"/>
    <w:rsid w:val="62193EC5"/>
    <w:rsid w:val="621A5530"/>
    <w:rsid w:val="621D1E02"/>
    <w:rsid w:val="62221080"/>
    <w:rsid w:val="622315BB"/>
    <w:rsid w:val="622350F4"/>
    <w:rsid w:val="622C18AB"/>
    <w:rsid w:val="62346DB0"/>
    <w:rsid w:val="62363FA2"/>
    <w:rsid w:val="623E0DF9"/>
    <w:rsid w:val="624101E8"/>
    <w:rsid w:val="62494BC2"/>
    <w:rsid w:val="62520943"/>
    <w:rsid w:val="62576A72"/>
    <w:rsid w:val="625B32A5"/>
    <w:rsid w:val="625B69E4"/>
    <w:rsid w:val="625E1D6C"/>
    <w:rsid w:val="625F2433"/>
    <w:rsid w:val="62600DBE"/>
    <w:rsid w:val="62604A0B"/>
    <w:rsid w:val="6265645A"/>
    <w:rsid w:val="62773DA7"/>
    <w:rsid w:val="627F035D"/>
    <w:rsid w:val="62847196"/>
    <w:rsid w:val="62853EE6"/>
    <w:rsid w:val="628F0C55"/>
    <w:rsid w:val="62946402"/>
    <w:rsid w:val="62A470B7"/>
    <w:rsid w:val="62A65645"/>
    <w:rsid w:val="62AA1A4D"/>
    <w:rsid w:val="62AA6358"/>
    <w:rsid w:val="62B34231"/>
    <w:rsid w:val="62B37291"/>
    <w:rsid w:val="62B3777B"/>
    <w:rsid w:val="62B50BFD"/>
    <w:rsid w:val="62B82B10"/>
    <w:rsid w:val="62B92050"/>
    <w:rsid w:val="62C104C8"/>
    <w:rsid w:val="62C3787E"/>
    <w:rsid w:val="62D66475"/>
    <w:rsid w:val="62E456FE"/>
    <w:rsid w:val="62E469A1"/>
    <w:rsid w:val="62E7071D"/>
    <w:rsid w:val="62E926C8"/>
    <w:rsid w:val="62F24419"/>
    <w:rsid w:val="62F5389D"/>
    <w:rsid w:val="62F90926"/>
    <w:rsid w:val="62FB0A0E"/>
    <w:rsid w:val="63051A7E"/>
    <w:rsid w:val="63054F91"/>
    <w:rsid w:val="630F563E"/>
    <w:rsid w:val="631E3FDC"/>
    <w:rsid w:val="631F3AD9"/>
    <w:rsid w:val="63340E92"/>
    <w:rsid w:val="63386D6F"/>
    <w:rsid w:val="633F448C"/>
    <w:rsid w:val="634457A9"/>
    <w:rsid w:val="634541DE"/>
    <w:rsid w:val="6348312E"/>
    <w:rsid w:val="63484B7C"/>
    <w:rsid w:val="6349031C"/>
    <w:rsid w:val="634B55A8"/>
    <w:rsid w:val="635E2CF8"/>
    <w:rsid w:val="636F0E78"/>
    <w:rsid w:val="63703388"/>
    <w:rsid w:val="63704534"/>
    <w:rsid w:val="63720491"/>
    <w:rsid w:val="63721796"/>
    <w:rsid w:val="6376772C"/>
    <w:rsid w:val="637C61CB"/>
    <w:rsid w:val="637D3149"/>
    <w:rsid w:val="638606D7"/>
    <w:rsid w:val="6388503C"/>
    <w:rsid w:val="639100B8"/>
    <w:rsid w:val="63984728"/>
    <w:rsid w:val="639F18D9"/>
    <w:rsid w:val="63A01B89"/>
    <w:rsid w:val="63A41A60"/>
    <w:rsid w:val="63A66F69"/>
    <w:rsid w:val="63AB42F2"/>
    <w:rsid w:val="63AB75B6"/>
    <w:rsid w:val="63AE7513"/>
    <w:rsid w:val="63B1147C"/>
    <w:rsid w:val="63B14F66"/>
    <w:rsid w:val="63B877B2"/>
    <w:rsid w:val="63B922C0"/>
    <w:rsid w:val="63C4650E"/>
    <w:rsid w:val="63C6792D"/>
    <w:rsid w:val="63C87C57"/>
    <w:rsid w:val="63CC69BE"/>
    <w:rsid w:val="63D31EFB"/>
    <w:rsid w:val="63DA0F03"/>
    <w:rsid w:val="63DA6625"/>
    <w:rsid w:val="63DC378F"/>
    <w:rsid w:val="63DF6FA5"/>
    <w:rsid w:val="63E41A08"/>
    <w:rsid w:val="63EA0E32"/>
    <w:rsid w:val="63F03A70"/>
    <w:rsid w:val="63F17935"/>
    <w:rsid w:val="63F31769"/>
    <w:rsid w:val="63F62E20"/>
    <w:rsid w:val="63FD4BEA"/>
    <w:rsid w:val="64002083"/>
    <w:rsid w:val="64032810"/>
    <w:rsid w:val="64064846"/>
    <w:rsid w:val="6409338F"/>
    <w:rsid w:val="640A48AB"/>
    <w:rsid w:val="640F6C9A"/>
    <w:rsid w:val="64196A15"/>
    <w:rsid w:val="641F6BED"/>
    <w:rsid w:val="64280053"/>
    <w:rsid w:val="64285B18"/>
    <w:rsid w:val="64287525"/>
    <w:rsid w:val="64305565"/>
    <w:rsid w:val="64322CB2"/>
    <w:rsid w:val="64335A49"/>
    <w:rsid w:val="644126F3"/>
    <w:rsid w:val="64415299"/>
    <w:rsid w:val="64463BBD"/>
    <w:rsid w:val="64535164"/>
    <w:rsid w:val="64546FC7"/>
    <w:rsid w:val="645E0241"/>
    <w:rsid w:val="645F5FF3"/>
    <w:rsid w:val="6466751B"/>
    <w:rsid w:val="647920DD"/>
    <w:rsid w:val="647C717B"/>
    <w:rsid w:val="647F1D3F"/>
    <w:rsid w:val="648501AC"/>
    <w:rsid w:val="648544D6"/>
    <w:rsid w:val="648618AD"/>
    <w:rsid w:val="64881ADF"/>
    <w:rsid w:val="64907E2C"/>
    <w:rsid w:val="64972C28"/>
    <w:rsid w:val="64994034"/>
    <w:rsid w:val="649F072D"/>
    <w:rsid w:val="64A00778"/>
    <w:rsid w:val="64A03E11"/>
    <w:rsid w:val="64A100E7"/>
    <w:rsid w:val="64A103EE"/>
    <w:rsid w:val="64A30265"/>
    <w:rsid w:val="64AD58B9"/>
    <w:rsid w:val="64AE50A6"/>
    <w:rsid w:val="64B928D3"/>
    <w:rsid w:val="64BB0593"/>
    <w:rsid w:val="64BC16B0"/>
    <w:rsid w:val="64C06EAD"/>
    <w:rsid w:val="64C11D29"/>
    <w:rsid w:val="64C3366D"/>
    <w:rsid w:val="64C8367E"/>
    <w:rsid w:val="64CD2D75"/>
    <w:rsid w:val="64CD3877"/>
    <w:rsid w:val="64CF36FF"/>
    <w:rsid w:val="64D00401"/>
    <w:rsid w:val="64D17A40"/>
    <w:rsid w:val="64D30C86"/>
    <w:rsid w:val="64D41D08"/>
    <w:rsid w:val="64E1415B"/>
    <w:rsid w:val="64E63453"/>
    <w:rsid w:val="64ED6D22"/>
    <w:rsid w:val="64F270DB"/>
    <w:rsid w:val="64F61364"/>
    <w:rsid w:val="64FB7E72"/>
    <w:rsid w:val="64FC0790"/>
    <w:rsid w:val="64FC46C6"/>
    <w:rsid w:val="6519179C"/>
    <w:rsid w:val="651F5429"/>
    <w:rsid w:val="652120F2"/>
    <w:rsid w:val="652239B3"/>
    <w:rsid w:val="652E0C4A"/>
    <w:rsid w:val="652E6529"/>
    <w:rsid w:val="6535191F"/>
    <w:rsid w:val="65351E12"/>
    <w:rsid w:val="65375200"/>
    <w:rsid w:val="6537692D"/>
    <w:rsid w:val="6539263F"/>
    <w:rsid w:val="653C4972"/>
    <w:rsid w:val="654126C9"/>
    <w:rsid w:val="65494A96"/>
    <w:rsid w:val="654A0DFA"/>
    <w:rsid w:val="6552349F"/>
    <w:rsid w:val="655236FA"/>
    <w:rsid w:val="65576854"/>
    <w:rsid w:val="6558598E"/>
    <w:rsid w:val="655A65F1"/>
    <w:rsid w:val="65621A76"/>
    <w:rsid w:val="65660D43"/>
    <w:rsid w:val="65686FCE"/>
    <w:rsid w:val="656A652D"/>
    <w:rsid w:val="656B7534"/>
    <w:rsid w:val="656D4E4F"/>
    <w:rsid w:val="657178E0"/>
    <w:rsid w:val="65721369"/>
    <w:rsid w:val="65777432"/>
    <w:rsid w:val="657846C6"/>
    <w:rsid w:val="65795C19"/>
    <w:rsid w:val="657D1F82"/>
    <w:rsid w:val="65833986"/>
    <w:rsid w:val="65864A36"/>
    <w:rsid w:val="65932074"/>
    <w:rsid w:val="659450B0"/>
    <w:rsid w:val="659701FE"/>
    <w:rsid w:val="659B1B2E"/>
    <w:rsid w:val="659F753C"/>
    <w:rsid w:val="65A91F22"/>
    <w:rsid w:val="65B33F02"/>
    <w:rsid w:val="65B42BC2"/>
    <w:rsid w:val="65BF38A2"/>
    <w:rsid w:val="65C014CB"/>
    <w:rsid w:val="65C251D7"/>
    <w:rsid w:val="65C810C4"/>
    <w:rsid w:val="65CD399D"/>
    <w:rsid w:val="65CE58DC"/>
    <w:rsid w:val="65E15B57"/>
    <w:rsid w:val="65E330A0"/>
    <w:rsid w:val="65E41BA8"/>
    <w:rsid w:val="65EC16E8"/>
    <w:rsid w:val="65ED0C90"/>
    <w:rsid w:val="65ED4A10"/>
    <w:rsid w:val="65F97FF2"/>
    <w:rsid w:val="65FA4EB9"/>
    <w:rsid w:val="66020247"/>
    <w:rsid w:val="6607739B"/>
    <w:rsid w:val="660F66D6"/>
    <w:rsid w:val="66216288"/>
    <w:rsid w:val="66230083"/>
    <w:rsid w:val="662309F9"/>
    <w:rsid w:val="662546E5"/>
    <w:rsid w:val="66265E7D"/>
    <w:rsid w:val="66287A82"/>
    <w:rsid w:val="662C19DC"/>
    <w:rsid w:val="662F51AC"/>
    <w:rsid w:val="6633091B"/>
    <w:rsid w:val="663658B2"/>
    <w:rsid w:val="66437CA5"/>
    <w:rsid w:val="66447D37"/>
    <w:rsid w:val="664612E0"/>
    <w:rsid w:val="6646159A"/>
    <w:rsid w:val="66495241"/>
    <w:rsid w:val="664E3042"/>
    <w:rsid w:val="66506F76"/>
    <w:rsid w:val="66521D36"/>
    <w:rsid w:val="66642F2C"/>
    <w:rsid w:val="66656AD8"/>
    <w:rsid w:val="66717142"/>
    <w:rsid w:val="66773747"/>
    <w:rsid w:val="66791E85"/>
    <w:rsid w:val="667B32BC"/>
    <w:rsid w:val="667D4D20"/>
    <w:rsid w:val="668022D3"/>
    <w:rsid w:val="66834747"/>
    <w:rsid w:val="66946566"/>
    <w:rsid w:val="6695201C"/>
    <w:rsid w:val="66964D80"/>
    <w:rsid w:val="66974EA4"/>
    <w:rsid w:val="669E4A10"/>
    <w:rsid w:val="66A62D9B"/>
    <w:rsid w:val="66B14CEE"/>
    <w:rsid w:val="66B766F6"/>
    <w:rsid w:val="66BC0420"/>
    <w:rsid w:val="66C31C8E"/>
    <w:rsid w:val="66C40228"/>
    <w:rsid w:val="66CA23AE"/>
    <w:rsid w:val="66D03D18"/>
    <w:rsid w:val="66D97D2F"/>
    <w:rsid w:val="66DD6970"/>
    <w:rsid w:val="66E17935"/>
    <w:rsid w:val="66E20225"/>
    <w:rsid w:val="66E56654"/>
    <w:rsid w:val="66F62FDD"/>
    <w:rsid w:val="66F844C5"/>
    <w:rsid w:val="66FE2845"/>
    <w:rsid w:val="670246F6"/>
    <w:rsid w:val="670B28F2"/>
    <w:rsid w:val="670B7EE2"/>
    <w:rsid w:val="670E15F2"/>
    <w:rsid w:val="67125C3C"/>
    <w:rsid w:val="67151ACB"/>
    <w:rsid w:val="671845BD"/>
    <w:rsid w:val="67186E17"/>
    <w:rsid w:val="671C7383"/>
    <w:rsid w:val="672A5786"/>
    <w:rsid w:val="672B7701"/>
    <w:rsid w:val="67357019"/>
    <w:rsid w:val="6746108D"/>
    <w:rsid w:val="67485E9D"/>
    <w:rsid w:val="675416B5"/>
    <w:rsid w:val="67542073"/>
    <w:rsid w:val="675812C6"/>
    <w:rsid w:val="675A3B32"/>
    <w:rsid w:val="675E1222"/>
    <w:rsid w:val="67686236"/>
    <w:rsid w:val="67697E9C"/>
    <w:rsid w:val="676B38F4"/>
    <w:rsid w:val="676B5092"/>
    <w:rsid w:val="677560DA"/>
    <w:rsid w:val="67756EE3"/>
    <w:rsid w:val="67762323"/>
    <w:rsid w:val="67777926"/>
    <w:rsid w:val="677911A5"/>
    <w:rsid w:val="67797D22"/>
    <w:rsid w:val="677D065D"/>
    <w:rsid w:val="67801847"/>
    <w:rsid w:val="67864ED6"/>
    <w:rsid w:val="678B0BF3"/>
    <w:rsid w:val="678B76D4"/>
    <w:rsid w:val="678C18F1"/>
    <w:rsid w:val="679323AF"/>
    <w:rsid w:val="67944162"/>
    <w:rsid w:val="67974F7B"/>
    <w:rsid w:val="67976ADF"/>
    <w:rsid w:val="679B0F78"/>
    <w:rsid w:val="679B4778"/>
    <w:rsid w:val="679B69AB"/>
    <w:rsid w:val="679E6D62"/>
    <w:rsid w:val="679E7E22"/>
    <w:rsid w:val="67A34FBE"/>
    <w:rsid w:val="67A633B0"/>
    <w:rsid w:val="67A638FB"/>
    <w:rsid w:val="67B104C0"/>
    <w:rsid w:val="67BA39C8"/>
    <w:rsid w:val="67C63DE6"/>
    <w:rsid w:val="67C748DD"/>
    <w:rsid w:val="67D42E67"/>
    <w:rsid w:val="67D60D24"/>
    <w:rsid w:val="67DF5B27"/>
    <w:rsid w:val="67E209C1"/>
    <w:rsid w:val="67E33CA5"/>
    <w:rsid w:val="67E80512"/>
    <w:rsid w:val="67EC0A52"/>
    <w:rsid w:val="67F24FEE"/>
    <w:rsid w:val="67F72D9E"/>
    <w:rsid w:val="680E1440"/>
    <w:rsid w:val="68117BCD"/>
    <w:rsid w:val="681948CC"/>
    <w:rsid w:val="681A1DD4"/>
    <w:rsid w:val="6820187B"/>
    <w:rsid w:val="6824662B"/>
    <w:rsid w:val="68283B79"/>
    <w:rsid w:val="682A4990"/>
    <w:rsid w:val="68356537"/>
    <w:rsid w:val="68377A45"/>
    <w:rsid w:val="68426227"/>
    <w:rsid w:val="684E1214"/>
    <w:rsid w:val="68537ACA"/>
    <w:rsid w:val="685D742F"/>
    <w:rsid w:val="6865501C"/>
    <w:rsid w:val="68695ABC"/>
    <w:rsid w:val="687829B7"/>
    <w:rsid w:val="687B5F09"/>
    <w:rsid w:val="688313B2"/>
    <w:rsid w:val="68843C99"/>
    <w:rsid w:val="688A15E3"/>
    <w:rsid w:val="688D1ECC"/>
    <w:rsid w:val="68903D3E"/>
    <w:rsid w:val="6892721A"/>
    <w:rsid w:val="68975A59"/>
    <w:rsid w:val="68990E98"/>
    <w:rsid w:val="689A5130"/>
    <w:rsid w:val="689B214E"/>
    <w:rsid w:val="68B01AD3"/>
    <w:rsid w:val="68BA3FD9"/>
    <w:rsid w:val="68BA5569"/>
    <w:rsid w:val="68BF2D48"/>
    <w:rsid w:val="68C018B1"/>
    <w:rsid w:val="68C73020"/>
    <w:rsid w:val="68C87EE3"/>
    <w:rsid w:val="68C950DE"/>
    <w:rsid w:val="68CA54A8"/>
    <w:rsid w:val="68CD5C25"/>
    <w:rsid w:val="68D144DD"/>
    <w:rsid w:val="68D709E0"/>
    <w:rsid w:val="68D7367B"/>
    <w:rsid w:val="68D762E8"/>
    <w:rsid w:val="68E01C79"/>
    <w:rsid w:val="68E147DC"/>
    <w:rsid w:val="68E20539"/>
    <w:rsid w:val="68E20F63"/>
    <w:rsid w:val="68E80C57"/>
    <w:rsid w:val="68EA3475"/>
    <w:rsid w:val="68F97D04"/>
    <w:rsid w:val="68FB637B"/>
    <w:rsid w:val="68FB6BC9"/>
    <w:rsid w:val="68FF6D13"/>
    <w:rsid w:val="690150DD"/>
    <w:rsid w:val="69032243"/>
    <w:rsid w:val="69050528"/>
    <w:rsid w:val="6919002D"/>
    <w:rsid w:val="691C66F7"/>
    <w:rsid w:val="691D1C3F"/>
    <w:rsid w:val="691D50AF"/>
    <w:rsid w:val="691F551F"/>
    <w:rsid w:val="69214EA0"/>
    <w:rsid w:val="6923112C"/>
    <w:rsid w:val="692564C4"/>
    <w:rsid w:val="692F18A5"/>
    <w:rsid w:val="692F7F4D"/>
    <w:rsid w:val="693558AE"/>
    <w:rsid w:val="69437BE3"/>
    <w:rsid w:val="69461443"/>
    <w:rsid w:val="69470AA4"/>
    <w:rsid w:val="694D508C"/>
    <w:rsid w:val="694F04B6"/>
    <w:rsid w:val="69506660"/>
    <w:rsid w:val="695D6147"/>
    <w:rsid w:val="695F4D4F"/>
    <w:rsid w:val="69700779"/>
    <w:rsid w:val="69714891"/>
    <w:rsid w:val="697F3AE8"/>
    <w:rsid w:val="698C27CA"/>
    <w:rsid w:val="699242EB"/>
    <w:rsid w:val="699669BC"/>
    <w:rsid w:val="6998595D"/>
    <w:rsid w:val="699E72DF"/>
    <w:rsid w:val="699F6D3C"/>
    <w:rsid w:val="69A10F5E"/>
    <w:rsid w:val="69A24EDF"/>
    <w:rsid w:val="69A35FD5"/>
    <w:rsid w:val="69AA21F8"/>
    <w:rsid w:val="69B27E49"/>
    <w:rsid w:val="69B42D17"/>
    <w:rsid w:val="69BA5B41"/>
    <w:rsid w:val="69BB3422"/>
    <w:rsid w:val="69BB7C01"/>
    <w:rsid w:val="69BC1ECF"/>
    <w:rsid w:val="69BD2B58"/>
    <w:rsid w:val="69C32EDB"/>
    <w:rsid w:val="69C570C2"/>
    <w:rsid w:val="69C6079F"/>
    <w:rsid w:val="69C66A52"/>
    <w:rsid w:val="69C83391"/>
    <w:rsid w:val="69C94B14"/>
    <w:rsid w:val="69CA4B57"/>
    <w:rsid w:val="69CD5A16"/>
    <w:rsid w:val="69CE73F9"/>
    <w:rsid w:val="69CF555B"/>
    <w:rsid w:val="69CF74F6"/>
    <w:rsid w:val="69D478F9"/>
    <w:rsid w:val="69D876C9"/>
    <w:rsid w:val="69E26A2D"/>
    <w:rsid w:val="69E4395B"/>
    <w:rsid w:val="69E44EBB"/>
    <w:rsid w:val="69E50C91"/>
    <w:rsid w:val="69E569D2"/>
    <w:rsid w:val="69EA400E"/>
    <w:rsid w:val="69EB6F2F"/>
    <w:rsid w:val="69EC3D86"/>
    <w:rsid w:val="69EC69D5"/>
    <w:rsid w:val="69ED1FED"/>
    <w:rsid w:val="69F00E78"/>
    <w:rsid w:val="69F07634"/>
    <w:rsid w:val="69F45DBA"/>
    <w:rsid w:val="69F6153F"/>
    <w:rsid w:val="69F9523E"/>
    <w:rsid w:val="69FC3D47"/>
    <w:rsid w:val="6A0A105B"/>
    <w:rsid w:val="6A124B16"/>
    <w:rsid w:val="6A165A61"/>
    <w:rsid w:val="6A1A3255"/>
    <w:rsid w:val="6A2128BA"/>
    <w:rsid w:val="6A2A18D0"/>
    <w:rsid w:val="6A2C1703"/>
    <w:rsid w:val="6A2F66D9"/>
    <w:rsid w:val="6A2F775A"/>
    <w:rsid w:val="6A334FA7"/>
    <w:rsid w:val="6A336279"/>
    <w:rsid w:val="6A3E1D2C"/>
    <w:rsid w:val="6A3F2F3A"/>
    <w:rsid w:val="6A401A78"/>
    <w:rsid w:val="6A45685E"/>
    <w:rsid w:val="6A4C09D4"/>
    <w:rsid w:val="6A4C6C82"/>
    <w:rsid w:val="6A503867"/>
    <w:rsid w:val="6A514603"/>
    <w:rsid w:val="6A523142"/>
    <w:rsid w:val="6A531C05"/>
    <w:rsid w:val="6A537477"/>
    <w:rsid w:val="6A5730B6"/>
    <w:rsid w:val="6A5D74B3"/>
    <w:rsid w:val="6A5E226E"/>
    <w:rsid w:val="6A64277C"/>
    <w:rsid w:val="6A68409F"/>
    <w:rsid w:val="6A696D7F"/>
    <w:rsid w:val="6A6F4C85"/>
    <w:rsid w:val="6A714AF2"/>
    <w:rsid w:val="6A7631B1"/>
    <w:rsid w:val="6A774632"/>
    <w:rsid w:val="6A796420"/>
    <w:rsid w:val="6A7B6AC0"/>
    <w:rsid w:val="6A7D594F"/>
    <w:rsid w:val="6A7F11EA"/>
    <w:rsid w:val="6A7F6A0B"/>
    <w:rsid w:val="6A8938FC"/>
    <w:rsid w:val="6A8A58BD"/>
    <w:rsid w:val="6A914542"/>
    <w:rsid w:val="6A924E2E"/>
    <w:rsid w:val="6A925445"/>
    <w:rsid w:val="6A96126C"/>
    <w:rsid w:val="6A971FD7"/>
    <w:rsid w:val="6A9B3509"/>
    <w:rsid w:val="6A9C7B55"/>
    <w:rsid w:val="6AA232D8"/>
    <w:rsid w:val="6AA371E9"/>
    <w:rsid w:val="6AAA2AC3"/>
    <w:rsid w:val="6AAF3DE1"/>
    <w:rsid w:val="6AB256A9"/>
    <w:rsid w:val="6AB4348E"/>
    <w:rsid w:val="6AB61C32"/>
    <w:rsid w:val="6ABB7CA1"/>
    <w:rsid w:val="6ABE299F"/>
    <w:rsid w:val="6ABE663C"/>
    <w:rsid w:val="6AC027FF"/>
    <w:rsid w:val="6AC069FF"/>
    <w:rsid w:val="6AC10CA5"/>
    <w:rsid w:val="6AC70713"/>
    <w:rsid w:val="6AC7503F"/>
    <w:rsid w:val="6AC86345"/>
    <w:rsid w:val="6ACB77B5"/>
    <w:rsid w:val="6ACE2D24"/>
    <w:rsid w:val="6ACF136F"/>
    <w:rsid w:val="6ADC59F5"/>
    <w:rsid w:val="6ADD6DEF"/>
    <w:rsid w:val="6ADF0798"/>
    <w:rsid w:val="6AE504C5"/>
    <w:rsid w:val="6AE553D8"/>
    <w:rsid w:val="6AE93F65"/>
    <w:rsid w:val="6AF513B5"/>
    <w:rsid w:val="6AF67368"/>
    <w:rsid w:val="6AF7313E"/>
    <w:rsid w:val="6AFF6876"/>
    <w:rsid w:val="6B064128"/>
    <w:rsid w:val="6B071E3A"/>
    <w:rsid w:val="6B0A0528"/>
    <w:rsid w:val="6B0F4FB9"/>
    <w:rsid w:val="6B1138D8"/>
    <w:rsid w:val="6B1259DE"/>
    <w:rsid w:val="6B18250B"/>
    <w:rsid w:val="6B182AEC"/>
    <w:rsid w:val="6B1C4E37"/>
    <w:rsid w:val="6B2C2750"/>
    <w:rsid w:val="6B2D7E87"/>
    <w:rsid w:val="6B2F037E"/>
    <w:rsid w:val="6B303E79"/>
    <w:rsid w:val="6B323C75"/>
    <w:rsid w:val="6B357D20"/>
    <w:rsid w:val="6B474F3B"/>
    <w:rsid w:val="6B4B0455"/>
    <w:rsid w:val="6B4E7BE2"/>
    <w:rsid w:val="6B55173B"/>
    <w:rsid w:val="6B5534BB"/>
    <w:rsid w:val="6B556A50"/>
    <w:rsid w:val="6B5B02AE"/>
    <w:rsid w:val="6B5E69BC"/>
    <w:rsid w:val="6B5F2B46"/>
    <w:rsid w:val="6B671047"/>
    <w:rsid w:val="6B6C68C7"/>
    <w:rsid w:val="6B7461FC"/>
    <w:rsid w:val="6B761311"/>
    <w:rsid w:val="6B795E99"/>
    <w:rsid w:val="6B7C667A"/>
    <w:rsid w:val="6B7F4FF9"/>
    <w:rsid w:val="6B8038BD"/>
    <w:rsid w:val="6B8177A7"/>
    <w:rsid w:val="6B8434FC"/>
    <w:rsid w:val="6B8A3D97"/>
    <w:rsid w:val="6B8C7B9E"/>
    <w:rsid w:val="6B905BD7"/>
    <w:rsid w:val="6B9D0E8D"/>
    <w:rsid w:val="6B9E5D26"/>
    <w:rsid w:val="6BA05D09"/>
    <w:rsid w:val="6BA36B67"/>
    <w:rsid w:val="6BA46B11"/>
    <w:rsid w:val="6BAD298B"/>
    <w:rsid w:val="6BBC6D3C"/>
    <w:rsid w:val="6BBF2607"/>
    <w:rsid w:val="6BC4441F"/>
    <w:rsid w:val="6BC445C1"/>
    <w:rsid w:val="6BC92FD8"/>
    <w:rsid w:val="6BCD207A"/>
    <w:rsid w:val="6BD3395D"/>
    <w:rsid w:val="6BD37F67"/>
    <w:rsid w:val="6BD8527F"/>
    <w:rsid w:val="6BDA71AD"/>
    <w:rsid w:val="6BDB2B26"/>
    <w:rsid w:val="6BDD20A0"/>
    <w:rsid w:val="6BE62DE8"/>
    <w:rsid w:val="6BEA64A5"/>
    <w:rsid w:val="6BF15234"/>
    <w:rsid w:val="6BF26E4C"/>
    <w:rsid w:val="6BF65170"/>
    <w:rsid w:val="6BFA067D"/>
    <w:rsid w:val="6C0252CD"/>
    <w:rsid w:val="6C052157"/>
    <w:rsid w:val="6C121DF1"/>
    <w:rsid w:val="6C136DF7"/>
    <w:rsid w:val="6C141DD4"/>
    <w:rsid w:val="6C1755F2"/>
    <w:rsid w:val="6C186CCE"/>
    <w:rsid w:val="6C1A1147"/>
    <w:rsid w:val="6C1A680E"/>
    <w:rsid w:val="6C2A7110"/>
    <w:rsid w:val="6C2B07B1"/>
    <w:rsid w:val="6C2D1813"/>
    <w:rsid w:val="6C2D4076"/>
    <w:rsid w:val="6C4F00C5"/>
    <w:rsid w:val="6C51423B"/>
    <w:rsid w:val="6C515D59"/>
    <w:rsid w:val="6C552AF3"/>
    <w:rsid w:val="6C581D43"/>
    <w:rsid w:val="6C5A53B6"/>
    <w:rsid w:val="6C5E7897"/>
    <w:rsid w:val="6C616626"/>
    <w:rsid w:val="6C6608E3"/>
    <w:rsid w:val="6C67281C"/>
    <w:rsid w:val="6C690A80"/>
    <w:rsid w:val="6C6B48BD"/>
    <w:rsid w:val="6C6C0D17"/>
    <w:rsid w:val="6C6C53A5"/>
    <w:rsid w:val="6C6E4B70"/>
    <w:rsid w:val="6C6F24BD"/>
    <w:rsid w:val="6C732E52"/>
    <w:rsid w:val="6C74366F"/>
    <w:rsid w:val="6C757C4E"/>
    <w:rsid w:val="6C7D00B9"/>
    <w:rsid w:val="6C7D5CB5"/>
    <w:rsid w:val="6C831358"/>
    <w:rsid w:val="6C8465CE"/>
    <w:rsid w:val="6C857F72"/>
    <w:rsid w:val="6C921EAB"/>
    <w:rsid w:val="6C9347B6"/>
    <w:rsid w:val="6C9763E0"/>
    <w:rsid w:val="6CA000B0"/>
    <w:rsid w:val="6CA003C2"/>
    <w:rsid w:val="6CA00C6A"/>
    <w:rsid w:val="6CA051B3"/>
    <w:rsid w:val="6CA23BFD"/>
    <w:rsid w:val="6CA35446"/>
    <w:rsid w:val="6CA46B66"/>
    <w:rsid w:val="6CAA395E"/>
    <w:rsid w:val="6CB15CFC"/>
    <w:rsid w:val="6CB55D87"/>
    <w:rsid w:val="6CB93A3E"/>
    <w:rsid w:val="6CBD57E1"/>
    <w:rsid w:val="6CC01715"/>
    <w:rsid w:val="6CC332A6"/>
    <w:rsid w:val="6CC835E5"/>
    <w:rsid w:val="6CC8408F"/>
    <w:rsid w:val="6CC92854"/>
    <w:rsid w:val="6CCB194C"/>
    <w:rsid w:val="6CCE1457"/>
    <w:rsid w:val="6CCF1A21"/>
    <w:rsid w:val="6CD40848"/>
    <w:rsid w:val="6CD77908"/>
    <w:rsid w:val="6CD874E0"/>
    <w:rsid w:val="6CDC0A10"/>
    <w:rsid w:val="6CDD3531"/>
    <w:rsid w:val="6CF172E4"/>
    <w:rsid w:val="6CF37E79"/>
    <w:rsid w:val="6CF46C42"/>
    <w:rsid w:val="6CF517F8"/>
    <w:rsid w:val="6CF7570F"/>
    <w:rsid w:val="6CF75BDE"/>
    <w:rsid w:val="6CF83E75"/>
    <w:rsid w:val="6CFB2624"/>
    <w:rsid w:val="6D002026"/>
    <w:rsid w:val="6D027E11"/>
    <w:rsid w:val="6D062DE8"/>
    <w:rsid w:val="6D0C4DDF"/>
    <w:rsid w:val="6D1405B2"/>
    <w:rsid w:val="6D250D72"/>
    <w:rsid w:val="6D255703"/>
    <w:rsid w:val="6D271CFF"/>
    <w:rsid w:val="6D2E0067"/>
    <w:rsid w:val="6D2E5A12"/>
    <w:rsid w:val="6D2F7D6E"/>
    <w:rsid w:val="6D304BCE"/>
    <w:rsid w:val="6D345811"/>
    <w:rsid w:val="6D355C21"/>
    <w:rsid w:val="6D364FFF"/>
    <w:rsid w:val="6D3C3EC4"/>
    <w:rsid w:val="6D44377F"/>
    <w:rsid w:val="6D44398C"/>
    <w:rsid w:val="6D45198B"/>
    <w:rsid w:val="6D490212"/>
    <w:rsid w:val="6D4B03CE"/>
    <w:rsid w:val="6D4E7ED4"/>
    <w:rsid w:val="6D57559C"/>
    <w:rsid w:val="6D636224"/>
    <w:rsid w:val="6D6A4C93"/>
    <w:rsid w:val="6D7544ED"/>
    <w:rsid w:val="6D783637"/>
    <w:rsid w:val="6D7A2CF4"/>
    <w:rsid w:val="6D815760"/>
    <w:rsid w:val="6D8A65EE"/>
    <w:rsid w:val="6D8C1EA3"/>
    <w:rsid w:val="6D906B49"/>
    <w:rsid w:val="6D990387"/>
    <w:rsid w:val="6D9D74F4"/>
    <w:rsid w:val="6DA82E2C"/>
    <w:rsid w:val="6DA95417"/>
    <w:rsid w:val="6DAA61B3"/>
    <w:rsid w:val="6DAD3AC2"/>
    <w:rsid w:val="6DAF14B7"/>
    <w:rsid w:val="6DAF24C5"/>
    <w:rsid w:val="6DB23D03"/>
    <w:rsid w:val="6DB4417A"/>
    <w:rsid w:val="6DB7664E"/>
    <w:rsid w:val="6DB913B1"/>
    <w:rsid w:val="6DC208BD"/>
    <w:rsid w:val="6DC320F9"/>
    <w:rsid w:val="6DC504B4"/>
    <w:rsid w:val="6DC66365"/>
    <w:rsid w:val="6DC800C6"/>
    <w:rsid w:val="6DD1552A"/>
    <w:rsid w:val="6DD50BBC"/>
    <w:rsid w:val="6DD52900"/>
    <w:rsid w:val="6DE00F96"/>
    <w:rsid w:val="6DE5108B"/>
    <w:rsid w:val="6DE8427C"/>
    <w:rsid w:val="6DE85FDB"/>
    <w:rsid w:val="6DE93349"/>
    <w:rsid w:val="6DEA3F4D"/>
    <w:rsid w:val="6DEC1018"/>
    <w:rsid w:val="6DEC4844"/>
    <w:rsid w:val="6DED52E2"/>
    <w:rsid w:val="6DF42401"/>
    <w:rsid w:val="6DF7400A"/>
    <w:rsid w:val="6DF97858"/>
    <w:rsid w:val="6DFB0AED"/>
    <w:rsid w:val="6DFE5663"/>
    <w:rsid w:val="6E055ABC"/>
    <w:rsid w:val="6E05733B"/>
    <w:rsid w:val="6E081AE4"/>
    <w:rsid w:val="6E0968B1"/>
    <w:rsid w:val="6E0A49F5"/>
    <w:rsid w:val="6E130F47"/>
    <w:rsid w:val="6E132087"/>
    <w:rsid w:val="6E1524FE"/>
    <w:rsid w:val="6E160338"/>
    <w:rsid w:val="6E1A65F0"/>
    <w:rsid w:val="6E1B1B7C"/>
    <w:rsid w:val="6E2171DB"/>
    <w:rsid w:val="6E2704B5"/>
    <w:rsid w:val="6E277053"/>
    <w:rsid w:val="6E286ED0"/>
    <w:rsid w:val="6E29419A"/>
    <w:rsid w:val="6E2A288C"/>
    <w:rsid w:val="6E2A616C"/>
    <w:rsid w:val="6E2B49D4"/>
    <w:rsid w:val="6E2D3352"/>
    <w:rsid w:val="6E3056B3"/>
    <w:rsid w:val="6E345F06"/>
    <w:rsid w:val="6E3B65A8"/>
    <w:rsid w:val="6E4050F8"/>
    <w:rsid w:val="6E4964B7"/>
    <w:rsid w:val="6E5B4081"/>
    <w:rsid w:val="6E5B63D9"/>
    <w:rsid w:val="6E6556A4"/>
    <w:rsid w:val="6E6A0337"/>
    <w:rsid w:val="6E6F6D56"/>
    <w:rsid w:val="6E6F790A"/>
    <w:rsid w:val="6E71035C"/>
    <w:rsid w:val="6E725E8F"/>
    <w:rsid w:val="6E75392B"/>
    <w:rsid w:val="6E7840D6"/>
    <w:rsid w:val="6E7D12CD"/>
    <w:rsid w:val="6E7D25C6"/>
    <w:rsid w:val="6E7E3E01"/>
    <w:rsid w:val="6E817447"/>
    <w:rsid w:val="6E8457B8"/>
    <w:rsid w:val="6E8D2C4B"/>
    <w:rsid w:val="6E8E000C"/>
    <w:rsid w:val="6E8F4E23"/>
    <w:rsid w:val="6E980DAA"/>
    <w:rsid w:val="6E99576C"/>
    <w:rsid w:val="6E9D5DB4"/>
    <w:rsid w:val="6E9E6201"/>
    <w:rsid w:val="6EA15A9D"/>
    <w:rsid w:val="6EA20F80"/>
    <w:rsid w:val="6EA50158"/>
    <w:rsid w:val="6EA639E7"/>
    <w:rsid w:val="6EA640E5"/>
    <w:rsid w:val="6EA94B91"/>
    <w:rsid w:val="6EB11642"/>
    <w:rsid w:val="6EB20172"/>
    <w:rsid w:val="6EB2094D"/>
    <w:rsid w:val="6EB251D9"/>
    <w:rsid w:val="6EB268F0"/>
    <w:rsid w:val="6EB350D4"/>
    <w:rsid w:val="6EC51862"/>
    <w:rsid w:val="6EC6140D"/>
    <w:rsid w:val="6ED63EB4"/>
    <w:rsid w:val="6EDB2536"/>
    <w:rsid w:val="6EEC1020"/>
    <w:rsid w:val="6EEF4FD4"/>
    <w:rsid w:val="6F05585D"/>
    <w:rsid w:val="6F074044"/>
    <w:rsid w:val="6F084F74"/>
    <w:rsid w:val="6F096240"/>
    <w:rsid w:val="6F0970D3"/>
    <w:rsid w:val="6F0E363D"/>
    <w:rsid w:val="6F121F18"/>
    <w:rsid w:val="6F127BF8"/>
    <w:rsid w:val="6F207EAC"/>
    <w:rsid w:val="6F2156E1"/>
    <w:rsid w:val="6F233338"/>
    <w:rsid w:val="6F2445DC"/>
    <w:rsid w:val="6F255E24"/>
    <w:rsid w:val="6F2B5F86"/>
    <w:rsid w:val="6F2D1BD1"/>
    <w:rsid w:val="6F3312A8"/>
    <w:rsid w:val="6F3814F9"/>
    <w:rsid w:val="6F393171"/>
    <w:rsid w:val="6F3C0103"/>
    <w:rsid w:val="6F3E1728"/>
    <w:rsid w:val="6F417DC4"/>
    <w:rsid w:val="6F430123"/>
    <w:rsid w:val="6F4517F1"/>
    <w:rsid w:val="6F486C97"/>
    <w:rsid w:val="6F4E53DC"/>
    <w:rsid w:val="6F55382A"/>
    <w:rsid w:val="6F557646"/>
    <w:rsid w:val="6F641BC6"/>
    <w:rsid w:val="6F675970"/>
    <w:rsid w:val="6F686E6A"/>
    <w:rsid w:val="6F6B04AD"/>
    <w:rsid w:val="6F700835"/>
    <w:rsid w:val="6F7010AE"/>
    <w:rsid w:val="6F7A2806"/>
    <w:rsid w:val="6F7A5D89"/>
    <w:rsid w:val="6F7F402E"/>
    <w:rsid w:val="6F842402"/>
    <w:rsid w:val="6F8729A3"/>
    <w:rsid w:val="6F8A1E45"/>
    <w:rsid w:val="6F8C428F"/>
    <w:rsid w:val="6F8C519D"/>
    <w:rsid w:val="6F8C7F89"/>
    <w:rsid w:val="6F913726"/>
    <w:rsid w:val="6F973631"/>
    <w:rsid w:val="6F9B567F"/>
    <w:rsid w:val="6F9C3201"/>
    <w:rsid w:val="6F9F71EC"/>
    <w:rsid w:val="6FA909C9"/>
    <w:rsid w:val="6FAA3DF3"/>
    <w:rsid w:val="6FAA4944"/>
    <w:rsid w:val="6FAD42E5"/>
    <w:rsid w:val="6FB05118"/>
    <w:rsid w:val="6FB216E4"/>
    <w:rsid w:val="6FB2186F"/>
    <w:rsid w:val="6FB60624"/>
    <w:rsid w:val="6FB932A7"/>
    <w:rsid w:val="6FBB4414"/>
    <w:rsid w:val="6FBB46C0"/>
    <w:rsid w:val="6FC068AA"/>
    <w:rsid w:val="6FC72152"/>
    <w:rsid w:val="6FCA32F1"/>
    <w:rsid w:val="6FD762A1"/>
    <w:rsid w:val="6FDC2F12"/>
    <w:rsid w:val="6FEC4661"/>
    <w:rsid w:val="6FED0846"/>
    <w:rsid w:val="6FEF5ABC"/>
    <w:rsid w:val="6FF2458A"/>
    <w:rsid w:val="6FF340BC"/>
    <w:rsid w:val="6FF51B28"/>
    <w:rsid w:val="6FFA5CD4"/>
    <w:rsid w:val="6FFC6862"/>
    <w:rsid w:val="70011F21"/>
    <w:rsid w:val="7001273D"/>
    <w:rsid w:val="7002097B"/>
    <w:rsid w:val="70041B0C"/>
    <w:rsid w:val="70041F1A"/>
    <w:rsid w:val="700B18A0"/>
    <w:rsid w:val="701443B1"/>
    <w:rsid w:val="701577E6"/>
    <w:rsid w:val="70162524"/>
    <w:rsid w:val="7018596A"/>
    <w:rsid w:val="701B5824"/>
    <w:rsid w:val="7023602D"/>
    <w:rsid w:val="702D2FDD"/>
    <w:rsid w:val="7032421B"/>
    <w:rsid w:val="7038060F"/>
    <w:rsid w:val="703834B3"/>
    <w:rsid w:val="703A7A5E"/>
    <w:rsid w:val="703E6CB7"/>
    <w:rsid w:val="703F2E59"/>
    <w:rsid w:val="704053D0"/>
    <w:rsid w:val="704171E9"/>
    <w:rsid w:val="70436A70"/>
    <w:rsid w:val="70470F86"/>
    <w:rsid w:val="70523614"/>
    <w:rsid w:val="70530A18"/>
    <w:rsid w:val="70550BAE"/>
    <w:rsid w:val="705517A3"/>
    <w:rsid w:val="70560165"/>
    <w:rsid w:val="70563012"/>
    <w:rsid w:val="70572A9D"/>
    <w:rsid w:val="70603547"/>
    <w:rsid w:val="706A7C17"/>
    <w:rsid w:val="706E06DE"/>
    <w:rsid w:val="707035BA"/>
    <w:rsid w:val="707037F6"/>
    <w:rsid w:val="70715196"/>
    <w:rsid w:val="707B5F5B"/>
    <w:rsid w:val="707C2A45"/>
    <w:rsid w:val="708344F4"/>
    <w:rsid w:val="70897349"/>
    <w:rsid w:val="709A2A82"/>
    <w:rsid w:val="709B5807"/>
    <w:rsid w:val="709D14E9"/>
    <w:rsid w:val="709D7101"/>
    <w:rsid w:val="709F14AA"/>
    <w:rsid w:val="70A51E96"/>
    <w:rsid w:val="70A73C4B"/>
    <w:rsid w:val="70A85158"/>
    <w:rsid w:val="70A86A9D"/>
    <w:rsid w:val="70AF288D"/>
    <w:rsid w:val="70AF6291"/>
    <w:rsid w:val="70B8541A"/>
    <w:rsid w:val="70D566C2"/>
    <w:rsid w:val="70D74D3A"/>
    <w:rsid w:val="70DC5368"/>
    <w:rsid w:val="70DC66F8"/>
    <w:rsid w:val="70DD0934"/>
    <w:rsid w:val="70DD3159"/>
    <w:rsid w:val="70DE0649"/>
    <w:rsid w:val="70E11F4D"/>
    <w:rsid w:val="70E30E0C"/>
    <w:rsid w:val="70E5445E"/>
    <w:rsid w:val="70E922A9"/>
    <w:rsid w:val="70E942F5"/>
    <w:rsid w:val="70EA304F"/>
    <w:rsid w:val="70F135D9"/>
    <w:rsid w:val="70FE6EA7"/>
    <w:rsid w:val="71017EE8"/>
    <w:rsid w:val="710B63C9"/>
    <w:rsid w:val="710E4BC6"/>
    <w:rsid w:val="71102659"/>
    <w:rsid w:val="711026E6"/>
    <w:rsid w:val="711362C4"/>
    <w:rsid w:val="7122622D"/>
    <w:rsid w:val="71226ED5"/>
    <w:rsid w:val="71291321"/>
    <w:rsid w:val="713450EC"/>
    <w:rsid w:val="713472FE"/>
    <w:rsid w:val="713956F9"/>
    <w:rsid w:val="713A7254"/>
    <w:rsid w:val="71431B1B"/>
    <w:rsid w:val="71442488"/>
    <w:rsid w:val="71496970"/>
    <w:rsid w:val="714E1569"/>
    <w:rsid w:val="71502E94"/>
    <w:rsid w:val="71525A5A"/>
    <w:rsid w:val="7155043A"/>
    <w:rsid w:val="715D088F"/>
    <w:rsid w:val="716117FD"/>
    <w:rsid w:val="716511D0"/>
    <w:rsid w:val="716B39ED"/>
    <w:rsid w:val="716D2A80"/>
    <w:rsid w:val="71714599"/>
    <w:rsid w:val="71724835"/>
    <w:rsid w:val="71777268"/>
    <w:rsid w:val="71785772"/>
    <w:rsid w:val="7179674F"/>
    <w:rsid w:val="717A2EF2"/>
    <w:rsid w:val="718760F0"/>
    <w:rsid w:val="718811A6"/>
    <w:rsid w:val="71903540"/>
    <w:rsid w:val="71911ED5"/>
    <w:rsid w:val="71944EC7"/>
    <w:rsid w:val="71970103"/>
    <w:rsid w:val="71A11CDB"/>
    <w:rsid w:val="71A77396"/>
    <w:rsid w:val="71AE3EC0"/>
    <w:rsid w:val="71CC564D"/>
    <w:rsid w:val="71CF652A"/>
    <w:rsid w:val="71D70018"/>
    <w:rsid w:val="71D71478"/>
    <w:rsid w:val="71D8233A"/>
    <w:rsid w:val="71D95E6B"/>
    <w:rsid w:val="71DA5E16"/>
    <w:rsid w:val="71DD6464"/>
    <w:rsid w:val="71DE0882"/>
    <w:rsid w:val="71E5610F"/>
    <w:rsid w:val="71E718EA"/>
    <w:rsid w:val="71EB01A1"/>
    <w:rsid w:val="71EF16A1"/>
    <w:rsid w:val="71F37B56"/>
    <w:rsid w:val="71F442B1"/>
    <w:rsid w:val="71F725E2"/>
    <w:rsid w:val="71F750A3"/>
    <w:rsid w:val="71FC6AF1"/>
    <w:rsid w:val="72105A62"/>
    <w:rsid w:val="7218458B"/>
    <w:rsid w:val="721A2C88"/>
    <w:rsid w:val="721A72BD"/>
    <w:rsid w:val="721C519C"/>
    <w:rsid w:val="7222369B"/>
    <w:rsid w:val="722845FD"/>
    <w:rsid w:val="72373E55"/>
    <w:rsid w:val="724100D6"/>
    <w:rsid w:val="724D3678"/>
    <w:rsid w:val="724E0CA8"/>
    <w:rsid w:val="72500D62"/>
    <w:rsid w:val="725256D7"/>
    <w:rsid w:val="725531FD"/>
    <w:rsid w:val="72560D82"/>
    <w:rsid w:val="725D44C0"/>
    <w:rsid w:val="725F63CC"/>
    <w:rsid w:val="726304AF"/>
    <w:rsid w:val="726F34A7"/>
    <w:rsid w:val="727252F4"/>
    <w:rsid w:val="727A1799"/>
    <w:rsid w:val="7285047F"/>
    <w:rsid w:val="72862ABC"/>
    <w:rsid w:val="728C0816"/>
    <w:rsid w:val="728D2B85"/>
    <w:rsid w:val="728E3E3A"/>
    <w:rsid w:val="729179D9"/>
    <w:rsid w:val="72A07CD2"/>
    <w:rsid w:val="72A24B88"/>
    <w:rsid w:val="72A34EDC"/>
    <w:rsid w:val="72A4565A"/>
    <w:rsid w:val="72B23577"/>
    <w:rsid w:val="72C8288A"/>
    <w:rsid w:val="72C963CC"/>
    <w:rsid w:val="72D22D91"/>
    <w:rsid w:val="72D22E1E"/>
    <w:rsid w:val="72DA28C0"/>
    <w:rsid w:val="72DE6C04"/>
    <w:rsid w:val="72E11F72"/>
    <w:rsid w:val="72E26E04"/>
    <w:rsid w:val="72E43DD5"/>
    <w:rsid w:val="72E55691"/>
    <w:rsid w:val="72F43F28"/>
    <w:rsid w:val="72FA1F4B"/>
    <w:rsid w:val="72FD3D9E"/>
    <w:rsid w:val="73001532"/>
    <w:rsid w:val="73023F55"/>
    <w:rsid w:val="7304192E"/>
    <w:rsid w:val="731158E6"/>
    <w:rsid w:val="731333FC"/>
    <w:rsid w:val="7313496E"/>
    <w:rsid w:val="731508B4"/>
    <w:rsid w:val="731562C5"/>
    <w:rsid w:val="731A6D54"/>
    <w:rsid w:val="73225C51"/>
    <w:rsid w:val="732C73A0"/>
    <w:rsid w:val="732D010C"/>
    <w:rsid w:val="732F2106"/>
    <w:rsid w:val="733158EA"/>
    <w:rsid w:val="733332FB"/>
    <w:rsid w:val="7336343E"/>
    <w:rsid w:val="733745FF"/>
    <w:rsid w:val="733E5838"/>
    <w:rsid w:val="734048CE"/>
    <w:rsid w:val="73416A3F"/>
    <w:rsid w:val="73444A76"/>
    <w:rsid w:val="73453AF0"/>
    <w:rsid w:val="73504DB6"/>
    <w:rsid w:val="735274C2"/>
    <w:rsid w:val="735F2374"/>
    <w:rsid w:val="736A444B"/>
    <w:rsid w:val="736C6586"/>
    <w:rsid w:val="736D7F24"/>
    <w:rsid w:val="736E3E22"/>
    <w:rsid w:val="736E7F54"/>
    <w:rsid w:val="73754DF5"/>
    <w:rsid w:val="73773C2B"/>
    <w:rsid w:val="73793E6C"/>
    <w:rsid w:val="737A337A"/>
    <w:rsid w:val="737C7972"/>
    <w:rsid w:val="73816008"/>
    <w:rsid w:val="73866E9F"/>
    <w:rsid w:val="738A44EB"/>
    <w:rsid w:val="73927DEC"/>
    <w:rsid w:val="739368F1"/>
    <w:rsid w:val="7394255C"/>
    <w:rsid w:val="73970D03"/>
    <w:rsid w:val="73A433A0"/>
    <w:rsid w:val="73A71D40"/>
    <w:rsid w:val="73A71F06"/>
    <w:rsid w:val="73AA3D5B"/>
    <w:rsid w:val="73AC544C"/>
    <w:rsid w:val="73AE394E"/>
    <w:rsid w:val="73AF66E7"/>
    <w:rsid w:val="73B30379"/>
    <w:rsid w:val="73B34B4B"/>
    <w:rsid w:val="73B413C2"/>
    <w:rsid w:val="73B80BD4"/>
    <w:rsid w:val="73B85874"/>
    <w:rsid w:val="73BB77F2"/>
    <w:rsid w:val="73C253D0"/>
    <w:rsid w:val="73C26459"/>
    <w:rsid w:val="73C576D3"/>
    <w:rsid w:val="73C846EF"/>
    <w:rsid w:val="73CB511B"/>
    <w:rsid w:val="73CC00A1"/>
    <w:rsid w:val="73ED4166"/>
    <w:rsid w:val="73ED5769"/>
    <w:rsid w:val="73F659B1"/>
    <w:rsid w:val="73F86DAB"/>
    <w:rsid w:val="73FB77AA"/>
    <w:rsid w:val="73FC1BAC"/>
    <w:rsid w:val="74044A4E"/>
    <w:rsid w:val="74072C7C"/>
    <w:rsid w:val="7414332F"/>
    <w:rsid w:val="74185E45"/>
    <w:rsid w:val="741A7295"/>
    <w:rsid w:val="742217D5"/>
    <w:rsid w:val="74234311"/>
    <w:rsid w:val="74300494"/>
    <w:rsid w:val="743159E5"/>
    <w:rsid w:val="74317DDD"/>
    <w:rsid w:val="7432550C"/>
    <w:rsid w:val="7443392D"/>
    <w:rsid w:val="7443620C"/>
    <w:rsid w:val="744A4B10"/>
    <w:rsid w:val="744B037F"/>
    <w:rsid w:val="74531825"/>
    <w:rsid w:val="745707EA"/>
    <w:rsid w:val="74597A46"/>
    <w:rsid w:val="74610081"/>
    <w:rsid w:val="7462159F"/>
    <w:rsid w:val="74663C1C"/>
    <w:rsid w:val="746B6903"/>
    <w:rsid w:val="746E5D25"/>
    <w:rsid w:val="74746816"/>
    <w:rsid w:val="74753119"/>
    <w:rsid w:val="747C2911"/>
    <w:rsid w:val="747F3571"/>
    <w:rsid w:val="748003AA"/>
    <w:rsid w:val="748106A9"/>
    <w:rsid w:val="748A5E72"/>
    <w:rsid w:val="748C0C1C"/>
    <w:rsid w:val="74923D17"/>
    <w:rsid w:val="749324BF"/>
    <w:rsid w:val="74935237"/>
    <w:rsid w:val="74983D58"/>
    <w:rsid w:val="749970EA"/>
    <w:rsid w:val="74997B01"/>
    <w:rsid w:val="749F3146"/>
    <w:rsid w:val="749F5755"/>
    <w:rsid w:val="74A47A50"/>
    <w:rsid w:val="74A950B9"/>
    <w:rsid w:val="74B10943"/>
    <w:rsid w:val="74B2786E"/>
    <w:rsid w:val="74B31F76"/>
    <w:rsid w:val="74B56EBA"/>
    <w:rsid w:val="74B6300C"/>
    <w:rsid w:val="74BB2C99"/>
    <w:rsid w:val="74BE3180"/>
    <w:rsid w:val="74BF38A4"/>
    <w:rsid w:val="74BF47D6"/>
    <w:rsid w:val="74BF5117"/>
    <w:rsid w:val="74C12002"/>
    <w:rsid w:val="74C74539"/>
    <w:rsid w:val="74CC785E"/>
    <w:rsid w:val="74CF6CFA"/>
    <w:rsid w:val="74D56452"/>
    <w:rsid w:val="74DE7F85"/>
    <w:rsid w:val="74DF288A"/>
    <w:rsid w:val="74E1782B"/>
    <w:rsid w:val="74F4108B"/>
    <w:rsid w:val="74F81DFB"/>
    <w:rsid w:val="74F93E28"/>
    <w:rsid w:val="751703DC"/>
    <w:rsid w:val="751C455D"/>
    <w:rsid w:val="751F2C5E"/>
    <w:rsid w:val="75212D6C"/>
    <w:rsid w:val="75293F91"/>
    <w:rsid w:val="752F6798"/>
    <w:rsid w:val="75325463"/>
    <w:rsid w:val="75357ADC"/>
    <w:rsid w:val="75391E24"/>
    <w:rsid w:val="75424523"/>
    <w:rsid w:val="75436F76"/>
    <w:rsid w:val="75483066"/>
    <w:rsid w:val="75496182"/>
    <w:rsid w:val="754F6606"/>
    <w:rsid w:val="75544016"/>
    <w:rsid w:val="7556613E"/>
    <w:rsid w:val="755837FB"/>
    <w:rsid w:val="755B225D"/>
    <w:rsid w:val="7564076A"/>
    <w:rsid w:val="757A320D"/>
    <w:rsid w:val="757C1E0B"/>
    <w:rsid w:val="757E15F4"/>
    <w:rsid w:val="757F45A0"/>
    <w:rsid w:val="75801AF7"/>
    <w:rsid w:val="7581609C"/>
    <w:rsid w:val="7595170F"/>
    <w:rsid w:val="759578C3"/>
    <w:rsid w:val="759D0308"/>
    <w:rsid w:val="759E3B7B"/>
    <w:rsid w:val="75A2459E"/>
    <w:rsid w:val="75A44EAE"/>
    <w:rsid w:val="75AA600E"/>
    <w:rsid w:val="75AD5350"/>
    <w:rsid w:val="75AE5C3F"/>
    <w:rsid w:val="75B50DCD"/>
    <w:rsid w:val="75B62993"/>
    <w:rsid w:val="75B71C24"/>
    <w:rsid w:val="75B85116"/>
    <w:rsid w:val="75BA70CF"/>
    <w:rsid w:val="75C201A9"/>
    <w:rsid w:val="75CA60F0"/>
    <w:rsid w:val="75D0688E"/>
    <w:rsid w:val="75D3580A"/>
    <w:rsid w:val="75D45402"/>
    <w:rsid w:val="75D46288"/>
    <w:rsid w:val="75D939D6"/>
    <w:rsid w:val="75DA2A95"/>
    <w:rsid w:val="75DD15BF"/>
    <w:rsid w:val="75E05384"/>
    <w:rsid w:val="75E14902"/>
    <w:rsid w:val="75E54B34"/>
    <w:rsid w:val="75E91E0D"/>
    <w:rsid w:val="75EE756C"/>
    <w:rsid w:val="75F106A2"/>
    <w:rsid w:val="75F332D8"/>
    <w:rsid w:val="75F36B51"/>
    <w:rsid w:val="75F43E72"/>
    <w:rsid w:val="75F55AF1"/>
    <w:rsid w:val="75F80177"/>
    <w:rsid w:val="75FA2BCA"/>
    <w:rsid w:val="75FA6AE8"/>
    <w:rsid w:val="75FB7B13"/>
    <w:rsid w:val="75FF5F09"/>
    <w:rsid w:val="760336EE"/>
    <w:rsid w:val="760A5BE0"/>
    <w:rsid w:val="760E7DAD"/>
    <w:rsid w:val="7611386F"/>
    <w:rsid w:val="76146AF6"/>
    <w:rsid w:val="76161D32"/>
    <w:rsid w:val="76175D6B"/>
    <w:rsid w:val="761D196F"/>
    <w:rsid w:val="761E6EA1"/>
    <w:rsid w:val="7620701B"/>
    <w:rsid w:val="7620746E"/>
    <w:rsid w:val="76215774"/>
    <w:rsid w:val="762248E3"/>
    <w:rsid w:val="76246354"/>
    <w:rsid w:val="762C4186"/>
    <w:rsid w:val="763E049A"/>
    <w:rsid w:val="76427640"/>
    <w:rsid w:val="76434074"/>
    <w:rsid w:val="765A7BD8"/>
    <w:rsid w:val="765B67C6"/>
    <w:rsid w:val="765E2CFF"/>
    <w:rsid w:val="76635C1C"/>
    <w:rsid w:val="76695D32"/>
    <w:rsid w:val="766E1080"/>
    <w:rsid w:val="767205A4"/>
    <w:rsid w:val="76740134"/>
    <w:rsid w:val="76805C84"/>
    <w:rsid w:val="76807E7D"/>
    <w:rsid w:val="76810C97"/>
    <w:rsid w:val="76856AB9"/>
    <w:rsid w:val="768C075C"/>
    <w:rsid w:val="768F4DCE"/>
    <w:rsid w:val="76946D89"/>
    <w:rsid w:val="769708EA"/>
    <w:rsid w:val="76A24507"/>
    <w:rsid w:val="76A77B9B"/>
    <w:rsid w:val="76A8256E"/>
    <w:rsid w:val="76AB1E2D"/>
    <w:rsid w:val="76BB482A"/>
    <w:rsid w:val="76C356F5"/>
    <w:rsid w:val="76C46835"/>
    <w:rsid w:val="76C76EFD"/>
    <w:rsid w:val="76CD414F"/>
    <w:rsid w:val="76D55993"/>
    <w:rsid w:val="76DF73BD"/>
    <w:rsid w:val="76E13B4C"/>
    <w:rsid w:val="76E15EEB"/>
    <w:rsid w:val="76E6758E"/>
    <w:rsid w:val="76EC0DE2"/>
    <w:rsid w:val="76F16012"/>
    <w:rsid w:val="76F561D1"/>
    <w:rsid w:val="770519A8"/>
    <w:rsid w:val="77074444"/>
    <w:rsid w:val="770869D8"/>
    <w:rsid w:val="77090C8D"/>
    <w:rsid w:val="770A6F09"/>
    <w:rsid w:val="770E1E17"/>
    <w:rsid w:val="77170ABB"/>
    <w:rsid w:val="771E3202"/>
    <w:rsid w:val="771F44CC"/>
    <w:rsid w:val="77233641"/>
    <w:rsid w:val="772731CF"/>
    <w:rsid w:val="77294B33"/>
    <w:rsid w:val="772C037F"/>
    <w:rsid w:val="772D365D"/>
    <w:rsid w:val="772E25C1"/>
    <w:rsid w:val="77303481"/>
    <w:rsid w:val="77323677"/>
    <w:rsid w:val="773824B8"/>
    <w:rsid w:val="77395DB5"/>
    <w:rsid w:val="773F460B"/>
    <w:rsid w:val="77451C66"/>
    <w:rsid w:val="77505596"/>
    <w:rsid w:val="775257DE"/>
    <w:rsid w:val="77535930"/>
    <w:rsid w:val="77556383"/>
    <w:rsid w:val="7756058A"/>
    <w:rsid w:val="775C07E2"/>
    <w:rsid w:val="7766714C"/>
    <w:rsid w:val="77682B61"/>
    <w:rsid w:val="776A3ED1"/>
    <w:rsid w:val="776B0DED"/>
    <w:rsid w:val="77735BE7"/>
    <w:rsid w:val="77747F81"/>
    <w:rsid w:val="777705C5"/>
    <w:rsid w:val="777803CC"/>
    <w:rsid w:val="777A086C"/>
    <w:rsid w:val="777D09C5"/>
    <w:rsid w:val="778E20C4"/>
    <w:rsid w:val="778E5B8F"/>
    <w:rsid w:val="77907310"/>
    <w:rsid w:val="77977374"/>
    <w:rsid w:val="779F241A"/>
    <w:rsid w:val="77A06F51"/>
    <w:rsid w:val="77A26944"/>
    <w:rsid w:val="77B060AD"/>
    <w:rsid w:val="77B67182"/>
    <w:rsid w:val="77B8629A"/>
    <w:rsid w:val="77B91309"/>
    <w:rsid w:val="77B96F3A"/>
    <w:rsid w:val="77BA0165"/>
    <w:rsid w:val="77BF29FF"/>
    <w:rsid w:val="77C41581"/>
    <w:rsid w:val="77C4514C"/>
    <w:rsid w:val="77C726AD"/>
    <w:rsid w:val="77CA3E09"/>
    <w:rsid w:val="77CD0B07"/>
    <w:rsid w:val="77CF5898"/>
    <w:rsid w:val="77D0485D"/>
    <w:rsid w:val="77D45B7F"/>
    <w:rsid w:val="77D80E72"/>
    <w:rsid w:val="77D9144D"/>
    <w:rsid w:val="77D94736"/>
    <w:rsid w:val="77DD274B"/>
    <w:rsid w:val="77DD3E8F"/>
    <w:rsid w:val="77E62F33"/>
    <w:rsid w:val="77E7090C"/>
    <w:rsid w:val="77ED3C04"/>
    <w:rsid w:val="77FF42C1"/>
    <w:rsid w:val="78044DDF"/>
    <w:rsid w:val="78065E53"/>
    <w:rsid w:val="780803F3"/>
    <w:rsid w:val="780B5D8B"/>
    <w:rsid w:val="780F009E"/>
    <w:rsid w:val="78176AE4"/>
    <w:rsid w:val="78195C76"/>
    <w:rsid w:val="7823261D"/>
    <w:rsid w:val="78234096"/>
    <w:rsid w:val="7826636F"/>
    <w:rsid w:val="78321D40"/>
    <w:rsid w:val="78335AEE"/>
    <w:rsid w:val="78371E1E"/>
    <w:rsid w:val="78374A42"/>
    <w:rsid w:val="783901FF"/>
    <w:rsid w:val="78390E0E"/>
    <w:rsid w:val="783B35FC"/>
    <w:rsid w:val="783B5C0D"/>
    <w:rsid w:val="783E2116"/>
    <w:rsid w:val="78400666"/>
    <w:rsid w:val="78446AF1"/>
    <w:rsid w:val="78465552"/>
    <w:rsid w:val="78474BFC"/>
    <w:rsid w:val="784962E9"/>
    <w:rsid w:val="78496A76"/>
    <w:rsid w:val="784F08BE"/>
    <w:rsid w:val="784F10DB"/>
    <w:rsid w:val="78514E4C"/>
    <w:rsid w:val="785C0D82"/>
    <w:rsid w:val="78616ACB"/>
    <w:rsid w:val="78645000"/>
    <w:rsid w:val="786A65D1"/>
    <w:rsid w:val="786C049B"/>
    <w:rsid w:val="786D750B"/>
    <w:rsid w:val="787141E8"/>
    <w:rsid w:val="7871672B"/>
    <w:rsid w:val="787540BF"/>
    <w:rsid w:val="78797719"/>
    <w:rsid w:val="787D1A42"/>
    <w:rsid w:val="788605B0"/>
    <w:rsid w:val="78870705"/>
    <w:rsid w:val="788D4F43"/>
    <w:rsid w:val="78995264"/>
    <w:rsid w:val="789F11E4"/>
    <w:rsid w:val="78A06572"/>
    <w:rsid w:val="78A240C4"/>
    <w:rsid w:val="78A444FF"/>
    <w:rsid w:val="78A6108C"/>
    <w:rsid w:val="78A72041"/>
    <w:rsid w:val="78AC0DCC"/>
    <w:rsid w:val="78AD2DAF"/>
    <w:rsid w:val="78AF3735"/>
    <w:rsid w:val="78B043EC"/>
    <w:rsid w:val="78B30FA6"/>
    <w:rsid w:val="78B7561B"/>
    <w:rsid w:val="78B91718"/>
    <w:rsid w:val="78C42420"/>
    <w:rsid w:val="78C60A45"/>
    <w:rsid w:val="78CA56A8"/>
    <w:rsid w:val="78CE5C9A"/>
    <w:rsid w:val="78D27F11"/>
    <w:rsid w:val="78DA11C2"/>
    <w:rsid w:val="78DC7ECB"/>
    <w:rsid w:val="78DE5FFF"/>
    <w:rsid w:val="78E90C8D"/>
    <w:rsid w:val="78EA2B00"/>
    <w:rsid w:val="78F01311"/>
    <w:rsid w:val="78F23F79"/>
    <w:rsid w:val="78FA2965"/>
    <w:rsid w:val="78FA3B94"/>
    <w:rsid w:val="78FA7989"/>
    <w:rsid w:val="78FC1EF1"/>
    <w:rsid w:val="79024462"/>
    <w:rsid w:val="79075918"/>
    <w:rsid w:val="790819BF"/>
    <w:rsid w:val="790C3496"/>
    <w:rsid w:val="79125716"/>
    <w:rsid w:val="791F5D2E"/>
    <w:rsid w:val="792D59DC"/>
    <w:rsid w:val="792F5E83"/>
    <w:rsid w:val="79303D37"/>
    <w:rsid w:val="79310DAC"/>
    <w:rsid w:val="79314F82"/>
    <w:rsid w:val="793C79BE"/>
    <w:rsid w:val="793D51F2"/>
    <w:rsid w:val="79406022"/>
    <w:rsid w:val="79446839"/>
    <w:rsid w:val="79483C4A"/>
    <w:rsid w:val="79514424"/>
    <w:rsid w:val="79515F0A"/>
    <w:rsid w:val="79547BE6"/>
    <w:rsid w:val="795B0580"/>
    <w:rsid w:val="795F3FB7"/>
    <w:rsid w:val="79665CA3"/>
    <w:rsid w:val="79695AB2"/>
    <w:rsid w:val="796B195F"/>
    <w:rsid w:val="7976761B"/>
    <w:rsid w:val="798056C0"/>
    <w:rsid w:val="79805C0F"/>
    <w:rsid w:val="798952F4"/>
    <w:rsid w:val="798B1FF1"/>
    <w:rsid w:val="798E261A"/>
    <w:rsid w:val="79944D71"/>
    <w:rsid w:val="79971E64"/>
    <w:rsid w:val="79987006"/>
    <w:rsid w:val="799E3E97"/>
    <w:rsid w:val="79A4299B"/>
    <w:rsid w:val="79A56864"/>
    <w:rsid w:val="79A73654"/>
    <w:rsid w:val="79B2503F"/>
    <w:rsid w:val="79B34013"/>
    <w:rsid w:val="79B71094"/>
    <w:rsid w:val="79BC04F5"/>
    <w:rsid w:val="79BC3C16"/>
    <w:rsid w:val="79BE637A"/>
    <w:rsid w:val="79C276DA"/>
    <w:rsid w:val="79C6217F"/>
    <w:rsid w:val="79CD05F0"/>
    <w:rsid w:val="79D645F3"/>
    <w:rsid w:val="79E217D7"/>
    <w:rsid w:val="79E353C4"/>
    <w:rsid w:val="79EA6D2C"/>
    <w:rsid w:val="79F034CF"/>
    <w:rsid w:val="79F176BF"/>
    <w:rsid w:val="79F47B6D"/>
    <w:rsid w:val="79FB3C2B"/>
    <w:rsid w:val="79FF521B"/>
    <w:rsid w:val="79FF73E8"/>
    <w:rsid w:val="7A005078"/>
    <w:rsid w:val="7A14500C"/>
    <w:rsid w:val="7A165152"/>
    <w:rsid w:val="7A1861C2"/>
    <w:rsid w:val="7A195449"/>
    <w:rsid w:val="7A1A5509"/>
    <w:rsid w:val="7A1B1331"/>
    <w:rsid w:val="7A223B87"/>
    <w:rsid w:val="7A265CFD"/>
    <w:rsid w:val="7A277ABF"/>
    <w:rsid w:val="7A2D2800"/>
    <w:rsid w:val="7A304216"/>
    <w:rsid w:val="7A316B8D"/>
    <w:rsid w:val="7A3A0326"/>
    <w:rsid w:val="7A4563F2"/>
    <w:rsid w:val="7A4C08C2"/>
    <w:rsid w:val="7A52585E"/>
    <w:rsid w:val="7A561388"/>
    <w:rsid w:val="7A6944CA"/>
    <w:rsid w:val="7A73025E"/>
    <w:rsid w:val="7A763114"/>
    <w:rsid w:val="7A7B1F38"/>
    <w:rsid w:val="7A8A493F"/>
    <w:rsid w:val="7A8D00E3"/>
    <w:rsid w:val="7A8E77C6"/>
    <w:rsid w:val="7A922EDF"/>
    <w:rsid w:val="7A955CA4"/>
    <w:rsid w:val="7A97064E"/>
    <w:rsid w:val="7A976EBF"/>
    <w:rsid w:val="7A983928"/>
    <w:rsid w:val="7A9A5342"/>
    <w:rsid w:val="7A9D0EC5"/>
    <w:rsid w:val="7AA22FAE"/>
    <w:rsid w:val="7AA6562B"/>
    <w:rsid w:val="7AA82553"/>
    <w:rsid w:val="7AA9090A"/>
    <w:rsid w:val="7AAD24C7"/>
    <w:rsid w:val="7AB45D85"/>
    <w:rsid w:val="7AB55C37"/>
    <w:rsid w:val="7ABC6FE1"/>
    <w:rsid w:val="7ABE2ED6"/>
    <w:rsid w:val="7AC27AED"/>
    <w:rsid w:val="7ACA0E9A"/>
    <w:rsid w:val="7ACE0C3A"/>
    <w:rsid w:val="7AD236A6"/>
    <w:rsid w:val="7AD2449B"/>
    <w:rsid w:val="7AD24EBF"/>
    <w:rsid w:val="7AD37DC9"/>
    <w:rsid w:val="7AD54737"/>
    <w:rsid w:val="7AD57D7A"/>
    <w:rsid w:val="7ADD3468"/>
    <w:rsid w:val="7AE504CB"/>
    <w:rsid w:val="7AE57BEE"/>
    <w:rsid w:val="7AFC4E3B"/>
    <w:rsid w:val="7B020F63"/>
    <w:rsid w:val="7B030003"/>
    <w:rsid w:val="7B03790E"/>
    <w:rsid w:val="7B08751A"/>
    <w:rsid w:val="7B0B1F41"/>
    <w:rsid w:val="7B0C5674"/>
    <w:rsid w:val="7B2373DB"/>
    <w:rsid w:val="7B2B2A5A"/>
    <w:rsid w:val="7B2B59BF"/>
    <w:rsid w:val="7B364302"/>
    <w:rsid w:val="7B380B60"/>
    <w:rsid w:val="7B413AE2"/>
    <w:rsid w:val="7B436822"/>
    <w:rsid w:val="7B4914A0"/>
    <w:rsid w:val="7B4C7CD2"/>
    <w:rsid w:val="7B576BB7"/>
    <w:rsid w:val="7B577CF2"/>
    <w:rsid w:val="7B5A0DB9"/>
    <w:rsid w:val="7B5C6CD5"/>
    <w:rsid w:val="7B674731"/>
    <w:rsid w:val="7B6D049E"/>
    <w:rsid w:val="7B820C5C"/>
    <w:rsid w:val="7B834BC2"/>
    <w:rsid w:val="7B85080F"/>
    <w:rsid w:val="7B873AAD"/>
    <w:rsid w:val="7B8E523C"/>
    <w:rsid w:val="7B901D09"/>
    <w:rsid w:val="7B9024D9"/>
    <w:rsid w:val="7B9668EE"/>
    <w:rsid w:val="7B9970F7"/>
    <w:rsid w:val="7B9B54D0"/>
    <w:rsid w:val="7BA10657"/>
    <w:rsid w:val="7BA141AC"/>
    <w:rsid w:val="7BAA7FF7"/>
    <w:rsid w:val="7BB17246"/>
    <w:rsid w:val="7BC12871"/>
    <w:rsid w:val="7BC30D20"/>
    <w:rsid w:val="7BCC3FD2"/>
    <w:rsid w:val="7BCE2B49"/>
    <w:rsid w:val="7BCF3385"/>
    <w:rsid w:val="7BE104A9"/>
    <w:rsid w:val="7BE25EDE"/>
    <w:rsid w:val="7BE7097A"/>
    <w:rsid w:val="7BEA277C"/>
    <w:rsid w:val="7BEA6D2F"/>
    <w:rsid w:val="7BEB047C"/>
    <w:rsid w:val="7BED733A"/>
    <w:rsid w:val="7BF5727F"/>
    <w:rsid w:val="7BF63B4F"/>
    <w:rsid w:val="7BF92B84"/>
    <w:rsid w:val="7BFE4C3F"/>
    <w:rsid w:val="7BFF4C4C"/>
    <w:rsid w:val="7C033CE9"/>
    <w:rsid w:val="7C042EBE"/>
    <w:rsid w:val="7C0621BE"/>
    <w:rsid w:val="7C1044AD"/>
    <w:rsid w:val="7C141652"/>
    <w:rsid w:val="7C187623"/>
    <w:rsid w:val="7C223601"/>
    <w:rsid w:val="7C267835"/>
    <w:rsid w:val="7C271807"/>
    <w:rsid w:val="7C2A7A05"/>
    <w:rsid w:val="7C2D2B98"/>
    <w:rsid w:val="7C2E022E"/>
    <w:rsid w:val="7C327990"/>
    <w:rsid w:val="7C334150"/>
    <w:rsid w:val="7C397289"/>
    <w:rsid w:val="7C490EA7"/>
    <w:rsid w:val="7C4B332B"/>
    <w:rsid w:val="7C5273EF"/>
    <w:rsid w:val="7C5331C1"/>
    <w:rsid w:val="7C572F4E"/>
    <w:rsid w:val="7C573812"/>
    <w:rsid w:val="7C5D46AA"/>
    <w:rsid w:val="7C5E737D"/>
    <w:rsid w:val="7C622300"/>
    <w:rsid w:val="7C6D3AAA"/>
    <w:rsid w:val="7C6D740B"/>
    <w:rsid w:val="7C7634AE"/>
    <w:rsid w:val="7C7C468F"/>
    <w:rsid w:val="7C7D6580"/>
    <w:rsid w:val="7C7E3884"/>
    <w:rsid w:val="7C7F124E"/>
    <w:rsid w:val="7C800BCC"/>
    <w:rsid w:val="7C810791"/>
    <w:rsid w:val="7C836392"/>
    <w:rsid w:val="7C87282F"/>
    <w:rsid w:val="7C896C29"/>
    <w:rsid w:val="7C8B6E19"/>
    <w:rsid w:val="7C967B91"/>
    <w:rsid w:val="7C984986"/>
    <w:rsid w:val="7C9B6579"/>
    <w:rsid w:val="7C9C4682"/>
    <w:rsid w:val="7C9F53D7"/>
    <w:rsid w:val="7CA07B5B"/>
    <w:rsid w:val="7CA350AC"/>
    <w:rsid w:val="7CA426F3"/>
    <w:rsid w:val="7CA55B04"/>
    <w:rsid w:val="7CA81C70"/>
    <w:rsid w:val="7CAC2CA5"/>
    <w:rsid w:val="7CAC64C6"/>
    <w:rsid w:val="7CBB7880"/>
    <w:rsid w:val="7CBF0CF1"/>
    <w:rsid w:val="7CD62B0F"/>
    <w:rsid w:val="7CDE39CD"/>
    <w:rsid w:val="7CE54A9C"/>
    <w:rsid w:val="7CEA1AF9"/>
    <w:rsid w:val="7CEA3845"/>
    <w:rsid w:val="7CF016B4"/>
    <w:rsid w:val="7CF7419B"/>
    <w:rsid w:val="7CF95A11"/>
    <w:rsid w:val="7CFE3DEA"/>
    <w:rsid w:val="7D006772"/>
    <w:rsid w:val="7D01456B"/>
    <w:rsid w:val="7D082D75"/>
    <w:rsid w:val="7D096963"/>
    <w:rsid w:val="7D0B1FB4"/>
    <w:rsid w:val="7D122712"/>
    <w:rsid w:val="7D1250D4"/>
    <w:rsid w:val="7D1727CA"/>
    <w:rsid w:val="7D1A40EC"/>
    <w:rsid w:val="7D1A4E01"/>
    <w:rsid w:val="7D1B1979"/>
    <w:rsid w:val="7D1E358C"/>
    <w:rsid w:val="7D211E59"/>
    <w:rsid w:val="7D2253B6"/>
    <w:rsid w:val="7D232118"/>
    <w:rsid w:val="7D281685"/>
    <w:rsid w:val="7D2B15CE"/>
    <w:rsid w:val="7D2D2D25"/>
    <w:rsid w:val="7D2E7957"/>
    <w:rsid w:val="7D2F60CC"/>
    <w:rsid w:val="7D3433B0"/>
    <w:rsid w:val="7D34463A"/>
    <w:rsid w:val="7D422A17"/>
    <w:rsid w:val="7D4314D7"/>
    <w:rsid w:val="7D531490"/>
    <w:rsid w:val="7D5655E6"/>
    <w:rsid w:val="7D572E5D"/>
    <w:rsid w:val="7D647779"/>
    <w:rsid w:val="7D690626"/>
    <w:rsid w:val="7D6C7A54"/>
    <w:rsid w:val="7D6E3CF0"/>
    <w:rsid w:val="7D7139C8"/>
    <w:rsid w:val="7D785CF3"/>
    <w:rsid w:val="7D7F167D"/>
    <w:rsid w:val="7D83462B"/>
    <w:rsid w:val="7D84173B"/>
    <w:rsid w:val="7D906097"/>
    <w:rsid w:val="7D9F1DC2"/>
    <w:rsid w:val="7DA40B18"/>
    <w:rsid w:val="7DAC1C97"/>
    <w:rsid w:val="7DAE41CD"/>
    <w:rsid w:val="7DB238DD"/>
    <w:rsid w:val="7DB54A96"/>
    <w:rsid w:val="7DBA0C97"/>
    <w:rsid w:val="7DBB11CC"/>
    <w:rsid w:val="7DBC1004"/>
    <w:rsid w:val="7DBC2BD3"/>
    <w:rsid w:val="7DBD7F49"/>
    <w:rsid w:val="7DBE5EB3"/>
    <w:rsid w:val="7DBF4F2C"/>
    <w:rsid w:val="7DC3396A"/>
    <w:rsid w:val="7DC724E6"/>
    <w:rsid w:val="7DCB3629"/>
    <w:rsid w:val="7DCC561F"/>
    <w:rsid w:val="7DD47BAF"/>
    <w:rsid w:val="7DD512BB"/>
    <w:rsid w:val="7DD9133C"/>
    <w:rsid w:val="7DDA79A1"/>
    <w:rsid w:val="7DDB463E"/>
    <w:rsid w:val="7DE27017"/>
    <w:rsid w:val="7DE7546E"/>
    <w:rsid w:val="7DE86C2C"/>
    <w:rsid w:val="7DE87EAB"/>
    <w:rsid w:val="7DEC7365"/>
    <w:rsid w:val="7DEE1FC3"/>
    <w:rsid w:val="7DF91402"/>
    <w:rsid w:val="7DFA1D8D"/>
    <w:rsid w:val="7E01351B"/>
    <w:rsid w:val="7E013EA3"/>
    <w:rsid w:val="7E03712D"/>
    <w:rsid w:val="7E092031"/>
    <w:rsid w:val="7E0C1A0C"/>
    <w:rsid w:val="7E0C1F54"/>
    <w:rsid w:val="7E143ECD"/>
    <w:rsid w:val="7E1538C3"/>
    <w:rsid w:val="7E223601"/>
    <w:rsid w:val="7E2808C5"/>
    <w:rsid w:val="7E284957"/>
    <w:rsid w:val="7E2C0734"/>
    <w:rsid w:val="7E301A17"/>
    <w:rsid w:val="7E3C1BD3"/>
    <w:rsid w:val="7E41491B"/>
    <w:rsid w:val="7E4E49B9"/>
    <w:rsid w:val="7E515AAF"/>
    <w:rsid w:val="7E543002"/>
    <w:rsid w:val="7E5B507E"/>
    <w:rsid w:val="7E5E5685"/>
    <w:rsid w:val="7E665FE9"/>
    <w:rsid w:val="7E67566F"/>
    <w:rsid w:val="7E686DA1"/>
    <w:rsid w:val="7E6B5723"/>
    <w:rsid w:val="7E6D2D85"/>
    <w:rsid w:val="7E741253"/>
    <w:rsid w:val="7E755D1E"/>
    <w:rsid w:val="7E762544"/>
    <w:rsid w:val="7E797B74"/>
    <w:rsid w:val="7E7B0D95"/>
    <w:rsid w:val="7E7B1D37"/>
    <w:rsid w:val="7E7F03E2"/>
    <w:rsid w:val="7E8463AB"/>
    <w:rsid w:val="7E857621"/>
    <w:rsid w:val="7E862BEC"/>
    <w:rsid w:val="7E876C00"/>
    <w:rsid w:val="7E884513"/>
    <w:rsid w:val="7E906397"/>
    <w:rsid w:val="7E935415"/>
    <w:rsid w:val="7E98022D"/>
    <w:rsid w:val="7E983E07"/>
    <w:rsid w:val="7E9F244D"/>
    <w:rsid w:val="7EA073B2"/>
    <w:rsid w:val="7EA150FF"/>
    <w:rsid w:val="7EA51D2F"/>
    <w:rsid w:val="7EA91084"/>
    <w:rsid w:val="7EA93BDC"/>
    <w:rsid w:val="7EA97CB5"/>
    <w:rsid w:val="7EAE5935"/>
    <w:rsid w:val="7EB0756E"/>
    <w:rsid w:val="7EB9526B"/>
    <w:rsid w:val="7EBA7DF6"/>
    <w:rsid w:val="7EC1162E"/>
    <w:rsid w:val="7EC314B8"/>
    <w:rsid w:val="7EC71E21"/>
    <w:rsid w:val="7EC849D1"/>
    <w:rsid w:val="7EC86F75"/>
    <w:rsid w:val="7EC97E0E"/>
    <w:rsid w:val="7ECE3C12"/>
    <w:rsid w:val="7ECE723C"/>
    <w:rsid w:val="7EDA5373"/>
    <w:rsid w:val="7EE0516A"/>
    <w:rsid w:val="7EE56544"/>
    <w:rsid w:val="7EE72503"/>
    <w:rsid w:val="7EEA4F6D"/>
    <w:rsid w:val="7EEB563E"/>
    <w:rsid w:val="7EF06851"/>
    <w:rsid w:val="7EF0750D"/>
    <w:rsid w:val="7EF5732B"/>
    <w:rsid w:val="7EF67BE2"/>
    <w:rsid w:val="7EF73D06"/>
    <w:rsid w:val="7F01028E"/>
    <w:rsid w:val="7F0213B8"/>
    <w:rsid w:val="7F0E4BAB"/>
    <w:rsid w:val="7F262FA7"/>
    <w:rsid w:val="7F3419CC"/>
    <w:rsid w:val="7F35567C"/>
    <w:rsid w:val="7F3807C4"/>
    <w:rsid w:val="7F4132CE"/>
    <w:rsid w:val="7F417615"/>
    <w:rsid w:val="7F464F65"/>
    <w:rsid w:val="7F4D4280"/>
    <w:rsid w:val="7F5320ED"/>
    <w:rsid w:val="7F5643E1"/>
    <w:rsid w:val="7F61025C"/>
    <w:rsid w:val="7F643A4B"/>
    <w:rsid w:val="7F6F374E"/>
    <w:rsid w:val="7F6F4D35"/>
    <w:rsid w:val="7F74558D"/>
    <w:rsid w:val="7F753E77"/>
    <w:rsid w:val="7F7A1D5B"/>
    <w:rsid w:val="7F837DDF"/>
    <w:rsid w:val="7F865353"/>
    <w:rsid w:val="7F8A0F02"/>
    <w:rsid w:val="7F9612FE"/>
    <w:rsid w:val="7F9A7A3C"/>
    <w:rsid w:val="7F9E4182"/>
    <w:rsid w:val="7F9F6AF5"/>
    <w:rsid w:val="7F9F787D"/>
    <w:rsid w:val="7FAB2F26"/>
    <w:rsid w:val="7FAD0C1E"/>
    <w:rsid w:val="7FB2033C"/>
    <w:rsid w:val="7FB20FB1"/>
    <w:rsid w:val="7FB508E7"/>
    <w:rsid w:val="7FBC1577"/>
    <w:rsid w:val="7FBC45AC"/>
    <w:rsid w:val="7FBD2B46"/>
    <w:rsid w:val="7FC02AA0"/>
    <w:rsid w:val="7FC622C6"/>
    <w:rsid w:val="7FC709D8"/>
    <w:rsid w:val="7FC92251"/>
    <w:rsid w:val="7FCB3475"/>
    <w:rsid w:val="7FCE0F89"/>
    <w:rsid w:val="7FD64615"/>
    <w:rsid w:val="7FDB79AA"/>
    <w:rsid w:val="7FE66460"/>
    <w:rsid w:val="7FF230EA"/>
    <w:rsid w:val="7FF93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napToGrid w:val="0"/>
      <w:spacing w:before="220" w:after="90" w:line="360" w:lineRule="auto"/>
      <w:jc w:val="center"/>
      <w:outlineLvl w:val="0"/>
    </w:pPr>
    <w:rPr>
      <w:b/>
      <w:bCs/>
      <w:kern w:val="44"/>
      <w:sz w:val="36"/>
      <w:szCs w:val="44"/>
    </w:rPr>
  </w:style>
  <w:style w:type="paragraph" w:styleId="4">
    <w:name w:val="heading 2"/>
    <w:basedOn w:val="1"/>
    <w:next w:val="1"/>
    <w:qFormat/>
    <w:uiPriority w:val="0"/>
    <w:pPr>
      <w:keepNext/>
      <w:keepLines/>
      <w:spacing w:before="140" w:after="140" w:line="360" w:lineRule="auto"/>
      <w:jc w:val="center"/>
      <w:outlineLvl w:val="1"/>
    </w:pPr>
    <w:rPr>
      <w:rFonts w:ascii="Calibri" w:hAnsi="Calibri" w:eastAsia="黑体"/>
      <w:b/>
      <w:bCs/>
      <w:sz w:val="32"/>
      <w:szCs w:val="32"/>
    </w:rPr>
  </w:style>
  <w:style w:type="paragraph" w:styleId="5">
    <w:name w:val="heading 3"/>
    <w:basedOn w:val="1"/>
    <w:next w:val="1"/>
    <w:link w:val="37"/>
    <w:qFormat/>
    <w:uiPriority w:val="0"/>
    <w:pPr>
      <w:keepNext/>
      <w:keepLines/>
      <w:spacing w:before="140" w:after="140" w:line="416" w:lineRule="auto"/>
      <w:ind w:firstLine="720" w:firstLineChars="200"/>
      <w:jc w:val="left"/>
      <w:outlineLvl w:val="2"/>
    </w:pPr>
    <w:rPr>
      <w:b/>
      <w:bCs/>
      <w:sz w:val="24"/>
      <w:szCs w:val="32"/>
    </w:rPr>
  </w:style>
  <w:style w:type="paragraph" w:styleId="6">
    <w:name w:val="heading 4"/>
    <w:basedOn w:val="1"/>
    <w:next w:val="1"/>
    <w:qFormat/>
    <w:uiPriority w:val="9"/>
    <w:pPr>
      <w:keepNext/>
      <w:keepLines/>
      <w:spacing w:before="280" w:after="290" w:line="376" w:lineRule="auto"/>
      <w:jc w:val="center"/>
      <w:outlineLvl w:val="3"/>
    </w:pPr>
    <w:rPr>
      <w:rFonts w:ascii="Calibri" w:hAnsi="Calibri" w:eastAsia="黑体"/>
      <w:b/>
      <w:bCs/>
      <w:kern w:val="0"/>
      <w:sz w:val="32"/>
      <w:szCs w:val="28"/>
    </w:rPr>
  </w:style>
  <w:style w:type="paragraph" w:styleId="7">
    <w:name w:val="heading 5"/>
    <w:basedOn w:val="1"/>
    <w:next w:val="1"/>
    <w:qFormat/>
    <w:uiPriority w:val="0"/>
    <w:pPr>
      <w:keepNext/>
      <w:keepLines/>
      <w:numPr>
        <w:ilvl w:val="4"/>
        <w:numId w:val="1"/>
      </w:numPr>
      <w:snapToGrid w:val="0"/>
      <w:jc w:val="left"/>
      <w:outlineLvl w:val="4"/>
    </w:pPr>
    <w:rPr>
      <w:rFonts w:eastAsia="黑体"/>
      <w:bCs/>
      <w:sz w:val="28"/>
      <w:szCs w:val="28"/>
    </w:rPr>
  </w:style>
  <w:style w:type="paragraph" w:styleId="8">
    <w:name w:val="heading 6"/>
    <w:basedOn w:val="1"/>
    <w:next w:val="1"/>
    <w:qFormat/>
    <w:uiPriority w:val="0"/>
    <w:pPr>
      <w:keepNext/>
      <w:keepLines/>
      <w:spacing w:before="240" w:after="64" w:line="320" w:lineRule="auto"/>
      <w:outlineLvl w:val="5"/>
    </w:pPr>
    <w:rPr>
      <w:rFonts w:ascii="Calibri" w:hAnsi="Calibri"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rFonts w:ascii="Times New Roman" w:hAnsi="Times New Roman"/>
      <w:sz w:val="24"/>
      <w:szCs w:val="24"/>
    </w:rPr>
  </w:style>
  <w:style w:type="paragraph" w:styleId="9">
    <w:name w:val="Normal Indent"/>
    <w:basedOn w:val="1"/>
    <w:qFormat/>
    <w:uiPriority w:val="0"/>
    <w:pPr>
      <w:ind w:firstLine="420"/>
    </w:pPr>
    <w:rPr>
      <w:rFonts w:ascii="Calibri"/>
      <w:szCs w:val="20"/>
    </w:rPr>
  </w:style>
  <w:style w:type="paragraph" w:styleId="10">
    <w:name w:val="caption"/>
    <w:basedOn w:val="1"/>
    <w:next w:val="1"/>
    <w:qFormat/>
    <w:uiPriority w:val="0"/>
    <w:pPr>
      <w:numPr>
        <w:ilvl w:val="0"/>
        <w:numId w:val="2"/>
      </w:numPr>
      <w:ind w:firstLine="0"/>
      <w:jc w:val="center"/>
    </w:pPr>
    <w:rPr>
      <w:rFonts w:eastAsia="仿宋"/>
      <w:szCs w:val="21"/>
    </w:rPr>
  </w:style>
  <w:style w:type="paragraph" w:styleId="11">
    <w:name w:val="annotation text"/>
    <w:basedOn w:val="1"/>
    <w:unhideWhenUsed/>
    <w:qFormat/>
    <w:uiPriority w:val="0"/>
    <w:pPr>
      <w:jc w:val="left"/>
    </w:pPr>
  </w:style>
  <w:style w:type="paragraph" w:styleId="12">
    <w:name w:val="Body Text"/>
    <w:basedOn w:val="1"/>
    <w:next w:val="1"/>
    <w:qFormat/>
    <w:uiPriority w:val="0"/>
    <w:pPr>
      <w:spacing w:after="120"/>
    </w:pPr>
  </w:style>
  <w:style w:type="paragraph" w:styleId="13">
    <w:name w:val="Body Text Indent"/>
    <w:basedOn w:val="1"/>
    <w:qFormat/>
    <w:uiPriority w:val="0"/>
    <w:pPr>
      <w:ind w:firstLine="600" w:firstLineChars="200"/>
    </w:pPr>
    <w:rPr>
      <w:rFonts w:eastAsia="楷体_GB2312"/>
      <w:sz w:val="30"/>
      <w:szCs w:val="20"/>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ind w:left="2500" w:leftChars="2500"/>
    </w:pPr>
    <w:rPr>
      <w:szCs w:val="20"/>
    </w:rPr>
  </w:style>
  <w:style w:type="paragraph" w:styleId="17">
    <w:name w:val="Body Text Indent 2"/>
    <w:basedOn w:val="1"/>
    <w:qFormat/>
    <w:uiPriority w:val="0"/>
    <w:pPr>
      <w:ind w:left="105" w:firstLine="690"/>
    </w:pPr>
    <w:rPr>
      <w:sz w:val="32"/>
    </w:rPr>
  </w:style>
  <w:style w:type="paragraph" w:styleId="18">
    <w:name w:val="Balloon Text"/>
    <w:basedOn w:val="1"/>
    <w:link w:val="6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39"/>
    <w:pPr>
      <w:spacing w:line="360" w:lineRule="auto"/>
    </w:pPr>
    <w:rPr>
      <w:b/>
      <w:sz w:val="24"/>
    </w:rPr>
  </w:style>
  <w:style w:type="paragraph" w:styleId="22">
    <w:name w:val="Subtitle"/>
    <w:basedOn w:val="1"/>
    <w:next w:val="1"/>
    <w:qFormat/>
    <w:uiPriority w:val="11"/>
    <w:pPr>
      <w:spacing w:before="240" w:after="60" w:line="312" w:lineRule="auto"/>
      <w:ind w:firstLine="0" w:firstLineChars="0"/>
      <w:jc w:val="center"/>
      <w:outlineLvl w:val="1"/>
    </w:pPr>
    <w:rPr>
      <w:rFonts w:ascii="Cambria" w:hAnsi="Cambria"/>
      <w:b/>
      <w:bCs/>
      <w:kern w:val="28"/>
      <w:position w:val="0"/>
      <w:szCs w:val="32"/>
    </w:rPr>
  </w:style>
  <w:style w:type="paragraph" w:styleId="23">
    <w:name w:val="Normal (Web)"/>
    <w:basedOn w:val="1"/>
    <w:qFormat/>
    <w:uiPriority w:val="99"/>
    <w:pPr>
      <w:spacing w:beforeAutospacing="1" w:afterAutospacing="1"/>
      <w:jc w:val="left"/>
    </w:pPr>
    <w:rPr>
      <w:kern w:val="0"/>
      <w:sz w:val="24"/>
    </w:rPr>
  </w:style>
  <w:style w:type="paragraph" w:styleId="24">
    <w:name w:val="Body Text First Indent"/>
    <w:basedOn w:val="12"/>
    <w:unhideWhenUsed/>
    <w:qFormat/>
    <w:uiPriority w:val="99"/>
    <w:pPr>
      <w:ind w:firstLine="420" w:firstLineChars="100"/>
    </w:pPr>
  </w:style>
  <w:style w:type="paragraph" w:styleId="25">
    <w:name w:val="Body Text First Indent 2"/>
    <w:basedOn w:val="13"/>
    <w:next w:val="12"/>
    <w:unhideWhenUsed/>
    <w:qFormat/>
    <w:uiPriority w:val="0"/>
    <w:pPr>
      <w:spacing w:after="120" w:line="560" w:lineRule="exact"/>
      <w:ind w:left="420" w:leftChars="200" w:firstLine="200"/>
    </w:pPr>
    <w:rPr>
      <w:rFonts w:eastAsia="仿宋_GB2312"/>
      <w:sz w:val="28"/>
      <w:szCs w:val="2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rFonts w:hint="eastAsia" w:ascii="微软雅黑" w:hAnsi="微软雅黑" w:eastAsia="微软雅黑" w:cs="微软雅黑"/>
      <w:color w:val="02396F"/>
      <w:u w:val="single"/>
    </w:rPr>
  </w:style>
  <w:style w:type="character" w:styleId="30">
    <w:name w:val="Emphasis"/>
    <w:basedOn w:val="28"/>
    <w:qFormat/>
    <w:uiPriority w:val="0"/>
    <w:rPr>
      <w:i/>
    </w:rPr>
  </w:style>
  <w:style w:type="character" w:styleId="31">
    <w:name w:val="Hyperlink"/>
    <w:basedOn w:val="28"/>
    <w:qFormat/>
    <w:uiPriority w:val="0"/>
    <w:rPr>
      <w:rFonts w:hint="eastAsia" w:ascii="微软雅黑" w:hAnsi="微软雅黑" w:eastAsia="微软雅黑" w:cs="微软雅黑"/>
      <w:color w:val="02396F"/>
      <w:u w:val="single"/>
    </w:rPr>
  </w:style>
  <w:style w:type="paragraph" w:customStyle="1" w:styleId="32">
    <w:name w:val="首行缩进"/>
    <w:basedOn w:val="1"/>
    <w:qFormat/>
    <w:uiPriority w:val="0"/>
    <w:pPr>
      <w:spacing w:line="360" w:lineRule="auto"/>
      <w:ind w:firstLine="480" w:firstLineChars="200"/>
    </w:pPr>
    <w:rPr>
      <w:rFonts w:ascii="宋体" w:hAnsi="宋体" w:cs="宋体"/>
      <w:kern w:val="0"/>
      <w:sz w:val="24"/>
    </w:rPr>
  </w:style>
  <w:style w:type="paragraph" w:customStyle="1" w:styleId="33">
    <w:name w:val="无间隔1"/>
    <w:qFormat/>
    <w:uiPriority w:val="1"/>
    <w:pPr>
      <w:widowControl w:val="0"/>
      <w:spacing w:line="400" w:lineRule="exact"/>
      <w:jc w:val="both"/>
    </w:pPr>
    <w:rPr>
      <w:rFonts w:asciiTheme="minorHAnsi" w:hAnsiTheme="minorHAnsi" w:eastAsiaTheme="minorEastAsia" w:cstheme="minorBidi"/>
      <w:kern w:val="2"/>
      <w:sz w:val="24"/>
      <w:szCs w:val="24"/>
      <w:lang w:val="en-US" w:eastAsia="zh-CN" w:bidi="ar-SA"/>
    </w:rPr>
  </w:style>
  <w:style w:type="paragraph" w:customStyle="1" w:styleId="34">
    <w:name w:val="正文文本 22"/>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35">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6">
    <w:name w:val="四号正文"/>
    <w:basedOn w:val="1"/>
    <w:qFormat/>
    <w:uiPriority w:val="0"/>
    <w:pPr>
      <w:spacing w:line="360" w:lineRule="auto"/>
      <w:ind w:firstLine="560" w:firstLineChars="200"/>
    </w:pPr>
    <w:rPr>
      <w:sz w:val="28"/>
      <w:szCs w:val="28"/>
    </w:rPr>
  </w:style>
  <w:style w:type="character" w:customStyle="1" w:styleId="37">
    <w:name w:val="标题 3 字符"/>
    <w:link w:val="5"/>
    <w:qFormat/>
    <w:uiPriority w:val="0"/>
    <w:rPr>
      <w:b/>
      <w:bCs/>
      <w:sz w:val="24"/>
      <w:szCs w:val="32"/>
    </w:r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纯文本1"/>
    <w:basedOn w:val="1"/>
    <w:qFormat/>
    <w:uiPriority w:val="0"/>
    <w:rPr>
      <w:rFonts w:ascii="宋体" w:hAnsi="Courier New" w:cs="Courier New"/>
      <w:kern w:val="0"/>
      <w:sz w:val="20"/>
      <w:szCs w:val="21"/>
    </w:rPr>
  </w:style>
  <w:style w:type="paragraph" w:customStyle="1" w:styleId="41">
    <w:name w:val="正文首行缩进两字符"/>
    <w:basedOn w:val="1"/>
    <w:qFormat/>
    <w:uiPriority w:val="0"/>
    <w:pPr>
      <w:spacing w:line="360" w:lineRule="auto"/>
      <w:ind w:firstLine="200" w:firstLineChars="200"/>
    </w:pPr>
    <w:rPr>
      <w:rFonts w:ascii="宋体"/>
      <w:kern w:val="0"/>
      <w:sz w:val="34"/>
    </w:rPr>
  </w:style>
  <w:style w:type="paragraph" w:customStyle="1" w:styleId="42">
    <w:name w:val="列出段落1"/>
    <w:basedOn w:val="1"/>
    <w:qFormat/>
    <w:uiPriority w:val="0"/>
    <w:pPr>
      <w:ind w:firstLine="420" w:firstLineChars="200"/>
    </w:pPr>
    <w:rPr>
      <w:szCs w:val="20"/>
    </w:rPr>
  </w:style>
  <w:style w:type="character" w:customStyle="1" w:styleId="43">
    <w:name w:val="cfdate"/>
    <w:basedOn w:val="28"/>
    <w:qFormat/>
    <w:uiPriority w:val="0"/>
    <w:rPr>
      <w:color w:val="333333"/>
      <w:sz w:val="18"/>
      <w:szCs w:val="18"/>
    </w:rPr>
  </w:style>
  <w:style w:type="character" w:customStyle="1" w:styleId="44">
    <w:name w:val="redfilefwwh"/>
    <w:basedOn w:val="28"/>
    <w:qFormat/>
    <w:uiPriority w:val="0"/>
    <w:rPr>
      <w:color w:val="BA2636"/>
      <w:sz w:val="18"/>
      <w:szCs w:val="18"/>
    </w:rPr>
  </w:style>
  <w:style w:type="character" w:customStyle="1" w:styleId="45">
    <w:name w:val="gjfg"/>
    <w:basedOn w:val="28"/>
    <w:qFormat/>
    <w:uiPriority w:val="0"/>
  </w:style>
  <w:style w:type="character" w:customStyle="1" w:styleId="46">
    <w:name w:val="redfilenumber"/>
    <w:basedOn w:val="28"/>
    <w:qFormat/>
    <w:uiPriority w:val="0"/>
    <w:rPr>
      <w:color w:val="BA2636"/>
      <w:sz w:val="18"/>
      <w:szCs w:val="18"/>
    </w:rPr>
  </w:style>
  <w:style w:type="character" w:customStyle="1" w:styleId="47">
    <w:name w:val="qxdate"/>
    <w:basedOn w:val="28"/>
    <w:qFormat/>
    <w:uiPriority w:val="0"/>
    <w:rPr>
      <w:color w:val="333333"/>
      <w:sz w:val="18"/>
      <w:szCs w:val="18"/>
    </w:rPr>
  </w:style>
  <w:style w:type="character" w:customStyle="1" w:styleId="48">
    <w:name w:val="displayarti"/>
    <w:basedOn w:val="28"/>
    <w:qFormat/>
    <w:uiPriority w:val="0"/>
    <w:rPr>
      <w:color w:val="FFFFFF"/>
      <w:shd w:val="clear" w:color="auto" w:fill="A00000"/>
    </w:rPr>
  </w:style>
  <w:style w:type="character" w:customStyle="1" w:styleId="49">
    <w:name w:val="next"/>
    <w:basedOn w:val="28"/>
    <w:qFormat/>
    <w:uiPriority w:val="0"/>
    <w:rPr>
      <w:rFonts w:ascii="微软雅黑" w:hAnsi="微软雅黑" w:eastAsia="微软雅黑" w:cs="微软雅黑"/>
      <w:sz w:val="21"/>
      <w:szCs w:val="21"/>
    </w:rPr>
  </w:style>
  <w:style w:type="character" w:customStyle="1" w:styleId="50">
    <w:name w:val="next1"/>
    <w:basedOn w:val="28"/>
    <w:qFormat/>
    <w:uiPriority w:val="0"/>
    <w:rPr>
      <w:color w:val="888888"/>
    </w:rPr>
  </w:style>
  <w:style w:type="character" w:customStyle="1" w:styleId="51">
    <w:name w:val="prev"/>
    <w:basedOn w:val="28"/>
    <w:qFormat/>
    <w:uiPriority w:val="0"/>
    <w:rPr>
      <w:rFonts w:hint="eastAsia" w:ascii="微软雅黑" w:hAnsi="微软雅黑" w:eastAsia="微软雅黑" w:cs="微软雅黑"/>
      <w:sz w:val="21"/>
      <w:szCs w:val="21"/>
    </w:rPr>
  </w:style>
  <w:style w:type="character" w:customStyle="1" w:styleId="52">
    <w:name w:val="prev1"/>
    <w:basedOn w:val="28"/>
    <w:qFormat/>
    <w:uiPriority w:val="0"/>
    <w:rPr>
      <w:color w:val="888888"/>
    </w:rPr>
  </w:style>
  <w:style w:type="character" w:customStyle="1" w:styleId="53">
    <w:name w:val="gpa"/>
    <w:basedOn w:val="28"/>
    <w:qFormat/>
    <w:uiPriority w:val="0"/>
    <w:rPr>
      <w:rFonts w:ascii="Arial" w:hAnsi="Arial" w:cs="Arial"/>
      <w:sz w:val="15"/>
      <w:szCs w:val="15"/>
    </w:rPr>
  </w:style>
  <w:style w:type="character" w:customStyle="1" w:styleId="54">
    <w:name w:val="selected"/>
    <w:basedOn w:val="28"/>
    <w:qFormat/>
    <w:uiPriority w:val="0"/>
    <w:rPr>
      <w:shd w:val="clear" w:color="auto" w:fill="B00006"/>
    </w:rPr>
  </w:style>
  <w:style w:type="paragraph" w:customStyle="1" w:styleId="55">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styleId="56">
    <w:name w:val="List Paragraph"/>
    <w:basedOn w:val="1"/>
    <w:qFormat/>
    <w:uiPriority w:val="34"/>
    <w:pPr>
      <w:ind w:firstLine="420" w:firstLineChars="200"/>
    </w:pPr>
    <w:rPr>
      <w:rFonts w:cs="Calibri"/>
      <w:szCs w:val="21"/>
    </w:rPr>
  </w:style>
  <w:style w:type="character" w:customStyle="1" w:styleId="57">
    <w:name w:val="font01"/>
    <w:basedOn w:val="28"/>
    <w:qFormat/>
    <w:uiPriority w:val="0"/>
    <w:rPr>
      <w:rFonts w:hint="eastAsia" w:ascii="宋体" w:hAnsi="宋体" w:eastAsia="宋体" w:cs="宋体"/>
      <w:color w:val="000000"/>
      <w:sz w:val="22"/>
      <w:szCs w:val="22"/>
      <w:u w:val="none"/>
    </w:rPr>
  </w:style>
  <w:style w:type="character" w:customStyle="1" w:styleId="58">
    <w:name w:val="font31"/>
    <w:basedOn w:val="28"/>
    <w:qFormat/>
    <w:uiPriority w:val="0"/>
    <w:rPr>
      <w:rFonts w:hint="eastAsia" w:ascii="宋体" w:hAnsi="宋体" w:eastAsia="宋体" w:cs="宋体"/>
      <w:color w:val="FF0000"/>
      <w:sz w:val="22"/>
      <w:szCs w:val="22"/>
      <w:u w:val="none"/>
    </w:rPr>
  </w:style>
  <w:style w:type="paragraph" w:customStyle="1" w:styleId="59">
    <w:name w:val="Table Paragraph"/>
    <w:basedOn w:val="1"/>
    <w:qFormat/>
    <w:uiPriority w:val="1"/>
    <w:rPr>
      <w:rFonts w:ascii="宋体" w:hAnsi="宋体" w:cs="宋体"/>
      <w:lang w:val="zh-CN" w:bidi="zh-CN"/>
    </w:rPr>
  </w:style>
  <w:style w:type="paragraph" w:customStyle="1" w:styleId="60">
    <w:name w:val="*正文"/>
    <w:basedOn w:val="1"/>
    <w:qFormat/>
    <w:uiPriority w:val="0"/>
    <w:pPr>
      <w:ind w:firstLine="482"/>
    </w:pPr>
    <w:rPr>
      <w:rFonts w:ascii="宋体" w:hAnsi="宋体"/>
      <w:kern w:val="0"/>
      <w:sz w:val="24"/>
      <w:szCs w:val="20"/>
    </w:rPr>
  </w:style>
  <w:style w:type="character" w:customStyle="1" w:styleId="61">
    <w:name w:val="批注框文本 字符"/>
    <w:basedOn w:val="28"/>
    <w:link w:val="18"/>
    <w:qFormat/>
    <w:uiPriority w:val="0"/>
    <w:rPr>
      <w:kern w:val="2"/>
      <w:sz w:val="18"/>
      <w:szCs w:val="18"/>
    </w:rPr>
  </w:style>
  <w:style w:type="paragraph" w:customStyle="1" w:styleId="62">
    <w:name w:val="正文文本 21"/>
    <w:basedOn w:val="1"/>
    <w:qFormat/>
    <w:uiPriority w:val="0"/>
    <w:pPr>
      <w:adjustRightInd w:val="0"/>
      <w:spacing w:line="300" w:lineRule="auto"/>
      <w:jc w:val="center"/>
      <w:textAlignment w:val="baseline"/>
    </w:pPr>
    <w:rPr>
      <w:rFonts w:ascii="宋体" w:hAnsi="宋体"/>
      <w:sz w:val="24"/>
    </w:rPr>
  </w:style>
  <w:style w:type="character" w:customStyle="1" w:styleId="63">
    <w:name w:val="标题 1 字符"/>
    <w:link w:val="3"/>
    <w:qFormat/>
    <w:uiPriority w:val="9"/>
    <w:rPr>
      <w:b/>
      <w:bCs/>
      <w:kern w:val="44"/>
      <w:sz w:val="36"/>
      <w:szCs w:val="44"/>
    </w:rPr>
  </w:style>
  <w:style w:type="paragraph" w:customStyle="1" w:styleId="64">
    <w:name w:val="Other|1"/>
    <w:basedOn w:val="1"/>
    <w:qFormat/>
    <w:uiPriority w:val="0"/>
    <w:rPr>
      <w:rFonts w:ascii="宋体" w:hAnsi="宋体" w:cs="宋体"/>
      <w:lang w:val="zh-TW" w:eastAsia="zh-TW" w:bidi="zh-TW"/>
    </w:rPr>
  </w:style>
  <w:style w:type="paragraph" w:customStyle="1" w:styleId="65">
    <w:name w:val="Body text|6"/>
    <w:basedOn w:val="1"/>
    <w:qFormat/>
    <w:uiPriority w:val="0"/>
    <w:pPr>
      <w:spacing w:after="280"/>
      <w:ind w:left="3910"/>
    </w:pPr>
    <w:rPr>
      <w:rFonts w:ascii="宋体" w:hAnsi="宋体" w:cs="宋体"/>
      <w:sz w:val="62"/>
      <w:szCs w:val="62"/>
      <w:lang w:val="zh-TW" w:eastAsia="zh-TW" w:bidi="zh-TW"/>
    </w:rPr>
  </w:style>
  <w:style w:type="paragraph" w:customStyle="1" w:styleId="66">
    <w:name w:val="Heading #1|1"/>
    <w:basedOn w:val="1"/>
    <w:qFormat/>
    <w:uiPriority w:val="0"/>
    <w:pPr>
      <w:spacing w:after="340"/>
      <w:ind w:left="1320"/>
      <w:outlineLvl w:val="0"/>
    </w:pPr>
    <w:rPr>
      <w:rFonts w:ascii="宋体" w:hAnsi="宋体" w:cs="宋体"/>
      <w:sz w:val="56"/>
      <w:szCs w:val="56"/>
      <w:lang w:val="zh-TW" w:eastAsia="zh-TW" w:bidi="zh-TW"/>
    </w:rPr>
  </w:style>
  <w:style w:type="paragraph" w:customStyle="1" w:styleId="67">
    <w:name w:val="Body text|2"/>
    <w:basedOn w:val="1"/>
    <w:qFormat/>
    <w:uiPriority w:val="0"/>
    <w:pPr>
      <w:spacing w:line="480" w:lineRule="auto"/>
      <w:ind w:firstLine="40"/>
    </w:pPr>
    <w:rPr>
      <w:rFonts w:ascii="宋体" w:hAnsi="宋体" w:cs="宋体"/>
      <w:sz w:val="42"/>
      <w:szCs w:val="42"/>
      <w:lang w:val="zh-TW" w:eastAsia="zh-TW" w:bidi="zh-TW"/>
    </w:rPr>
  </w:style>
  <w:style w:type="paragraph" w:customStyle="1" w:styleId="68">
    <w:name w:val="Body text|1"/>
    <w:basedOn w:val="1"/>
    <w:qFormat/>
    <w:uiPriority w:val="0"/>
    <w:pPr>
      <w:spacing w:line="495" w:lineRule="exact"/>
      <w:ind w:left="1360"/>
    </w:pPr>
    <w:rPr>
      <w:rFonts w:ascii="宋体" w:hAnsi="宋体" w:cs="宋体"/>
      <w:sz w:val="36"/>
      <w:szCs w:val="36"/>
      <w:lang w:val="zh-TW" w:eastAsia="zh-TW" w:bidi="zh-TW"/>
    </w:rPr>
  </w:style>
  <w:style w:type="paragraph" w:customStyle="1" w:styleId="69">
    <w:name w:val="Body text|3"/>
    <w:basedOn w:val="1"/>
    <w:link w:val="73"/>
    <w:qFormat/>
    <w:uiPriority w:val="0"/>
    <w:pPr>
      <w:spacing w:line="495" w:lineRule="exact"/>
      <w:ind w:left="1360"/>
    </w:pPr>
    <w:rPr>
      <w:sz w:val="36"/>
      <w:szCs w:val="36"/>
    </w:rPr>
  </w:style>
  <w:style w:type="paragraph" w:customStyle="1" w:styleId="70">
    <w:name w:val="Body text|4"/>
    <w:basedOn w:val="1"/>
    <w:qFormat/>
    <w:uiPriority w:val="0"/>
    <w:pPr>
      <w:spacing w:line="360" w:lineRule="auto"/>
      <w:ind w:left="1300"/>
    </w:pPr>
    <w:rPr>
      <w:sz w:val="42"/>
      <w:szCs w:val="42"/>
    </w:rPr>
  </w:style>
  <w:style w:type="paragraph" w:customStyle="1" w:styleId="71">
    <w:name w:val="Body text|5"/>
    <w:basedOn w:val="1"/>
    <w:qFormat/>
    <w:uiPriority w:val="0"/>
    <w:pPr>
      <w:spacing w:after="320"/>
      <w:ind w:left="1360"/>
    </w:pPr>
    <w:rPr>
      <w:rFonts w:ascii="宋体" w:hAnsi="宋体" w:cs="宋体"/>
      <w:sz w:val="56"/>
      <w:szCs w:val="56"/>
      <w:lang w:val="zh-TW" w:eastAsia="zh-TW" w:bidi="zh-TW"/>
    </w:rPr>
  </w:style>
  <w:style w:type="paragraph" w:customStyle="1" w:styleId="72">
    <w:name w:val="Heading #2|1"/>
    <w:basedOn w:val="1"/>
    <w:qFormat/>
    <w:uiPriority w:val="0"/>
    <w:pPr>
      <w:spacing w:after="340"/>
      <w:ind w:left="1280"/>
      <w:outlineLvl w:val="1"/>
    </w:pPr>
    <w:rPr>
      <w:rFonts w:ascii="宋体" w:hAnsi="宋体" w:cs="宋体"/>
      <w:sz w:val="56"/>
      <w:szCs w:val="56"/>
      <w:lang w:val="zh-TW" w:eastAsia="zh-TW" w:bidi="zh-TW"/>
    </w:rPr>
  </w:style>
  <w:style w:type="character" w:customStyle="1" w:styleId="73">
    <w:name w:val="Body text|3_"/>
    <w:basedOn w:val="28"/>
    <w:link w:val="69"/>
    <w:qFormat/>
    <w:uiPriority w:val="0"/>
    <w:rPr>
      <w:sz w:val="36"/>
      <w:szCs w:val="36"/>
      <w:u w:val="none"/>
      <w:shd w:val="clear" w:color="auto" w:fill="auto"/>
    </w:rPr>
  </w:style>
  <w:style w:type="paragraph" w:customStyle="1" w:styleId="74">
    <w:name w:val="Picture caption|1"/>
    <w:basedOn w:val="1"/>
    <w:qFormat/>
    <w:uiPriority w:val="0"/>
    <w:pPr>
      <w:ind w:left="-20"/>
      <w:jc w:val="center"/>
    </w:pPr>
    <w:rPr>
      <w:rFonts w:ascii="宋体" w:hAnsi="宋体" w:cs="宋体"/>
      <w:sz w:val="58"/>
      <w:szCs w:val="58"/>
      <w:lang w:val="zh-TW" w:eastAsia="zh-TW" w:bidi="zh-TW"/>
    </w:rPr>
  </w:style>
  <w:style w:type="paragraph" w:customStyle="1" w:styleId="75">
    <w:name w:val="Header or footer|1"/>
    <w:basedOn w:val="1"/>
    <w:qFormat/>
    <w:uiPriority w:val="0"/>
    <w:rPr>
      <w:rFonts w:ascii="宋体" w:hAnsi="宋体" w:cs="宋体"/>
      <w:sz w:val="36"/>
      <w:szCs w:val="36"/>
    </w:rPr>
  </w:style>
  <w:style w:type="paragraph" w:customStyle="1" w:styleId="76">
    <w:name w:val="_Style 2"/>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77">
    <w:name w:val="font112"/>
    <w:basedOn w:val="28"/>
    <w:qFormat/>
    <w:uiPriority w:val="0"/>
    <w:rPr>
      <w:rFonts w:hint="eastAsia" w:ascii="宋体" w:hAnsi="宋体" w:eastAsia="宋体" w:cs="宋体"/>
      <w:color w:val="000000"/>
      <w:sz w:val="20"/>
      <w:szCs w:val="20"/>
      <w:u w:val="none"/>
    </w:rPr>
  </w:style>
  <w:style w:type="character" w:customStyle="1" w:styleId="78">
    <w:name w:val="font161"/>
    <w:basedOn w:val="28"/>
    <w:qFormat/>
    <w:uiPriority w:val="0"/>
    <w:rPr>
      <w:rFonts w:ascii="宋体" w:hAnsi="宋体" w:eastAsia="宋体" w:cs="宋体"/>
      <w:color w:val="000000"/>
      <w:sz w:val="20"/>
      <w:szCs w:val="20"/>
      <w:u w:val="none"/>
    </w:rPr>
  </w:style>
  <w:style w:type="paragraph" w:customStyle="1" w:styleId="7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67900</Words>
  <Characters>74549</Characters>
  <Lines>587</Lines>
  <Paragraphs>165</Paragraphs>
  <TotalTime>78</TotalTime>
  <ScaleCrop>false</ScaleCrop>
  <LinksUpToDate>false</LinksUpToDate>
  <CharactersWithSpaces>77897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2020-11-06T04:32:00Z</dcterms:created>
  <dc:creator>Lenovo</dc:creator>
  <cp:lastModifiedBy>Administrator</cp:lastModifiedBy>
  <cp:lastPrinted>2023-02-09T03:02:00Z</cp:lastPrinted>
  <dcterms:modified xsi:type="dcterms:W3CDTF">2023-03-13T04:14:00Z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42A5A7863FE24B2E96645E6C9DCF1751</vt:lpwstr>
  </property>
  <property fmtid="{D5CDD505-2E9C-101B-9397-08002B2CF9AE}" pid="4" name="commondata">
    <vt:lpwstr>eyJoZGlkIjoiYjg1ZmFiOGVjMzgwMTc2YzdiYWJkZDA3NWNjMzlkNjMifQ==</vt:lpwstr>
  </property>
</Properties>
</file>